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7B741" w14:textId="77777777" w:rsidR="00187310" w:rsidRDefault="009E76C5" w:rsidP="00187310">
      <w:pPr>
        <w:jc w:val="center"/>
        <w:rPr>
          <w:rFonts w:ascii="Times New Roman" w:hAnsi="Times New Roman" w:cs="Times New Roman"/>
          <w:u w:val="single"/>
        </w:rPr>
      </w:pPr>
      <w:r w:rsidRPr="000E6EB4">
        <w:rPr>
          <w:rFonts w:ascii="Times New Roman" w:hAnsi="Times New Roman" w:cs="Times New Roman"/>
          <w:u w:val="single"/>
        </w:rPr>
        <w:t>Characterise the Role of Women in the Sun Religion of Amarna.</w:t>
      </w:r>
    </w:p>
    <w:p w14:paraId="27772DEC" w14:textId="61EE4B9D" w:rsidR="009E76C5" w:rsidRPr="000E6EB4" w:rsidRDefault="009E76C5" w:rsidP="00187310">
      <w:pPr>
        <w:jc w:val="center"/>
        <w:rPr>
          <w:rFonts w:ascii="Times New Roman" w:hAnsi="Times New Roman" w:cs="Times New Roman"/>
          <w:u w:val="single"/>
        </w:rPr>
      </w:pPr>
      <w:r w:rsidRPr="000E6EB4">
        <w:rPr>
          <w:rFonts w:ascii="Times New Roman" w:hAnsi="Times New Roman" w:cs="Times New Roman"/>
          <w:u w:val="single"/>
        </w:rPr>
        <w:t>What evidence do we have for this?</w:t>
      </w:r>
    </w:p>
    <w:p w14:paraId="1F8035CA" w14:textId="6B92F21C" w:rsidR="00877364" w:rsidRDefault="00877364" w:rsidP="00877364">
      <w:pPr>
        <w:jc w:val="both"/>
        <w:rPr>
          <w:rFonts w:ascii="Times New Roman" w:hAnsi="Times New Roman" w:cs="Times New Roman"/>
        </w:rPr>
      </w:pPr>
      <w:r>
        <w:rPr>
          <w:rFonts w:ascii="Times New Roman" w:hAnsi="Times New Roman" w:cs="Times New Roman"/>
        </w:rPr>
        <w:t>Founded in the 14</w:t>
      </w:r>
      <w:r w:rsidRPr="00877364">
        <w:rPr>
          <w:rFonts w:ascii="Times New Roman" w:hAnsi="Times New Roman" w:cs="Times New Roman"/>
          <w:vertAlign w:val="superscript"/>
        </w:rPr>
        <w:t>th</w:t>
      </w:r>
      <w:r>
        <w:rPr>
          <w:rFonts w:ascii="Times New Roman" w:hAnsi="Times New Roman" w:cs="Times New Roman"/>
        </w:rPr>
        <w:t xml:space="preserve"> century BCE by </w:t>
      </w:r>
      <w:r w:rsidR="00160D25">
        <w:rPr>
          <w:rFonts w:ascii="Times New Roman" w:hAnsi="Times New Roman" w:cs="Times New Roman"/>
        </w:rPr>
        <w:t>1</w:t>
      </w:r>
      <w:r w:rsidR="00AB780A">
        <w:rPr>
          <w:rFonts w:ascii="Times New Roman" w:hAnsi="Times New Roman" w:cs="Times New Roman"/>
        </w:rPr>
        <w:t xml:space="preserve">the 18th dynasty pharaoh Akhenaten (also known as </w:t>
      </w:r>
      <w:proofErr w:type="spellStart"/>
      <w:r w:rsidR="00AB780A">
        <w:rPr>
          <w:rFonts w:ascii="Times New Roman" w:hAnsi="Times New Roman" w:cs="Times New Roman"/>
        </w:rPr>
        <w:t>Amenhotep</w:t>
      </w:r>
      <w:proofErr w:type="spellEnd"/>
      <w:r w:rsidR="00AB780A">
        <w:rPr>
          <w:rFonts w:ascii="Times New Roman" w:hAnsi="Times New Roman" w:cs="Times New Roman"/>
        </w:rPr>
        <w:t xml:space="preserve"> IV), the sun religion of </w:t>
      </w:r>
      <w:proofErr w:type="spellStart"/>
      <w:r w:rsidR="00AB780A">
        <w:rPr>
          <w:rFonts w:ascii="Times New Roman" w:hAnsi="Times New Roman" w:cs="Times New Roman"/>
        </w:rPr>
        <w:t>Amarna</w:t>
      </w:r>
      <w:proofErr w:type="spellEnd"/>
      <w:r w:rsidR="00AB780A">
        <w:rPr>
          <w:rFonts w:ascii="Times New Roman" w:hAnsi="Times New Roman" w:cs="Times New Roman"/>
        </w:rPr>
        <w:t xml:space="preserve"> was a dramatic ideological shift in</w:t>
      </w:r>
      <w:r>
        <w:rPr>
          <w:rFonts w:ascii="Times New Roman" w:hAnsi="Times New Roman" w:cs="Times New Roman"/>
        </w:rPr>
        <w:t xml:space="preserve"> ancient Egypt</w:t>
      </w:r>
      <w:r w:rsidR="00ED0647">
        <w:rPr>
          <w:rFonts w:ascii="Times New Roman" w:hAnsi="Times New Roman" w:cs="Times New Roman"/>
        </w:rPr>
        <w:t>ian history.</w:t>
      </w:r>
      <w:r w:rsidR="00C05F00">
        <w:rPr>
          <w:rFonts w:ascii="Times New Roman" w:hAnsi="Times New Roman" w:cs="Times New Roman"/>
        </w:rPr>
        <w:t xml:space="preserve"> T</w:t>
      </w:r>
      <w:r>
        <w:rPr>
          <w:rFonts w:ascii="Times New Roman" w:hAnsi="Times New Roman" w:cs="Times New Roman"/>
        </w:rPr>
        <w:t xml:space="preserve">raditional </w:t>
      </w:r>
      <w:r w:rsidR="00C05F00">
        <w:rPr>
          <w:rFonts w:ascii="Times New Roman" w:hAnsi="Times New Roman" w:cs="Times New Roman"/>
        </w:rPr>
        <w:t>Egyptian</w:t>
      </w:r>
      <w:r>
        <w:rPr>
          <w:rFonts w:ascii="Times New Roman" w:hAnsi="Times New Roman" w:cs="Times New Roman"/>
        </w:rPr>
        <w:t xml:space="preserve"> polytheism</w:t>
      </w:r>
      <w:r w:rsidR="00C05F00">
        <w:rPr>
          <w:rFonts w:ascii="Times New Roman" w:hAnsi="Times New Roman" w:cs="Times New Roman"/>
        </w:rPr>
        <w:t xml:space="preserve">, with its </w:t>
      </w:r>
      <w:r w:rsidR="001C371B">
        <w:rPr>
          <w:rFonts w:ascii="Times New Roman" w:hAnsi="Times New Roman" w:cs="Times New Roman"/>
        </w:rPr>
        <w:t>organized pantheon and powerful temple priesthoods,</w:t>
      </w:r>
      <w:r>
        <w:rPr>
          <w:rFonts w:ascii="Times New Roman" w:hAnsi="Times New Roman" w:cs="Times New Roman"/>
        </w:rPr>
        <w:t xml:space="preserve"> </w:t>
      </w:r>
      <w:r w:rsidR="001C371B">
        <w:rPr>
          <w:rFonts w:ascii="Times New Roman" w:hAnsi="Times New Roman" w:cs="Times New Roman"/>
        </w:rPr>
        <w:t xml:space="preserve">was replaced </w:t>
      </w:r>
      <w:r w:rsidR="002D6CA0">
        <w:rPr>
          <w:rFonts w:ascii="Times New Roman" w:hAnsi="Times New Roman" w:cs="Times New Roman"/>
        </w:rPr>
        <w:t>with a new monotheistic system</w:t>
      </w:r>
      <w:r>
        <w:rPr>
          <w:rFonts w:ascii="Times New Roman" w:hAnsi="Times New Roman" w:cs="Times New Roman"/>
        </w:rPr>
        <w:t xml:space="preserve"> centred around</w:t>
      </w:r>
      <w:r w:rsidR="000E6EB4">
        <w:rPr>
          <w:rFonts w:ascii="Times New Roman" w:hAnsi="Times New Roman" w:cs="Times New Roman"/>
        </w:rPr>
        <w:t xml:space="preserve"> </w:t>
      </w:r>
      <w:r w:rsidR="002D6CA0">
        <w:rPr>
          <w:rFonts w:ascii="Times New Roman" w:hAnsi="Times New Roman" w:cs="Times New Roman"/>
        </w:rPr>
        <w:t>the Aten,</w:t>
      </w:r>
      <w:r w:rsidR="000E6EB4">
        <w:rPr>
          <w:rFonts w:ascii="Times New Roman" w:hAnsi="Times New Roman" w:cs="Times New Roman"/>
        </w:rPr>
        <w:t xml:space="preserve"> </w:t>
      </w:r>
      <w:r>
        <w:rPr>
          <w:rFonts w:ascii="Times New Roman" w:hAnsi="Times New Roman" w:cs="Times New Roman"/>
        </w:rPr>
        <w:t>the sun disk, which during the New Kingdom was considered to be an aspect of R</w:t>
      </w:r>
      <w:r w:rsidR="000E6EB4">
        <w:rPr>
          <w:rFonts w:ascii="Times New Roman" w:hAnsi="Times New Roman" w:cs="Times New Roman"/>
        </w:rPr>
        <w:t>a</w:t>
      </w:r>
      <w:r>
        <w:rPr>
          <w:rFonts w:ascii="Times New Roman" w:hAnsi="Times New Roman" w:cs="Times New Roman"/>
        </w:rPr>
        <w:t>-Amun-Horus</w:t>
      </w:r>
      <w:r>
        <w:rPr>
          <w:rStyle w:val="FootnoteReference"/>
          <w:rFonts w:ascii="Times New Roman" w:hAnsi="Times New Roman" w:cs="Times New Roman"/>
        </w:rPr>
        <w:footnoteReference w:id="2"/>
      </w:r>
      <w:r w:rsidR="000E6EB4">
        <w:rPr>
          <w:rFonts w:ascii="Times New Roman" w:hAnsi="Times New Roman" w:cs="Times New Roman"/>
        </w:rPr>
        <w:t xml:space="preserve">, Akhenaten made </w:t>
      </w:r>
      <w:r w:rsidR="006D0C00">
        <w:rPr>
          <w:rFonts w:ascii="Times New Roman" w:hAnsi="Times New Roman" w:cs="Times New Roman"/>
        </w:rPr>
        <w:t>it,</w:t>
      </w:r>
      <w:r w:rsidR="000E6EB4">
        <w:rPr>
          <w:rFonts w:ascii="Times New Roman" w:hAnsi="Times New Roman" w:cs="Times New Roman"/>
        </w:rPr>
        <w:t xml:space="preserve"> so the Aten was the sole, worshipped deity</w:t>
      </w:r>
      <w:r w:rsidR="000E6EB4">
        <w:rPr>
          <w:rStyle w:val="FootnoteReference"/>
          <w:rFonts w:ascii="Times New Roman" w:hAnsi="Times New Roman" w:cs="Times New Roman"/>
        </w:rPr>
        <w:footnoteReference w:id="3"/>
      </w:r>
      <w:r w:rsidR="000E6EB4">
        <w:rPr>
          <w:rFonts w:ascii="Times New Roman" w:hAnsi="Times New Roman" w:cs="Times New Roman"/>
        </w:rPr>
        <w:t xml:space="preserve">. </w:t>
      </w:r>
      <w:r w:rsidR="00530C86">
        <w:rPr>
          <w:rFonts w:ascii="Times New Roman" w:hAnsi="Times New Roman" w:cs="Times New Roman"/>
        </w:rPr>
        <w:t xml:space="preserve">This sudden change led to a reorganisation of cultic practices </w:t>
      </w:r>
      <w:r w:rsidR="003B025C">
        <w:rPr>
          <w:rFonts w:ascii="Times New Roman" w:hAnsi="Times New Roman" w:cs="Times New Roman"/>
        </w:rPr>
        <w:t xml:space="preserve">and artistic conventions, with the royal family elevated </w:t>
      </w:r>
      <w:r w:rsidR="00234760">
        <w:rPr>
          <w:rFonts w:ascii="Times New Roman" w:hAnsi="Times New Roman" w:cs="Times New Roman"/>
        </w:rPr>
        <w:t xml:space="preserve">to mediators between the divine and mortal. </w:t>
      </w:r>
      <w:r w:rsidR="000540C0">
        <w:rPr>
          <w:rFonts w:ascii="Times New Roman" w:hAnsi="Times New Roman" w:cs="Times New Roman"/>
        </w:rPr>
        <w:t xml:space="preserve">Beyond the creation of a new religion, Akhenaten moved away from Thebes to set up a new Egyptian capital, Akhetaten – which is more often known as Amarna nowadays. </w:t>
      </w:r>
      <w:r w:rsidR="00234760">
        <w:rPr>
          <w:rFonts w:ascii="Times New Roman" w:hAnsi="Times New Roman" w:cs="Times New Roman"/>
        </w:rPr>
        <w:t xml:space="preserve">Within this shift, women – most notably </w:t>
      </w:r>
      <w:r w:rsidR="00A33EB5">
        <w:rPr>
          <w:rFonts w:ascii="Times New Roman" w:hAnsi="Times New Roman" w:cs="Times New Roman"/>
        </w:rPr>
        <w:t>the Great Royal Wife Nefertiti and the royal daughters – took on roles of prominence</w:t>
      </w:r>
      <w:r w:rsidR="008318C8">
        <w:rPr>
          <w:rFonts w:ascii="Times New Roman" w:hAnsi="Times New Roman" w:cs="Times New Roman"/>
        </w:rPr>
        <w:t>, however, their authority remained in close association to the king</w:t>
      </w:r>
      <w:r w:rsidR="00146240">
        <w:rPr>
          <w:rFonts w:ascii="Times New Roman" w:hAnsi="Times New Roman" w:cs="Times New Roman"/>
        </w:rPr>
        <w:t xml:space="preserve">. </w:t>
      </w:r>
    </w:p>
    <w:p w14:paraId="48CE03BE" w14:textId="7E5C9814" w:rsidR="00146240" w:rsidRDefault="009164BA" w:rsidP="00877364">
      <w:pPr>
        <w:jc w:val="both"/>
        <w:rPr>
          <w:rFonts w:ascii="Times New Roman" w:hAnsi="Times New Roman" w:cs="Times New Roman"/>
        </w:rPr>
      </w:pPr>
      <w:r>
        <w:rPr>
          <w:rFonts w:ascii="Times New Roman" w:hAnsi="Times New Roman" w:cs="Times New Roman"/>
        </w:rPr>
        <w:t xml:space="preserve">With the use of archaeological evidence of reliefs, shrines, tomb scenes, iconography and inscriptions from Amarna, it can be argued that women in Atenism held more </w:t>
      </w:r>
      <w:r w:rsidR="001B4231">
        <w:rPr>
          <w:rFonts w:ascii="Times New Roman" w:hAnsi="Times New Roman" w:cs="Times New Roman"/>
        </w:rPr>
        <w:t>important and significant roles when compared to past Egypt</w:t>
      </w:r>
      <w:r w:rsidR="00143A10">
        <w:rPr>
          <w:rFonts w:ascii="Times New Roman" w:hAnsi="Times New Roman" w:cs="Times New Roman"/>
        </w:rPr>
        <w:t xml:space="preserve">ian religious traditions. However, </w:t>
      </w:r>
      <w:r w:rsidR="00245E17">
        <w:rPr>
          <w:rFonts w:ascii="Times New Roman" w:hAnsi="Times New Roman" w:cs="Times New Roman"/>
        </w:rPr>
        <w:t xml:space="preserve">a </w:t>
      </w:r>
      <w:r w:rsidR="00143A10">
        <w:rPr>
          <w:rFonts w:ascii="Times New Roman" w:hAnsi="Times New Roman" w:cs="Times New Roman"/>
        </w:rPr>
        <w:t>wom</w:t>
      </w:r>
      <w:r w:rsidR="00245E17">
        <w:rPr>
          <w:rFonts w:ascii="Times New Roman" w:hAnsi="Times New Roman" w:cs="Times New Roman"/>
        </w:rPr>
        <w:t>a</w:t>
      </w:r>
      <w:r w:rsidR="00143A10">
        <w:rPr>
          <w:rFonts w:ascii="Times New Roman" w:hAnsi="Times New Roman" w:cs="Times New Roman"/>
        </w:rPr>
        <w:t xml:space="preserve">n’s prominence was </w:t>
      </w:r>
      <w:r w:rsidR="00245E17">
        <w:rPr>
          <w:rFonts w:ascii="Times New Roman" w:hAnsi="Times New Roman" w:cs="Times New Roman"/>
        </w:rPr>
        <w:t>dependent on her relationship to Akh</w:t>
      </w:r>
      <w:r w:rsidR="00B676E3">
        <w:rPr>
          <w:rFonts w:ascii="Times New Roman" w:hAnsi="Times New Roman" w:cs="Times New Roman"/>
        </w:rPr>
        <w:t>enaten</w:t>
      </w:r>
      <w:r w:rsidR="007F44F1">
        <w:rPr>
          <w:rFonts w:ascii="Times New Roman" w:hAnsi="Times New Roman" w:cs="Times New Roman"/>
        </w:rPr>
        <w:t xml:space="preserve">, whose intermediary </w:t>
      </w:r>
      <w:r w:rsidR="005A2239">
        <w:rPr>
          <w:rFonts w:ascii="Times New Roman" w:hAnsi="Times New Roman" w:cs="Times New Roman"/>
        </w:rPr>
        <w:t xml:space="preserve">position between Aten and mortals remained the ideological core of the new system. </w:t>
      </w:r>
      <w:r w:rsidR="00C01871">
        <w:rPr>
          <w:rFonts w:ascii="Times New Roman" w:hAnsi="Times New Roman" w:cs="Times New Roman"/>
        </w:rPr>
        <w:t>For example, the queen’s authority functioned as an extension of the king’s divine status, rather than an autonomous position of religious power.</w:t>
      </w:r>
      <w:r w:rsidR="000540C0">
        <w:rPr>
          <w:rFonts w:ascii="Times New Roman" w:hAnsi="Times New Roman" w:cs="Times New Roman"/>
        </w:rPr>
        <w:t xml:space="preserve"> The evidence – stela, temple inscriptions</w:t>
      </w:r>
      <w:r w:rsidR="004272D2">
        <w:rPr>
          <w:rFonts w:ascii="Times New Roman" w:hAnsi="Times New Roman" w:cs="Times New Roman"/>
        </w:rPr>
        <w:t>, hymns to the Aten, royal titulary and household dedication – reveal</w:t>
      </w:r>
      <w:r w:rsidR="00BD67AD">
        <w:rPr>
          <w:rFonts w:ascii="Times New Roman" w:hAnsi="Times New Roman" w:cs="Times New Roman"/>
        </w:rPr>
        <w:t>s that</w:t>
      </w:r>
      <w:r w:rsidR="00FA2743">
        <w:rPr>
          <w:rFonts w:ascii="Times New Roman" w:hAnsi="Times New Roman" w:cs="Times New Roman"/>
        </w:rPr>
        <w:t xml:space="preserve"> the inclusion of</w:t>
      </w:r>
      <w:r w:rsidR="00BD67AD">
        <w:rPr>
          <w:rFonts w:ascii="Times New Roman" w:hAnsi="Times New Roman" w:cs="Times New Roman"/>
        </w:rPr>
        <w:t xml:space="preserve"> women in Atenism </w:t>
      </w:r>
      <w:r w:rsidR="00FA2743">
        <w:rPr>
          <w:rFonts w:ascii="Times New Roman" w:hAnsi="Times New Roman" w:cs="Times New Roman"/>
        </w:rPr>
        <w:t>was essential but not autonomous</w:t>
      </w:r>
      <w:r w:rsidR="001C58C3">
        <w:rPr>
          <w:rFonts w:ascii="Times New Roman" w:hAnsi="Times New Roman" w:cs="Times New Roman"/>
        </w:rPr>
        <w:t xml:space="preserve">. Meanwhile, evidence from domestic shrines and archaeological remains show that non-royal women participated in Atenism primarily through the </w:t>
      </w:r>
      <w:r w:rsidR="00F7117C">
        <w:rPr>
          <w:rFonts w:ascii="Times New Roman" w:hAnsi="Times New Roman" w:cs="Times New Roman"/>
        </w:rPr>
        <w:t xml:space="preserve">royal family, not through a direct relationship with the Aten. </w:t>
      </w:r>
    </w:p>
    <w:p w14:paraId="709C83D8" w14:textId="5DB4664C" w:rsidR="007947A5" w:rsidRPr="004B3256" w:rsidRDefault="007947A5" w:rsidP="00877364">
      <w:pPr>
        <w:jc w:val="both"/>
        <w:rPr>
          <w:rFonts w:ascii="Times New Roman" w:hAnsi="Times New Roman" w:cs="Times New Roman"/>
          <w:b/>
          <w:bCs/>
          <w:u w:val="single"/>
        </w:rPr>
      </w:pPr>
      <w:r w:rsidRPr="004B3256">
        <w:rPr>
          <w:rFonts w:ascii="Times New Roman" w:hAnsi="Times New Roman" w:cs="Times New Roman"/>
          <w:b/>
          <w:bCs/>
          <w:u w:val="single"/>
        </w:rPr>
        <w:t>Atenism and the Rest</w:t>
      </w:r>
      <w:r w:rsidR="004B3256" w:rsidRPr="004B3256">
        <w:rPr>
          <w:rFonts w:ascii="Times New Roman" w:hAnsi="Times New Roman" w:cs="Times New Roman"/>
          <w:b/>
          <w:bCs/>
          <w:u w:val="single"/>
        </w:rPr>
        <w:t xml:space="preserve">ructuring of Religious Authority </w:t>
      </w:r>
    </w:p>
    <w:p w14:paraId="67C9CE00" w14:textId="56B7B329" w:rsidR="004B3256" w:rsidRDefault="004B3256" w:rsidP="00877364">
      <w:pPr>
        <w:jc w:val="both"/>
        <w:rPr>
          <w:rFonts w:ascii="Times New Roman" w:hAnsi="Times New Roman" w:cs="Times New Roman"/>
        </w:rPr>
      </w:pPr>
      <w:r>
        <w:rPr>
          <w:rFonts w:ascii="Times New Roman" w:hAnsi="Times New Roman" w:cs="Times New Roman"/>
        </w:rPr>
        <w:t xml:space="preserve">Atenism introduced a model of religious authority </w:t>
      </w:r>
      <w:r w:rsidR="00F22841">
        <w:rPr>
          <w:rFonts w:ascii="Times New Roman" w:hAnsi="Times New Roman" w:cs="Times New Roman"/>
        </w:rPr>
        <w:t>almost exclusively centred on the royal family. In contrast to earlier periods, where priesthoods, temples</w:t>
      </w:r>
      <w:r w:rsidR="00A5110B">
        <w:rPr>
          <w:rFonts w:ascii="Times New Roman" w:hAnsi="Times New Roman" w:cs="Times New Roman"/>
        </w:rPr>
        <w:t xml:space="preserve"> and regional cults constituted </w:t>
      </w:r>
      <w:r w:rsidR="009C5708">
        <w:rPr>
          <w:rFonts w:ascii="Times New Roman" w:hAnsi="Times New Roman" w:cs="Times New Roman"/>
        </w:rPr>
        <w:t>to a decentralised religious fram</w:t>
      </w:r>
      <w:r w:rsidR="00D977EC">
        <w:rPr>
          <w:rFonts w:ascii="Times New Roman" w:hAnsi="Times New Roman" w:cs="Times New Roman"/>
        </w:rPr>
        <w:t xml:space="preserve">ework, Atenism displaced </w:t>
      </w:r>
      <w:r w:rsidR="00662F4B">
        <w:rPr>
          <w:rFonts w:ascii="Times New Roman" w:hAnsi="Times New Roman" w:cs="Times New Roman"/>
        </w:rPr>
        <w:t xml:space="preserve">traditional institutes and reorganised divine mediation </w:t>
      </w:r>
      <w:r w:rsidR="00326E2D">
        <w:rPr>
          <w:rFonts w:ascii="Times New Roman" w:hAnsi="Times New Roman" w:cs="Times New Roman"/>
        </w:rPr>
        <w:t>around the figure of the king, as well as being politically and ideologically centred on the king and the sun god Aten</w:t>
      </w:r>
      <w:r w:rsidR="00E74A70">
        <w:rPr>
          <w:rFonts w:ascii="Times New Roman" w:hAnsi="Times New Roman" w:cs="Times New Roman"/>
        </w:rPr>
        <w:t xml:space="preserve">, while royal women assumed highly visible and symbolically important roles, though not </w:t>
      </w:r>
      <w:r w:rsidR="00E34174">
        <w:rPr>
          <w:rFonts w:ascii="Times New Roman" w:hAnsi="Times New Roman" w:cs="Times New Roman"/>
        </w:rPr>
        <w:t xml:space="preserve">independent priestly ones. This dual emphasis </w:t>
      </w:r>
      <w:r w:rsidR="00E902A5">
        <w:rPr>
          <w:rFonts w:ascii="Times New Roman" w:hAnsi="Times New Roman" w:cs="Times New Roman"/>
        </w:rPr>
        <w:t>–</w:t>
      </w:r>
      <w:r w:rsidR="00E34174">
        <w:rPr>
          <w:rFonts w:ascii="Times New Roman" w:hAnsi="Times New Roman" w:cs="Times New Roman"/>
        </w:rPr>
        <w:t xml:space="preserve"> heighten</w:t>
      </w:r>
      <w:r w:rsidR="00E902A5">
        <w:rPr>
          <w:rFonts w:ascii="Times New Roman" w:hAnsi="Times New Roman" w:cs="Times New Roman"/>
        </w:rPr>
        <w:t xml:space="preserve">ed visibility but </w:t>
      </w:r>
      <w:r w:rsidR="00F125E4">
        <w:rPr>
          <w:rFonts w:ascii="Times New Roman" w:hAnsi="Times New Roman" w:cs="Times New Roman"/>
        </w:rPr>
        <w:t>limited</w:t>
      </w:r>
      <w:r w:rsidR="00E902A5">
        <w:rPr>
          <w:rFonts w:ascii="Times New Roman" w:hAnsi="Times New Roman" w:cs="Times New Roman"/>
        </w:rPr>
        <w:t xml:space="preserve"> power</w:t>
      </w:r>
      <w:r w:rsidR="00F125E4">
        <w:rPr>
          <w:rFonts w:ascii="Times New Roman" w:hAnsi="Times New Roman" w:cs="Times New Roman"/>
        </w:rPr>
        <w:t xml:space="preserve"> – is crucial to understanding the gendered dynamic of Atenism. </w:t>
      </w:r>
      <w:r w:rsidR="00AC102D">
        <w:rPr>
          <w:rFonts w:ascii="Times New Roman" w:hAnsi="Times New Roman" w:cs="Times New Roman"/>
        </w:rPr>
        <w:t xml:space="preserve">As Aten’s blessings were believed to be transmitted through the </w:t>
      </w:r>
      <w:r w:rsidR="003B0BA7">
        <w:rPr>
          <w:rFonts w:ascii="Times New Roman" w:hAnsi="Times New Roman" w:cs="Times New Roman"/>
        </w:rPr>
        <w:t xml:space="preserve">person of the king, the royal family collectively became </w:t>
      </w:r>
      <w:r w:rsidR="00FB1262">
        <w:rPr>
          <w:rFonts w:ascii="Times New Roman" w:hAnsi="Times New Roman" w:cs="Times New Roman"/>
        </w:rPr>
        <w:t>an extension of divine authority. The Aten’s rays</w:t>
      </w:r>
      <w:r w:rsidR="00213533">
        <w:rPr>
          <w:rFonts w:ascii="Times New Roman" w:hAnsi="Times New Roman" w:cs="Times New Roman"/>
        </w:rPr>
        <w:t xml:space="preserve"> frequently reached out not merely to Akhenaten but also to Nefertiti and </w:t>
      </w:r>
      <w:r w:rsidR="00737437">
        <w:rPr>
          <w:rFonts w:ascii="Times New Roman" w:hAnsi="Times New Roman" w:cs="Times New Roman"/>
        </w:rPr>
        <w:t xml:space="preserve">the princesses in sacred scenes. This iconographic </w:t>
      </w:r>
      <w:r w:rsidR="00D3714A">
        <w:rPr>
          <w:rFonts w:ascii="Times New Roman" w:hAnsi="Times New Roman" w:cs="Times New Roman"/>
        </w:rPr>
        <w:t xml:space="preserve">method redefined the boundaries of sacredness around the royal </w:t>
      </w:r>
      <w:r w:rsidR="00A46EF7">
        <w:rPr>
          <w:rFonts w:ascii="Times New Roman" w:hAnsi="Times New Roman" w:cs="Times New Roman"/>
        </w:rPr>
        <w:t>household. The royal women did not assume independent priestly roles</w:t>
      </w:r>
      <w:r w:rsidR="006C10E8">
        <w:rPr>
          <w:rFonts w:ascii="Times New Roman" w:hAnsi="Times New Roman" w:cs="Times New Roman"/>
        </w:rPr>
        <w:t>; instead</w:t>
      </w:r>
      <w:r w:rsidR="00E2043E">
        <w:rPr>
          <w:rFonts w:ascii="Times New Roman" w:hAnsi="Times New Roman" w:cs="Times New Roman"/>
        </w:rPr>
        <w:t xml:space="preserve">, their authority </w:t>
      </w:r>
      <w:r w:rsidR="00E2043E">
        <w:rPr>
          <w:rFonts w:ascii="Times New Roman" w:hAnsi="Times New Roman" w:cs="Times New Roman"/>
        </w:rPr>
        <w:lastRenderedPageBreak/>
        <w:t xml:space="preserve">functioned as a reflective of the king’s sacred status, integrated into ritual performance as </w:t>
      </w:r>
      <w:r w:rsidR="0044004E">
        <w:rPr>
          <w:rFonts w:ascii="Times New Roman" w:hAnsi="Times New Roman" w:cs="Times New Roman"/>
        </w:rPr>
        <w:t xml:space="preserve">extensions of his divine mandate. </w:t>
      </w:r>
      <w:r w:rsidR="00BD6EDA">
        <w:rPr>
          <w:rFonts w:ascii="Times New Roman" w:hAnsi="Times New Roman" w:cs="Times New Roman"/>
        </w:rPr>
        <w:t xml:space="preserve">Discovered the </w:t>
      </w:r>
      <w:r w:rsidR="00374502">
        <w:rPr>
          <w:rFonts w:ascii="Times New Roman" w:hAnsi="Times New Roman" w:cs="Times New Roman"/>
        </w:rPr>
        <w:t>18</w:t>
      </w:r>
      <w:r w:rsidR="00374502" w:rsidRPr="00374502">
        <w:rPr>
          <w:rFonts w:ascii="Times New Roman" w:hAnsi="Times New Roman" w:cs="Times New Roman"/>
          <w:vertAlign w:val="superscript"/>
        </w:rPr>
        <w:t>th</w:t>
      </w:r>
      <w:r w:rsidR="006E5827">
        <w:rPr>
          <w:rFonts w:ascii="Times New Roman" w:hAnsi="Times New Roman" w:cs="Times New Roman"/>
        </w:rPr>
        <w:t xml:space="preserve"> </w:t>
      </w:r>
      <w:r w:rsidR="005B191B">
        <w:rPr>
          <w:rFonts w:ascii="Times New Roman" w:hAnsi="Times New Roman" w:cs="Times New Roman"/>
        </w:rPr>
        <w:t>and 19</w:t>
      </w:r>
      <w:r w:rsidR="005B191B" w:rsidRPr="005B191B">
        <w:rPr>
          <w:rFonts w:ascii="Times New Roman" w:hAnsi="Times New Roman" w:cs="Times New Roman"/>
          <w:vertAlign w:val="superscript"/>
        </w:rPr>
        <w:t>th</w:t>
      </w:r>
      <w:r w:rsidR="005B191B">
        <w:rPr>
          <w:rFonts w:ascii="Times New Roman" w:hAnsi="Times New Roman" w:cs="Times New Roman"/>
        </w:rPr>
        <w:t xml:space="preserve"> </w:t>
      </w:r>
      <w:r w:rsidR="006E5827">
        <w:rPr>
          <w:rFonts w:ascii="Times New Roman" w:hAnsi="Times New Roman" w:cs="Times New Roman"/>
        </w:rPr>
        <w:t>centur</w:t>
      </w:r>
      <w:r w:rsidR="005B191B">
        <w:rPr>
          <w:rFonts w:ascii="Times New Roman" w:hAnsi="Times New Roman" w:cs="Times New Roman"/>
        </w:rPr>
        <w:t>ies</w:t>
      </w:r>
      <w:r w:rsidR="006E5827">
        <w:rPr>
          <w:rFonts w:ascii="Times New Roman" w:hAnsi="Times New Roman" w:cs="Times New Roman"/>
        </w:rPr>
        <w:t>, the</w:t>
      </w:r>
      <w:r w:rsidR="00AF4A6B">
        <w:rPr>
          <w:rFonts w:ascii="Times New Roman" w:hAnsi="Times New Roman" w:cs="Times New Roman"/>
        </w:rPr>
        <w:t xml:space="preserve"> </w:t>
      </w:r>
      <w:r w:rsidR="00BD6EDA">
        <w:rPr>
          <w:rFonts w:ascii="Times New Roman" w:hAnsi="Times New Roman" w:cs="Times New Roman"/>
        </w:rPr>
        <w:t>Boundary Stelae</w:t>
      </w:r>
      <w:r w:rsidR="005B191B">
        <w:rPr>
          <w:rFonts w:ascii="Times New Roman" w:hAnsi="Times New Roman" w:cs="Times New Roman"/>
        </w:rPr>
        <w:t xml:space="preserve"> of Akhenaten </w:t>
      </w:r>
      <w:r w:rsidR="00415290">
        <w:rPr>
          <w:rFonts w:ascii="Times New Roman" w:hAnsi="Times New Roman" w:cs="Times New Roman"/>
        </w:rPr>
        <w:t xml:space="preserve">around the city of Amarna to establish the boundaries </w:t>
      </w:r>
      <w:r w:rsidR="00AB0F4D">
        <w:rPr>
          <w:rFonts w:ascii="Times New Roman" w:hAnsi="Times New Roman" w:cs="Times New Roman"/>
        </w:rPr>
        <w:t xml:space="preserve">as well as be a tool for the pharaoh </w:t>
      </w:r>
      <w:r w:rsidR="00D67B3E">
        <w:rPr>
          <w:rFonts w:ascii="Times New Roman" w:hAnsi="Times New Roman" w:cs="Times New Roman"/>
        </w:rPr>
        <w:t xml:space="preserve">to spread information of his religious reforms. </w:t>
      </w:r>
      <w:r w:rsidR="00397193">
        <w:rPr>
          <w:rFonts w:ascii="Times New Roman" w:hAnsi="Times New Roman" w:cs="Times New Roman"/>
        </w:rPr>
        <w:t xml:space="preserve">Many of the stelae </w:t>
      </w:r>
      <w:r w:rsidR="000800F7">
        <w:rPr>
          <w:rFonts w:ascii="Times New Roman" w:hAnsi="Times New Roman" w:cs="Times New Roman"/>
        </w:rPr>
        <w:t>had statues of Akhenaten with Nefertiti and some of their daughters, thus showing the importance of these women to the new religious order</w:t>
      </w:r>
      <w:r w:rsidR="00300184">
        <w:rPr>
          <w:rStyle w:val="FootnoteReference"/>
          <w:rFonts w:ascii="Times New Roman" w:hAnsi="Times New Roman" w:cs="Times New Roman"/>
        </w:rPr>
        <w:footnoteReference w:id="4"/>
      </w:r>
      <w:r w:rsidR="000800F7">
        <w:rPr>
          <w:rFonts w:ascii="Times New Roman" w:hAnsi="Times New Roman" w:cs="Times New Roman"/>
        </w:rPr>
        <w:t xml:space="preserve">. </w:t>
      </w:r>
    </w:p>
    <w:p w14:paraId="7E89BBBA" w14:textId="1C7FF847" w:rsidR="00A83CC1" w:rsidRDefault="00D91727" w:rsidP="00877364">
      <w:pPr>
        <w:jc w:val="both"/>
        <w:rPr>
          <w:rFonts w:ascii="Times New Roman" w:hAnsi="Times New Roman" w:cs="Times New Roman"/>
        </w:rPr>
      </w:pPr>
      <w:r>
        <w:rPr>
          <w:rFonts w:ascii="Times New Roman" w:hAnsi="Times New Roman" w:cs="Times New Roman"/>
        </w:rPr>
        <w:t xml:space="preserve">The emphasis on the royal family within Atenism can be seen as a central </w:t>
      </w:r>
      <w:r w:rsidR="00F05276">
        <w:rPr>
          <w:rFonts w:ascii="Times New Roman" w:hAnsi="Times New Roman" w:cs="Times New Roman"/>
        </w:rPr>
        <w:t xml:space="preserve">tool of divine blessing elevated women’s roles not for their own sake but </w:t>
      </w:r>
      <w:r w:rsidR="005C3166">
        <w:rPr>
          <w:rFonts w:ascii="Times New Roman" w:hAnsi="Times New Roman" w:cs="Times New Roman"/>
        </w:rPr>
        <w:t>because</w:t>
      </w:r>
      <w:r w:rsidR="00F05276">
        <w:rPr>
          <w:rFonts w:ascii="Times New Roman" w:hAnsi="Times New Roman" w:cs="Times New Roman"/>
        </w:rPr>
        <w:t xml:space="preserve"> the family itself </w:t>
      </w:r>
      <w:r w:rsidR="005C3166">
        <w:rPr>
          <w:rFonts w:ascii="Times New Roman" w:hAnsi="Times New Roman" w:cs="Times New Roman"/>
        </w:rPr>
        <w:t>was the theological foundation of the new religion. By presenting the king, queen, and princesses as a unified sacred ass</w:t>
      </w:r>
      <w:r w:rsidR="00A1183C">
        <w:rPr>
          <w:rFonts w:ascii="Times New Roman" w:hAnsi="Times New Roman" w:cs="Times New Roman"/>
        </w:rPr>
        <w:t xml:space="preserve">embly, Atenism was able to replace the traditional </w:t>
      </w:r>
      <w:r w:rsidR="003D6691">
        <w:rPr>
          <w:rFonts w:ascii="Times New Roman" w:hAnsi="Times New Roman" w:cs="Times New Roman"/>
        </w:rPr>
        <w:t xml:space="preserve">pantheon with the royal household as the focus of religious devotion. </w:t>
      </w:r>
      <w:r w:rsidR="00ED0F0E">
        <w:rPr>
          <w:rFonts w:ascii="Times New Roman" w:hAnsi="Times New Roman" w:cs="Times New Roman"/>
        </w:rPr>
        <w:t xml:space="preserve">However, the use of a triad was common throughout Egyptian history </w:t>
      </w:r>
      <w:r w:rsidR="00737E89">
        <w:rPr>
          <w:rFonts w:ascii="Times New Roman" w:hAnsi="Times New Roman" w:cs="Times New Roman"/>
        </w:rPr>
        <w:t>as a way to conceptualise divine families</w:t>
      </w:r>
      <w:r w:rsidR="00ED0F0E">
        <w:rPr>
          <w:rFonts w:ascii="Times New Roman" w:hAnsi="Times New Roman" w:cs="Times New Roman"/>
        </w:rPr>
        <w:t xml:space="preserve"> – for example</w:t>
      </w:r>
      <w:r w:rsidR="0068389A">
        <w:rPr>
          <w:rFonts w:ascii="Times New Roman" w:hAnsi="Times New Roman" w:cs="Times New Roman"/>
        </w:rPr>
        <w:t xml:space="preserve"> Osiris, Isis and Horus; and K</w:t>
      </w:r>
      <w:r w:rsidR="00714A79">
        <w:rPr>
          <w:rFonts w:ascii="Times New Roman" w:hAnsi="Times New Roman" w:cs="Times New Roman"/>
        </w:rPr>
        <w:t>hnum, Satet and Anuket</w:t>
      </w:r>
      <w:r w:rsidR="00737E89">
        <w:rPr>
          <w:rFonts w:ascii="Times New Roman" w:hAnsi="Times New Roman" w:cs="Times New Roman"/>
        </w:rPr>
        <w:t>; Atenism</w:t>
      </w:r>
      <w:r w:rsidR="00714A79">
        <w:rPr>
          <w:rFonts w:ascii="Times New Roman" w:hAnsi="Times New Roman" w:cs="Times New Roman"/>
        </w:rPr>
        <w:t xml:space="preserve"> used </w:t>
      </w:r>
      <w:r w:rsidR="0035418A">
        <w:rPr>
          <w:rFonts w:ascii="Times New Roman" w:hAnsi="Times New Roman" w:cs="Times New Roman"/>
        </w:rPr>
        <w:t>this traditional structure by elevating Nefertiti into a theological partner of</w:t>
      </w:r>
      <w:r w:rsidR="00ED0155">
        <w:rPr>
          <w:rFonts w:ascii="Times New Roman" w:hAnsi="Times New Roman" w:cs="Times New Roman"/>
        </w:rPr>
        <w:t xml:space="preserve"> Akhenaten</w:t>
      </w:r>
      <w:r w:rsidR="009A4B65">
        <w:rPr>
          <w:rFonts w:ascii="Times New Roman" w:hAnsi="Times New Roman" w:cs="Times New Roman"/>
        </w:rPr>
        <w:t>, thus</w:t>
      </w:r>
      <w:r w:rsidR="006F4C54">
        <w:rPr>
          <w:rFonts w:ascii="Times New Roman" w:hAnsi="Times New Roman" w:cs="Times New Roman"/>
        </w:rPr>
        <w:t xml:space="preserve"> she could be seen as </w:t>
      </w:r>
      <w:r w:rsidR="008A4EFB">
        <w:rPr>
          <w:rFonts w:ascii="Times New Roman" w:hAnsi="Times New Roman" w:cs="Times New Roman"/>
        </w:rPr>
        <w:t>a powerful figure</w:t>
      </w:r>
      <w:r w:rsidR="009A4B65">
        <w:rPr>
          <w:rFonts w:ascii="Times New Roman" w:hAnsi="Times New Roman" w:cs="Times New Roman"/>
        </w:rPr>
        <w:t>.</w:t>
      </w:r>
      <w:r w:rsidR="008A4EFB">
        <w:rPr>
          <w:rFonts w:ascii="Times New Roman" w:hAnsi="Times New Roman" w:cs="Times New Roman"/>
        </w:rPr>
        <w:t xml:space="preserve"> </w:t>
      </w:r>
    </w:p>
    <w:p w14:paraId="19895738" w14:textId="5893912B" w:rsidR="007A6C52" w:rsidRPr="007A6C52" w:rsidRDefault="00597636" w:rsidP="00877364">
      <w:pPr>
        <w:jc w:val="both"/>
        <w:rPr>
          <w:rFonts w:ascii="Times New Roman" w:hAnsi="Times New Roman" w:cs="Times New Roman"/>
          <w:b/>
          <w:bCs/>
          <w:u w:val="single"/>
        </w:rPr>
      </w:pPr>
      <w:r>
        <w:rPr>
          <w:rFonts w:ascii="Times New Roman" w:hAnsi="Times New Roman" w:cs="Times New Roman"/>
          <w:b/>
          <w:bCs/>
          <w:u w:val="single"/>
        </w:rPr>
        <w:t xml:space="preserve">Nefertiti </w:t>
      </w:r>
      <w:r w:rsidR="000A23B8">
        <w:rPr>
          <w:rFonts w:ascii="Times New Roman" w:hAnsi="Times New Roman" w:cs="Times New Roman"/>
          <w:b/>
          <w:bCs/>
          <w:u w:val="single"/>
        </w:rPr>
        <w:t>as a Cultic Partner</w:t>
      </w:r>
    </w:p>
    <w:p w14:paraId="45157D1F" w14:textId="4C7CC2E3" w:rsidR="007A6C52" w:rsidRDefault="006029A7" w:rsidP="00877364">
      <w:pPr>
        <w:jc w:val="both"/>
        <w:rPr>
          <w:rFonts w:ascii="Times New Roman" w:hAnsi="Times New Roman" w:cs="Times New Roman"/>
        </w:rPr>
      </w:pPr>
      <w:r>
        <w:rPr>
          <w:rFonts w:ascii="Times New Roman" w:hAnsi="Times New Roman" w:cs="Times New Roman"/>
        </w:rPr>
        <w:t xml:space="preserve">Perhaps the most prominent </w:t>
      </w:r>
      <w:r w:rsidR="00F61FC3">
        <w:rPr>
          <w:rFonts w:ascii="Times New Roman" w:hAnsi="Times New Roman" w:cs="Times New Roman"/>
        </w:rPr>
        <w:t xml:space="preserve">female religious figure – and one of the most famous women from ancient Egypt </w:t>
      </w:r>
      <w:r w:rsidR="00765BD1">
        <w:rPr>
          <w:rFonts w:ascii="Times New Roman" w:hAnsi="Times New Roman" w:cs="Times New Roman"/>
        </w:rPr>
        <w:t xml:space="preserve">because of her </w:t>
      </w:r>
      <w:r w:rsidR="00E05B5E">
        <w:rPr>
          <w:rFonts w:ascii="Times New Roman" w:hAnsi="Times New Roman" w:cs="Times New Roman"/>
        </w:rPr>
        <w:t xml:space="preserve">famous bust discovered in 1912 and now housed </w:t>
      </w:r>
      <w:r w:rsidR="00175525">
        <w:rPr>
          <w:rFonts w:ascii="Times New Roman" w:hAnsi="Times New Roman" w:cs="Times New Roman"/>
        </w:rPr>
        <w:t xml:space="preserve">at the </w:t>
      </w:r>
      <w:r w:rsidR="0044078A" w:rsidRPr="007A5C17">
        <w:rPr>
          <w:rFonts w:ascii="Times New Roman" w:hAnsi="Times New Roman" w:cs="Times New Roman"/>
          <w:i/>
          <w:iCs/>
        </w:rPr>
        <w:t>Ä</w:t>
      </w:r>
      <w:r w:rsidR="00175525" w:rsidRPr="007A5C17">
        <w:rPr>
          <w:rFonts w:ascii="Times New Roman" w:hAnsi="Times New Roman" w:cs="Times New Roman"/>
          <w:i/>
          <w:iCs/>
        </w:rPr>
        <w:t>gy</w:t>
      </w:r>
      <w:r w:rsidR="00AA2638" w:rsidRPr="007A5C17">
        <w:rPr>
          <w:rFonts w:ascii="Times New Roman" w:hAnsi="Times New Roman" w:cs="Times New Roman"/>
          <w:i/>
          <w:iCs/>
        </w:rPr>
        <w:t>ptisches Museum und Papyrussammlung</w:t>
      </w:r>
      <w:r w:rsidR="00AA2638">
        <w:rPr>
          <w:rFonts w:ascii="Times New Roman" w:hAnsi="Times New Roman" w:cs="Times New Roman"/>
        </w:rPr>
        <w:t xml:space="preserve"> </w:t>
      </w:r>
      <w:r w:rsidR="00F61FC3">
        <w:rPr>
          <w:rFonts w:ascii="Times New Roman" w:hAnsi="Times New Roman" w:cs="Times New Roman"/>
        </w:rPr>
        <w:t>– Nefertiti</w:t>
      </w:r>
      <w:r w:rsidR="00D538CB">
        <w:rPr>
          <w:rFonts w:ascii="Times New Roman" w:hAnsi="Times New Roman" w:cs="Times New Roman"/>
        </w:rPr>
        <w:t xml:space="preserve"> bore the title </w:t>
      </w:r>
      <w:r w:rsidR="00836AB9">
        <w:rPr>
          <w:rFonts w:ascii="Times New Roman" w:hAnsi="Times New Roman" w:cs="Times New Roman"/>
        </w:rPr>
        <w:t>of G</w:t>
      </w:r>
      <w:r w:rsidR="00A2234F">
        <w:rPr>
          <w:rFonts w:ascii="Times New Roman" w:hAnsi="Times New Roman" w:cs="Times New Roman"/>
        </w:rPr>
        <w:t xml:space="preserve">reat Royal Wife of </w:t>
      </w:r>
      <w:r w:rsidR="009B69BD">
        <w:rPr>
          <w:rFonts w:ascii="Times New Roman" w:hAnsi="Times New Roman" w:cs="Times New Roman"/>
        </w:rPr>
        <w:t>Akhenaten</w:t>
      </w:r>
      <w:r w:rsidR="006C370B">
        <w:rPr>
          <w:rFonts w:ascii="Times New Roman" w:hAnsi="Times New Roman" w:cs="Times New Roman"/>
        </w:rPr>
        <w:t>, among</w:t>
      </w:r>
      <w:r w:rsidR="00104B44">
        <w:rPr>
          <w:rFonts w:ascii="Times New Roman" w:hAnsi="Times New Roman" w:cs="Times New Roman"/>
        </w:rPr>
        <w:t xml:space="preserve"> a variety of </w:t>
      </w:r>
      <w:r w:rsidR="006C370B">
        <w:rPr>
          <w:rFonts w:ascii="Times New Roman" w:hAnsi="Times New Roman" w:cs="Times New Roman"/>
        </w:rPr>
        <w:t>others</w:t>
      </w:r>
      <w:r w:rsidR="00B676E3">
        <w:rPr>
          <w:rFonts w:ascii="Times New Roman" w:hAnsi="Times New Roman" w:cs="Times New Roman"/>
        </w:rPr>
        <w:t xml:space="preserve">; her role </w:t>
      </w:r>
      <w:r w:rsidR="002B5BD0">
        <w:rPr>
          <w:rFonts w:ascii="Times New Roman" w:hAnsi="Times New Roman" w:cs="Times New Roman"/>
        </w:rPr>
        <w:t xml:space="preserve">expanded the visibility far more than earlier Egyptian queens. </w:t>
      </w:r>
      <w:r w:rsidR="00B676E3">
        <w:rPr>
          <w:rFonts w:ascii="Times New Roman" w:hAnsi="Times New Roman" w:cs="Times New Roman"/>
        </w:rPr>
        <w:t>She</w:t>
      </w:r>
      <w:r w:rsidR="00A66030">
        <w:rPr>
          <w:rFonts w:ascii="Times New Roman" w:hAnsi="Times New Roman" w:cs="Times New Roman"/>
        </w:rPr>
        <w:t xml:space="preserve"> was </w:t>
      </w:r>
      <w:r w:rsidR="00B20300">
        <w:rPr>
          <w:rFonts w:ascii="Times New Roman" w:hAnsi="Times New Roman" w:cs="Times New Roman"/>
        </w:rPr>
        <w:t>depicted performing ritual acts which were traditionally reserved for the king</w:t>
      </w:r>
      <w:r w:rsidR="0037515F">
        <w:rPr>
          <w:rFonts w:ascii="Times New Roman" w:hAnsi="Times New Roman" w:cs="Times New Roman"/>
        </w:rPr>
        <w:t xml:space="preserve">. </w:t>
      </w:r>
      <w:r w:rsidR="00BC1D4F">
        <w:rPr>
          <w:rFonts w:ascii="Times New Roman" w:hAnsi="Times New Roman" w:cs="Times New Roman"/>
        </w:rPr>
        <w:t>In relief</w:t>
      </w:r>
      <w:r w:rsidR="00FE24E9">
        <w:rPr>
          <w:rFonts w:ascii="Times New Roman" w:hAnsi="Times New Roman" w:cs="Times New Roman"/>
        </w:rPr>
        <w:t xml:space="preserve"> fragments from Amarna, Nefertiti is shown as making offerings to the Aten </w:t>
      </w:r>
      <w:r w:rsidR="00784F20">
        <w:rPr>
          <w:rFonts w:ascii="Times New Roman" w:hAnsi="Times New Roman" w:cs="Times New Roman"/>
        </w:rPr>
        <w:t xml:space="preserve">in a manner typically attributed to the king, </w:t>
      </w:r>
      <w:r w:rsidR="002478C0">
        <w:rPr>
          <w:rFonts w:ascii="Times New Roman" w:hAnsi="Times New Roman" w:cs="Times New Roman"/>
        </w:rPr>
        <w:t>she can be seen offering flowers</w:t>
      </w:r>
      <w:r w:rsidR="002478C0">
        <w:rPr>
          <w:rStyle w:val="FootnoteReference"/>
          <w:rFonts w:ascii="Times New Roman" w:hAnsi="Times New Roman" w:cs="Times New Roman"/>
        </w:rPr>
        <w:footnoteReference w:id="5"/>
      </w:r>
      <w:r w:rsidR="000D0F79">
        <w:rPr>
          <w:rFonts w:ascii="Times New Roman" w:hAnsi="Times New Roman" w:cs="Times New Roman"/>
        </w:rPr>
        <w:t xml:space="preserve"> and libations</w:t>
      </w:r>
      <w:r w:rsidR="00A740C9">
        <w:rPr>
          <w:rFonts w:ascii="Times New Roman" w:hAnsi="Times New Roman" w:cs="Times New Roman"/>
        </w:rPr>
        <w:t xml:space="preserve">. This is a direct indication that she herself acted as a cultic individual rather than a mere passive spectator. </w:t>
      </w:r>
      <w:r w:rsidR="005E158F">
        <w:rPr>
          <w:rFonts w:ascii="Times New Roman" w:hAnsi="Times New Roman" w:cs="Times New Roman"/>
        </w:rPr>
        <w:t xml:space="preserve">Reliefs from the Tomb of Meryre II show her alongside the king </w:t>
      </w:r>
      <w:r w:rsidR="00C91B45">
        <w:rPr>
          <w:rFonts w:ascii="Times New Roman" w:hAnsi="Times New Roman" w:cs="Times New Roman"/>
        </w:rPr>
        <w:t>in an equal like manner</w:t>
      </w:r>
      <w:r w:rsidR="00C91B45">
        <w:rPr>
          <w:rStyle w:val="FootnoteReference"/>
          <w:rFonts w:ascii="Times New Roman" w:hAnsi="Times New Roman" w:cs="Times New Roman"/>
        </w:rPr>
        <w:footnoteReference w:id="6"/>
      </w:r>
      <w:r w:rsidR="009E5B02">
        <w:rPr>
          <w:rFonts w:ascii="Times New Roman" w:hAnsi="Times New Roman" w:cs="Times New Roman"/>
        </w:rPr>
        <w:t xml:space="preserve">, additionally Akhenaten </w:t>
      </w:r>
      <w:r w:rsidR="00497C85">
        <w:rPr>
          <w:rFonts w:ascii="Times New Roman" w:hAnsi="Times New Roman" w:cs="Times New Roman"/>
        </w:rPr>
        <w:t xml:space="preserve">and Nefertiti’s six daughters are depicted </w:t>
      </w:r>
      <w:r w:rsidR="00D21549">
        <w:rPr>
          <w:rFonts w:ascii="Times New Roman" w:hAnsi="Times New Roman" w:cs="Times New Roman"/>
        </w:rPr>
        <w:t xml:space="preserve">performing religious acts </w:t>
      </w:r>
      <w:r w:rsidR="00A12C45">
        <w:rPr>
          <w:rFonts w:ascii="Times New Roman" w:hAnsi="Times New Roman" w:cs="Times New Roman"/>
        </w:rPr>
        <w:t>in the inscribed scenes.</w:t>
      </w:r>
    </w:p>
    <w:p w14:paraId="19A9CBAB" w14:textId="7D23CB71" w:rsidR="001508B4" w:rsidRDefault="0071457F" w:rsidP="00877364">
      <w:pPr>
        <w:jc w:val="both"/>
        <w:rPr>
          <w:rFonts w:ascii="Times New Roman" w:hAnsi="Times New Roman" w:cs="Times New Roman"/>
        </w:rPr>
      </w:pPr>
      <w:r>
        <w:rPr>
          <w:rFonts w:ascii="Times New Roman" w:hAnsi="Times New Roman" w:cs="Times New Roman"/>
        </w:rPr>
        <w:t>The Aten’s rays</w:t>
      </w:r>
      <w:r w:rsidR="005F2879">
        <w:rPr>
          <w:rFonts w:ascii="Times New Roman" w:hAnsi="Times New Roman" w:cs="Times New Roman"/>
        </w:rPr>
        <w:t xml:space="preserve">, which end in hands, </w:t>
      </w:r>
      <w:r w:rsidR="00664FDE">
        <w:rPr>
          <w:rFonts w:ascii="Times New Roman" w:hAnsi="Times New Roman" w:cs="Times New Roman"/>
        </w:rPr>
        <w:t>only reached out the members of the royal family</w:t>
      </w:r>
      <w:r w:rsidR="007F3A1B">
        <w:rPr>
          <w:rFonts w:ascii="Times New Roman" w:hAnsi="Times New Roman" w:cs="Times New Roman"/>
        </w:rPr>
        <w:t xml:space="preserve"> and thus non-royals receive life from these royals</w:t>
      </w:r>
      <w:r w:rsidR="007F3A1B">
        <w:rPr>
          <w:rStyle w:val="FootnoteReference"/>
          <w:rFonts w:ascii="Times New Roman" w:hAnsi="Times New Roman" w:cs="Times New Roman"/>
        </w:rPr>
        <w:footnoteReference w:id="7"/>
      </w:r>
      <w:r w:rsidR="00153668">
        <w:rPr>
          <w:rFonts w:ascii="Times New Roman" w:hAnsi="Times New Roman" w:cs="Times New Roman"/>
        </w:rPr>
        <w:t xml:space="preserve">, showing that woman have an integral role in the divide between the divine and the mortals. </w:t>
      </w:r>
      <w:r w:rsidR="008E5E4B">
        <w:rPr>
          <w:rFonts w:ascii="Times New Roman" w:hAnsi="Times New Roman" w:cs="Times New Roman"/>
        </w:rPr>
        <w:t>Nefertiti appears with these Aten rays frequently</w:t>
      </w:r>
      <w:r w:rsidR="00143729">
        <w:rPr>
          <w:rFonts w:ascii="Times New Roman" w:hAnsi="Times New Roman" w:cs="Times New Roman"/>
        </w:rPr>
        <w:t>, such as in the banquet scene</w:t>
      </w:r>
      <w:r w:rsidR="0085796C">
        <w:rPr>
          <w:rFonts w:ascii="Times New Roman" w:hAnsi="Times New Roman" w:cs="Times New Roman"/>
        </w:rPr>
        <w:t xml:space="preserve"> o</w:t>
      </w:r>
      <w:r w:rsidR="0015038D">
        <w:rPr>
          <w:rFonts w:ascii="Times New Roman" w:hAnsi="Times New Roman" w:cs="Times New Roman"/>
        </w:rPr>
        <w:t xml:space="preserve">n </w:t>
      </w:r>
      <w:r w:rsidR="00A4520E">
        <w:rPr>
          <w:rFonts w:ascii="Times New Roman" w:hAnsi="Times New Roman" w:cs="Times New Roman"/>
        </w:rPr>
        <w:t>Amarna Tomb 1</w:t>
      </w:r>
      <w:r w:rsidR="00315E7B">
        <w:rPr>
          <w:rFonts w:ascii="Times New Roman" w:hAnsi="Times New Roman" w:cs="Times New Roman"/>
        </w:rPr>
        <w:t xml:space="preserve"> in the Northern </w:t>
      </w:r>
      <w:r w:rsidR="001F6280">
        <w:rPr>
          <w:rFonts w:ascii="Times New Roman" w:hAnsi="Times New Roman" w:cs="Times New Roman"/>
        </w:rPr>
        <w:t>cemetery</w:t>
      </w:r>
      <w:r w:rsidR="00D6282E">
        <w:rPr>
          <w:rFonts w:ascii="Times New Roman" w:hAnsi="Times New Roman" w:cs="Times New Roman"/>
        </w:rPr>
        <w:t xml:space="preserve">, which belonged to </w:t>
      </w:r>
      <w:r w:rsidR="0085796C">
        <w:rPr>
          <w:rFonts w:ascii="Times New Roman" w:hAnsi="Times New Roman" w:cs="Times New Roman"/>
        </w:rPr>
        <w:t>Huya</w:t>
      </w:r>
      <w:r w:rsidR="0085796C">
        <w:rPr>
          <w:rStyle w:val="FootnoteReference"/>
          <w:rFonts w:ascii="Times New Roman" w:hAnsi="Times New Roman" w:cs="Times New Roman"/>
        </w:rPr>
        <w:footnoteReference w:id="8"/>
      </w:r>
      <w:r w:rsidR="0015038D">
        <w:rPr>
          <w:rFonts w:ascii="Times New Roman" w:hAnsi="Times New Roman" w:cs="Times New Roman"/>
        </w:rPr>
        <w:t xml:space="preserve"> </w:t>
      </w:r>
      <w:r w:rsidR="00133588">
        <w:rPr>
          <w:rFonts w:ascii="Times New Roman" w:hAnsi="Times New Roman" w:cs="Times New Roman"/>
        </w:rPr>
        <w:t xml:space="preserve">– </w:t>
      </w:r>
      <w:r w:rsidR="0015038D">
        <w:rPr>
          <w:rFonts w:ascii="Times New Roman" w:hAnsi="Times New Roman" w:cs="Times New Roman"/>
        </w:rPr>
        <w:t xml:space="preserve">an ancient </w:t>
      </w:r>
      <w:r w:rsidR="000716F6">
        <w:rPr>
          <w:rFonts w:ascii="Times New Roman" w:hAnsi="Times New Roman" w:cs="Times New Roman"/>
        </w:rPr>
        <w:t xml:space="preserve">Egyptian noble who served, among other roles, as the </w:t>
      </w:r>
      <w:r w:rsidR="00A4520E">
        <w:rPr>
          <w:rFonts w:ascii="Times New Roman" w:hAnsi="Times New Roman" w:cs="Times New Roman"/>
        </w:rPr>
        <w:t>Superintendent of the Royal Harem</w:t>
      </w:r>
      <w:r w:rsidR="00315E7B">
        <w:rPr>
          <w:rFonts w:ascii="Times New Roman" w:hAnsi="Times New Roman" w:cs="Times New Roman"/>
        </w:rPr>
        <w:t>, which are all in association with the mother of Akhenaten, Queen Tiya.</w:t>
      </w:r>
      <w:r w:rsidR="001D5D01">
        <w:rPr>
          <w:rFonts w:ascii="Times New Roman" w:hAnsi="Times New Roman" w:cs="Times New Roman"/>
        </w:rPr>
        <w:t xml:space="preserve"> </w:t>
      </w:r>
      <w:r w:rsidR="00487F28">
        <w:rPr>
          <w:rFonts w:ascii="Times New Roman" w:hAnsi="Times New Roman" w:cs="Times New Roman"/>
        </w:rPr>
        <w:t xml:space="preserve">This </w:t>
      </w:r>
      <w:r w:rsidR="001D5D01">
        <w:rPr>
          <w:rFonts w:ascii="Times New Roman" w:hAnsi="Times New Roman" w:cs="Times New Roman"/>
        </w:rPr>
        <w:lastRenderedPageBreak/>
        <w:t xml:space="preserve">visual </w:t>
      </w:r>
      <w:r w:rsidR="00CF6042">
        <w:rPr>
          <w:rFonts w:ascii="Times New Roman" w:hAnsi="Times New Roman" w:cs="Times New Roman"/>
        </w:rPr>
        <w:t xml:space="preserve">similarity with the king signifies her participation </w:t>
      </w:r>
      <w:r w:rsidR="00487F28">
        <w:rPr>
          <w:rFonts w:ascii="Times New Roman" w:hAnsi="Times New Roman" w:cs="Times New Roman"/>
        </w:rPr>
        <w:t xml:space="preserve">in the divine blessing of the world by Aten. Furthermore, </w:t>
      </w:r>
      <w:r w:rsidR="00A6331A">
        <w:rPr>
          <w:rFonts w:ascii="Times New Roman" w:hAnsi="Times New Roman" w:cs="Times New Roman"/>
        </w:rPr>
        <w:t xml:space="preserve">Nefertiti is often depicted </w:t>
      </w:r>
      <w:r w:rsidR="00273239">
        <w:rPr>
          <w:rFonts w:ascii="Times New Roman" w:hAnsi="Times New Roman" w:cs="Times New Roman"/>
        </w:rPr>
        <w:t xml:space="preserve">of equal size </w:t>
      </w:r>
      <w:r w:rsidR="00A6331A">
        <w:rPr>
          <w:rFonts w:ascii="Times New Roman" w:hAnsi="Times New Roman" w:cs="Times New Roman"/>
        </w:rPr>
        <w:t>alongside Akhenaten</w:t>
      </w:r>
      <w:r w:rsidR="00B42FEA">
        <w:rPr>
          <w:rFonts w:ascii="Times New Roman" w:hAnsi="Times New Roman" w:cs="Times New Roman"/>
        </w:rPr>
        <w:t>, thus emphasising her elevated status.</w:t>
      </w:r>
      <w:r w:rsidR="001508B4">
        <w:rPr>
          <w:rFonts w:ascii="Times New Roman" w:hAnsi="Times New Roman" w:cs="Times New Roman"/>
        </w:rPr>
        <w:t xml:space="preserve"> </w:t>
      </w:r>
      <w:r w:rsidR="00A50649">
        <w:rPr>
          <w:rFonts w:ascii="Times New Roman" w:hAnsi="Times New Roman" w:cs="Times New Roman"/>
        </w:rPr>
        <w:t xml:space="preserve">In addition, Nefertiti is depicted </w:t>
      </w:r>
      <w:r w:rsidR="00AE4B02">
        <w:rPr>
          <w:rFonts w:ascii="Times New Roman" w:hAnsi="Times New Roman" w:cs="Times New Roman"/>
        </w:rPr>
        <w:t>throughout</w:t>
      </w:r>
      <w:r w:rsidR="00A50649">
        <w:rPr>
          <w:rFonts w:ascii="Times New Roman" w:hAnsi="Times New Roman" w:cs="Times New Roman"/>
        </w:rPr>
        <w:t xml:space="preserve"> </w:t>
      </w:r>
      <w:r w:rsidR="00874FA2">
        <w:rPr>
          <w:rFonts w:ascii="Times New Roman" w:hAnsi="Times New Roman" w:cs="Times New Roman"/>
        </w:rPr>
        <w:t>the Tomb of Panehsy</w:t>
      </w:r>
      <w:r w:rsidR="00AE4B02">
        <w:rPr>
          <w:rStyle w:val="FootnoteReference"/>
          <w:rFonts w:ascii="Times New Roman" w:hAnsi="Times New Roman" w:cs="Times New Roman"/>
        </w:rPr>
        <w:footnoteReference w:id="9"/>
      </w:r>
      <w:r w:rsidR="00874FA2">
        <w:rPr>
          <w:rFonts w:ascii="Times New Roman" w:hAnsi="Times New Roman" w:cs="Times New Roman"/>
        </w:rPr>
        <w:t xml:space="preserve"> </w:t>
      </w:r>
      <w:r w:rsidR="00F07A0E">
        <w:rPr>
          <w:rFonts w:ascii="Times New Roman" w:hAnsi="Times New Roman" w:cs="Times New Roman"/>
        </w:rPr>
        <w:t>–</w:t>
      </w:r>
      <w:r w:rsidR="00874FA2">
        <w:rPr>
          <w:rFonts w:ascii="Times New Roman" w:hAnsi="Times New Roman" w:cs="Times New Roman"/>
        </w:rPr>
        <w:t xml:space="preserve"> </w:t>
      </w:r>
      <w:r w:rsidR="00F07A0E">
        <w:rPr>
          <w:rFonts w:ascii="Times New Roman" w:hAnsi="Times New Roman" w:cs="Times New Roman"/>
        </w:rPr>
        <w:t xml:space="preserve">a nobleman </w:t>
      </w:r>
      <w:r w:rsidR="000E0E56">
        <w:rPr>
          <w:rFonts w:ascii="Times New Roman" w:hAnsi="Times New Roman" w:cs="Times New Roman"/>
        </w:rPr>
        <w:t>and “</w:t>
      </w:r>
      <w:r w:rsidR="000E0E56" w:rsidRPr="005B25A2">
        <w:rPr>
          <w:rFonts w:ascii="Times New Roman" w:hAnsi="Times New Roman" w:cs="Times New Roman"/>
          <w:i/>
          <w:iCs/>
        </w:rPr>
        <w:t xml:space="preserve">Chief </w:t>
      </w:r>
      <w:r w:rsidR="0007306B" w:rsidRPr="005B25A2">
        <w:rPr>
          <w:rFonts w:ascii="Times New Roman" w:hAnsi="Times New Roman" w:cs="Times New Roman"/>
          <w:i/>
          <w:iCs/>
        </w:rPr>
        <w:t>servitor of the Aten in the temple of Aten in Akhetaten</w:t>
      </w:r>
      <w:r w:rsidR="0007306B">
        <w:rPr>
          <w:rStyle w:val="FootnoteReference"/>
          <w:rFonts w:ascii="Times New Roman" w:hAnsi="Times New Roman" w:cs="Times New Roman"/>
        </w:rPr>
        <w:footnoteReference w:id="10"/>
      </w:r>
      <w:r w:rsidR="0007306B">
        <w:rPr>
          <w:rFonts w:ascii="Times New Roman" w:hAnsi="Times New Roman" w:cs="Times New Roman"/>
        </w:rPr>
        <w:t xml:space="preserve">” </w:t>
      </w:r>
      <w:r w:rsidR="00D4581D">
        <w:rPr>
          <w:rFonts w:ascii="Times New Roman" w:hAnsi="Times New Roman" w:cs="Times New Roman"/>
        </w:rPr>
        <w:t>–</w:t>
      </w:r>
      <w:r w:rsidR="000A44D6">
        <w:rPr>
          <w:rFonts w:ascii="Times New Roman" w:hAnsi="Times New Roman" w:cs="Times New Roman"/>
        </w:rPr>
        <w:t xml:space="preserve"> </w:t>
      </w:r>
      <w:r w:rsidR="00D4581D">
        <w:rPr>
          <w:rFonts w:ascii="Times New Roman" w:hAnsi="Times New Roman" w:cs="Times New Roman"/>
        </w:rPr>
        <w:t xml:space="preserve">wearing </w:t>
      </w:r>
      <w:r w:rsidR="007D35E2">
        <w:rPr>
          <w:rFonts w:ascii="Times New Roman" w:hAnsi="Times New Roman" w:cs="Times New Roman"/>
        </w:rPr>
        <w:t xml:space="preserve">a blue crown, only Meritaten appears with them in the scene on the outer door. </w:t>
      </w:r>
    </w:p>
    <w:p w14:paraId="024075CD" w14:textId="39E17748" w:rsidR="00A86E8E" w:rsidRDefault="00B42FEA" w:rsidP="00877364">
      <w:pPr>
        <w:jc w:val="both"/>
        <w:rPr>
          <w:rFonts w:ascii="Times New Roman" w:hAnsi="Times New Roman" w:cs="Times New Roman"/>
        </w:rPr>
      </w:pPr>
      <w:r>
        <w:rPr>
          <w:rFonts w:ascii="Times New Roman" w:hAnsi="Times New Roman" w:cs="Times New Roman"/>
        </w:rPr>
        <w:t xml:space="preserve">In earlier Egyptian art, the king is almost always </w:t>
      </w:r>
      <w:r w:rsidR="00A86E8E">
        <w:rPr>
          <w:rFonts w:ascii="Times New Roman" w:hAnsi="Times New Roman" w:cs="Times New Roman"/>
        </w:rPr>
        <w:t xml:space="preserve">portrayed larger than other figures, including the queen; Amarna </w:t>
      </w:r>
      <w:r w:rsidR="00EA716A">
        <w:rPr>
          <w:rFonts w:ascii="Times New Roman" w:hAnsi="Times New Roman" w:cs="Times New Roman"/>
        </w:rPr>
        <w:t xml:space="preserve">art showing Nefertiti as an equal is a clear visual statement of </w:t>
      </w:r>
      <w:r w:rsidR="008F188F">
        <w:rPr>
          <w:rFonts w:ascii="Times New Roman" w:hAnsi="Times New Roman" w:cs="Times New Roman"/>
        </w:rPr>
        <w:t xml:space="preserve">an ideological change. Even more striking, she sometimes </w:t>
      </w:r>
      <w:r w:rsidR="00755671">
        <w:rPr>
          <w:rFonts w:ascii="Times New Roman" w:hAnsi="Times New Roman" w:cs="Times New Roman"/>
        </w:rPr>
        <w:t xml:space="preserve">wears the </w:t>
      </w:r>
      <w:proofErr w:type="spellStart"/>
      <w:r w:rsidR="00755671">
        <w:rPr>
          <w:rFonts w:ascii="Times New Roman" w:hAnsi="Times New Roman" w:cs="Times New Roman"/>
        </w:rPr>
        <w:t>Hathoric</w:t>
      </w:r>
      <w:proofErr w:type="spellEnd"/>
      <w:r w:rsidR="00755671">
        <w:rPr>
          <w:rFonts w:ascii="Times New Roman" w:hAnsi="Times New Roman" w:cs="Times New Roman"/>
        </w:rPr>
        <w:t xml:space="preserve"> crown of cow horns and a solar disk</w:t>
      </w:r>
      <w:r w:rsidR="004B5170">
        <w:rPr>
          <w:rStyle w:val="FootnoteReference"/>
          <w:rFonts w:ascii="Times New Roman" w:hAnsi="Times New Roman" w:cs="Times New Roman"/>
        </w:rPr>
        <w:footnoteReference w:id="11"/>
      </w:r>
      <w:r w:rsidR="00755671">
        <w:rPr>
          <w:rFonts w:ascii="Times New Roman" w:hAnsi="Times New Roman" w:cs="Times New Roman"/>
        </w:rPr>
        <w:t xml:space="preserve"> – iconography which associated her with </w:t>
      </w:r>
      <w:r w:rsidR="00757F38">
        <w:rPr>
          <w:rFonts w:ascii="Times New Roman" w:hAnsi="Times New Roman" w:cs="Times New Roman"/>
        </w:rPr>
        <w:t xml:space="preserve">the divine, including the goddesses Hathor and Tefnut. These </w:t>
      </w:r>
      <w:r w:rsidR="0098533C">
        <w:rPr>
          <w:rFonts w:ascii="Times New Roman" w:hAnsi="Times New Roman" w:cs="Times New Roman"/>
        </w:rPr>
        <w:t>elements</w:t>
      </w:r>
      <w:r w:rsidR="00757F38">
        <w:rPr>
          <w:rFonts w:ascii="Times New Roman" w:hAnsi="Times New Roman" w:cs="Times New Roman"/>
        </w:rPr>
        <w:t xml:space="preserve"> when considered together suggest a semi-divine status for the queen which is linked directly to Aten.</w:t>
      </w:r>
    </w:p>
    <w:p w14:paraId="06970CD3" w14:textId="1F9C8C51" w:rsidR="000E6EB4" w:rsidRDefault="000F123F" w:rsidP="00877364">
      <w:pPr>
        <w:jc w:val="both"/>
        <w:rPr>
          <w:rFonts w:ascii="Times New Roman" w:hAnsi="Times New Roman" w:cs="Times New Roman"/>
        </w:rPr>
      </w:pPr>
      <w:r>
        <w:rPr>
          <w:rFonts w:ascii="Times New Roman" w:hAnsi="Times New Roman" w:cs="Times New Roman"/>
        </w:rPr>
        <w:t>Further reinforcing her religious importance was Nefertiti’s names and titles</w:t>
      </w:r>
      <w:r w:rsidR="007E0898">
        <w:rPr>
          <w:rFonts w:ascii="Times New Roman" w:hAnsi="Times New Roman" w:cs="Times New Roman"/>
        </w:rPr>
        <w:t xml:space="preserve">; her epithets – Great Royal Wife, Mistress of the Two Lands, and </w:t>
      </w:r>
      <w:proofErr w:type="spellStart"/>
      <w:r w:rsidR="007E0898">
        <w:rPr>
          <w:rFonts w:ascii="Times New Roman" w:hAnsi="Times New Roman" w:cs="Times New Roman"/>
        </w:rPr>
        <w:t>Nefereneferuaten</w:t>
      </w:r>
      <w:proofErr w:type="spellEnd"/>
      <w:r w:rsidR="007E0898">
        <w:rPr>
          <w:rFonts w:ascii="Times New Roman" w:hAnsi="Times New Roman" w:cs="Times New Roman"/>
        </w:rPr>
        <w:t>-Nefertiti</w:t>
      </w:r>
      <w:r w:rsidR="008606BA">
        <w:rPr>
          <w:rStyle w:val="FootnoteReference"/>
          <w:rFonts w:ascii="Times New Roman" w:hAnsi="Times New Roman" w:cs="Times New Roman"/>
        </w:rPr>
        <w:footnoteReference w:id="12"/>
      </w:r>
      <w:r w:rsidR="007E0898">
        <w:rPr>
          <w:rFonts w:ascii="Times New Roman" w:hAnsi="Times New Roman" w:cs="Times New Roman"/>
        </w:rPr>
        <w:t xml:space="preserve"> – carry </w:t>
      </w:r>
      <w:r w:rsidR="000C7F10">
        <w:rPr>
          <w:rFonts w:ascii="Times New Roman" w:hAnsi="Times New Roman" w:cs="Times New Roman"/>
        </w:rPr>
        <w:t xml:space="preserve">explicit religious resonance. The name </w:t>
      </w:r>
      <w:proofErr w:type="spellStart"/>
      <w:r w:rsidR="000C7F10">
        <w:rPr>
          <w:rFonts w:ascii="Times New Roman" w:hAnsi="Times New Roman" w:cs="Times New Roman"/>
        </w:rPr>
        <w:t>Neferneferuaten</w:t>
      </w:r>
      <w:proofErr w:type="spellEnd"/>
      <w:r w:rsidR="000C7F10">
        <w:rPr>
          <w:rFonts w:ascii="Times New Roman" w:hAnsi="Times New Roman" w:cs="Times New Roman"/>
        </w:rPr>
        <w:t xml:space="preserve"> </w:t>
      </w:r>
      <w:r w:rsidR="00F942E7">
        <w:rPr>
          <w:rFonts w:ascii="Times New Roman" w:hAnsi="Times New Roman" w:cs="Times New Roman"/>
        </w:rPr>
        <w:t>(“</w:t>
      </w:r>
      <w:r w:rsidR="00C138E3" w:rsidRPr="00511F65">
        <w:rPr>
          <w:rFonts w:ascii="Times New Roman" w:hAnsi="Times New Roman" w:cs="Times New Roman"/>
          <w:i/>
          <w:iCs/>
        </w:rPr>
        <w:t>Perfect/Beautiful is the perfection/beauty of Aten</w:t>
      </w:r>
      <w:r w:rsidR="00A150FF">
        <w:rPr>
          <w:rStyle w:val="FootnoteReference"/>
          <w:rFonts w:ascii="Times New Roman" w:hAnsi="Times New Roman" w:cs="Times New Roman"/>
        </w:rPr>
        <w:footnoteReference w:id="13"/>
      </w:r>
      <w:r w:rsidR="00C138E3">
        <w:rPr>
          <w:rFonts w:ascii="Times New Roman" w:hAnsi="Times New Roman" w:cs="Times New Roman"/>
        </w:rPr>
        <w:t>”)</w:t>
      </w:r>
      <w:r w:rsidR="003E4D5A">
        <w:rPr>
          <w:rFonts w:ascii="Times New Roman" w:hAnsi="Times New Roman" w:cs="Times New Roman"/>
        </w:rPr>
        <w:t xml:space="preserve"> binds her identity directly to </w:t>
      </w:r>
      <w:r w:rsidR="008F706B">
        <w:rPr>
          <w:rFonts w:ascii="Times New Roman" w:hAnsi="Times New Roman" w:cs="Times New Roman"/>
        </w:rPr>
        <w:t xml:space="preserve">the </w:t>
      </w:r>
      <w:r w:rsidR="003E4D5A">
        <w:rPr>
          <w:rFonts w:ascii="Times New Roman" w:hAnsi="Times New Roman" w:cs="Times New Roman"/>
        </w:rPr>
        <w:t>Aten</w:t>
      </w:r>
      <w:r w:rsidR="00CC6091">
        <w:rPr>
          <w:rFonts w:ascii="Times New Roman" w:hAnsi="Times New Roman" w:cs="Times New Roman"/>
        </w:rPr>
        <w:t xml:space="preserve"> </w:t>
      </w:r>
      <w:r w:rsidR="008F706B">
        <w:rPr>
          <w:rFonts w:ascii="Times New Roman" w:hAnsi="Times New Roman" w:cs="Times New Roman"/>
        </w:rPr>
        <w:t>as it emerged as a new religion,</w:t>
      </w:r>
      <w:r w:rsidR="002D5E9E">
        <w:rPr>
          <w:rFonts w:ascii="Times New Roman" w:hAnsi="Times New Roman" w:cs="Times New Roman"/>
        </w:rPr>
        <w:t xml:space="preserve"> </w:t>
      </w:r>
      <w:r w:rsidR="008F706B">
        <w:rPr>
          <w:rFonts w:ascii="Times New Roman" w:hAnsi="Times New Roman" w:cs="Times New Roman"/>
        </w:rPr>
        <w:t xml:space="preserve">it </w:t>
      </w:r>
      <w:r w:rsidR="002D5E9E">
        <w:rPr>
          <w:rFonts w:ascii="Times New Roman" w:hAnsi="Times New Roman" w:cs="Times New Roman"/>
        </w:rPr>
        <w:t xml:space="preserve">was added before </w:t>
      </w:r>
      <w:r w:rsidR="001D15C4">
        <w:rPr>
          <w:rFonts w:ascii="Times New Roman" w:hAnsi="Times New Roman" w:cs="Times New Roman"/>
        </w:rPr>
        <w:t>the name Nefertiti when Akhenaten officially changed his own name from Amenhotep IV</w:t>
      </w:r>
      <w:r w:rsidR="008F706B">
        <w:rPr>
          <w:rFonts w:ascii="Times New Roman" w:hAnsi="Times New Roman" w:cs="Times New Roman"/>
        </w:rPr>
        <w:t xml:space="preserve">. </w:t>
      </w:r>
    </w:p>
    <w:p w14:paraId="71F3FB17" w14:textId="1FA74877" w:rsidR="00DC0CC4" w:rsidRDefault="00FA0914" w:rsidP="00877364">
      <w:pPr>
        <w:jc w:val="both"/>
        <w:rPr>
          <w:rFonts w:ascii="Times New Roman" w:hAnsi="Times New Roman" w:cs="Times New Roman"/>
        </w:rPr>
      </w:pPr>
      <w:r>
        <w:rPr>
          <w:rFonts w:ascii="Times New Roman" w:hAnsi="Times New Roman" w:cs="Times New Roman"/>
        </w:rPr>
        <w:t>A highly debated aspect of Nefertiti’s role is the possibility that</w:t>
      </w:r>
      <w:r w:rsidR="00A93C0D">
        <w:rPr>
          <w:rFonts w:ascii="Times New Roman" w:hAnsi="Times New Roman" w:cs="Times New Roman"/>
        </w:rPr>
        <w:t xml:space="preserve">, under the name </w:t>
      </w:r>
      <w:proofErr w:type="spellStart"/>
      <w:r w:rsidR="00A93C0D">
        <w:rPr>
          <w:rFonts w:ascii="Times New Roman" w:hAnsi="Times New Roman" w:cs="Times New Roman"/>
        </w:rPr>
        <w:t>Ankhkheperure</w:t>
      </w:r>
      <w:proofErr w:type="spellEnd"/>
      <w:r w:rsidR="00A93C0D">
        <w:rPr>
          <w:rFonts w:ascii="Times New Roman" w:hAnsi="Times New Roman" w:cs="Times New Roman"/>
        </w:rPr>
        <w:t xml:space="preserve"> </w:t>
      </w:r>
      <w:proofErr w:type="spellStart"/>
      <w:r w:rsidR="00A93C0D">
        <w:rPr>
          <w:rFonts w:ascii="Times New Roman" w:hAnsi="Times New Roman" w:cs="Times New Roman"/>
        </w:rPr>
        <w:t>Neferneferuaten</w:t>
      </w:r>
      <w:proofErr w:type="spellEnd"/>
      <w:r w:rsidR="00A93C0D">
        <w:rPr>
          <w:rFonts w:ascii="Times New Roman" w:hAnsi="Times New Roman" w:cs="Times New Roman"/>
        </w:rPr>
        <w:t xml:space="preserve">, </w:t>
      </w:r>
      <w:r w:rsidR="008A4051">
        <w:rPr>
          <w:rFonts w:ascii="Times New Roman" w:hAnsi="Times New Roman" w:cs="Times New Roman"/>
        </w:rPr>
        <w:t>she became co-regent</w:t>
      </w:r>
      <w:r w:rsidR="00BF5238">
        <w:rPr>
          <w:rFonts w:ascii="Times New Roman" w:hAnsi="Times New Roman" w:cs="Times New Roman"/>
        </w:rPr>
        <w:t xml:space="preserve">, this </w:t>
      </w:r>
      <w:r w:rsidR="00A959DB">
        <w:rPr>
          <w:rFonts w:ascii="Times New Roman" w:hAnsi="Times New Roman" w:cs="Times New Roman"/>
        </w:rPr>
        <w:t>idea was first proposed by J. R. Harris in 1973</w:t>
      </w:r>
      <w:r w:rsidR="00A16896">
        <w:rPr>
          <w:rStyle w:val="FootnoteReference"/>
          <w:rFonts w:ascii="Times New Roman" w:hAnsi="Times New Roman" w:cs="Times New Roman"/>
        </w:rPr>
        <w:footnoteReference w:id="14"/>
      </w:r>
      <w:r w:rsidR="008A4051">
        <w:rPr>
          <w:rFonts w:ascii="Times New Roman" w:hAnsi="Times New Roman" w:cs="Times New Roman"/>
        </w:rPr>
        <w:t xml:space="preserve">. Later inscriptions </w:t>
      </w:r>
      <w:r w:rsidR="005D559F">
        <w:rPr>
          <w:rFonts w:ascii="Times New Roman" w:hAnsi="Times New Roman" w:cs="Times New Roman"/>
        </w:rPr>
        <w:t>have included this royal name with femin</w:t>
      </w:r>
      <w:r w:rsidR="000D6B67">
        <w:rPr>
          <w:rFonts w:ascii="Times New Roman" w:hAnsi="Times New Roman" w:cs="Times New Roman"/>
        </w:rPr>
        <w:t xml:space="preserve">ine grammatical </w:t>
      </w:r>
      <w:r w:rsidR="00A81A22">
        <w:rPr>
          <w:rFonts w:ascii="Times New Roman" w:hAnsi="Times New Roman" w:cs="Times New Roman"/>
        </w:rPr>
        <w:t xml:space="preserve">endings </w:t>
      </w:r>
      <w:r w:rsidR="00997599">
        <w:rPr>
          <w:rFonts w:ascii="Times New Roman" w:hAnsi="Times New Roman" w:cs="Times New Roman"/>
        </w:rPr>
        <w:t>as well as an unfished stel</w:t>
      </w:r>
      <w:r w:rsidR="005E4B28">
        <w:rPr>
          <w:rFonts w:ascii="Times New Roman" w:hAnsi="Times New Roman" w:cs="Times New Roman"/>
        </w:rPr>
        <w:t>a – which is currently on loan to the Met</w:t>
      </w:r>
      <w:r w:rsidR="007F52F9">
        <w:rPr>
          <w:rFonts w:ascii="Times New Roman" w:hAnsi="Times New Roman" w:cs="Times New Roman"/>
        </w:rPr>
        <w:t>ropolitan Museum of Art</w:t>
      </w:r>
      <w:r w:rsidR="007F52F9">
        <w:rPr>
          <w:rStyle w:val="FootnoteReference"/>
          <w:rFonts w:ascii="Times New Roman" w:hAnsi="Times New Roman" w:cs="Times New Roman"/>
        </w:rPr>
        <w:footnoteReference w:id="15"/>
      </w:r>
      <w:r w:rsidR="007F52F9">
        <w:rPr>
          <w:rFonts w:ascii="Times New Roman" w:hAnsi="Times New Roman" w:cs="Times New Roman"/>
        </w:rPr>
        <w:t xml:space="preserve"> </w:t>
      </w:r>
      <w:r w:rsidR="000726F4">
        <w:rPr>
          <w:rFonts w:ascii="Times New Roman" w:hAnsi="Times New Roman" w:cs="Times New Roman"/>
        </w:rPr>
        <w:t xml:space="preserve">-- depicting to royals </w:t>
      </w:r>
      <w:r w:rsidR="00836459">
        <w:rPr>
          <w:rFonts w:ascii="Times New Roman" w:hAnsi="Times New Roman" w:cs="Times New Roman"/>
        </w:rPr>
        <w:t xml:space="preserve">with one wearing the double crown and the other in the </w:t>
      </w:r>
      <w:proofErr w:type="spellStart"/>
      <w:r w:rsidR="00836459">
        <w:rPr>
          <w:rFonts w:ascii="Times New Roman" w:hAnsi="Times New Roman" w:cs="Times New Roman"/>
        </w:rPr>
        <w:t>Khepresh</w:t>
      </w:r>
      <w:proofErr w:type="spellEnd"/>
      <w:r w:rsidR="002C0BEE">
        <w:rPr>
          <w:rFonts w:ascii="Times New Roman" w:hAnsi="Times New Roman" w:cs="Times New Roman"/>
        </w:rPr>
        <w:t>, a</w:t>
      </w:r>
      <w:r w:rsidR="00AC5399">
        <w:rPr>
          <w:rFonts w:ascii="Times New Roman" w:hAnsi="Times New Roman" w:cs="Times New Roman"/>
        </w:rPr>
        <w:t xml:space="preserve"> royal Egyptian headdress </w:t>
      </w:r>
      <w:r w:rsidR="007D1BF2">
        <w:rPr>
          <w:rFonts w:ascii="Times New Roman" w:hAnsi="Times New Roman" w:cs="Times New Roman"/>
        </w:rPr>
        <w:t xml:space="preserve">often worn by pharaohs during the New Kingdom. </w:t>
      </w:r>
      <w:r w:rsidR="005C3133">
        <w:rPr>
          <w:rFonts w:ascii="Times New Roman" w:hAnsi="Times New Roman" w:cs="Times New Roman"/>
        </w:rPr>
        <w:t xml:space="preserve">This imagery has been interpreted as </w:t>
      </w:r>
      <w:r w:rsidR="00432637">
        <w:rPr>
          <w:rFonts w:ascii="Times New Roman" w:hAnsi="Times New Roman" w:cs="Times New Roman"/>
        </w:rPr>
        <w:t xml:space="preserve">Nefertiti as coregent because of the crown, however, in the stela she lacks </w:t>
      </w:r>
      <w:r w:rsidR="00C77308">
        <w:rPr>
          <w:rFonts w:ascii="Times New Roman" w:hAnsi="Times New Roman" w:cs="Times New Roman"/>
        </w:rPr>
        <w:t xml:space="preserve">full pharaonic honours like the double cartouche. </w:t>
      </w:r>
      <w:r w:rsidR="000971A7">
        <w:rPr>
          <w:rFonts w:ascii="Times New Roman" w:hAnsi="Times New Roman" w:cs="Times New Roman"/>
        </w:rPr>
        <w:t xml:space="preserve">If she did indeed rule alongside Akhenaten, she would have </w:t>
      </w:r>
      <w:r w:rsidR="002A2287">
        <w:rPr>
          <w:rFonts w:ascii="Times New Roman" w:hAnsi="Times New Roman" w:cs="Times New Roman"/>
        </w:rPr>
        <w:t>wielded huge political and religious power and authority in Atenism</w:t>
      </w:r>
      <w:r w:rsidR="008001F0">
        <w:rPr>
          <w:rFonts w:ascii="Times New Roman" w:hAnsi="Times New Roman" w:cs="Times New Roman"/>
        </w:rPr>
        <w:t>, making her the pinnacle of female power with this new system</w:t>
      </w:r>
      <w:r w:rsidR="008C4831">
        <w:rPr>
          <w:rFonts w:ascii="Times New Roman" w:hAnsi="Times New Roman" w:cs="Times New Roman"/>
        </w:rPr>
        <w:t xml:space="preserve"> and far surpass all previous Egyptian queens. </w:t>
      </w:r>
      <w:r w:rsidR="000A5208">
        <w:rPr>
          <w:rFonts w:ascii="Times New Roman" w:hAnsi="Times New Roman" w:cs="Times New Roman"/>
        </w:rPr>
        <w:t xml:space="preserve">However, the evidence for Nefertiti ruling in her own right </w:t>
      </w:r>
      <w:r w:rsidR="00A718E7">
        <w:rPr>
          <w:rFonts w:ascii="Times New Roman" w:hAnsi="Times New Roman" w:cs="Times New Roman"/>
        </w:rPr>
        <w:t xml:space="preserve">remains incomplete, it has been argued that </w:t>
      </w:r>
      <w:r w:rsidR="00685922">
        <w:rPr>
          <w:rFonts w:ascii="Times New Roman" w:hAnsi="Times New Roman" w:cs="Times New Roman"/>
        </w:rPr>
        <w:t>the so-regent was instead Smenkhkare</w:t>
      </w:r>
      <w:r w:rsidR="00B976DE">
        <w:rPr>
          <w:rFonts w:ascii="Times New Roman" w:hAnsi="Times New Roman" w:cs="Times New Roman"/>
        </w:rPr>
        <w:t xml:space="preserve">, </w:t>
      </w:r>
      <w:r w:rsidR="00A17BB5">
        <w:rPr>
          <w:rFonts w:ascii="Times New Roman" w:hAnsi="Times New Roman" w:cs="Times New Roman"/>
        </w:rPr>
        <w:t>the husband of Ak</w:t>
      </w:r>
      <w:r w:rsidR="004644FA">
        <w:rPr>
          <w:rFonts w:ascii="Times New Roman" w:hAnsi="Times New Roman" w:cs="Times New Roman"/>
        </w:rPr>
        <w:t xml:space="preserve">henaten and Nefertiti’s </w:t>
      </w:r>
      <w:r w:rsidR="00B50BD6">
        <w:rPr>
          <w:rFonts w:ascii="Times New Roman" w:hAnsi="Times New Roman" w:cs="Times New Roman"/>
        </w:rPr>
        <w:t xml:space="preserve">first </w:t>
      </w:r>
      <w:r w:rsidR="004644FA">
        <w:rPr>
          <w:rFonts w:ascii="Times New Roman" w:hAnsi="Times New Roman" w:cs="Times New Roman"/>
        </w:rPr>
        <w:t>daughter, Meritaten</w:t>
      </w:r>
      <w:r w:rsidR="0081237B">
        <w:rPr>
          <w:rFonts w:ascii="Times New Roman" w:hAnsi="Times New Roman" w:cs="Times New Roman"/>
        </w:rPr>
        <w:t xml:space="preserve"> </w:t>
      </w:r>
      <w:r w:rsidR="00DC7B4E">
        <w:rPr>
          <w:rFonts w:ascii="Times New Roman" w:hAnsi="Times New Roman" w:cs="Times New Roman"/>
        </w:rPr>
        <w:t xml:space="preserve">and </w:t>
      </w:r>
      <w:r w:rsidR="00E46392">
        <w:rPr>
          <w:rFonts w:ascii="Times New Roman" w:hAnsi="Times New Roman" w:cs="Times New Roman"/>
        </w:rPr>
        <w:t xml:space="preserve">later </w:t>
      </w:r>
      <w:r w:rsidR="00DA05F7">
        <w:rPr>
          <w:rFonts w:ascii="Times New Roman" w:hAnsi="Times New Roman" w:cs="Times New Roman"/>
        </w:rPr>
        <w:t>a pharaoh in his own right</w:t>
      </w:r>
      <w:r w:rsidR="00E46392">
        <w:rPr>
          <w:rFonts w:ascii="Times New Roman" w:hAnsi="Times New Roman" w:cs="Times New Roman"/>
        </w:rPr>
        <w:t>.</w:t>
      </w:r>
      <w:r w:rsidR="004F6206">
        <w:rPr>
          <w:rFonts w:ascii="Times New Roman" w:hAnsi="Times New Roman" w:cs="Times New Roman"/>
        </w:rPr>
        <w:t xml:space="preserve"> </w:t>
      </w:r>
      <w:r w:rsidR="00E46392">
        <w:rPr>
          <w:rFonts w:ascii="Times New Roman" w:hAnsi="Times New Roman" w:cs="Times New Roman"/>
        </w:rPr>
        <w:t>T</w:t>
      </w:r>
      <w:r w:rsidR="00772385">
        <w:rPr>
          <w:rFonts w:ascii="Times New Roman" w:hAnsi="Times New Roman" w:cs="Times New Roman"/>
        </w:rPr>
        <w:t xml:space="preserve">he female pharaoh, </w:t>
      </w:r>
      <w:proofErr w:type="spellStart"/>
      <w:r w:rsidR="00772385">
        <w:rPr>
          <w:rFonts w:ascii="Times New Roman" w:hAnsi="Times New Roman" w:cs="Times New Roman"/>
        </w:rPr>
        <w:t>Nefer</w:t>
      </w:r>
      <w:r w:rsidR="00D30698">
        <w:rPr>
          <w:rFonts w:ascii="Times New Roman" w:hAnsi="Times New Roman" w:cs="Times New Roman"/>
        </w:rPr>
        <w:t>neferuaten</w:t>
      </w:r>
      <w:proofErr w:type="spellEnd"/>
      <w:r w:rsidR="00D30698">
        <w:rPr>
          <w:rFonts w:ascii="Times New Roman" w:hAnsi="Times New Roman" w:cs="Times New Roman"/>
        </w:rPr>
        <w:t xml:space="preserve">, </w:t>
      </w:r>
      <w:r w:rsidR="00CB7E2F">
        <w:rPr>
          <w:rFonts w:ascii="Times New Roman" w:hAnsi="Times New Roman" w:cs="Times New Roman"/>
        </w:rPr>
        <w:t xml:space="preserve">has been proposed as </w:t>
      </w:r>
      <w:r w:rsidR="00D30698">
        <w:rPr>
          <w:rFonts w:ascii="Times New Roman" w:hAnsi="Times New Roman" w:cs="Times New Roman"/>
        </w:rPr>
        <w:t>Nefertiti’s daughter, Meritaten</w:t>
      </w:r>
      <w:r w:rsidR="00660EBD">
        <w:rPr>
          <w:rFonts w:ascii="Times New Roman" w:hAnsi="Times New Roman" w:cs="Times New Roman"/>
        </w:rPr>
        <w:t>, although this theory itself has faced harsh scrutiny from some scholars</w:t>
      </w:r>
      <w:r w:rsidR="00CB7E2F">
        <w:rPr>
          <w:rFonts w:ascii="Times New Roman" w:hAnsi="Times New Roman" w:cs="Times New Roman"/>
        </w:rPr>
        <w:t xml:space="preserve">; likewise, another daughter of Akhenaten and Nefertiti has </w:t>
      </w:r>
      <w:r w:rsidR="009D5708">
        <w:rPr>
          <w:rFonts w:ascii="Times New Roman" w:hAnsi="Times New Roman" w:cs="Times New Roman"/>
        </w:rPr>
        <w:t>been put forward</w:t>
      </w:r>
      <w:r w:rsidR="00667818">
        <w:rPr>
          <w:rFonts w:ascii="Times New Roman" w:hAnsi="Times New Roman" w:cs="Times New Roman"/>
        </w:rPr>
        <w:t xml:space="preserve"> by </w:t>
      </w:r>
      <w:r w:rsidR="00E63D94">
        <w:rPr>
          <w:rFonts w:ascii="Times New Roman" w:hAnsi="Times New Roman" w:cs="Times New Roman"/>
        </w:rPr>
        <w:t>Allen</w:t>
      </w:r>
      <w:r w:rsidR="009D5708">
        <w:rPr>
          <w:rFonts w:ascii="Times New Roman" w:hAnsi="Times New Roman" w:cs="Times New Roman"/>
        </w:rPr>
        <w:t xml:space="preserve">, </w:t>
      </w:r>
      <w:proofErr w:type="spellStart"/>
      <w:r w:rsidR="009D5708">
        <w:rPr>
          <w:rFonts w:ascii="Times New Roman" w:hAnsi="Times New Roman" w:cs="Times New Roman"/>
        </w:rPr>
        <w:t>Neferneferuaten-Tasherit</w:t>
      </w:r>
      <w:proofErr w:type="spellEnd"/>
      <w:r w:rsidR="00E63D94">
        <w:rPr>
          <w:rFonts w:ascii="Times New Roman" w:hAnsi="Times New Roman" w:cs="Times New Roman"/>
        </w:rPr>
        <w:t xml:space="preserve"> </w:t>
      </w:r>
      <w:r w:rsidR="00667818">
        <w:rPr>
          <w:rFonts w:ascii="Times New Roman" w:hAnsi="Times New Roman" w:cs="Times New Roman"/>
        </w:rPr>
        <w:t>shares a name with the mysterious pharaoh</w:t>
      </w:r>
      <w:r w:rsidR="00E63D94">
        <w:rPr>
          <w:rFonts w:ascii="Times New Roman" w:hAnsi="Times New Roman" w:cs="Times New Roman"/>
        </w:rPr>
        <w:t xml:space="preserve">, which </w:t>
      </w:r>
      <w:r w:rsidR="00E63D94">
        <w:rPr>
          <w:rFonts w:ascii="Times New Roman" w:hAnsi="Times New Roman" w:cs="Times New Roman"/>
        </w:rPr>
        <w:lastRenderedPageBreak/>
        <w:t>in his view is significant</w:t>
      </w:r>
      <w:r w:rsidR="00E63D94">
        <w:rPr>
          <w:rStyle w:val="FootnoteReference"/>
          <w:rFonts w:ascii="Times New Roman" w:hAnsi="Times New Roman" w:cs="Times New Roman"/>
        </w:rPr>
        <w:footnoteReference w:id="16"/>
      </w:r>
      <w:r w:rsidR="00E63D94">
        <w:rPr>
          <w:rFonts w:ascii="Times New Roman" w:hAnsi="Times New Roman" w:cs="Times New Roman"/>
        </w:rPr>
        <w:t>.</w:t>
      </w:r>
      <w:r w:rsidR="00D946BB">
        <w:rPr>
          <w:rFonts w:ascii="Times New Roman" w:hAnsi="Times New Roman" w:cs="Times New Roman"/>
        </w:rPr>
        <w:t xml:space="preserve"> Whomever ruled ancient Egypt as </w:t>
      </w:r>
      <w:proofErr w:type="spellStart"/>
      <w:r w:rsidR="00D946BB">
        <w:rPr>
          <w:rFonts w:ascii="Times New Roman" w:hAnsi="Times New Roman" w:cs="Times New Roman"/>
        </w:rPr>
        <w:t>Neferneferuaten</w:t>
      </w:r>
      <w:proofErr w:type="spellEnd"/>
      <w:r w:rsidR="00D946BB">
        <w:rPr>
          <w:rFonts w:ascii="Times New Roman" w:hAnsi="Times New Roman" w:cs="Times New Roman"/>
        </w:rPr>
        <w:t xml:space="preserve"> would have wielded immense power and authority at a time when Atenism remained </w:t>
      </w:r>
      <w:r w:rsidR="00FC41A0">
        <w:rPr>
          <w:rFonts w:ascii="Times New Roman" w:hAnsi="Times New Roman" w:cs="Times New Roman"/>
        </w:rPr>
        <w:t xml:space="preserve">in control. </w:t>
      </w:r>
    </w:p>
    <w:p w14:paraId="304F83D2" w14:textId="36E69F80" w:rsidR="00B56EE1" w:rsidRPr="000A23B8" w:rsidRDefault="00B56EE1" w:rsidP="00877364">
      <w:pPr>
        <w:jc w:val="both"/>
        <w:rPr>
          <w:rFonts w:ascii="Times New Roman" w:hAnsi="Times New Roman" w:cs="Times New Roman"/>
          <w:b/>
          <w:bCs/>
          <w:u w:val="single"/>
        </w:rPr>
      </w:pPr>
      <w:r w:rsidRPr="000A23B8">
        <w:rPr>
          <w:rFonts w:ascii="Times New Roman" w:hAnsi="Times New Roman" w:cs="Times New Roman"/>
          <w:b/>
          <w:bCs/>
          <w:u w:val="single"/>
        </w:rPr>
        <w:t xml:space="preserve">The Role of the Royal Daughters in Atenism </w:t>
      </w:r>
    </w:p>
    <w:p w14:paraId="2B30E97D" w14:textId="20809E5B" w:rsidR="0042457A" w:rsidRDefault="000D0B7E" w:rsidP="00877364">
      <w:pPr>
        <w:jc w:val="both"/>
        <w:rPr>
          <w:rFonts w:ascii="Times New Roman" w:hAnsi="Times New Roman" w:cs="Times New Roman"/>
        </w:rPr>
      </w:pPr>
      <w:r>
        <w:rPr>
          <w:rFonts w:ascii="Times New Roman" w:hAnsi="Times New Roman" w:cs="Times New Roman"/>
        </w:rPr>
        <w:t>Amarna art is notable for it</w:t>
      </w:r>
      <w:r w:rsidR="001678EA">
        <w:rPr>
          <w:rFonts w:ascii="Times New Roman" w:hAnsi="Times New Roman" w:cs="Times New Roman"/>
        </w:rPr>
        <w:t>s keen focus on the royal daughters</w:t>
      </w:r>
      <w:r w:rsidR="003B44CC">
        <w:rPr>
          <w:rFonts w:ascii="Times New Roman" w:hAnsi="Times New Roman" w:cs="Times New Roman"/>
        </w:rPr>
        <w:t xml:space="preserve">, who </w:t>
      </w:r>
      <w:r w:rsidR="00223919">
        <w:rPr>
          <w:rFonts w:ascii="Times New Roman" w:hAnsi="Times New Roman" w:cs="Times New Roman"/>
        </w:rPr>
        <w:t xml:space="preserve">repeatedly </w:t>
      </w:r>
      <w:r w:rsidR="003B44CC">
        <w:rPr>
          <w:rFonts w:ascii="Times New Roman" w:hAnsi="Times New Roman" w:cs="Times New Roman"/>
        </w:rPr>
        <w:t>appear in offering scenes, family portraits</w:t>
      </w:r>
      <w:r w:rsidR="00223919">
        <w:rPr>
          <w:rFonts w:ascii="Times New Roman" w:hAnsi="Times New Roman" w:cs="Times New Roman"/>
        </w:rPr>
        <w:t xml:space="preserve"> and temple reliefs. </w:t>
      </w:r>
      <w:r w:rsidR="009F4299">
        <w:rPr>
          <w:rFonts w:ascii="Times New Roman" w:hAnsi="Times New Roman" w:cs="Times New Roman"/>
        </w:rPr>
        <w:t xml:space="preserve">These royal daughters </w:t>
      </w:r>
      <w:r w:rsidR="002723C1">
        <w:rPr>
          <w:rFonts w:ascii="Times New Roman" w:hAnsi="Times New Roman" w:cs="Times New Roman"/>
        </w:rPr>
        <w:t>–</w:t>
      </w:r>
      <w:r w:rsidR="007E2BA5">
        <w:rPr>
          <w:rFonts w:ascii="Times New Roman" w:hAnsi="Times New Roman" w:cs="Times New Roman"/>
        </w:rPr>
        <w:t xml:space="preserve"> </w:t>
      </w:r>
      <w:proofErr w:type="spellStart"/>
      <w:r w:rsidR="002723C1">
        <w:rPr>
          <w:rFonts w:ascii="Times New Roman" w:hAnsi="Times New Roman" w:cs="Times New Roman"/>
        </w:rPr>
        <w:t>Meritaten</w:t>
      </w:r>
      <w:proofErr w:type="spellEnd"/>
      <w:r w:rsidR="002723C1">
        <w:rPr>
          <w:rFonts w:ascii="Times New Roman" w:hAnsi="Times New Roman" w:cs="Times New Roman"/>
        </w:rPr>
        <w:t xml:space="preserve">, </w:t>
      </w:r>
      <w:proofErr w:type="spellStart"/>
      <w:r w:rsidR="002723C1">
        <w:rPr>
          <w:rFonts w:ascii="Times New Roman" w:hAnsi="Times New Roman" w:cs="Times New Roman"/>
        </w:rPr>
        <w:t>Mek</w:t>
      </w:r>
      <w:r w:rsidR="00D95ECC">
        <w:rPr>
          <w:rFonts w:ascii="Times New Roman" w:hAnsi="Times New Roman" w:cs="Times New Roman"/>
        </w:rPr>
        <w:t>e</w:t>
      </w:r>
      <w:r w:rsidR="006F769E">
        <w:rPr>
          <w:rFonts w:ascii="Times New Roman" w:hAnsi="Times New Roman" w:cs="Times New Roman"/>
        </w:rPr>
        <w:t>taten</w:t>
      </w:r>
      <w:proofErr w:type="spellEnd"/>
      <w:r w:rsidR="006F769E">
        <w:rPr>
          <w:rFonts w:ascii="Times New Roman" w:hAnsi="Times New Roman" w:cs="Times New Roman"/>
        </w:rPr>
        <w:t xml:space="preserve">, </w:t>
      </w:r>
      <w:proofErr w:type="spellStart"/>
      <w:r w:rsidR="006F769E">
        <w:rPr>
          <w:rFonts w:ascii="Times New Roman" w:hAnsi="Times New Roman" w:cs="Times New Roman"/>
        </w:rPr>
        <w:t>Ank</w:t>
      </w:r>
      <w:r w:rsidR="00F204D7">
        <w:rPr>
          <w:rFonts w:ascii="Times New Roman" w:hAnsi="Times New Roman" w:cs="Times New Roman"/>
        </w:rPr>
        <w:t>hesenpaaten</w:t>
      </w:r>
      <w:proofErr w:type="spellEnd"/>
      <w:r w:rsidR="00F204D7">
        <w:rPr>
          <w:rFonts w:ascii="Times New Roman" w:hAnsi="Times New Roman" w:cs="Times New Roman"/>
        </w:rPr>
        <w:t xml:space="preserve">, </w:t>
      </w:r>
      <w:proofErr w:type="spellStart"/>
      <w:r w:rsidR="0043083A">
        <w:rPr>
          <w:rFonts w:ascii="Times New Roman" w:hAnsi="Times New Roman" w:cs="Times New Roman"/>
        </w:rPr>
        <w:t>Neferneferuaten</w:t>
      </w:r>
      <w:proofErr w:type="spellEnd"/>
      <w:r w:rsidR="0043083A">
        <w:rPr>
          <w:rFonts w:ascii="Times New Roman" w:hAnsi="Times New Roman" w:cs="Times New Roman"/>
        </w:rPr>
        <w:t xml:space="preserve"> </w:t>
      </w:r>
      <w:proofErr w:type="spellStart"/>
      <w:r w:rsidR="0043083A">
        <w:rPr>
          <w:rFonts w:ascii="Times New Roman" w:hAnsi="Times New Roman" w:cs="Times New Roman"/>
        </w:rPr>
        <w:t>Tasherit</w:t>
      </w:r>
      <w:proofErr w:type="spellEnd"/>
      <w:r w:rsidR="0043083A">
        <w:rPr>
          <w:rFonts w:ascii="Times New Roman" w:hAnsi="Times New Roman" w:cs="Times New Roman"/>
        </w:rPr>
        <w:t xml:space="preserve">, </w:t>
      </w:r>
      <w:proofErr w:type="spellStart"/>
      <w:r w:rsidR="0043083A">
        <w:rPr>
          <w:rFonts w:ascii="Times New Roman" w:hAnsi="Times New Roman" w:cs="Times New Roman"/>
        </w:rPr>
        <w:t>Neferneferure</w:t>
      </w:r>
      <w:proofErr w:type="spellEnd"/>
      <w:r w:rsidR="0043083A">
        <w:rPr>
          <w:rFonts w:ascii="Times New Roman" w:hAnsi="Times New Roman" w:cs="Times New Roman"/>
        </w:rPr>
        <w:t xml:space="preserve">, and </w:t>
      </w:r>
      <w:proofErr w:type="spellStart"/>
      <w:r w:rsidR="0043083A">
        <w:rPr>
          <w:rFonts w:ascii="Times New Roman" w:hAnsi="Times New Roman" w:cs="Times New Roman"/>
        </w:rPr>
        <w:t>Setepenre</w:t>
      </w:r>
      <w:proofErr w:type="spellEnd"/>
      <w:r w:rsidR="0043083A">
        <w:rPr>
          <w:rFonts w:ascii="Times New Roman" w:hAnsi="Times New Roman" w:cs="Times New Roman"/>
        </w:rPr>
        <w:t xml:space="preserve"> – </w:t>
      </w:r>
      <w:r w:rsidR="009F4299">
        <w:rPr>
          <w:rFonts w:ascii="Times New Roman" w:hAnsi="Times New Roman" w:cs="Times New Roman"/>
        </w:rPr>
        <w:t>were the product of Akhenaten and his principal wife, Nefertiti</w:t>
      </w:r>
      <w:r w:rsidR="00396656">
        <w:rPr>
          <w:rFonts w:ascii="Times New Roman" w:hAnsi="Times New Roman" w:cs="Times New Roman"/>
        </w:rPr>
        <w:t xml:space="preserve">, who they appear alongside </w:t>
      </w:r>
      <w:r w:rsidR="00B91BE4">
        <w:rPr>
          <w:rFonts w:ascii="Times New Roman" w:hAnsi="Times New Roman" w:cs="Times New Roman"/>
        </w:rPr>
        <w:t>in major ritual scenes</w:t>
      </w:r>
      <w:r w:rsidR="00B9584D">
        <w:rPr>
          <w:rFonts w:ascii="Times New Roman" w:hAnsi="Times New Roman" w:cs="Times New Roman"/>
        </w:rPr>
        <w:t xml:space="preserve">, often receiving </w:t>
      </w:r>
      <w:r w:rsidR="00A26116">
        <w:rPr>
          <w:rFonts w:ascii="Times New Roman" w:hAnsi="Times New Roman" w:cs="Times New Roman"/>
        </w:rPr>
        <w:t>the rays of the Aten, like their mother Nefertiti.</w:t>
      </w:r>
      <w:r w:rsidR="008A7E8E">
        <w:rPr>
          <w:rFonts w:ascii="Times New Roman" w:hAnsi="Times New Roman" w:cs="Times New Roman"/>
        </w:rPr>
        <w:t xml:space="preserve"> The </w:t>
      </w:r>
      <w:r w:rsidR="00FC7E5D">
        <w:rPr>
          <w:rFonts w:ascii="Times New Roman" w:hAnsi="Times New Roman" w:cs="Times New Roman"/>
        </w:rPr>
        <w:t>princess’s</w:t>
      </w:r>
      <w:r w:rsidR="008A7E8E">
        <w:rPr>
          <w:rFonts w:ascii="Times New Roman" w:hAnsi="Times New Roman" w:cs="Times New Roman"/>
        </w:rPr>
        <w:t xml:space="preserve"> presence </w:t>
      </w:r>
      <w:r w:rsidR="00913806">
        <w:rPr>
          <w:rFonts w:ascii="Times New Roman" w:hAnsi="Times New Roman" w:cs="Times New Roman"/>
        </w:rPr>
        <w:t>could be considered symbolic of the dynastic nature of Atenism</w:t>
      </w:r>
      <w:r w:rsidR="00E44749">
        <w:rPr>
          <w:rFonts w:ascii="Times New Roman" w:hAnsi="Times New Roman" w:cs="Times New Roman"/>
        </w:rPr>
        <w:t>,</w:t>
      </w:r>
      <w:r w:rsidR="00674506">
        <w:rPr>
          <w:rFonts w:ascii="Times New Roman" w:hAnsi="Times New Roman" w:cs="Times New Roman"/>
        </w:rPr>
        <w:t xml:space="preserve"> </w:t>
      </w:r>
      <w:r w:rsidR="008636A6">
        <w:rPr>
          <w:rFonts w:ascii="Times New Roman" w:hAnsi="Times New Roman" w:cs="Times New Roman"/>
        </w:rPr>
        <w:t xml:space="preserve">showing the importance of the royal household as the primary legitimate channel between </w:t>
      </w:r>
      <w:r w:rsidR="00D60560">
        <w:rPr>
          <w:rFonts w:ascii="Times New Roman" w:hAnsi="Times New Roman" w:cs="Times New Roman"/>
        </w:rPr>
        <w:t>humans and Aten. This emphasis further supports Akh</w:t>
      </w:r>
      <w:r w:rsidR="001C44D3">
        <w:rPr>
          <w:rFonts w:ascii="Times New Roman" w:hAnsi="Times New Roman" w:cs="Times New Roman"/>
        </w:rPr>
        <w:t xml:space="preserve">enaten’s wider political ideas; by integrating the princesses </w:t>
      </w:r>
      <w:r w:rsidR="00CD47AE">
        <w:rPr>
          <w:rFonts w:ascii="Times New Roman" w:hAnsi="Times New Roman" w:cs="Times New Roman"/>
        </w:rPr>
        <w:t>into public ritual imagery</w:t>
      </w:r>
      <w:r w:rsidR="00A562D0">
        <w:rPr>
          <w:rFonts w:ascii="Times New Roman" w:hAnsi="Times New Roman" w:cs="Times New Roman"/>
        </w:rPr>
        <w:t xml:space="preserve"> in a way that had never been done so frequently</w:t>
      </w:r>
      <w:r w:rsidR="005341F8">
        <w:rPr>
          <w:rFonts w:ascii="Times New Roman" w:hAnsi="Times New Roman" w:cs="Times New Roman"/>
        </w:rPr>
        <w:t xml:space="preserve"> before</w:t>
      </w:r>
      <w:r w:rsidR="00CD47AE">
        <w:rPr>
          <w:rFonts w:ascii="Times New Roman" w:hAnsi="Times New Roman" w:cs="Times New Roman"/>
        </w:rPr>
        <w:t xml:space="preserve">, Atenism was able to assert the continuity of the divine royal line and naturalise </w:t>
      </w:r>
      <w:r w:rsidR="0058784F">
        <w:rPr>
          <w:rFonts w:ascii="Times New Roman" w:hAnsi="Times New Roman" w:cs="Times New Roman"/>
        </w:rPr>
        <w:t xml:space="preserve">the exclusion of traditional priesthoods. </w:t>
      </w:r>
      <w:r w:rsidR="00EC00C5">
        <w:rPr>
          <w:rFonts w:ascii="Times New Roman" w:hAnsi="Times New Roman" w:cs="Times New Roman"/>
        </w:rPr>
        <w:t xml:space="preserve">The princesses frequently appear stood near Nefertiti or interacting with her. In tomb scenes, they gather around the queen and not the king, this suggests a maternal-centred structure in the sun religion and highlights Nefertiti’s role as their religious guide and protector. Their religious orientation around the queen may also symbolise the transmission of Aten’s blessings through the maternal line, thus further reinforcing the queen’s elevated status. </w:t>
      </w:r>
      <w:r w:rsidR="00C77584">
        <w:rPr>
          <w:rFonts w:ascii="Times New Roman" w:hAnsi="Times New Roman" w:cs="Times New Roman"/>
        </w:rPr>
        <w:t>In the sculptured scenes in the Tomb of Meryr</w:t>
      </w:r>
      <w:r w:rsidR="00946C11">
        <w:rPr>
          <w:rFonts w:ascii="Times New Roman" w:hAnsi="Times New Roman" w:cs="Times New Roman"/>
        </w:rPr>
        <w:t>e</w:t>
      </w:r>
      <w:r w:rsidR="00C77584">
        <w:rPr>
          <w:rFonts w:ascii="Times New Roman" w:hAnsi="Times New Roman" w:cs="Times New Roman"/>
        </w:rPr>
        <w:t xml:space="preserve"> II </w:t>
      </w:r>
      <w:r w:rsidR="006A2494">
        <w:rPr>
          <w:rFonts w:ascii="Times New Roman" w:hAnsi="Times New Roman" w:cs="Times New Roman"/>
        </w:rPr>
        <w:t>(Am</w:t>
      </w:r>
      <w:r w:rsidR="00511F65">
        <w:rPr>
          <w:rFonts w:ascii="Times New Roman" w:hAnsi="Times New Roman" w:cs="Times New Roman"/>
        </w:rPr>
        <w:t xml:space="preserve">arna Tomb </w:t>
      </w:r>
      <w:r w:rsidR="00273C01">
        <w:rPr>
          <w:rFonts w:ascii="Times New Roman" w:hAnsi="Times New Roman" w:cs="Times New Roman"/>
        </w:rPr>
        <w:t>2</w:t>
      </w:r>
      <w:r w:rsidR="00511F65">
        <w:rPr>
          <w:rFonts w:ascii="Times New Roman" w:hAnsi="Times New Roman" w:cs="Times New Roman"/>
        </w:rPr>
        <w:t>)</w:t>
      </w:r>
      <w:r w:rsidR="00822762">
        <w:rPr>
          <w:rFonts w:ascii="Times New Roman" w:hAnsi="Times New Roman" w:cs="Times New Roman"/>
        </w:rPr>
        <w:t xml:space="preserve"> – </w:t>
      </w:r>
      <w:r w:rsidR="006A1CDD">
        <w:rPr>
          <w:rFonts w:ascii="Times New Roman" w:hAnsi="Times New Roman" w:cs="Times New Roman"/>
        </w:rPr>
        <w:t xml:space="preserve">an Egyptian noble </w:t>
      </w:r>
      <w:r w:rsidR="00D01CF8">
        <w:rPr>
          <w:rFonts w:ascii="Times New Roman" w:hAnsi="Times New Roman" w:cs="Times New Roman"/>
        </w:rPr>
        <w:t>with a closeness to the pharaoh</w:t>
      </w:r>
      <w:r w:rsidR="00FA6CBE">
        <w:rPr>
          <w:rFonts w:ascii="Times New Roman" w:hAnsi="Times New Roman" w:cs="Times New Roman"/>
        </w:rPr>
        <w:t xml:space="preserve"> as he has </w:t>
      </w:r>
      <w:r w:rsidR="0077546A">
        <w:rPr>
          <w:rFonts w:ascii="Times New Roman" w:hAnsi="Times New Roman" w:cs="Times New Roman"/>
        </w:rPr>
        <w:t xml:space="preserve">high ranking roles such as Royal Scribe, </w:t>
      </w:r>
      <w:r w:rsidR="001A681A">
        <w:rPr>
          <w:rFonts w:ascii="Times New Roman" w:hAnsi="Times New Roman" w:cs="Times New Roman"/>
        </w:rPr>
        <w:t xml:space="preserve">Overseer of the Two Treasuries, Steward </w:t>
      </w:r>
      <w:r w:rsidR="00822762">
        <w:rPr>
          <w:rFonts w:ascii="Times New Roman" w:hAnsi="Times New Roman" w:cs="Times New Roman"/>
        </w:rPr>
        <w:t>etc.</w:t>
      </w:r>
      <w:r w:rsidR="00822762">
        <w:rPr>
          <w:rStyle w:val="FootnoteReference"/>
          <w:rFonts w:ascii="Times New Roman" w:hAnsi="Times New Roman" w:cs="Times New Roman"/>
        </w:rPr>
        <w:footnoteReference w:id="17"/>
      </w:r>
      <w:r w:rsidR="00822762">
        <w:rPr>
          <w:rFonts w:ascii="Times New Roman" w:hAnsi="Times New Roman" w:cs="Times New Roman"/>
        </w:rPr>
        <w:t xml:space="preserve"> –</w:t>
      </w:r>
      <w:r w:rsidR="00511F65">
        <w:rPr>
          <w:rFonts w:ascii="Times New Roman" w:hAnsi="Times New Roman" w:cs="Times New Roman"/>
        </w:rPr>
        <w:t xml:space="preserve"> the</w:t>
      </w:r>
      <w:r w:rsidR="00FA7546">
        <w:rPr>
          <w:rFonts w:ascii="Times New Roman" w:hAnsi="Times New Roman" w:cs="Times New Roman"/>
        </w:rPr>
        <w:t xml:space="preserve"> princess</w:t>
      </w:r>
      <w:r w:rsidR="0098026E">
        <w:rPr>
          <w:rFonts w:ascii="Times New Roman" w:hAnsi="Times New Roman" w:cs="Times New Roman"/>
        </w:rPr>
        <w:t>es</w:t>
      </w:r>
      <w:r w:rsidR="00FA7546">
        <w:rPr>
          <w:rFonts w:ascii="Times New Roman" w:hAnsi="Times New Roman" w:cs="Times New Roman"/>
        </w:rPr>
        <w:t xml:space="preserve"> are shown with their parents, the </w:t>
      </w:r>
      <w:r w:rsidR="00D17ECE">
        <w:rPr>
          <w:rFonts w:ascii="Times New Roman" w:hAnsi="Times New Roman" w:cs="Times New Roman"/>
        </w:rPr>
        <w:t>eldest</w:t>
      </w:r>
      <w:r w:rsidR="00511F65">
        <w:rPr>
          <w:rFonts w:ascii="Times New Roman" w:hAnsi="Times New Roman" w:cs="Times New Roman"/>
        </w:rPr>
        <w:t xml:space="preserve"> </w:t>
      </w:r>
      <w:r w:rsidR="00FA7546">
        <w:rPr>
          <w:rFonts w:ascii="Times New Roman" w:hAnsi="Times New Roman" w:cs="Times New Roman"/>
        </w:rPr>
        <w:t>daughter</w:t>
      </w:r>
      <w:r w:rsidR="00511F65">
        <w:rPr>
          <w:rFonts w:ascii="Times New Roman" w:hAnsi="Times New Roman" w:cs="Times New Roman"/>
        </w:rPr>
        <w:t xml:space="preserve"> </w:t>
      </w:r>
      <w:r w:rsidR="00CD0F08">
        <w:rPr>
          <w:rFonts w:ascii="Times New Roman" w:hAnsi="Times New Roman" w:cs="Times New Roman"/>
        </w:rPr>
        <w:t>Meritaten</w:t>
      </w:r>
      <w:r w:rsidR="00D17ECE">
        <w:rPr>
          <w:rFonts w:ascii="Times New Roman" w:hAnsi="Times New Roman" w:cs="Times New Roman"/>
        </w:rPr>
        <w:t xml:space="preserve"> and her sister </w:t>
      </w:r>
      <w:proofErr w:type="spellStart"/>
      <w:r w:rsidR="00D17ECE">
        <w:rPr>
          <w:rFonts w:ascii="Times New Roman" w:hAnsi="Times New Roman" w:cs="Times New Roman"/>
        </w:rPr>
        <w:t>Meketaten</w:t>
      </w:r>
      <w:proofErr w:type="spellEnd"/>
      <w:r w:rsidR="00D17ECE">
        <w:rPr>
          <w:rFonts w:ascii="Times New Roman" w:hAnsi="Times New Roman" w:cs="Times New Roman"/>
        </w:rPr>
        <w:t xml:space="preserve"> are shown as </w:t>
      </w:r>
      <w:r w:rsidR="003F3F9E">
        <w:rPr>
          <w:rFonts w:ascii="Times New Roman" w:hAnsi="Times New Roman" w:cs="Times New Roman"/>
        </w:rPr>
        <w:t xml:space="preserve">involved </w:t>
      </w:r>
      <w:r w:rsidR="0098026E">
        <w:rPr>
          <w:rFonts w:ascii="Times New Roman" w:hAnsi="Times New Roman" w:cs="Times New Roman"/>
        </w:rPr>
        <w:t>in ritual offerings</w:t>
      </w:r>
      <w:r w:rsidR="0098026E">
        <w:rPr>
          <w:rStyle w:val="FootnoteReference"/>
          <w:rFonts w:ascii="Times New Roman" w:hAnsi="Times New Roman" w:cs="Times New Roman"/>
        </w:rPr>
        <w:footnoteReference w:id="18"/>
      </w:r>
      <w:r w:rsidR="00DF1B15">
        <w:rPr>
          <w:rFonts w:ascii="Times New Roman" w:hAnsi="Times New Roman" w:cs="Times New Roman"/>
        </w:rPr>
        <w:t>, this means they were not merely seen as a passive presence but were active in religious practices.</w:t>
      </w:r>
      <w:r w:rsidR="0042457A">
        <w:rPr>
          <w:rFonts w:ascii="Times New Roman" w:hAnsi="Times New Roman" w:cs="Times New Roman"/>
        </w:rPr>
        <w:t xml:space="preserve"> Within both temples and palace contexts, the princesses’ appearance indicates that they formed a fundamental part of the royal cultic make up.</w:t>
      </w:r>
      <w:r w:rsidR="00BC05D0">
        <w:rPr>
          <w:rFonts w:ascii="Times New Roman" w:hAnsi="Times New Roman" w:cs="Times New Roman"/>
        </w:rPr>
        <w:t xml:space="preserve"> Regarding the princesses’ ac</w:t>
      </w:r>
      <w:r w:rsidR="00EC2996">
        <w:rPr>
          <w:rFonts w:ascii="Times New Roman" w:hAnsi="Times New Roman" w:cs="Times New Roman"/>
        </w:rPr>
        <w:t xml:space="preserve">tive roles in the sun religion, during the daily </w:t>
      </w:r>
      <w:r w:rsidR="00AA6B86">
        <w:rPr>
          <w:rFonts w:ascii="Times New Roman" w:hAnsi="Times New Roman" w:cs="Times New Roman"/>
        </w:rPr>
        <w:t xml:space="preserve">religious events where the royal family </w:t>
      </w:r>
      <w:r w:rsidR="00325F85">
        <w:rPr>
          <w:rFonts w:ascii="Times New Roman" w:hAnsi="Times New Roman" w:cs="Times New Roman"/>
        </w:rPr>
        <w:t>went to the Great Temple of the Aten on chariots</w:t>
      </w:r>
      <w:r w:rsidR="00AA6B86">
        <w:rPr>
          <w:rFonts w:ascii="Times New Roman" w:hAnsi="Times New Roman" w:cs="Times New Roman"/>
        </w:rPr>
        <w:t xml:space="preserve"> </w:t>
      </w:r>
      <w:r w:rsidR="00C12090">
        <w:rPr>
          <w:rFonts w:ascii="Times New Roman" w:hAnsi="Times New Roman" w:cs="Times New Roman"/>
        </w:rPr>
        <w:t>after which the princesses</w:t>
      </w:r>
      <w:r w:rsidR="00E54F85">
        <w:rPr>
          <w:rFonts w:ascii="Times New Roman" w:hAnsi="Times New Roman" w:cs="Times New Roman"/>
        </w:rPr>
        <w:t xml:space="preserve"> used the sistra</w:t>
      </w:r>
      <w:r w:rsidR="00D87D40">
        <w:rPr>
          <w:rFonts w:ascii="Times New Roman" w:hAnsi="Times New Roman" w:cs="Times New Roman"/>
        </w:rPr>
        <w:t xml:space="preserve">, a </w:t>
      </w:r>
      <w:r w:rsidR="00076233">
        <w:rPr>
          <w:rFonts w:ascii="Times New Roman" w:hAnsi="Times New Roman" w:cs="Times New Roman"/>
        </w:rPr>
        <w:t>wooden rattle used in religious settings</w:t>
      </w:r>
      <w:r w:rsidR="00083D50">
        <w:rPr>
          <w:rFonts w:ascii="Times New Roman" w:hAnsi="Times New Roman" w:cs="Times New Roman"/>
        </w:rPr>
        <w:t xml:space="preserve"> which was originally linked to the goddess Hathor</w:t>
      </w:r>
      <w:r w:rsidR="00076233">
        <w:rPr>
          <w:rStyle w:val="FootnoteReference"/>
          <w:rFonts w:ascii="Times New Roman" w:hAnsi="Times New Roman" w:cs="Times New Roman"/>
        </w:rPr>
        <w:footnoteReference w:id="19"/>
      </w:r>
      <w:r w:rsidR="00076233">
        <w:rPr>
          <w:rFonts w:ascii="Times New Roman" w:hAnsi="Times New Roman" w:cs="Times New Roman"/>
        </w:rPr>
        <w:t xml:space="preserve">, </w:t>
      </w:r>
      <w:r w:rsidR="00E54F85">
        <w:rPr>
          <w:rFonts w:ascii="Times New Roman" w:hAnsi="Times New Roman" w:cs="Times New Roman"/>
        </w:rPr>
        <w:t>while the king and queen made offerings</w:t>
      </w:r>
      <w:r w:rsidR="003D3402">
        <w:rPr>
          <w:rStyle w:val="FootnoteReference"/>
          <w:rFonts w:ascii="Times New Roman" w:hAnsi="Times New Roman" w:cs="Times New Roman"/>
        </w:rPr>
        <w:footnoteReference w:id="20"/>
      </w:r>
      <w:r w:rsidR="00E54F85">
        <w:rPr>
          <w:rFonts w:ascii="Times New Roman" w:hAnsi="Times New Roman" w:cs="Times New Roman"/>
        </w:rPr>
        <w:t xml:space="preserve">. </w:t>
      </w:r>
      <w:r w:rsidR="00D50E08">
        <w:rPr>
          <w:rFonts w:ascii="Times New Roman" w:hAnsi="Times New Roman" w:cs="Times New Roman"/>
        </w:rPr>
        <w:t xml:space="preserve">This </w:t>
      </w:r>
      <w:r w:rsidR="002D0244">
        <w:rPr>
          <w:rFonts w:ascii="Times New Roman" w:hAnsi="Times New Roman" w:cs="Times New Roman"/>
        </w:rPr>
        <w:t xml:space="preserve">highlights the importance of the princesses as </w:t>
      </w:r>
      <w:r w:rsidR="00D20239">
        <w:rPr>
          <w:rFonts w:ascii="Times New Roman" w:hAnsi="Times New Roman" w:cs="Times New Roman"/>
        </w:rPr>
        <w:t>participants of this new religion</w:t>
      </w:r>
      <w:r w:rsidR="00836C0E">
        <w:rPr>
          <w:rFonts w:ascii="Times New Roman" w:hAnsi="Times New Roman" w:cs="Times New Roman"/>
        </w:rPr>
        <w:t xml:space="preserve"> and a valuable tool for Akhenaten. </w:t>
      </w:r>
    </w:p>
    <w:p w14:paraId="768FA6F9" w14:textId="042BAC52" w:rsidR="00DD383A" w:rsidRDefault="00DD383A" w:rsidP="00877364">
      <w:pPr>
        <w:jc w:val="both"/>
        <w:rPr>
          <w:rFonts w:ascii="Times New Roman" w:hAnsi="Times New Roman" w:cs="Times New Roman"/>
        </w:rPr>
      </w:pPr>
      <w:r>
        <w:rPr>
          <w:rFonts w:ascii="Times New Roman" w:hAnsi="Times New Roman" w:cs="Times New Roman"/>
        </w:rPr>
        <w:t xml:space="preserve">In ancient Egyptian </w:t>
      </w:r>
      <w:r w:rsidR="00183FFF">
        <w:rPr>
          <w:rFonts w:ascii="Times New Roman" w:hAnsi="Times New Roman" w:cs="Times New Roman"/>
        </w:rPr>
        <w:t>religious thought, children could be signifiers of life, renewal and divine blessing</w:t>
      </w:r>
      <w:r w:rsidR="00B701FA">
        <w:rPr>
          <w:rFonts w:ascii="Times New Roman" w:hAnsi="Times New Roman" w:cs="Times New Roman"/>
        </w:rPr>
        <w:t>; the abundant depiction of the princesses in scene</w:t>
      </w:r>
      <w:r w:rsidR="007F5FD2">
        <w:rPr>
          <w:rFonts w:ascii="Times New Roman" w:hAnsi="Times New Roman" w:cs="Times New Roman"/>
        </w:rPr>
        <w:t xml:space="preserve"> of familial intimacy, worship and ritual performance served as a representation of </w:t>
      </w:r>
      <w:r w:rsidR="00776532">
        <w:rPr>
          <w:rFonts w:ascii="Times New Roman" w:hAnsi="Times New Roman" w:cs="Times New Roman"/>
        </w:rPr>
        <w:t xml:space="preserve">fertility and cosmic legitimacy of the </w:t>
      </w:r>
      <w:proofErr w:type="spellStart"/>
      <w:r w:rsidR="00776532">
        <w:rPr>
          <w:rFonts w:ascii="Times New Roman" w:hAnsi="Times New Roman" w:cs="Times New Roman"/>
        </w:rPr>
        <w:t>Atenist</w:t>
      </w:r>
      <w:proofErr w:type="spellEnd"/>
      <w:r w:rsidR="00776532">
        <w:rPr>
          <w:rFonts w:ascii="Times New Roman" w:hAnsi="Times New Roman" w:cs="Times New Roman"/>
        </w:rPr>
        <w:t xml:space="preserve"> </w:t>
      </w:r>
      <w:r w:rsidR="00776532">
        <w:rPr>
          <w:rFonts w:ascii="Times New Roman" w:hAnsi="Times New Roman" w:cs="Times New Roman"/>
        </w:rPr>
        <w:lastRenderedPageBreak/>
        <w:t xml:space="preserve">royal family. Their presence is a demonstration of Aten’s favour </w:t>
      </w:r>
      <w:r w:rsidR="00533241">
        <w:rPr>
          <w:rFonts w:ascii="Times New Roman" w:hAnsi="Times New Roman" w:cs="Times New Roman"/>
        </w:rPr>
        <w:t>for Akhenaten and Nefertiti and reinforces the idea that the royal household itself was a sacred thing.</w:t>
      </w:r>
    </w:p>
    <w:p w14:paraId="6FD53FB9" w14:textId="375481F0" w:rsidR="00597636" w:rsidRPr="000A23B8" w:rsidRDefault="00597636" w:rsidP="00877364">
      <w:pPr>
        <w:jc w:val="both"/>
        <w:rPr>
          <w:rFonts w:ascii="Times New Roman" w:hAnsi="Times New Roman" w:cs="Times New Roman"/>
          <w:b/>
          <w:bCs/>
          <w:u w:val="single"/>
        </w:rPr>
      </w:pPr>
      <w:r w:rsidRPr="000A23B8">
        <w:rPr>
          <w:rFonts w:ascii="Times New Roman" w:hAnsi="Times New Roman" w:cs="Times New Roman"/>
          <w:b/>
          <w:bCs/>
          <w:u w:val="single"/>
        </w:rPr>
        <w:t>Non-Royal Women</w:t>
      </w:r>
    </w:p>
    <w:p w14:paraId="7C2C6D07" w14:textId="1498860F" w:rsidR="000A23B8" w:rsidRDefault="005E41A0" w:rsidP="00877364">
      <w:pPr>
        <w:jc w:val="both"/>
        <w:rPr>
          <w:rFonts w:ascii="Times New Roman" w:hAnsi="Times New Roman" w:cs="Times New Roman"/>
        </w:rPr>
      </w:pPr>
      <w:r>
        <w:rPr>
          <w:rFonts w:ascii="Times New Roman" w:hAnsi="Times New Roman" w:cs="Times New Roman"/>
        </w:rPr>
        <w:t>While public and ceremonial roles were heavily dominated by royal women, non-royal women also participated in Atenism</w:t>
      </w:r>
      <w:r w:rsidR="00CC39F2">
        <w:rPr>
          <w:rFonts w:ascii="Times New Roman" w:hAnsi="Times New Roman" w:cs="Times New Roman"/>
        </w:rPr>
        <w:t xml:space="preserve">, though mainly within the domestic sphere. </w:t>
      </w:r>
      <w:r w:rsidR="003F70B8">
        <w:rPr>
          <w:rFonts w:ascii="Times New Roman" w:hAnsi="Times New Roman" w:cs="Times New Roman"/>
        </w:rPr>
        <w:t xml:space="preserve">Archaeological evidence from Amarna houses reveals how widespread the use of household shrines depicting the royal family </w:t>
      </w:r>
      <w:r w:rsidR="002E3B6C">
        <w:rPr>
          <w:rFonts w:ascii="Times New Roman" w:hAnsi="Times New Roman" w:cs="Times New Roman"/>
        </w:rPr>
        <w:t>beneath the Aten’s rays were</w:t>
      </w:r>
      <w:r w:rsidR="00F24999">
        <w:rPr>
          <w:rStyle w:val="FootnoteReference"/>
          <w:rFonts w:ascii="Times New Roman" w:hAnsi="Times New Roman" w:cs="Times New Roman"/>
        </w:rPr>
        <w:footnoteReference w:id="21"/>
      </w:r>
      <w:r w:rsidR="002E3B6C">
        <w:rPr>
          <w:rFonts w:ascii="Times New Roman" w:hAnsi="Times New Roman" w:cs="Times New Roman"/>
        </w:rPr>
        <w:t xml:space="preserve">. These shrines </w:t>
      </w:r>
      <w:r w:rsidR="00345A7C">
        <w:rPr>
          <w:rFonts w:ascii="Times New Roman" w:hAnsi="Times New Roman" w:cs="Times New Roman"/>
        </w:rPr>
        <w:t xml:space="preserve">indicate that private worship frequently involved the </w:t>
      </w:r>
      <w:r w:rsidR="00D40A2D">
        <w:rPr>
          <w:rFonts w:ascii="Times New Roman" w:hAnsi="Times New Roman" w:cs="Times New Roman"/>
        </w:rPr>
        <w:t>worship</w:t>
      </w:r>
      <w:r w:rsidR="00345A7C">
        <w:rPr>
          <w:rFonts w:ascii="Times New Roman" w:hAnsi="Times New Roman" w:cs="Times New Roman"/>
        </w:rPr>
        <w:t xml:space="preserve"> of king, queen and princesses rather than </w:t>
      </w:r>
      <w:r w:rsidR="00B537DA">
        <w:rPr>
          <w:rFonts w:ascii="Times New Roman" w:hAnsi="Times New Roman" w:cs="Times New Roman"/>
        </w:rPr>
        <w:t xml:space="preserve">the Aten directly. Through these domestic altars, non-royal and non-elite women </w:t>
      </w:r>
      <w:r w:rsidR="00A53D1F">
        <w:rPr>
          <w:rFonts w:ascii="Times New Roman" w:hAnsi="Times New Roman" w:cs="Times New Roman"/>
        </w:rPr>
        <w:t xml:space="preserve">engaged in daily religious practices centred on the royal family’s sacred status. </w:t>
      </w:r>
    </w:p>
    <w:p w14:paraId="018B0C9B" w14:textId="62B7F620" w:rsidR="00A53D1F" w:rsidRDefault="00352EFE" w:rsidP="00877364">
      <w:pPr>
        <w:jc w:val="both"/>
        <w:rPr>
          <w:rFonts w:ascii="Times New Roman" w:hAnsi="Times New Roman" w:cs="Times New Roman"/>
        </w:rPr>
      </w:pPr>
      <w:proofErr w:type="spellStart"/>
      <w:r>
        <w:rPr>
          <w:rFonts w:ascii="Times New Roman" w:hAnsi="Times New Roman" w:cs="Times New Roman"/>
        </w:rPr>
        <w:t>Atenist</w:t>
      </w:r>
      <w:proofErr w:type="spellEnd"/>
      <w:r>
        <w:rPr>
          <w:rFonts w:ascii="Times New Roman" w:hAnsi="Times New Roman" w:cs="Times New Roman"/>
        </w:rPr>
        <w:t xml:space="preserve"> ideology </w:t>
      </w:r>
      <w:r w:rsidR="00385526">
        <w:rPr>
          <w:rFonts w:ascii="Times New Roman" w:hAnsi="Times New Roman" w:cs="Times New Roman"/>
        </w:rPr>
        <w:t xml:space="preserve">did not fully supplant older religious practices </w:t>
      </w:r>
      <w:r w:rsidR="00B312B2">
        <w:rPr>
          <w:rFonts w:ascii="Times New Roman" w:hAnsi="Times New Roman" w:cs="Times New Roman"/>
        </w:rPr>
        <w:t xml:space="preserve">at a household level; excavations have shown that non-royal women continued the use amulets and figurines of traditional protective deities even during the height of Atenism. </w:t>
      </w:r>
      <w:r w:rsidR="008F75CF">
        <w:rPr>
          <w:rFonts w:ascii="Times New Roman" w:hAnsi="Times New Roman" w:cs="Times New Roman"/>
        </w:rPr>
        <w:t xml:space="preserve">There </w:t>
      </w:r>
      <w:r w:rsidR="00EE1B93">
        <w:rPr>
          <w:rFonts w:ascii="Times New Roman" w:hAnsi="Times New Roman" w:cs="Times New Roman"/>
        </w:rPr>
        <w:t>have</w:t>
      </w:r>
      <w:r w:rsidR="008F75CF">
        <w:rPr>
          <w:rFonts w:ascii="Times New Roman" w:hAnsi="Times New Roman" w:cs="Times New Roman"/>
        </w:rPr>
        <w:t xml:space="preserve"> been at least twenty-one figurines </w:t>
      </w:r>
      <w:r w:rsidR="003407D5">
        <w:rPr>
          <w:rFonts w:ascii="Times New Roman" w:hAnsi="Times New Roman" w:cs="Times New Roman"/>
        </w:rPr>
        <w:t xml:space="preserve">excavated </w:t>
      </w:r>
      <w:r w:rsidR="008F75CF">
        <w:rPr>
          <w:rFonts w:ascii="Times New Roman" w:hAnsi="Times New Roman" w:cs="Times New Roman"/>
        </w:rPr>
        <w:t>of Bes</w:t>
      </w:r>
      <w:r w:rsidR="003407D5">
        <w:rPr>
          <w:rStyle w:val="FootnoteReference"/>
          <w:rFonts w:ascii="Times New Roman" w:hAnsi="Times New Roman" w:cs="Times New Roman"/>
        </w:rPr>
        <w:footnoteReference w:id="22"/>
      </w:r>
      <w:r w:rsidR="00033A3A">
        <w:rPr>
          <w:rFonts w:ascii="Times New Roman" w:hAnsi="Times New Roman" w:cs="Times New Roman"/>
        </w:rPr>
        <w:t xml:space="preserve">, </w:t>
      </w:r>
      <w:r w:rsidR="00846FC8">
        <w:rPr>
          <w:rFonts w:ascii="Times New Roman" w:hAnsi="Times New Roman" w:cs="Times New Roman"/>
        </w:rPr>
        <w:t>an ancient Egyptian god linked to the protection of childbirth, mothers and children</w:t>
      </w:r>
      <w:r w:rsidR="00A12C55">
        <w:rPr>
          <w:rStyle w:val="FootnoteReference"/>
          <w:rFonts w:ascii="Times New Roman" w:hAnsi="Times New Roman" w:cs="Times New Roman"/>
        </w:rPr>
        <w:footnoteReference w:id="23"/>
      </w:r>
      <w:r w:rsidR="005545A0">
        <w:rPr>
          <w:rFonts w:ascii="Times New Roman" w:hAnsi="Times New Roman" w:cs="Times New Roman"/>
        </w:rPr>
        <w:t>. Also</w:t>
      </w:r>
      <w:r w:rsidR="00C8462E">
        <w:rPr>
          <w:rFonts w:ascii="Times New Roman" w:hAnsi="Times New Roman" w:cs="Times New Roman"/>
        </w:rPr>
        <w:t xml:space="preserve">, pottery figurines have been found </w:t>
      </w:r>
      <w:r w:rsidR="000639F0">
        <w:rPr>
          <w:rFonts w:ascii="Times New Roman" w:hAnsi="Times New Roman" w:cs="Times New Roman"/>
        </w:rPr>
        <w:t>in the shape of hippopotamus</w:t>
      </w:r>
      <w:r w:rsidR="009F7AC4">
        <w:rPr>
          <w:rFonts w:ascii="Times New Roman" w:hAnsi="Times New Roman" w:cs="Times New Roman"/>
        </w:rPr>
        <w:t xml:space="preserve"> in the North Suburb of Amarna</w:t>
      </w:r>
      <w:r w:rsidR="009F7AC4">
        <w:rPr>
          <w:rStyle w:val="FootnoteReference"/>
          <w:rFonts w:ascii="Times New Roman" w:hAnsi="Times New Roman" w:cs="Times New Roman"/>
        </w:rPr>
        <w:footnoteReference w:id="24"/>
      </w:r>
      <w:r w:rsidR="009F7AC4">
        <w:rPr>
          <w:rFonts w:ascii="Times New Roman" w:hAnsi="Times New Roman" w:cs="Times New Roman"/>
        </w:rPr>
        <w:t xml:space="preserve">, </w:t>
      </w:r>
      <w:r w:rsidR="00E10E25">
        <w:rPr>
          <w:rFonts w:ascii="Times New Roman" w:hAnsi="Times New Roman" w:cs="Times New Roman"/>
        </w:rPr>
        <w:t xml:space="preserve">which has been interpreted as </w:t>
      </w:r>
      <w:r w:rsidR="003A0EA5">
        <w:rPr>
          <w:rFonts w:ascii="Times New Roman" w:hAnsi="Times New Roman" w:cs="Times New Roman"/>
        </w:rPr>
        <w:t>the goddess Taweret</w:t>
      </w:r>
      <w:r w:rsidR="00A26211">
        <w:rPr>
          <w:rFonts w:ascii="Times New Roman" w:hAnsi="Times New Roman" w:cs="Times New Roman"/>
        </w:rPr>
        <w:t xml:space="preserve">, who was believed </w:t>
      </w:r>
      <w:r w:rsidR="004F0696">
        <w:rPr>
          <w:rFonts w:ascii="Times New Roman" w:hAnsi="Times New Roman" w:cs="Times New Roman"/>
        </w:rPr>
        <w:t xml:space="preserve">to, like Bes, be a protector of women and children as well as a patron </w:t>
      </w:r>
      <w:r w:rsidR="00B661F9">
        <w:rPr>
          <w:rFonts w:ascii="Times New Roman" w:hAnsi="Times New Roman" w:cs="Times New Roman"/>
        </w:rPr>
        <w:t>of childbirth</w:t>
      </w:r>
      <w:r w:rsidR="00B661F9">
        <w:rPr>
          <w:rStyle w:val="FootnoteReference"/>
          <w:rFonts w:ascii="Times New Roman" w:hAnsi="Times New Roman" w:cs="Times New Roman"/>
        </w:rPr>
        <w:footnoteReference w:id="25"/>
      </w:r>
      <w:r w:rsidR="00335217">
        <w:rPr>
          <w:rFonts w:ascii="Times New Roman" w:hAnsi="Times New Roman" w:cs="Times New Roman"/>
        </w:rPr>
        <w:t>. This archaeological evidence evidently shows that w</w:t>
      </w:r>
      <w:r w:rsidR="001E7FBD">
        <w:rPr>
          <w:rFonts w:ascii="Times New Roman" w:hAnsi="Times New Roman" w:cs="Times New Roman"/>
        </w:rPr>
        <w:t>omen – who often oversaw domestic fertility</w:t>
      </w:r>
      <w:r w:rsidR="005F420C">
        <w:rPr>
          <w:rFonts w:ascii="Times New Roman" w:hAnsi="Times New Roman" w:cs="Times New Roman"/>
        </w:rPr>
        <w:t>,</w:t>
      </w:r>
      <w:r w:rsidR="001E7FBD">
        <w:rPr>
          <w:rFonts w:ascii="Times New Roman" w:hAnsi="Times New Roman" w:cs="Times New Roman"/>
        </w:rPr>
        <w:t xml:space="preserve"> childbirth </w:t>
      </w:r>
      <w:r w:rsidR="005F420C">
        <w:rPr>
          <w:rFonts w:ascii="Times New Roman" w:hAnsi="Times New Roman" w:cs="Times New Roman"/>
        </w:rPr>
        <w:t>and protective rituals –</w:t>
      </w:r>
      <w:r w:rsidR="00335217">
        <w:rPr>
          <w:rFonts w:ascii="Times New Roman" w:hAnsi="Times New Roman" w:cs="Times New Roman"/>
        </w:rPr>
        <w:t xml:space="preserve"> </w:t>
      </w:r>
      <w:r w:rsidR="005F420C">
        <w:rPr>
          <w:rFonts w:ascii="Times New Roman" w:hAnsi="Times New Roman" w:cs="Times New Roman"/>
        </w:rPr>
        <w:t>maintained long-</w:t>
      </w:r>
      <w:r w:rsidR="007D44EA">
        <w:rPr>
          <w:rFonts w:ascii="Times New Roman" w:hAnsi="Times New Roman" w:cs="Times New Roman"/>
        </w:rPr>
        <w:t xml:space="preserve">established cultic beliefs and traditions alongside </w:t>
      </w:r>
      <w:r w:rsidR="0096029A">
        <w:rPr>
          <w:rFonts w:ascii="Times New Roman" w:hAnsi="Times New Roman" w:cs="Times New Roman"/>
        </w:rPr>
        <w:t xml:space="preserve">the newer </w:t>
      </w:r>
      <w:proofErr w:type="spellStart"/>
      <w:r w:rsidR="007D44EA">
        <w:rPr>
          <w:rFonts w:ascii="Times New Roman" w:hAnsi="Times New Roman" w:cs="Times New Roman"/>
        </w:rPr>
        <w:t>Atenist</w:t>
      </w:r>
      <w:proofErr w:type="spellEnd"/>
      <w:r w:rsidR="007D44EA">
        <w:rPr>
          <w:rFonts w:ascii="Times New Roman" w:hAnsi="Times New Roman" w:cs="Times New Roman"/>
        </w:rPr>
        <w:t xml:space="preserve"> imagery. Thus, their participation in Atenism was neither total nor exclusive. </w:t>
      </w:r>
    </w:p>
    <w:p w14:paraId="201C281A" w14:textId="21655062" w:rsidR="000A23B8" w:rsidRDefault="003F65B3" w:rsidP="00877364">
      <w:pPr>
        <w:jc w:val="both"/>
        <w:rPr>
          <w:rFonts w:ascii="Times New Roman" w:hAnsi="Times New Roman" w:cs="Times New Roman"/>
        </w:rPr>
      </w:pPr>
      <w:r>
        <w:rPr>
          <w:rFonts w:ascii="Times New Roman" w:hAnsi="Times New Roman" w:cs="Times New Roman"/>
        </w:rPr>
        <w:t xml:space="preserve">For most women, Atenism </w:t>
      </w:r>
      <w:r w:rsidR="00E3551B">
        <w:rPr>
          <w:rFonts w:ascii="Times New Roman" w:hAnsi="Times New Roman" w:cs="Times New Roman"/>
        </w:rPr>
        <w:t xml:space="preserve">did not result in expanded authority. </w:t>
      </w:r>
      <w:r w:rsidR="007D44EA">
        <w:rPr>
          <w:rFonts w:ascii="Times New Roman" w:hAnsi="Times New Roman" w:cs="Times New Roman"/>
        </w:rPr>
        <w:t>Unlike royal women</w:t>
      </w:r>
      <w:r w:rsidR="00A47A38">
        <w:rPr>
          <w:rFonts w:ascii="Times New Roman" w:hAnsi="Times New Roman" w:cs="Times New Roman"/>
        </w:rPr>
        <w:t>, non-royal women did not gain new institutional or priestly roles</w:t>
      </w:r>
      <w:r w:rsidR="00E3551B">
        <w:rPr>
          <w:rFonts w:ascii="Times New Roman" w:hAnsi="Times New Roman" w:cs="Times New Roman"/>
        </w:rPr>
        <w:t xml:space="preserve">. </w:t>
      </w:r>
      <w:r w:rsidR="00A47A38">
        <w:rPr>
          <w:rFonts w:ascii="Times New Roman" w:hAnsi="Times New Roman" w:cs="Times New Roman"/>
        </w:rPr>
        <w:t xml:space="preserve">The reduction, and in some cases abolition, </w:t>
      </w:r>
      <w:r w:rsidR="009078D2">
        <w:rPr>
          <w:rFonts w:ascii="Times New Roman" w:hAnsi="Times New Roman" w:cs="Times New Roman"/>
        </w:rPr>
        <w:t xml:space="preserve">of traditional priesthoods did not translate into a </w:t>
      </w:r>
      <w:r w:rsidR="00E3551B">
        <w:rPr>
          <w:rFonts w:ascii="Times New Roman" w:hAnsi="Times New Roman" w:cs="Times New Roman"/>
        </w:rPr>
        <w:t>growth</w:t>
      </w:r>
      <w:r w:rsidR="009078D2">
        <w:rPr>
          <w:rFonts w:ascii="Times New Roman" w:hAnsi="Times New Roman" w:cs="Times New Roman"/>
        </w:rPr>
        <w:t xml:space="preserve"> of responsibilities </w:t>
      </w:r>
      <w:r w:rsidR="00CD04ED">
        <w:rPr>
          <w:rFonts w:ascii="Times New Roman" w:hAnsi="Times New Roman" w:cs="Times New Roman"/>
        </w:rPr>
        <w:t>for women beyond the royal family. This centralisation of religious authority around the royal family left little ideological room for non-royal religious leadership</w:t>
      </w:r>
      <w:r w:rsidR="000D7E0C">
        <w:rPr>
          <w:rFonts w:ascii="Times New Roman" w:hAnsi="Times New Roman" w:cs="Times New Roman"/>
        </w:rPr>
        <w:t xml:space="preserve"> and showed a sharp difference between royal and non-royal </w:t>
      </w:r>
      <w:r w:rsidR="00FE0B3A">
        <w:rPr>
          <w:rFonts w:ascii="Times New Roman" w:hAnsi="Times New Roman" w:cs="Times New Roman"/>
        </w:rPr>
        <w:t xml:space="preserve">women’s religious experience. </w:t>
      </w:r>
    </w:p>
    <w:p w14:paraId="3144A2F9" w14:textId="77777777" w:rsidR="00D20239" w:rsidRDefault="00D20239" w:rsidP="00877364">
      <w:pPr>
        <w:jc w:val="both"/>
        <w:rPr>
          <w:rFonts w:ascii="Times New Roman" w:hAnsi="Times New Roman" w:cs="Times New Roman"/>
        </w:rPr>
      </w:pPr>
    </w:p>
    <w:p w14:paraId="432AB8B4" w14:textId="5B3E23E9" w:rsidR="000A23B8" w:rsidRDefault="00FC0235" w:rsidP="00877364">
      <w:pPr>
        <w:jc w:val="both"/>
        <w:rPr>
          <w:rFonts w:ascii="Times New Roman" w:hAnsi="Times New Roman" w:cs="Times New Roman"/>
        </w:rPr>
      </w:pPr>
      <w:r>
        <w:rPr>
          <w:rFonts w:ascii="Times New Roman" w:hAnsi="Times New Roman" w:cs="Times New Roman"/>
        </w:rPr>
        <w:t xml:space="preserve">Atenism reshaped ancient Egypt’s entire landscape – both religiously and politically – by situating the royal family at the heart of divine mediation. Within this system, women – most especially Nefertiti – assumed roles of unprecedented </w:t>
      </w:r>
      <w:r w:rsidR="00BA0B15">
        <w:rPr>
          <w:rFonts w:ascii="Times New Roman" w:hAnsi="Times New Roman" w:cs="Times New Roman"/>
        </w:rPr>
        <w:t xml:space="preserve">visibility and symbolic power. The queen performed ritual previously restricted to the king, received Aten’s life-giving rays, bore titles </w:t>
      </w:r>
      <w:r w:rsidR="00BA0B15">
        <w:rPr>
          <w:rFonts w:ascii="Times New Roman" w:hAnsi="Times New Roman" w:cs="Times New Roman"/>
        </w:rPr>
        <w:lastRenderedPageBreak/>
        <w:t xml:space="preserve">associated with major goddesses, and potentially may have risen to rule as co-regent. Likewise, the princesses </w:t>
      </w:r>
      <w:r w:rsidR="001A5716">
        <w:rPr>
          <w:rFonts w:ascii="Times New Roman" w:hAnsi="Times New Roman" w:cs="Times New Roman"/>
        </w:rPr>
        <w:t xml:space="preserve">actively </w:t>
      </w:r>
      <w:r w:rsidR="00BA0B15">
        <w:rPr>
          <w:rFonts w:ascii="Times New Roman" w:hAnsi="Times New Roman" w:cs="Times New Roman"/>
        </w:rPr>
        <w:t>participated</w:t>
      </w:r>
      <w:r w:rsidR="001A5716">
        <w:rPr>
          <w:rFonts w:ascii="Times New Roman" w:hAnsi="Times New Roman" w:cs="Times New Roman"/>
        </w:rPr>
        <w:t xml:space="preserve"> in ritual scenes, reinforcing the dynastic and familial character of </w:t>
      </w:r>
      <w:proofErr w:type="spellStart"/>
      <w:r w:rsidR="001A5716">
        <w:rPr>
          <w:rFonts w:ascii="Times New Roman" w:hAnsi="Times New Roman" w:cs="Times New Roman"/>
        </w:rPr>
        <w:t>Atenist</w:t>
      </w:r>
      <w:proofErr w:type="spellEnd"/>
      <w:r w:rsidR="001A5716">
        <w:rPr>
          <w:rFonts w:ascii="Times New Roman" w:hAnsi="Times New Roman" w:cs="Times New Roman"/>
        </w:rPr>
        <w:t xml:space="preserve"> theology.</w:t>
      </w:r>
    </w:p>
    <w:p w14:paraId="343A89D2" w14:textId="32E63F53" w:rsidR="001A5716" w:rsidRDefault="001A5716" w:rsidP="00877364">
      <w:pPr>
        <w:jc w:val="both"/>
        <w:rPr>
          <w:rFonts w:ascii="Times New Roman" w:hAnsi="Times New Roman" w:cs="Times New Roman"/>
        </w:rPr>
      </w:pPr>
      <w:r>
        <w:rPr>
          <w:rFonts w:ascii="Times New Roman" w:hAnsi="Times New Roman" w:cs="Times New Roman"/>
        </w:rPr>
        <w:t xml:space="preserve">However, despite this clear elevation, their </w:t>
      </w:r>
      <w:r w:rsidR="007844AD">
        <w:rPr>
          <w:rFonts w:ascii="Times New Roman" w:hAnsi="Times New Roman" w:cs="Times New Roman"/>
        </w:rPr>
        <w:t>authority remained entwined with their relationship with Akhenaten</w:t>
      </w:r>
      <w:r w:rsidR="005803EC">
        <w:rPr>
          <w:rFonts w:ascii="Times New Roman" w:hAnsi="Times New Roman" w:cs="Times New Roman"/>
        </w:rPr>
        <w:t xml:space="preserve">; royal women were not independent religious agents but sacred extensions of the king’s divine role. Additionally, non-royal women experienced even less institutional change, participating primarily through household </w:t>
      </w:r>
      <w:r w:rsidR="001B12DB">
        <w:rPr>
          <w:rFonts w:ascii="Times New Roman" w:hAnsi="Times New Roman" w:cs="Times New Roman"/>
        </w:rPr>
        <w:t>devotion centred on the royal family.</w:t>
      </w:r>
    </w:p>
    <w:p w14:paraId="287D1E35" w14:textId="45A6B2E7" w:rsidR="001B12DB" w:rsidRDefault="001B12DB" w:rsidP="00877364">
      <w:pPr>
        <w:jc w:val="both"/>
        <w:rPr>
          <w:rFonts w:ascii="Times New Roman" w:hAnsi="Times New Roman" w:cs="Times New Roman"/>
        </w:rPr>
      </w:pPr>
      <w:r>
        <w:rPr>
          <w:rFonts w:ascii="Times New Roman" w:hAnsi="Times New Roman" w:cs="Times New Roman"/>
        </w:rPr>
        <w:t xml:space="preserve">Thus, the Amarna period stands alone as a unique </w:t>
      </w:r>
      <w:r w:rsidR="00301184">
        <w:rPr>
          <w:rFonts w:ascii="Times New Roman" w:hAnsi="Times New Roman" w:cs="Times New Roman"/>
        </w:rPr>
        <w:t xml:space="preserve">moment in ancient Egyptian history when female ritual visibility reached its peak, not through true empowerment of women as autonomous </w:t>
      </w:r>
      <w:r w:rsidR="00270517">
        <w:rPr>
          <w:rFonts w:ascii="Times New Roman" w:hAnsi="Times New Roman" w:cs="Times New Roman"/>
        </w:rPr>
        <w:t xml:space="preserve">religious actors but through the ideological transformation of the </w:t>
      </w:r>
      <w:r w:rsidR="00A0451D">
        <w:rPr>
          <w:rFonts w:ascii="Times New Roman" w:hAnsi="Times New Roman" w:cs="Times New Roman"/>
        </w:rPr>
        <w:t>royal family into the exclusive point of divine presence. Atenism expanded the symbolic power of royal women whilst maintaining the ultimate supremacy of the king</w:t>
      </w:r>
      <w:r w:rsidR="00E2491B">
        <w:rPr>
          <w:rFonts w:ascii="Times New Roman" w:hAnsi="Times New Roman" w:cs="Times New Roman"/>
        </w:rPr>
        <w:t xml:space="preserve">. </w:t>
      </w:r>
    </w:p>
    <w:p w14:paraId="7CF45D7D" w14:textId="77777777" w:rsidR="006A2958" w:rsidRDefault="006A2958" w:rsidP="00877364">
      <w:pPr>
        <w:jc w:val="both"/>
        <w:rPr>
          <w:rFonts w:ascii="Times New Roman" w:hAnsi="Times New Roman" w:cs="Times New Roman"/>
          <w:b/>
          <w:bCs/>
          <w:i/>
          <w:iCs/>
        </w:rPr>
      </w:pPr>
    </w:p>
    <w:p w14:paraId="10A8E72B" w14:textId="77777777" w:rsidR="006A2958" w:rsidRDefault="006A2958" w:rsidP="00877364">
      <w:pPr>
        <w:jc w:val="both"/>
        <w:rPr>
          <w:rFonts w:ascii="Times New Roman" w:hAnsi="Times New Roman" w:cs="Times New Roman"/>
          <w:b/>
          <w:bCs/>
          <w:i/>
          <w:iCs/>
        </w:rPr>
      </w:pPr>
    </w:p>
    <w:p w14:paraId="298A6431" w14:textId="45B37554" w:rsidR="000E6EB4" w:rsidRPr="000E6EB4" w:rsidRDefault="000E6EB4" w:rsidP="00877364">
      <w:pPr>
        <w:jc w:val="both"/>
        <w:rPr>
          <w:rFonts w:ascii="Times New Roman" w:hAnsi="Times New Roman" w:cs="Times New Roman"/>
          <w:b/>
          <w:bCs/>
          <w:i/>
          <w:iCs/>
        </w:rPr>
      </w:pPr>
      <w:r w:rsidRPr="000E6EB4">
        <w:rPr>
          <w:rFonts w:ascii="Times New Roman" w:hAnsi="Times New Roman" w:cs="Times New Roman"/>
          <w:b/>
          <w:bCs/>
          <w:i/>
          <w:iCs/>
        </w:rPr>
        <w:t>Bibliography:</w:t>
      </w:r>
    </w:p>
    <w:p w14:paraId="332E1DB6" w14:textId="1E69EDA6" w:rsidR="0075700B" w:rsidRDefault="0075700B" w:rsidP="00187310">
      <w:pPr>
        <w:pStyle w:val="FootnoteText"/>
        <w:rPr>
          <w:rFonts w:ascii="Times New Roman" w:hAnsi="Times New Roman" w:cs="Times New Roman"/>
        </w:rPr>
      </w:pPr>
      <w:r>
        <w:rPr>
          <w:rFonts w:ascii="Times New Roman" w:hAnsi="Times New Roman" w:cs="Times New Roman"/>
        </w:rPr>
        <w:t xml:space="preserve">Allen, James P., </w:t>
      </w:r>
      <w:r w:rsidRPr="000A004B">
        <w:rPr>
          <w:rFonts w:ascii="Times New Roman" w:hAnsi="Times New Roman" w:cs="Times New Roman"/>
          <w:i/>
          <w:iCs/>
        </w:rPr>
        <w:t>The Amarna Succession</w:t>
      </w:r>
      <w:r>
        <w:rPr>
          <w:rFonts w:ascii="Times New Roman" w:hAnsi="Times New Roman" w:cs="Times New Roman"/>
        </w:rPr>
        <w:t xml:space="preserve"> (New England, USA: Brown University, 2009) </w:t>
      </w:r>
      <w:hyperlink r:id="rId7" w:history="1">
        <w:r w:rsidR="00D11DC7" w:rsidRPr="00506889">
          <w:rPr>
            <w:rStyle w:val="Hyperlink"/>
            <w:rFonts w:ascii="Times New Roman" w:hAnsi="Times New Roman" w:cs="Times New Roman"/>
          </w:rPr>
          <w:t>https://web.archive.org/web/20130701103124/http://cassian.memphis.edu/history/murnane/Allen.pdf</w:t>
        </w:r>
      </w:hyperlink>
      <w:r w:rsidR="00D11DC7">
        <w:rPr>
          <w:rFonts w:ascii="Times New Roman" w:hAnsi="Times New Roman" w:cs="Times New Roman"/>
        </w:rPr>
        <w:t xml:space="preserve"> [accessed 4th December 2025]</w:t>
      </w:r>
    </w:p>
    <w:p w14:paraId="0C576A07" w14:textId="77777777" w:rsidR="0075700B" w:rsidRDefault="0075700B" w:rsidP="00F8472C">
      <w:pPr>
        <w:pStyle w:val="FootnoteText"/>
        <w:rPr>
          <w:rFonts w:ascii="Times New Roman" w:hAnsi="Times New Roman" w:cs="Times New Roman"/>
          <w:sz w:val="18"/>
          <w:szCs w:val="18"/>
        </w:rPr>
      </w:pPr>
    </w:p>
    <w:p w14:paraId="49D2E740" w14:textId="6B04D361" w:rsidR="00F8472C" w:rsidRPr="00F8472C" w:rsidRDefault="00F8472C" w:rsidP="00F8472C">
      <w:pPr>
        <w:pStyle w:val="FootnoteText"/>
        <w:rPr>
          <w:rFonts w:ascii="Times New Roman" w:hAnsi="Times New Roman" w:cs="Times New Roman"/>
          <w:sz w:val="18"/>
          <w:szCs w:val="18"/>
        </w:rPr>
      </w:pPr>
      <w:r w:rsidRPr="00F8472C">
        <w:rPr>
          <w:rFonts w:ascii="Times New Roman" w:hAnsi="Times New Roman" w:cs="Times New Roman"/>
          <w:sz w:val="18"/>
          <w:szCs w:val="18"/>
        </w:rPr>
        <w:t xml:space="preserve">Amarna Project, </w:t>
      </w:r>
      <w:r w:rsidRPr="00F8472C">
        <w:rPr>
          <w:rFonts w:ascii="Times New Roman" w:hAnsi="Times New Roman" w:cs="Times New Roman"/>
          <w:i/>
          <w:iCs/>
          <w:sz w:val="18"/>
          <w:szCs w:val="18"/>
        </w:rPr>
        <w:t>Boundary Stelae</w:t>
      </w:r>
      <w:r w:rsidRPr="00F8472C">
        <w:rPr>
          <w:rFonts w:ascii="Times New Roman" w:hAnsi="Times New Roman" w:cs="Times New Roman"/>
          <w:sz w:val="18"/>
          <w:szCs w:val="18"/>
        </w:rPr>
        <w:t xml:space="preserve"> </w:t>
      </w:r>
      <w:hyperlink r:id="rId8" w:history="1">
        <w:r w:rsidRPr="00F8472C">
          <w:rPr>
            <w:rStyle w:val="Hyperlink"/>
            <w:rFonts w:ascii="Times New Roman" w:hAnsi="Times New Roman" w:cs="Times New Roman"/>
            <w:sz w:val="18"/>
            <w:szCs w:val="18"/>
          </w:rPr>
          <w:t>https://www.amarnaproject.com/amarna-the-place/boundary-stelae/</w:t>
        </w:r>
      </w:hyperlink>
      <w:r w:rsidRPr="00F8472C">
        <w:rPr>
          <w:rFonts w:ascii="Times New Roman" w:hAnsi="Times New Roman" w:cs="Times New Roman"/>
          <w:sz w:val="18"/>
          <w:szCs w:val="18"/>
        </w:rPr>
        <w:t xml:space="preserve"> [accessed 2</w:t>
      </w:r>
      <w:r w:rsidRPr="00F8472C">
        <w:rPr>
          <w:rFonts w:ascii="Times New Roman" w:hAnsi="Times New Roman" w:cs="Times New Roman"/>
          <w:sz w:val="18"/>
          <w:szCs w:val="18"/>
          <w:vertAlign w:val="superscript"/>
        </w:rPr>
        <w:t>nd</w:t>
      </w:r>
      <w:r w:rsidRPr="00F8472C">
        <w:rPr>
          <w:rFonts w:ascii="Times New Roman" w:hAnsi="Times New Roman" w:cs="Times New Roman"/>
          <w:sz w:val="18"/>
          <w:szCs w:val="18"/>
        </w:rPr>
        <w:t xml:space="preserve"> December 2025]</w:t>
      </w:r>
    </w:p>
    <w:p w14:paraId="5C9F1690" w14:textId="77777777" w:rsidR="00F8472C" w:rsidRPr="004B468F" w:rsidRDefault="00F8472C" w:rsidP="00F8472C">
      <w:pPr>
        <w:pStyle w:val="FootnoteText"/>
        <w:rPr>
          <w:rFonts w:ascii="Times New Roman" w:hAnsi="Times New Roman" w:cs="Times New Roman"/>
          <w:sz w:val="18"/>
          <w:szCs w:val="18"/>
        </w:rPr>
      </w:pPr>
    </w:p>
    <w:p w14:paraId="3627647C" w14:textId="2046B04E" w:rsidR="004B468F" w:rsidRPr="004B468F" w:rsidRDefault="004B468F" w:rsidP="00F8472C">
      <w:pPr>
        <w:pStyle w:val="FootnoteText"/>
        <w:rPr>
          <w:rFonts w:ascii="Times New Roman" w:hAnsi="Times New Roman" w:cs="Times New Roman"/>
          <w:sz w:val="18"/>
          <w:szCs w:val="18"/>
        </w:rPr>
      </w:pPr>
      <w:r w:rsidRPr="004B468F">
        <w:rPr>
          <w:rFonts w:ascii="Times New Roman" w:hAnsi="Times New Roman" w:cs="Times New Roman"/>
          <w:sz w:val="18"/>
          <w:szCs w:val="18"/>
        </w:rPr>
        <w:t xml:space="preserve">Amarna Project, North Tombs </w:t>
      </w:r>
      <w:hyperlink r:id="rId9" w:history="1">
        <w:r w:rsidRPr="004B468F">
          <w:rPr>
            <w:rStyle w:val="Hyperlink"/>
            <w:rFonts w:ascii="Times New Roman" w:hAnsi="Times New Roman" w:cs="Times New Roman"/>
            <w:sz w:val="18"/>
            <w:szCs w:val="18"/>
          </w:rPr>
          <w:t>https://www.amarnaproject.com/amarna-the-place/north-tombs/</w:t>
        </w:r>
      </w:hyperlink>
      <w:r w:rsidRPr="004B468F">
        <w:rPr>
          <w:rFonts w:ascii="Times New Roman" w:hAnsi="Times New Roman" w:cs="Times New Roman"/>
          <w:sz w:val="18"/>
          <w:szCs w:val="18"/>
        </w:rPr>
        <w:t xml:space="preserve"> [accessed 4</w:t>
      </w:r>
      <w:r w:rsidRPr="004B468F">
        <w:rPr>
          <w:rFonts w:ascii="Times New Roman" w:hAnsi="Times New Roman" w:cs="Times New Roman"/>
          <w:sz w:val="18"/>
          <w:szCs w:val="18"/>
          <w:vertAlign w:val="superscript"/>
        </w:rPr>
        <w:t>th</w:t>
      </w:r>
      <w:r w:rsidRPr="004B468F">
        <w:rPr>
          <w:rFonts w:ascii="Times New Roman" w:hAnsi="Times New Roman" w:cs="Times New Roman"/>
          <w:sz w:val="18"/>
          <w:szCs w:val="18"/>
        </w:rPr>
        <w:t xml:space="preserve"> December 2025]</w:t>
      </w:r>
    </w:p>
    <w:p w14:paraId="1B35C752" w14:textId="77777777" w:rsidR="004B468F" w:rsidRPr="00F8472C" w:rsidRDefault="004B468F" w:rsidP="00F8472C">
      <w:pPr>
        <w:pStyle w:val="FootnoteText"/>
        <w:rPr>
          <w:rFonts w:ascii="Times New Roman" w:hAnsi="Times New Roman" w:cs="Times New Roman"/>
        </w:rPr>
      </w:pPr>
    </w:p>
    <w:p w14:paraId="511EB4D2" w14:textId="187489B0" w:rsidR="00A01F27" w:rsidRPr="009C399D" w:rsidRDefault="00A01F27" w:rsidP="00877364">
      <w:pPr>
        <w:jc w:val="both"/>
        <w:rPr>
          <w:rFonts w:ascii="Times New Roman" w:hAnsi="Times New Roman" w:cs="Times New Roman"/>
          <w:sz w:val="18"/>
          <w:szCs w:val="18"/>
        </w:rPr>
      </w:pPr>
      <w:r w:rsidRPr="009C399D">
        <w:rPr>
          <w:rFonts w:ascii="Times New Roman" w:hAnsi="Times New Roman" w:cs="Times New Roman"/>
          <w:sz w:val="18"/>
          <w:szCs w:val="18"/>
        </w:rPr>
        <w:t xml:space="preserve">Ancient Egypt Online, </w:t>
      </w:r>
      <w:r w:rsidRPr="009C399D">
        <w:rPr>
          <w:rFonts w:ascii="Times New Roman" w:hAnsi="Times New Roman" w:cs="Times New Roman"/>
          <w:i/>
          <w:iCs/>
          <w:sz w:val="18"/>
          <w:szCs w:val="18"/>
        </w:rPr>
        <w:t>Nefertiti</w:t>
      </w:r>
      <w:r w:rsidRPr="009C399D">
        <w:rPr>
          <w:rFonts w:ascii="Times New Roman" w:hAnsi="Times New Roman" w:cs="Times New Roman"/>
          <w:sz w:val="18"/>
          <w:szCs w:val="18"/>
        </w:rPr>
        <w:t xml:space="preserve"> (2010) </w:t>
      </w:r>
      <w:hyperlink r:id="rId10" w:history="1">
        <w:r w:rsidRPr="009C399D">
          <w:rPr>
            <w:rStyle w:val="Hyperlink"/>
            <w:rFonts w:ascii="Times New Roman" w:hAnsi="Times New Roman" w:cs="Times New Roman"/>
            <w:sz w:val="18"/>
            <w:szCs w:val="18"/>
          </w:rPr>
          <w:t>https://ancientegyptonline.co.uk/nefertiti2/</w:t>
        </w:r>
      </w:hyperlink>
      <w:r w:rsidRPr="009C399D">
        <w:rPr>
          <w:rFonts w:ascii="Times New Roman" w:hAnsi="Times New Roman" w:cs="Times New Roman"/>
          <w:sz w:val="18"/>
          <w:szCs w:val="18"/>
        </w:rPr>
        <w:t xml:space="preserve"> [accessed 29</w:t>
      </w:r>
      <w:r w:rsidRPr="009C399D">
        <w:rPr>
          <w:rFonts w:ascii="Times New Roman" w:hAnsi="Times New Roman" w:cs="Times New Roman"/>
          <w:sz w:val="18"/>
          <w:szCs w:val="18"/>
          <w:vertAlign w:val="superscript"/>
        </w:rPr>
        <w:t>th</w:t>
      </w:r>
      <w:r w:rsidRPr="009C399D">
        <w:rPr>
          <w:rFonts w:ascii="Times New Roman" w:hAnsi="Times New Roman" w:cs="Times New Roman"/>
          <w:sz w:val="18"/>
          <w:szCs w:val="18"/>
        </w:rPr>
        <w:t xml:space="preserve"> November 2025] </w:t>
      </w:r>
    </w:p>
    <w:p w14:paraId="5551B2AA" w14:textId="3A400B02" w:rsidR="00513246" w:rsidRPr="00513246" w:rsidRDefault="00513246" w:rsidP="00877364">
      <w:pPr>
        <w:jc w:val="both"/>
        <w:rPr>
          <w:rFonts w:ascii="Times New Roman" w:hAnsi="Times New Roman" w:cs="Times New Roman"/>
          <w:sz w:val="18"/>
          <w:szCs w:val="18"/>
        </w:rPr>
      </w:pPr>
      <w:r w:rsidRPr="00513246">
        <w:rPr>
          <w:rFonts w:ascii="Times New Roman" w:hAnsi="Times New Roman" w:cs="Times New Roman"/>
          <w:sz w:val="18"/>
          <w:szCs w:val="18"/>
        </w:rPr>
        <w:t xml:space="preserve">Ancient Egypt Online, </w:t>
      </w:r>
      <w:r w:rsidRPr="00513246">
        <w:rPr>
          <w:rFonts w:ascii="Times New Roman" w:hAnsi="Times New Roman" w:cs="Times New Roman"/>
          <w:i/>
          <w:iCs/>
          <w:sz w:val="18"/>
          <w:szCs w:val="18"/>
        </w:rPr>
        <w:t>Taweret</w:t>
      </w:r>
      <w:r w:rsidRPr="00513246">
        <w:rPr>
          <w:rFonts w:ascii="Times New Roman" w:hAnsi="Times New Roman" w:cs="Times New Roman"/>
          <w:sz w:val="18"/>
          <w:szCs w:val="18"/>
        </w:rPr>
        <w:t xml:space="preserve"> (2016) </w:t>
      </w:r>
      <w:hyperlink r:id="rId11" w:history="1">
        <w:r w:rsidRPr="00513246">
          <w:rPr>
            <w:rStyle w:val="Hyperlink"/>
            <w:rFonts w:ascii="Times New Roman" w:hAnsi="Times New Roman" w:cs="Times New Roman"/>
            <w:sz w:val="18"/>
            <w:szCs w:val="18"/>
          </w:rPr>
          <w:t>https://ancientegyptonline.co.uk/taweret/</w:t>
        </w:r>
      </w:hyperlink>
      <w:r w:rsidRPr="00513246">
        <w:rPr>
          <w:rFonts w:ascii="Times New Roman" w:hAnsi="Times New Roman" w:cs="Times New Roman"/>
          <w:sz w:val="18"/>
          <w:szCs w:val="18"/>
        </w:rPr>
        <w:t xml:space="preserve"> [accessed 2</w:t>
      </w:r>
      <w:r w:rsidRPr="00513246">
        <w:rPr>
          <w:rFonts w:ascii="Times New Roman" w:hAnsi="Times New Roman" w:cs="Times New Roman"/>
          <w:sz w:val="18"/>
          <w:szCs w:val="18"/>
          <w:vertAlign w:val="superscript"/>
        </w:rPr>
        <w:t>nd</w:t>
      </w:r>
      <w:r w:rsidRPr="00513246">
        <w:rPr>
          <w:rFonts w:ascii="Times New Roman" w:hAnsi="Times New Roman" w:cs="Times New Roman"/>
          <w:sz w:val="18"/>
          <w:szCs w:val="18"/>
        </w:rPr>
        <w:t xml:space="preserve"> December 2025]</w:t>
      </w:r>
    </w:p>
    <w:p w14:paraId="0C3C21B4" w14:textId="3CB3B5C9" w:rsidR="000E6EB4" w:rsidRPr="009C399D" w:rsidRDefault="000E6EB4" w:rsidP="00877364">
      <w:pPr>
        <w:jc w:val="both"/>
        <w:rPr>
          <w:rFonts w:ascii="Times New Roman" w:hAnsi="Times New Roman" w:cs="Times New Roman"/>
          <w:sz w:val="18"/>
          <w:szCs w:val="18"/>
        </w:rPr>
      </w:pPr>
      <w:r w:rsidRPr="009C399D">
        <w:rPr>
          <w:rFonts w:ascii="Times New Roman" w:hAnsi="Times New Roman" w:cs="Times New Roman"/>
          <w:sz w:val="18"/>
          <w:szCs w:val="18"/>
        </w:rPr>
        <w:t xml:space="preserve">Ancient Egypt Online, </w:t>
      </w:r>
      <w:r w:rsidRPr="009C399D">
        <w:rPr>
          <w:rFonts w:ascii="Times New Roman" w:hAnsi="Times New Roman" w:cs="Times New Roman"/>
          <w:i/>
          <w:iCs/>
          <w:sz w:val="18"/>
          <w:szCs w:val="18"/>
        </w:rPr>
        <w:t>The Aten</w:t>
      </w:r>
      <w:r w:rsidRPr="009C399D">
        <w:rPr>
          <w:rFonts w:ascii="Times New Roman" w:hAnsi="Times New Roman" w:cs="Times New Roman"/>
          <w:sz w:val="18"/>
          <w:szCs w:val="18"/>
        </w:rPr>
        <w:t xml:space="preserve"> (2010) </w:t>
      </w:r>
      <w:hyperlink r:id="rId12" w:history="1">
        <w:r w:rsidRPr="009C399D">
          <w:rPr>
            <w:rStyle w:val="Hyperlink"/>
            <w:rFonts w:ascii="Times New Roman" w:hAnsi="Times New Roman" w:cs="Times New Roman"/>
            <w:sz w:val="18"/>
            <w:szCs w:val="18"/>
          </w:rPr>
          <w:t>https://ancientegyptonline.co.uk/amarnareligion/</w:t>
        </w:r>
      </w:hyperlink>
      <w:r w:rsidRPr="009C399D">
        <w:rPr>
          <w:rFonts w:ascii="Times New Roman" w:hAnsi="Times New Roman" w:cs="Times New Roman"/>
          <w:sz w:val="18"/>
          <w:szCs w:val="18"/>
        </w:rPr>
        <w:t xml:space="preserve"> [accessed 16</w:t>
      </w:r>
      <w:r w:rsidRPr="009C399D">
        <w:rPr>
          <w:rFonts w:ascii="Times New Roman" w:hAnsi="Times New Roman" w:cs="Times New Roman"/>
          <w:sz w:val="18"/>
          <w:szCs w:val="18"/>
          <w:vertAlign w:val="superscript"/>
        </w:rPr>
        <w:t>th</w:t>
      </w:r>
      <w:r w:rsidRPr="009C399D">
        <w:rPr>
          <w:rFonts w:ascii="Times New Roman" w:hAnsi="Times New Roman" w:cs="Times New Roman"/>
          <w:sz w:val="18"/>
          <w:szCs w:val="18"/>
        </w:rPr>
        <w:t xml:space="preserve"> November] </w:t>
      </w:r>
    </w:p>
    <w:p w14:paraId="7A545CD8" w14:textId="05A2CAA8" w:rsidR="00E876E1" w:rsidRPr="009C399D" w:rsidRDefault="00E876E1" w:rsidP="00877364">
      <w:pPr>
        <w:jc w:val="both"/>
        <w:rPr>
          <w:rFonts w:ascii="Times New Roman" w:hAnsi="Times New Roman" w:cs="Times New Roman"/>
          <w:sz w:val="18"/>
          <w:szCs w:val="18"/>
        </w:rPr>
      </w:pPr>
      <w:r w:rsidRPr="009C399D">
        <w:rPr>
          <w:rFonts w:ascii="Times New Roman" w:hAnsi="Times New Roman" w:cs="Times New Roman"/>
          <w:sz w:val="18"/>
          <w:szCs w:val="18"/>
        </w:rPr>
        <w:t xml:space="preserve">Banquet Scene </w:t>
      </w:r>
      <w:hyperlink r:id="rId13" w:history="1">
        <w:r w:rsidRPr="009C399D">
          <w:rPr>
            <w:rStyle w:val="Hyperlink"/>
            <w:rFonts w:ascii="Times New Roman" w:hAnsi="Times New Roman" w:cs="Times New Roman"/>
            <w:sz w:val="18"/>
            <w:szCs w:val="18"/>
          </w:rPr>
          <w:t>https://commons.wikimedia.org/wiki/File:Banquet_scene_in_Huya%27s_tomb.png</w:t>
        </w:r>
      </w:hyperlink>
      <w:r w:rsidRPr="009C399D">
        <w:rPr>
          <w:rFonts w:ascii="Times New Roman" w:hAnsi="Times New Roman" w:cs="Times New Roman"/>
          <w:sz w:val="18"/>
          <w:szCs w:val="18"/>
        </w:rPr>
        <w:t xml:space="preserve"> [accessed 22</w:t>
      </w:r>
      <w:r w:rsidRPr="009C399D">
        <w:rPr>
          <w:rFonts w:ascii="Times New Roman" w:hAnsi="Times New Roman" w:cs="Times New Roman"/>
          <w:sz w:val="18"/>
          <w:szCs w:val="18"/>
          <w:vertAlign w:val="superscript"/>
        </w:rPr>
        <w:t>nd</w:t>
      </w:r>
      <w:r w:rsidRPr="009C399D">
        <w:rPr>
          <w:rFonts w:ascii="Times New Roman" w:hAnsi="Times New Roman" w:cs="Times New Roman"/>
          <w:sz w:val="18"/>
          <w:szCs w:val="18"/>
        </w:rPr>
        <w:t xml:space="preserve"> November 2025] </w:t>
      </w:r>
    </w:p>
    <w:p w14:paraId="298C7C27" w14:textId="2F789E7F" w:rsidR="007B4B99" w:rsidRDefault="007B4B99" w:rsidP="00201DAB">
      <w:pPr>
        <w:pStyle w:val="FootnoteText"/>
        <w:rPr>
          <w:rFonts w:ascii="Times New Roman" w:hAnsi="Times New Roman" w:cs="Times New Roman"/>
          <w:sz w:val="18"/>
          <w:szCs w:val="18"/>
        </w:rPr>
      </w:pPr>
      <w:r w:rsidRPr="009C399D">
        <w:rPr>
          <w:rFonts w:ascii="Times New Roman" w:hAnsi="Times New Roman" w:cs="Times New Roman"/>
          <w:sz w:val="18"/>
          <w:szCs w:val="18"/>
        </w:rPr>
        <w:t xml:space="preserve">Biblical Archaeological Society Library, </w:t>
      </w:r>
      <w:r w:rsidRPr="009C399D">
        <w:rPr>
          <w:rFonts w:ascii="Times New Roman" w:hAnsi="Times New Roman" w:cs="Times New Roman"/>
          <w:i/>
          <w:iCs/>
          <w:sz w:val="18"/>
          <w:szCs w:val="18"/>
        </w:rPr>
        <w:t>What’s in a Name?: Nefertiti</w:t>
      </w:r>
      <w:r w:rsidRPr="009C399D">
        <w:rPr>
          <w:rFonts w:ascii="Times New Roman" w:hAnsi="Times New Roman" w:cs="Times New Roman"/>
          <w:sz w:val="18"/>
          <w:szCs w:val="18"/>
        </w:rPr>
        <w:t xml:space="preserve">, </w:t>
      </w:r>
      <w:hyperlink r:id="rId14" w:history="1">
        <w:r w:rsidRPr="009C399D">
          <w:rPr>
            <w:rStyle w:val="Hyperlink"/>
            <w:rFonts w:ascii="Times New Roman" w:hAnsi="Times New Roman" w:cs="Times New Roman"/>
            <w:sz w:val="18"/>
            <w:szCs w:val="18"/>
          </w:rPr>
          <w:t>https://library.biblicalarchaeology.org/department/whats-in-a-name-nefertiti/</w:t>
        </w:r>
      </w:hyperlink>
      <w:r w:rsidRPr="009C399D">
        <w:rPr>
          <w:rFonts w:ascii="Times New Roman" w:hAnsi="Times New Roman" w:cs="Times New Roman"/>
          <w:sz w:val="18"/>
          <w:szCs w:val="18"/>
        </w:rPr>
        <w:t xml:space="preserve"> [accessed 22</w:t>
      </w:r>
      <w:r w:rsidRPr="009C399D">
        <w:rPr>
          <w:rFonts w:ascii="Times New Roman" w:hAnsi="Times New Roman" w:cs="Times New Roman"/>
          <w:sz w:val="18"/>
          <w:szCs w:val="18"/>
          <w:vertAlign w:val="superscript"/>
        </w:rPr>
        <w:t>nd</w:t>
      </w:r>
      <w:r w:rsidRPr="009C399D">
        <w:rPr>
          <w:rFonts w:ascii="Times New Roman" w:hAnsi="Times New Roman" w:cs="Times New Roman"/>
          <w:sz w:val="18"/>
          <w:szCs w:val="18"/>
        </w:rPr>
        <w:t xml:space="preserve"> November 2025]</w:t>
      </w:r>
    </w:p>
    <w:p w14:paraId="28F5FB1F" w14:textId="77777777" w:rsidR="00BA781C" w:rsidRDefault="00BA781C" w:rsidP="00201DAB">
      <w:pPr>
        <w:pStyle w:val="FootnoteText"/>
        <w:rPr>
          <w:rFonts w:ascii="Times New Roman" w:hAnsi="Times New Roman" w:cs="Times New Roman"/>
          <w:sz w:val="18"/>
          <w:szCs w:val="18"/>
        </w:rPr>
      </w:pPr>
    </w:p>
    <w:p w14:paraId="159D03C8" w14:textId="43A6D39E" w:rsidR="00B22D77" w:rsidRDefault="00B22D77" w:rsidP="00201DAB">
      <w:pPr>
        <w:pStyle w:val="FootnoteText"/>
        <w:rPr>
          <w:rFonts w:ascii="Times New Roman" w:hAnsi="Times New Roman" w:cs="Times New Roman"/>
        </w:rPr>
      </w:pPr>
      <w:r>
        <w:rPr>
          <w:rFonts w:ascii="Times New Roman" w:hAnsi="Times New Roman" w:cs="Times New Roman"/>
        </w:rPr>
        <w:t xml:space="preserve">Britannica, </w:t>
      </w:r>
      <w:r w:rsidRPr="0098533C">
        <w:rPr>
          <w:rFonts w:ascii="Times New Roman" w:hAnsi="Times New Roman" w:cs="Times New Roman"/>
          <w:i/>
          <w:iCs/>
        </w:rPr>
        <w:t>Akhenaten</w:t>
      </w:r>
      <w:r>
        <w:rPr>
          <w:rFonts w:ascii="Times New Roman" w:hAnsi="Times New Roman" w:cs="Times New Roman"/>
        </w:rPr>
        <w:t xml:space="preserve"> (1999) </w:t>
      </w:r>
      <w:hyperlink r:id="rId15" w:history="1">
        <w:r w:rsidRPr="00903A62">
          <w:rPr>
            <w:rStyle w:val="Hyperlink"/>
            <w:rFonts w:ascii="Times New Roman" w:hAnsi="Times New Roman" w:cs="Times New Roman"/>
          </w:rPr>
          <w:t>https://www.britannica.com/biography/Akhenaten</w:t>
        </w:r>
      </w:hyperlink>
      <w:r>
        <w:rPr>
          <w:rFonts w:ascii="Times New Roman" w:hAnsi="Times New Roman" w:cs="Times New Roman"/>
        </w:rPr>
        <w:t xml:space="preserve"> [accessed 2nd December 2025]</w:t>
      </w:r>
    </w:p>
    <w:p w14:paraId="4B784081" w14:textId="77777777" w:rsidR="00B22D77" w:rsidRDefault="00B22D77" w:rsidP="00201DAB">
      <w:pPr>
        <w:pStyle w:val="FootnoteText"/>
        <w:rPr>
          <w:rFonts w:ascii="Times New Roman" w:hAnsi="Times New Roman" w:cs="Times New Roman"/>
        </w:rPr>
      </w:pPr>
    </w:p>
    <w:p w14:paraId="00BEDCBE" w14:textId="1D02F5D1" w:rsidR="00B22D77" w:rsidRDefault="00B22D77" w:rsidP="00201DAB">
      <w:pPr>
        <w:pStyle w:val="FootnoteText"/>
        <w:rPr>
          <w:rFonts w:ascii="Times New Roman" w:hAnsi="Times New Roman" w:cs="Times New Roman"/>
          <w:sz w:val="18"/>
          <w:szCs w:val="18"/>
        </w:rPr>
      </w:pPr>
      <w:r>
        <w:rPr>
          <w:rFonts w:ascii="Times New Roman" w:hAnsi="Times New Roman" w:cs="Times New Roman"/>
        </w:rPr>
        <w:t xml:space="preserve">Britannica, </w:t>
      </w:r>
      <w:r w:rsidRPr="00950479">
        <w:rPr>
          <w:rFonts w:ascii="Times New Roman" w:hAnsi="Times New Roman" w:cs="Times New Roman"/>
          <w:i/>
          <w:iCs/>
        </w:rPr>
        <w:t>Sistrum</w:t>
      </w:r>
      <w:r>
        <w:rPr>
          <w:rFonts w:ascii="Times New Roman" w:hAnsi="Times New Roman" w:cs="Times New Roman"/>
        </w:rPr>
        <w:t xml:space="preserve"> (1998) </w:t>
      </w:r>
      <w:hyperlink r:id="rId16" w:history="1">
        <w:r w:rsidRPr="00506889">
          <w:rPr>
            <w:rStyle w:val="Hyperlink"/>
            <w:rFonts w:ascii="Times New Roman" w:hAnsi="Times New Roman" w:cs="Times New Roman"/>
          </w:rPr>
          <w:t>https://www.britannica.com/art/sistrum</w:t>
        </w:r>
      </w:hyperlink>
      <w:r>
        <w:rPr>
          <w:rFonts w:ascii="Times New Roman" w:hAnsi="Times New Roman" w:cs="Times New Roman"/>
        </w:rPr>
        <w:t xml:space="preserve"> [accessed 4th December 2025]</w:t>
      </w:r>
    </w:p>
    <w:p w14:paraId="138A4C01" w14:textId="77777777" w:rsidR="00B22D77" w:rsidRPr="009C399D" w:rsidRDefault="00B22D77" w:rsidP="00201DAB">
      <w:pPr>
        <w:pStyle w:val="FootnoteText"/>
        <w:rPr>
          <w:rFonts w:ascii="Times New Roman" w:hAnsi="Times New Roman" w:cs="Times New Roman"/>
          <w:sz w:val="18"/>
          <w:szCs w:val="18"/>
        </w:rPr>
      </w:pPr>
    </w:p>
    <w:p w14:paraId="361EEF60" w14:textId="35223533" w:rsidR="00607119" w:rsidRPr="009C399D" w:rsidRDefault="00607119" w:rsidP="00877364">
      <w:pPr>
        <w:jc w:val="both"/>
        <w:rPr>
          <w:rFonts w:ascii="Times New Roman" w:hAnsi="Times New Roman" w:cs="Times New Roman"/>
          <w:sz w:val="18"/>
          <w:szCs w:val="18"/>
        </w:rPr>
      </w:pPr>
      <w:r w:rsidRPr="009C399D">
        <w:rPr>
          <w:rFonts w:ascii="Times New Roman" w:hAnsi="Times New Roman" w:cs="Times New Roman"/>
          <w:sz w:val="18"/>
          <w:szCs w:val="18"/>
        </w:rPr>
        <w:t xml:space="preserve">Davies, Norman de Garis, </w:t>
      </w:r>
      <w:r w:rsidRPr="009C399D">
        <w:rPr>
          <w:rFonts w:ascii="Times New Roman" w:hAnsi="Times New Roman" w:cs="Times New Roman"/>
          <w:i/>
          <w:iCs/>
          <w:sz w:val="18"/>
          <w:szCs w:val="18"/>
        </w:rPr>
        <w:t xml:space="preserve">The Rock Tombs of Amarna. Part II – The Tomb of </w:t>
      </w:r>
      <w:proofErr w:type="spellStart"/>
      <w:r w:rsidRPr="009C399D">
        <w:rPr>
          <w:rFonts w:ascii="Times New Roman" w:hAnsi="Times New Roman" w:cs="Times New Roman"/>
          <w:i/>
          <w:iCs/>
          <w:sz w:val="18"/>
          <w:szCs w:val="18"/>
        </w:rPr>
        <w:t>Panehesy</w:t>
      </w:r>
      <w:proofErr w:type="spellEnd"/>
      <w:r w:rsidRPr="009C399D">
        <w:rPr>
          <w:rFonts w:ascii="Times New Roman" w:hAnsi="Times New Roman" w:cs="Times New Roman"/>
          <w:i/>
          <w:iCs/>
          <w:sz w:val="18"/>
          <w:szCs w:val="18"/>
        </w:rPr>
        <w:t xml:space="preserve"> and </w:t>
      </w:r>
      <w:proofErr w:type="spellStart"/>
      <w:r w:rsidRPr="009C399D">
        <w:rPr>
          <w:rFonts w:ascii="Times New Roman" w:hAnsi="Times New Roman" w:cs="Times New Roman"/>
          <w:i/>
          <w:iCs/>
          <w:sz w:val="18"/>
          <w:szCs w:val="18"/>
        </w:rPr>
        <w:t>Meryre</w:t>
      </w:r>
      <w:proofErr w:type="spellEnd"/>
      <w:r w:rsidRPr="009C399D">
        <w:rPr>
          <w:rFonts w:ascii="Times New Roman" w:hAnsi="Times New Roman" w:cs="Times New Roman"/>
          <w:i/>
          <w:iCs/>
          <w:sz w:val="18"/>
          <w:szCs w:val="18"/>
        </w:rPr>
        <w:t xml:space="preserve"> II</w:t>
      </w:r>
      <w:r w:rsidRPr="009C399D">
        <w:rPr>
          <w:rFonts w:ascii="Times New Roman" w:hAnsi="Times New Roman" w:cs="Times New Roman"/>
          <w:sz w:val="18"/>
          <w:szCs w:val="18"/>
        </w:rPr>
        <w:t xml:space="preserve"> (London, 1905)</w:t>
      </w:r>
    </w:p>
    <w:p w14:paraId="1AF280A5" w14:textId="1F388C9D" w:rsidR="00CF6C1D" w:rsidRPr="009C399D" w:rsidRDefault="00CF6C1D" w:rsidP="00877364">
      <w:pPr>
        <w:jc w:val="both"/>
        <w:rPr>
          <w:rFonts w:ascii="Times New Roman" w:hAnsi="Times New Roman" w:cs="Times New Roman"/>
          <w:sz w:val="18"/>
          <w:szCs w:val="18"/>
        </w:rPr>
      </w:pPr>
      <w:r w:rsidRPr="009C399D">
        <w:rPr>
          <w:rFonts w:ascii="Times New Roman" w:hAnsi="Times New Roman" w:cs="Times New Roman"/>
          <w:sz w:val="18"/>
          <w:szCs w:val="18"/>
        </w:rPr>
        <w:t>Harris, J. R. </w:t>
      </w:r>
      <w:proofErr w:type="spellStart"/>
      <w:r w:rsidRPr="009C399D">
        <w:rPr>
          <w:rFonts w:ascii="Times New Roman" w:hAnsi="Times New Roman" w:cs="Times New Roman"/>
          <w:i/>
          <w:iCs/>
          <w:sz w:val="18"/>
          <w:szCs w:val="18"/>
        </w:rPr>
        <w:t>Neferneferuaten</w:t>
      </w:r>
      <w:proofErr w:type="spellEnd"/>
      <w:r w:rsidRPr="009C399D">
        <w:rPr>
          <w:rFonts w:ascii="Times New Roman" w:hAnsi="Times New Roman" w:cs="Times New Roman"/>
          <w:i/>
          <w:iCs/>
          <w:sz w:val="18"/>
          <w:szCs w:val="18"/>
        </w:rPr>
        <w:t xml:space="preserve"> </w:t>
      </w:r>
      <w:proofErr w:type="spellStart"/>
      <w:r w:rsidRPr="009C399D">
        <w:rPr>
          <w:rFonts w:ascii="Times New Roman" w:hAnsi="Times New Roman" w:cs="Times New Roman"/>
          <w:i/>
          <w:iCs/>
          <w:sz w:val="18"/>
          <w:szCs w:val="18"/>
        </w:rPr>
        <w:t>Rediviva</w:t>
      </w:r>
      <w:proofErr w:type="spellEnd"/>
      <w:r w:rsidRPr="009C399D">
        <w:rPr>
          <w:rFonts w:ascii="Times New Roman" w:hAnsi="Times New Roman" w:cs="Times New Roman"/>
          <w:sz w:val="18"/>
          <w:szCs w:val="18"/>
        </w:rPr>
        <w:t>; 1973 in "Acta Orientalia"</w:t>
      </w:r>
    </w:p>
    <w:p w14:paraId="1C5BD379" w14:textId="6B76FC7D" w:rsidR="00BC5D27" w:rsidRPr="00BC5D27" w:rsidRDefault="00BC5D27" w:rsidP="00877364">
      <w:pPr>
        <w:jc w:val="both"/>
        <w:rPr>
          <w:rFonts w:ascii="Times New Roman" w:hAnsi="Times New Roman" w:cs="Times New Roman"/>
          <w:sz w:val="18"/>
          <w:szCs w:val="18"/>
        </w:rPr>
      </w:pPr>
      <w:r w:rsidRPr="00BC5D27">
        <w:rPr>
          <w:rFonts w:ascii="Times New Roman" w:hAnsi="Times New Roman" w:cs="Times New Roman"/>
          <w:sz w:val="18"/>
          <w:szCs w:val="18"/>
        </w:rPr>
        <w:t>Harrsch</w:t>
      </w:r>
      <w:r>
        <w:rPr>
          <w:rFonts w:ascii="Times New Roman" w:hAnsi="Times New Roman" w:cs="Times New Roman"/>
          <w:sz w:val="18"/>
          <w:szCs w:val="18"/>
        </w:rPr>
        <w:t>, Mary</w:t>
      </w:r>
      <w:r w:rsidRPr="00BC5D27">
        <w:rPr>
          <w:rFonts w:ascii="Times New Roman" w:hAnsi="Times New Roman" w:cs="Times New Roman"/>
          <w:sz w:val="18"/>
          <w:szCs w:val="18"/>
        </w:rPr>
        <w:t xml:space="preserve">, </w:t>
      </w:r>
      <w:r w:rsidRPr="00BC5D27">
        <w:rPr>
          <w:rFonts w:ascii="Times New Roman" w:hAnsi="Times New Roman" w:cs="Times New Roman"/>
          <w:i/>
          <w:iCs/>
          <w:sz w:val="18"/>
          <w:szCs w:val="18"/>
        </w:rPr>
        <w:t xml:space="preserve">Fragment of a limestone column depicting Queen Nefertiti offering a bouquet to the Aten followed by Princess </w:t>
      </w:r>
      <w:proofErr w:type="spellStart"/>
      <w:r w:rsidRPr="00BC5D27">
        <w:rPr>
          <w:rFonts w:ascii="Times New Roman" w:hAnsi="Times New Roman" w:cs="Times New Roman"/>
          <w:i/>
          <w:iCs/>
          <w:sz w:val="18"/>
          <w:szCs w:val="18"/>
        </w:rPr>
        <w:t>Merataten</w:t>
      </w:r>
      <w:proofErr w:type="spellEnd"/>
      <w:r w:rsidRPr="00BC5D27">
        <w:rPr>
          <w:rFonts w:ascii="Times New Roman" w:hAnsi="Times New Roman" w:cs="Times New Roman"/>
          <w:i/>
          <w:iCs/>
          <w:sz w:val="18"/>
          <w:szCs w:val="18"/>
        </w:rPr>
        <w:t xml:space="preserve"> shaking a sistrum from the Great Palace at Tell </w:t>
      </w:r>
      <w:proofErr w:type="spellStart"/>
      <w:r w:rsidRPr="00BC5D27">
        <w:rPr>
          <w:rFonts w:ascii="Times New Roman" w:hAnsi="Times New Roman" w:cs="Times New Roman"/>
          <w:i/>
          <w:iCs/>
          <w:sz w:val="18"/>
          <w:szCs w:val="18"/>
        </w:rPr>
        <w:t>el-Amarna</w:t>
      </w:r>
      <w:proofErr w:type="spellEnd"/>
      <w:r w:rsidRPr="00BC5D27">
        <w:rPr>
          <w:rFonts w:ascii="Times New Roman" w:hAnsi="Times New Roman" w:cs="Times New Roman"/>
          <w:i/>
          <w:iCs/>
          <w:sz w:val="18"/>
          <w:szCs w:val="18"/>
        </w:rPr>
        <w:t xml:space="preserve"> Egypt 18</w:t>
      </w:r>
      <w:r w:rsidRPr="00BC5D27">
        <w:rPr>
          <w:rFonts w:ascii="Times New Roman" w:hAnsi="Times New Roman" w:cs="Times New Roman"/>
          <w:i/>
          <w:iCs/>
          <w:sz w:val="18"/>
          <w:szCs w:val="18"/>
          <w:vertAlign w:val="superscript"/>
        </w:rPr>
        <w:t>th</w:t>
      </w:r>
      <w:r w:rsidRPr="00BC5D27">
        <w:rPr>
          <w:rFonts w:ascii="Times New Roman" w:hAnsi="Times New Roman" w:cs="Times New Roman"/>
          <w:i/>
          <w:iCs/>
          <w:sz w:val="18"/>
          <w:szCs w:val="18"/>
        </w:rPr>
        <w:t xml:space="preserve"> Dynasty</w:t>
      </w:r>
      <w:r w:rsidRPr="00BC5D27">
        <w:rPr>
          <w:rFonts w:ascii="Times New Roman" w:hAnsi="Times New Roman" w:cs="Times New Roman"/>
          <w:sz w:val="18"/>
          <w:szCs w:val="18"/>
        </w:rPr>
        <w:t>,</w:t>
      </w:r>
      <w:r w:rsidR="002F734C">
        <w:rPr>
          <w:rFonts w:ascii="Times New Roman" w:hAnsi="Times New Roman" w:cs="Times New Roman"/>
          <w:sz w:val="18"/>
          <w:szCs w:val="18"/>
        </w:rPr>
        <w:t xml:space="preserve"> 2018</w:t>
      </w:r>
      <w:r w:rsidRPr="00BC5D27">
        <w:rPr>
          <w:rFonts w:ascii="Times New Roman" w:hAnsi="Times New Roman" w:cs="Times New Roman"/>
          <w:sz w:val="18"/>
          <w:szCs w:val="18"/>
        </w:rPr>
        <w:t xml:space="preserve"> </w:t>
      </w:r>
      <w:hyperlink r:id="rId17" w:history="1">
        <w:r w:rsidRPr="00BC5D27">
          <w:rPr>
            <w:rStyle w:val="Hyperlink"/>
            <w:rFonts w:ascii="Times New Roman" w:hAnsi="Times New Roman" w:cs="Times New Roman"/>
            <w:sz w:val="18"/>
            <w:szCs w:val="18"/>
          </w:rPr>
          <w:t>Fragment of a limestone column depicting Queen Nefertiti o… | Flickr</w:t>
        </w:r>
      </w:hyperlink>
      <w:r w:rsidRPr="00BC5D27">
        <w:rPr>
          <w:rFonts w:ascii="Times New Roman" w:hAnsi="Times New Roman" w:cs="Times New Roman"/>
          <w:sz w:val="18"/>
          <w:szCs w:val="18"/>
        </w:rPr>
        <w:t xml:space="preserve"> [accessed 29</w:t>
      </w:r>
      <w:r w:rsidRPr="00BC5D27">
        <w:rPr>
          <w:rFonts w:ascii="Times New Roman" w:hAnsi="Times New Roman" w:cs="Times New Roman"/>
          <w:sz w:val="18"/>
          <w:szCs w:val="18"/>
          <w:vertAlign w:val="superscript"/>
        </w:rPr>
        <w:t>th</w:t>
      </w:r>
      <w:r w:rsidRPr="00BC5D27">
        <w:rPr>
          <w:rFonts w:ascii="Times New Roman" w:hAnsi="Times New Roman" w:cs="Times New Roman"/>
          <w:sz w:val="18"/>
          <w:szCs w:val="18"/>
        </w:rPr>
        <w:t xml:space="preserve"> November 2025]</w:t>
      </w:r>
    </w:p>
    <w:p w14:paraId="58DDCA02" w14:textId="2622B3E3" w:rsidR="009C399D" w:rsidRPr="009C399D" w:rsidRDefault="00A12C55" w:rsidP="00877364">
      <w:pPr>
        <w:jc w:val="both"/>
        <w:rPr>
          <w:rFonts w:ascii="Times New Roman" w:hAnsi="Times New Roman" w:cs="Times New Roman"/>
          <w:sz w:val="18"/>
          <w:szCs w:val="18"/>
        </w:rPr>
      </w:pPr>
      <w:r>
        <w:rPr>
          <w:rFonts w:ascii="Times New Roman" w:hAnsi="Times New Roman" w:cs="Times New Roman"/>
          <w:sz w:val="18"/>
          <w:szCs w:val="18"/>
        </w:rPr>
        <w:t xml:space="preserve">Ikram, </w:t>
      </w:r>
      <w:r w:rsidR="009C399D" w:rsidRPr="009C399D">
        <w:rPr>
          <w:rFonts w:ascii="Times New Roman" w:hAnsi="Times New Roman" w:cs="Times New Roman"/>
          <w:sz w:val="18"/>
          <w:szCs w:val="18"/>
        </w:rPr>
        <w:t>Salima, ‘Domestic Shrines and the Cult of the Royal Family at el-‘</w:t>
      </w:r>
      <w:proofErr w:type="spellStart"/>
      <w:r w:rsidR="009C399D" w:rsidRPr="009C399D">
        <w:rPr>
          <w:rFonts w:ascii="Times New Roman" w:hAnsi="Times New Roman" w:cs="Times New Roman"/>
          <w:sz w:val="18"/>
          <w:szCs w:val="18"/>
        </w:rPr>
        <w:t>Amarna</w:t>
      </w:r>
      <w:proofErr w:type="spellEnd"/>
      <w:r w:rsidR="009C399D" w:rsidRPr="009C399D">
        <w:rPr>
          <w:rFonts w:ascii="Times New Roman" w:hAnsi="Times New Roman" w:cs="Times New Roman"/>
          <w:sz w:val="18"/>
          <w:szCs w:val="18"/>
        </w:rPr>
        <w:t xml:space="preserve">’, The Journal of Egyptian Archaeology Vol. 75 (1989), p. 89-101 </w:t>
      </w:r>
      <w:hyperlink r:id="rId18" w:history="1">
        <w:r w:rsidR="009C399D" w:rsidRPr="009C399D">
          <w:rPr>
            <w:rStyle w:val="Hyperlink"/>
            <w:rFonts w:ascii="Times New Roman" w:hAnsi="Times New Roman" w:cs="Times New Roman"/>
            <w:sz w:val="18"/>
            <w:szCs w:val="18"/>
          </w:rPr>
          <w:t>https://www.jstor.org/stable/3821901?seq=1</w:t>
        </w:r>
      </w:hyperlink>
      <w:r w:rsidR="009C399D" w:rsidRPr="009C399D">
        <w:rPr>
          <w:rFonts w:ascii="Times New Roman" w:hAnsi="Times New Roman" w:cs="Times New Roman"/>
          <w:sz w:val="18"/>
          <w:szCs w:val="18"/>
        </w:rPr>
        <w:t xml:space="preserve"> [accessed 3</w:t>
      </w:r>
      <w:r w:rsidR="009C399D" w:rsidRPr="009C399D">
        <w:rPr>
          <w:rFonts w:ascii="Times New Roman" w:hAnsi="Times New Roman" w:cs="Times New Roman"/>
          <w:sz w:val="18"/>
          <w:szCs w:val="18"/>
          <w:vertAlign w:val="superscript"/>
        </w:rPr>
        <w:t>rd</w:t>
      </w:r>
      <w:r w:rsidR="009C399D" w:rsidRPr="009C399D">
        <w:rPr>
          <w:rFonts w:ascii="Times New Roman" w:hAnsi="Times New Roman" w:cs="Times New Roman"/>
          <w:sz w:val="18"/>
          <w:szCs w:val="18"/>
        </w:rPr>
        <w:t xml:space="preserve"> December 2025]</w:t>
      </w:r>
    </w:p>
    <w:p w14:paraId="7857E9C2" w14:textId="6B773FF7" w:rsidR="00A718DE" w:rsidRPr="009C399D" w:rsidRDefault="00A718DE" w:rsidP="00877364">
      <w:pPr>
        <w:jc w:val="both"/>
        <w:rPr>
          <w:rFonts w:ascii="Times New Roman" w:hAnsi="Times New Roman" w:cs="Times New Roman"/>
          <w:sz w:val="18"/>
          <w:szCs w:val="18"/>
        </w:rPr>
      </w:pPr>
      <w:r w:rsidRPr="009C399D">
        <w:rPr>
          <w:rFonts w:ascii="Times New Roman" w:hAnsi="Times New Roman" w:cs="Times New Roman"/>
          <w:sz w:val="18"/>
          <w:szCs w:val="18"/>
        </w:rPr>
        <w:t xml:space="preserve">Pinch, Geraldine, </w:t>
      </w:r>
      <w:r w:rsidRPr="009C399D">
        <w:rPr>
          <w:rFonts w:ascii="Times New Roman" w:hAnsi="Times New Roman" w:cs="Times New Roman"/>
          <w:i/>
          <w:iCs/>
          <w:sz w:val="18"/>
          <w:szCs w:val="18"/>
        </w:rPr>
        <w:t>Handbook of Egyptian Mythology</w:t>
      </w:r>
      <w:r w:rsidRPr="009C399D">
        <w:rPr>
          <w:rFonts w:ascii="Times New Roman" w:hAnsi="Times New Roman" w:cs="Times New Roman"/>
          <w:sz w:val="18"/>
          <w:szCs w:val="18"/>
        </w:rPr>
        <w:t xml:space="preserve"> (Santa Barbara, California: 2002)</w:t>
      </w:r>
      <w:r w:rsidR="0062608D" w:rsidRPr="009C399D">
        <w:rPr>
          <w:rFonts w:ascii="Times New Roman" w:hAnsi="Times New Roman" w:cs="Times New Roman"/>
          <w:sz w:val="18"/>
          <w:szCs w:val="18"/>
        </w:rPr>
        <w:t xml:space="preserve">, </w:t>
      </w:r>
      <w:hyperlink r:id="rId19" w:history="1">
        <w:r w:rsidR="0062608D" w:rsidRPr="009C399D">
          <w:rPr>
            <w:rStyle w:val="Hyperlink"/>
            <w:rFonts w:ascii="Times New Roman" w:hAnsi="Times New Roman" w:cs="Times New Roman"/>
            <w:sz w:val="18"/>
            <w:szCs w:val="18"/>
          </w:rPr>
          <w:t>https://ebookcentral.proquest.com/lib/trinity/reader.action?docID=265430&amp;c=UERG&amp;ppg=4</w:t>
        </w:r>
      </w:hyperlink>
      <w:r w:rsidR="0062608D" w:rsidRPr="009C399D">
        <w:rPr>
          <w:rFonts w:ascii="Times New Roman" w:hAnsi="Times New Roman" w:cs="Times New Roman"/>
          <w:sz w:val="18"/>
          <w:szCs w:val="18"/>
        </w:rPr>
        <w:t xml:space="preserve"> </w:t>
      </w:r>
    </w:p>
    <w:p w14:paraId="0B793E00" w14:textId="0E50952A" w:rsidR="00123C41" w:rsidRPr="009C399D" w:rsidRDefault="00123C41" w:rsidP="00877364">
      <w:pPr>
        <w:jc w:val="both"/>
        <w:rPr>
          <w:rFonts w:ascii="Times New Roman" w:hAnsi="Times New Roman" w:cs="Times New Roman"/>
          <w:sz w:val="18"/>
          <w:szCs w:val="18"/>
        </w:rPr>
      </w:pPr>
      <w:r w:rsidRPr="009C399D">
        <w:rPr>
          <w:rFonts w:ascii="Times New Roman" w:hAnsi="Times New Roman" w:cs="Times New Roman"/>
          <w:sz w:val="18"/>
          <w:szCs w:val="18"/>
        </w:rPr>
        <w:lastRenderedPageBreak/>
        <w:t xml:space="preserve">Nefertiti Offerings </w:t>
      </w:r>
      <w:hyperlink r:id="rId20" w:history="1">
        <w:r w:rsidRPr="009C399D">
          <w:rPr>
            <w:rStyle w:val="Hyperlink"/>
            <w:rFonts w:ascii="Times New Roman" w:hAnsi="Times New Roman" w:cs="Times New Roman"/>
            <w:sz w:val="18"/>
            <w:szCs w:val="18"/>
          </w:rPr>
          <w:t>https://commons.wikimedia.org/wiki/File:Fragment_of_a_limestone_column_depicting_Queen_Nefertiti_offering_a_bouquet_to_the_Aten_followed_by_Princess_Merataten_shaking_a_sistrum_from_the_Great_Palace_at_Tell_el-Amarna_Egypt_18th_dynasty_%2843983917494%29.jpg</w:t>
        </w:r>
      </w:hyperlink>
      <w:r w:rsidRPr="009C399D">
        <w:rPr>
          <w:rFonts w:ascii="Times New Roman" w:hAnsi="Times New Roman" w:cs="Times New Roman"/>
          <w:sz w:val="18"/>
          <w:szCs w:val="18"/>
        </w:rPr>
        <w:t xml:space="preserve"> </w:t>
      </w:r>
    </w:p>
    <w:p w14:paraId="698B7A10" w14:textId="2F9F3B4F" w:rsidR="00EE1B93" w:rsidRPr="00EE1B93" w:rsidRDefault="00EE1B93" w:rsidP="00EE1B93">
      <w:pPr>
        <w:pStyle w:val="FootnoteText"/>
        <w:rPr>
          <w:rFonts w:ascii="Times New Roman" w:hAnsi="Times New Roman" w:cs="Times New Roman"/>
          <w:sz w:val="18"/>
          <w:szCs w:val="18"/>
        </w:rPr>
      </w:pPr>
      <w:r w:rsidRPr="00EE1B93">
        <w:rPr>
          <w:rFonts w:ascii="Times New Roman" w:hAnsi="Times New Roman" w:cs="Times New Roman"/>
          <w:sz w:val="18"/>
          <w:szCs w:val="18"/>
        </w:rPr>
        <w:t xml:space="preserve">Stevens, Anna, </w:t>
      </w:r>
      <w:r w:rsidRPr="00EE1B93">
        <w:rPr>
          <w:rFonts w:ascii="Times New Roman" w:hAnsi="Times New Roman" w:cs="Times New Roman"/>
          <w:i/>
          <w:iCs/>
          <w:sz w:val="18"/>
          <w:szCs w:val="18"/>
        </w:rPr>
        <w:t>Private Religion at Amarna: The Material Evidence</w:t>
      </w:r>
      <w:r w:rsidRPr="00EE1B93">
        <w:rPr>
          <w:rFonts w:ascii="Times New Roman" w:hAnsi="Times New Roman" w:cs="Times New Roman"/>
          <w:sz w:val="18"/>
          <w:szCs w:val="18"/>
        </w:rPr>
        <w:t xml:space="preserve"> (Oxford: BAR Publishing, 2016)</w:t>
      </w:r>
    </w:p>
    <w:p w14:paraId="14C24353" w14:textId="77777777" w:rsidR="00EE1B93" w:rsidRPr="00EE1B93" w:rsidRDefault="00EE1B93" w:rsidP="00EE1B93">
      <w:pPr>
        <w:pStyle w:val="FootnoteText"/>
        <w:rPr>
          <w:rFonts w:ascii="Times New Roman" w:hAnsi="Times New Roman" w:cs="Times New Roman"/>
        </w:rPr>
      </w:pPr>
    </w:p>
    <w:p w14:paraId="449B770D" w14:textId="462DE3DD" w:rsidR="00A66464" w:rsidRPr="00A66464" w:rsidRDefault="00A66464" w:rsidP="00877364">
      <w:pPr>
        <w:jc w:val="both"/>
        <w:rPr>
          <w:rFonts w:ascii="Times New Roman" w:hAnsi="Times New Roman" w:cs="Times New Roman"/>
          <w:sz w:val="18"/>
          <w:szCs w:val="18"/>
        </w:rPr>
      </w:pPr>
      <w:r w:rsidRPr="00A66464">
        <w:rPr>
          <w:rFonts w:ascii="Times New Roman" w:hAnsi="Times New Roman" w:cs="Times New Roman"/>
          <w:sz w:val="18"/>
          <w:szCs w:val="18"/>
        </w:rPr>
        <w:t>van Oppen de Ruiter</w:t>
      </w:r>
      <w:r>
        <w:rPr>
          <w:rFonts w:ascii="Times New Roman" w:hAnsi="Times New Roman" w:cs="Times New Roman"/>
          <w:sz w:val="18"/>
          <w:szCs w:val="18"/>
        </w:rPr>
        <w:t xml:space="preserve">, </w:t>
      </w:r>
      <w:r w:rsidRPr="00A66464">
        <w:rPr>
          <w:rFonts w:ascii="Times New Roman" w:hAnsi="Times New Roman" w:cs="Times New Roman"/>
          <w:sz w:val="18"/>
          <w:szCs w:val="18"/>
        </w:rPr>
        <w:t xml:space="preserve">Branko F., ‘Lovely Ugly Bes! Animalistic Aspects in Ancient Egyptian Popular Religion’, </w:t>
      </w:r>
      <w:r w:rsidRPr="00A66464">
        <w:rPr>
          <w:rFonts w:ascii="Times New Roman" w:hAnsi="Times New Roman" w:cs="Times New Roman"/>
          <w:i/>
          <w:iCs/>
          <w:sz w:val="18"/>
          <w:szCs w:val="18"/>
        </w:rPr>
        <w:t>Animals in Ancient Material Cultures</w:t>
      </w:r>
      <w:r w:rsidRPr="00A66464">
        <w:rPr>
          <w:rFonts w:ascii="Times New Roman" w:hAnsi="Times New Roman" w:cs="Times New Roman"/>
          <w:sz w:val="18"/>
          <w:szCs w:val="18"/>
        </w:rPr>
        <w:t xml:space="preserve"> Vol. 2 (2020) </w:t>
      </w:r>
      <w:hyperlink r:id="rId21" w:history="1">
        <w:r w:rsidRPr="00A66464">
          <w:rPr>
            <w:rStyle w:val="Hyperlink"/>
            <w:rFonts w:ascii="Times New Roman" w:hAnsi="Times New Roman" w:cs="Times New Roman"/>
            <w:sz w:val="18"/>
            <w:szCs w:val="18"/>
          </w:rPr>
          <w:t>https://www.mdpi.com/2076-0752/9/2/51</w:t>
        </w:r>
      </w:hyperlink>
      <w:r w:rsidRPr="00A66464">
        <w:rPr>
          <w:rFonts w:ascii="Times New Roman" w:hAnsi="Times New Roman" w:cs="Times New Roman"/>
          <w:sz w:val="18"/>
          <w:szCs w:val="18"/>
        </w:rPr>
        <w:t xml:space="preserve"> [accessed 3rd December 2025]</w:t>
      </w:r>
    </w:p>
    <w:p w14:paraId="336FD24A" w14:textId="17A21B36" w:rsidR="000E6EB4" w:rsidRDefault="006A2958" w:rsidP="00877364">
      <w:pPr>
        <w:jc w:val="both"/>
        <w:rPr>
          <w:rFonts w:ascii="Times New Roman" w:hAnsi="Times New Roman" w:cs="Times New Roman"/>
          <w:sz w:val="18"/>
          <w:szCs w:val="18"/>
        </w:rPr>
      </w:pPr>
      <w:r>
        <w:rPr>
          <w:rFonts w:ascii="Times New Roman" w:hAnsi="Times New Roman" w:cs="Times New Roman"/>
          <w:sz w:val="18"/>
          <w:szCs w:val="18"/>
        </w:rPr>
        <w:t xml:space="preserve">Watterson, </w:t>
      </w:r>
      <w:r w:rsidR="000A09D8" w:rsidRPr="000A09D8">
        <w:rPr>
          <w:rFonts w:ascii="Times New Roman" w:hAnsi="Times New Roman" w:cs="Times New Roman"/>
          <w:sz w:val="18"/>
          <w:szCs w:val="18"/>
        </w:rPr>
        <w:t>Barbara, Amarna: Ancient Egypt’s Age of Revelation (Charleston, South Carolina: Tempus Publishing, 1999)</w:t>
      </w:r>
    </w:p>
    <w:p w14:paraId="6BA3E4AB" w14:textId="1007C968" w:rsidR="00856446" w:rsidRPr="00856446" w:rsidRDefault="00D8238A" w:rsidP="00877364">
      <w:pPr>
        <w:jc w:val="both"/>
        <w:rPr>
          <w:rFonts w:ascii="Times New Roman" w:hAnsi="Times New Roman" w:cs="Times New Roman"/>
          <w:sz w:val="18"/>
          <w:szCs w:val="18"/>
        </w:rPr>
      </w:pPr>
      <w:r>
        <w:rPr>
          <w:rFonts w:ascii="Times New Roman" w:hAnsi="Times New Roman" w:cs="Times New Roman"/>
          <w:sz w:val="18"/>
          <w:szCs w:val="18"/>
        </w:rPr>
        <w:t xml:space="preserve">Zohair, </w:t>
      </w:r>
      <w:r w:rsidR="00856446" w:rsidRPr="00856446">
        <w:rPr>
          <w:rFonts w:ascii="Times New Roman" w:hAnsi="Times New Roman" w:cs="Times New Roman"/>
          <w:sz w:val="18"/>
          <w:szCs w:val="18"/>
        </w:rPr>
        <w:t xml:space="preserve">Mohamed, ‘Ancient Egypt: The Tomb of Meryre II at Amarna’, The Database of Religious History, </w:t>
      </w:r>
      <w:hyperlink r:id="rId22" w:history="1">
        <w:r w:rsidR="00856446" w:rsidRPr="00856446">
          <w:rPr>
            <w:rStyle w:val="Hyperlink"/>
            <w:rFonts w:ascii="Times New Roman" w:hAnsi="Times New Roman" w:cs="Times New Roman"/>
            <w:sz w:val="18"/>
            <w:szCs w:val="18"/>
          </w:rPr>
          <w:t>https://open.library.ubc.ca/media/stream/pdf/52387/1.0422133/2</w:t>
        </w:r>
      </w:hyperlink>
      <w:r w:rsidR="00856446" w:rsidRPr="00856446">
        <w:rPr>
          <w:rFonts w:ascii="Times New Roman" w:hAnsi="Times New Roman" w:cs="Times New Roman"/>
          <w:sz w:val="18"/>
          <w:szCs w:val="18"/>
        </w:rPr>
        <w:t xml:space="preserve"> [accessed 4th December 2025]</w:t>
      </w:r>
    </w:p>
    <w:p w14:paraId="67997B6C" w14:textId="60807B41" w:rsidR="009E76C5" w:rsidRPr="009E76C5" w:rsidRDefault="009E76C5" w:rsidP="00877364">
      <w:pPr>
        <w:jc w:val="both"/>
        <w:rPr>
          <w:rFonts w:ascii="Times New Roman" w:hAnsi="Times New Roman" w:cs="Times New Roman"/>
        </w:rPr>
      </w:pPr>
      <w:r>
        <w:rPr>
          <w:rFonts w:ascii="Times New Roman" w:hAnsi="Times New Roman" w:cs="Times New Roman"/>
        </w:rPr>
        <w:t xml:space="preserve"> </w:t>
      </w:r>
    </w:p>
    <w:sectPr w:rsidR="009E76C5" w:rsidRPr="009E76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4E3F3" w14:textId="77777777" w:rsidR="008B6AAF" w:rsidRDefault="008B6AAF" w:rsidP="00877364">
      <w:pPr>
        <w:spacing w:after="0" w:line="240" w:lineRule="auto"/>
      </w:pPr>
      <w:r>
        <w:separator/>
      </w:r>
    </w:p>
  </w:endnote>
  <w:endnote w:type="continuationSeparator" w:id="0">
    <w:p w14:paraId="4E0FA81F" w14:textId="77777777" w:rsidR="008B6AAF" w:rsidRDefault="008B6AAF" w:rsidP="00877364">
      <w:pPr>
        <w:spacing w:after="0" w:line="240" w:lineRule="auto"/>
      </w:pPr>
      <w:r>
        <w:continuationSeparator/>
      </w:r>
    </w:p>
  </w:endnote>
  <w:endnote w:type="continuationNotice" w:id="1">
    <w:p w14:paraId="3C0B916F" w14:textId="77777777" w:rsidR="008B6AAF" w:rsidRDefault="008B6A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D3B31" w14:textId="77777777" w:rsidR="008B6AAF" w:rsidRDefault="008B6AAF" w:rsidP="00877364">
      <w:pPr>
        <w:spacing w:after="0" w:line="240" w:lineRule="auto"/>
      </w:pPr>
      <w:r>
        <w:separator/>
      </w:r>
    </w:p>
  </w:footnote>
  <w:footnote w:type="continuationSeparator" w:id="0">
    <w:p w14:paraId="3BF940BE" w14:textId="77777777" w:rsidR="008B6AAF" w:rsidRDefault="008B6AAF" w:rsidP="00877364">
      <w:pPr>
        <w:spacing w:after="0" w:line="240" w:lineRule="auto"/>
      </w:pPr>
      <w:r>
        <w:continuationSeparator/>
      </w:r>
    </w:p>
  </w:footnote>
  <w:footnote w:type="continuationNotice" w:id="1">
    <w:p w14:paraId="72E06187" w14:textId="77777777" w:rsidR="008B6AAF" w:rsidRDefault="008B6AAF">
      <w:pPr>
        <w:spacing w:after="0" w:line="240" w:lineRule="auto"/>
      </w:pPr>
    </w:p>
  </w:footnote>
  <w:footnote w:id="2">
    <w:p w14:paraId="09F5D59C" w14:textId="6A9D9B44" w:rsidR="00877364" w:rsidRPr="000E6EB4" w:rsidRDefault="00877364">
      <w:pPr>
        <w:pStyle w:val="FootnoteText"/>
        <w:rPr>
          <w:rFonts w:ascii="Times New Roman" w:hAnsi="Times New Roman" w:cs="Times New Roman"/>
          <w:sz w:val="18"/>
          <w:szCs w:val="18"/>
        </w:rPr>
      </w:pPr>
      <w:r w:rsidRPr="000E6EB4">
        <w:rPr>
          <w:rStyle w:val="FootnoteReference"/>
          <w:rFonts w:ascii="Times New Roman" w:hAnsi="Times New Roman" w:cs="Times New Roman"/>
          <w:sz w:val="18"/>
          <w:szCs w:val="18"/>
        </w:rPr>
        <w:footnoteRef/>
      </w:r>
      <w:r w:rsidRPr="000E6EB4">
        <w:rPr>
          <w:rFonts w:ascii="Times New Roman" w:hAnsi="Times New Roman" w:cs="Times New Roman"/>
          <w:sz w:val="18"/>
          <w:szCs w:val="18"/>
        </w:rPr>
        <w:t xml:space="preserve"> </w:t>
      </w:r>
      <w:r w:rsidR="000E6EB4" w:rsidRPr="000E6EB4">
        <w:rPr>
          <w:rFonts w:ascii="Times New Roman" w:hAnsi="Times New Roman" w:cs="Times New Roman"/>
          <w:sz w:val="18"/>
          <w:szCs w:val="18"/>
        </w:rPr>
        <w:t xml:space="preserve">Ancient Egypt Online, </w:t>
      </w:r>
      <w:r w:rsidR="000E6EB4" w:rsidRPr="000E6EB4">
        <w:rPr>
          <w:rFonts w:ascii="Times New Roman" w:hAnsi="Times New Roman" w:cs="Times New Roman"/>
          <w:i/>
          <w:iCs/>
          <w:sz w:val="18"/>
          <w:szCs w:val="18"/>
        </w:rPr>
        <w:t xml:space="preserve">The </w:t>
      </w:r>
      <w:proofErr w:type="spellStart"/>
      <w:r w:rsidR="000E6EB4" w:rsidRPr="000E6EB4">
        <w:rPr>
          <w:rFonts w:ascii="Times New Roman" w:hAnsi="Times New Roman" w:cs="Times New Roman"/>
          <w:i/>
          <w:iCs/>
          <w:sz w:val="18"/>
          <w:szCs w:val="18"/>
        </w:rPr>
        <w:t>Aten</w:t>
      </w:r>
      <w:proofErr w:type="spellEnd"/>
      <w:r w:rsidR="000E6EB4" w:rsidRPr="000E6EB4">
        <w:rPr>
          <w:rFonts w:ascii="Times New Roman" w:hAnsi="Times New Roman" w:cs="Times New Roman"/>
          <w:sz w:val="18"/>
          <w:szCs w:val="18"/>
        </w:rPr>
        <w:t xml:space="preserve"> (2010) </w:t>
      </w:r>
      <w:hyperlink r:id="rId1" w:history="1">
        <w:r w:rsidR="000E6EB4" w:rsidRPr="000E6EB4">
          <w:rPr>
            <w:rStyle w:val="Hyperlink"/>
            <w:rFonts w:ascii="Times New Roman" w:hAnsi="Times New Roman" w:cs="Times New Roman"/>
            <w:sz w:val="18"/>
            <w:szCs w:val="18"/>
          </w:rPr>
          <w:t>https://ancientegyptonline.co.uk/amarnareligion/</w:t>
        </w:r>
      </w:hyperlink>
      <w:r w:rsidR="000E6EB4" w:rsidRPr="000E6EB4">
        <w:rPr>
          <w:rFonts w:ascii="Times New Roman" w:hAnsi="Times New Roman" w:cs="Times New Roman"/>
          <w:sz w:val="18"/>
          <w:szCs w:val="18"/>
        </w:rPr>
        <w:t xml:space="preserve"> [accessed 16</w:t>
      </w:r>
      <w:r w:rsidR="000E6EB4" w:rsidRPr="000E6EB4">
        <w:rPr>
          <w:rFonts w:ascii="Times New Roman" w:hAnsi="Times New Roman" w:cs="Times New Roman"/>
          <w:sz w:val="18"/>
          <w:szCs w:val="18"/>
          <w:vertAlign w:val="superscript"/>
        </w:rPr>
        <w:t>th</w:t>
      </w:r>
      <w:r w:rsidR="000E6EB4" w:rsidRPr="000E6EB4">
        <w:rPr>
          <w:rFonts w:ascii="Times New Roman" w:hAnsi="Times New Roman" w:cs="Times New Roman"/>
          <w:sz w:val="18"/>
          <w:szCs w:val="18"/>
        </w:rPr>
        <w:t xml:space="preserve"> November]</w:t>
      </w:r>
      <w:r w:rsidR="000E6EB4">
        <w:rPr>
          <w:rFonts w:ascii="Times New Roman" w:hAnsi="Times New Roman" w:cs="Times New Roman"/>
          <w:sz w:val="18"/>
          <w:szCs w:val="18"/>
        </w:rPr>
        <w:t>.</w:t>
      </w:r>
    </w:p>
  </w:footnote>
  <w:footnote w:id="3">
    <w:p w14:paraId="1E8D25AD" w14:textId="23F434E3" w:rsidR="000E6EB4" w:rsidRPr="000E6EB4" w:rsidRDefault="000E6EB4">
      <w:pPr>
        <w:pStyle w:val="FootnoteText"/>
        <w:rPr>
          <w:rFonts w:ascii="Times New Roman" w:hAnsi="Times New Roman" w:cs="Times New Roman"/>
        </w:rPr>
      </w:pPr>
      <w:r w:rsidRPr="000E6EB4">
        <w:rPr>
          <w:rStyle w:val="FootnoteReference"/>
          <w:rFonts w:ascii="Times New Roman" w:hAnsi="Times New Roman" w:cs="Times New Roman"/>
        </w:rPr>
        <w:footnoteRef/>
      </w:r>
      <w:r w:rsidRPr="000E6EB4">
        <w:rPr>
          <w:rFonts w:ascii="Times New Roman" w:hAnsi="Times New Roman" w:cs="Times New Roman"/>
        </w:rPr>
        <w:t xml:space="preserve"> An</w:t>
      </w:r>
      <w:r>
        <w:rPr>
          <w:rFonts w:ascii="Times New Roman" w:hAnsi="Times New Roman" w:cs="Times New Roman"/>
        </w:rPr>
        <w:t>cient Egypt Online, 2010.</w:t>
      </w:r>
    </w:p>
  </w:footnote>
  <w:footnote w:id="4">
    <w:p w14:paraId="606107FB" w14:textId="38E823AA" w:rsidR="00300184" w:rsidRPr="00300184" w:rsidRDefault="00300184">
      <w:pPr>
        <w:pStyle w:val="FootnoteText"/>
        <w:rPr>
          <w:rFonts w:ascii="Times New Roman" w:hAnsi="Times New Roman" w:cs="Times New Roman"/>
        </w:rPr>
      </w:pPr>
      <w:r w:rsidRPr="00300184">
        <w:rPr>
          <w:rStyle w:val="FootnoteReference"/>
          <w:rFonts w:ascii="Times New Roman" w:hAnsi="Times New Roman" w:cs="Times New Roman"/>
        </w:rPr>
        <w:footnoteRef/>
      </w:r>
      <w:r w:rsidRPr="00300184">
        <w:rPr>
          <w:rFonts w:ascii="Times New Roman" w:hAnsi="Times New Roman" w:cs="Times New Roman"/>
        </w:rPr>
        <w:t xml:space="preserve"> </w:t>
      </w:r>
      <w:r>
        <w:rPr>
          <w:rFonts w:ascii="Times New Roman" w:hAnsi="Times New Roman" w:cs="Times New Roman"/>
        </w:rPr>
        <w:t xml:space="preserve">Amarna Project, </w:t>
      </w:r>
      <w:r w:rsidRPr="0098533C">
        <w:rPr>
          <w:rFonts w:ascii="Times New Roman" w:hAnsi="Times New Roman" w:cs="Times New Roman"/>
          <w:i/>
          <w:iCs/>
        </w:rPr>
        <w:t>Boundary Stelae</w:t>
      </w:r>
      <w:r>
        <w:rPr>
          <w:rFonts w:ascii="Times New Roman" w:hAnsi="Times New Roman" w:cs="Times New Roman"/>
        </w:rPr>
        <w:t xml:space="preserve"> </w:t>
      </w:r>
      <w:hyperlink r:id="rId2" w:history="1">
        <w:r w:rsidR="0098533C" w:rsidRPr="00903A62">
          <w:rPr>
            <w:rStyle w:val="Hyperlink"/>
            <w:rFonts w:ascii="Times New Roman" w:hAnsi="Times New Roman" w:cs="Times New Roman"/>
          </w:rPr>
          <w:t>https://www.amarnaproject.com/amarna-the-place/boundary-stelae/</w:t>
        </w:r>
      </w:hyperlink>
      <w:r w:rsidR="0098533C">
        <w:rPr>
          <w:rFonts w:ascii="Times New Roman" w:hAnsi="Times New Roman" w:cs="Times New Roman"/>
        </w:rPr>
        <w:t xml:space="preserve"> [accessed 2</w:t>
      </w:r>
      <w:r w:rsidR="0098533C" w:rsidRPr="0098533C">
        <w:rPr>
          <w:rFonts w:ascii="Times New Roman" w:hAnsi="Times New Roman" w:cs="Times New Roman"/>
          <w:vertAlign w:val="superscript"/>
        </w:rPr>
        <w:t>nd</w:t>
      </w:r>
      <w:r w:rsidR="0098533C">
        <w:rPr>
          <w:rFonts w:ascii="Times New Roman" w:hAnsi="Times New Roman" w:cs="Times New Roman"/>
        </w:rPr>
        <w:t xml:space="preserve"> December 2025]</w:t>
      </w:r>
    </w:p>
  </w:footnote>
  <w:footnote w:id="5">
    <w:p w14:paraId="7566C377" w14:textId="43A98095" w:rsidR="002478C0" w:rsidRPr="00C91B45" w:rsidRDefault="002478C0">
      <w:pPr>
        <w:pStyle w:val="FootnoteText"/>
        <w:rPr>
          <w:rFonts w:ascii="Times New Roman" w:hAnsi="Times New Roman" w:cs="Times New Roman"/>
        </w:rPr>
      </w:pPr>
      <w:r w:rsidRPr="00C91B45">
        <w:rPr>
          <w:rStyle w:val="FootnoteReference"/>
          <w:rFonts w:ascii="Times New Roman" w:hAnsi="Times New Roman" w:cs="Times New Roman"/>
        </w:rPr>
        <w:footnoteRef/>
      </w:r>
      <w:r w:rsidR="0040147E">
        <w:rPr>
          <w:rFonts w:ascii="Times New Roman" w:hAnsi="Times New Roman" w:cs="Times New Roman"/>
        </w:rPr>
        <w:t xml:space="preserve">Mary </w:t>
      </w:r>
      <w:r w:rsidR="007F0467">
        <w:rPr>
          <w:rFonts w:ascii="Times New Roman" w:hAnsi="Times New Roman" w:cs="Times New Roman"/>
        </w:rPr>
        <w:t>Harrsch</w:t>
      </w:r>
      <w:r w:rsidR="007F0467" w:rsidRPr="002F734C">
        <w:rPr>
          <w:rFonts w:ascii="Times New Roman" w:hAnsi="Times New Roman" w:cs="Times New Roman"/>
          <w:i/>
          <w:iCs/>
        </w:rPr>
        <w:t xml:space="preserve">, </w:t>
      </w:r>
      <w:r w:rsidR="002E0D93" w:rsidRPr="002F734C">
        <w:rPr>
          <w:rFonts w:ascii="Times New Roman" w:hAnsi="Times New Roman" w:cs="Times New Roman"/>
          <w:i/>
          <w:iCs/>
        </w:rPr>
        <w:t xml:space="preserve">Fragment of a limestone column depicting Queen Nefertiti offering a bouquet to the Aten </w:t>
      </w:r>
      <w:r w:rsidR="00AB350E" w:rsidRPr="002F734C">
        <w:rPr>
          <w:rFonts w:ascii="Times New Roman" w:hAnsi="Times New Roman" w:cs="Times New Roman"/>
          <w:i/>
          <w:iCs/>
        </w:rPr>
        <w:t xml:space="preserve">followed by Princess </w:t>
      </w:r>
      <w:proofErr w:type="spellStart"/>
      <w:r w:rsidR="00AB350E" w:rsidRPr="002F734C">
        <w:rPr>
          <w:rFonts w:ascii="Times New Roman" w:hAnsi="Times New Roman" w:cs="Times New Roman"/>
          <w:i/>
          <w:iCs/>
        </w:rPr>
        <w:t>Merataten</w:t>
      </w:r>
      <w:proofErr w:type="spellEnd"/>
      <w:r w:rsidR="00AB350E" w:rsidRPr="002F734C">
        <w:rPr>
          <w:rFonts w:ascii="Times New Roman" w:hAnsi="Times New Roman" w:cs="Times New Roman"/>
          <w:i/>
          <w:iCs/>
        </w:rPr>
        <w:t xml:space="preserve"> shaking a sistrum from the Great Palace </w:t>
      </w:r>
      <w:r w:rsidR="00C65562" w:rsidRPr="002F734C">
        <w:rPr>
          <w:rFonts w:ascii="Times New Roman" w:hAnsi="Times New Roman" w:cs="Times New Roman"/>
          <w:i/>
          <w:iCs/>
        </w:rPr>
        <w:t xml:space="preserve">at Tell </w:t>
      </w:r>
      <w:proofErr w:type="spellStart"/>
      <w:r w:rsidR="00C65562" w:rsidRPr="002F734C">
        <w:rPr>
          <w:rFonts w:ascii="Times New Roman" w:hAnsi="Times New Roman" w:cs="Times New Roman"/>
          <w:i/>
          <w:iCs/>
        </w:rPr>
        <w:t>el-Amarna</w:t>
      </w:r>
      <w:proofErr w:type="spellEnd"/>
      <w:r w:rsidR="00C65562" w:rsidRPr="002F734C">
        <w:rPr>
          <w:rFonts w:ascii="Times New Roman" w:hAnsi="Times New Roman" w:cs="Times New Roman"/>
          <w:i/>
          <w:iCs/>
        </w:rPr>
        <w:t xml:space="preserve"> Egypt 18</w:t>
      </w:r>
      <w:r w:rsidR="00C65562" w:rsidRPr="002F734C">
        <w:rPr>
          <w:rFonts w:ascii="Times New Roman" w:hAnsi="Times New Roman" w:cs="Times New Roman"/>
          <w:i/>
          <w:iCs/>
          <w:vertAlign w:val="superscript"/>
        </w:rPr>
        <w:t>th</w:t>
      </w:r>
      <w:r w:rsidR="00C65562" w:rsidRPr="002F734C">
        <w:rPr>
          <w:rFonts w:ascii="Times New Roman" w:hAnsi="Times New Roman" w:cs="Times New Roman"/>
          <w:i/>
          <w:iCs/>
        </w:rPr>
        <w:t xml:space="preserve"> Dynasty</w:t>
      </w:r>
      <w:r w:rsidR="00C65562">
        <w:rPr>
          <w:rFonts w:ascii="Times New Roman" w:hAnsi="Times New Roman" w:cs="Times New Roman"/>
        </w:rPr>
        <w:t xml:space="preserve">, </w:t>
      </w:r>
      <w:r w:rsidR="002F734C">
        <w:rPr>
          <w:rFonts w:ascii="Times New Roman" w:hAnsi="Times New Roman" w:cs="Times New Roman"/>
        </w:rPr>
        <w:t xml:space="preserve">2018 </w:t>
      </w:r>
      <w:hyperlink r:id="rId3" w:history="1">
        <w:r w:rsidR="00C65562" w:rsidRPr="00C65562">
          <w:rPr>
            <w:rStyle w:val="Hyperlink"/>
            <w:rFonts w:ascii="Times New Roman" w:hAnsi="Times New Roman" w:cs="Times New Roman"/>
          </w:rPr>
          <w:t>Fragment of a limestone column depicting Queen Nefertiti o… | Flickr</w:t>
        </w:r>
      </w:hyperlink>
      <w:r w:rsidR="00C65562">
        <w:rPr>
          <w:rFonts w:ascii="Times New Roman" w:hAnsi="Times New Roman" w:cs="Times New Roman"/>
        </w:rPr>
        <w:t xml:space="preserve"> [accessed </w:t>
      </w:r>
      <w:r w:rsidR="00BC5D27">
        <w:rPr>
          <w:rFonts w:ascii="Times New Roman" w:hAnsi="Times New Roman" w:cs="Times New Roman"/>
        </w:rPr>
        <w:t>29</w:t>
      </w:r>
      <w:r w:rsidR="00BC5D27" w:rsidRPr="00BC5D27">
        <w:rPr>
          <w:rFonts w:ascii="Times New Roman" w:hAnsi="Times New Roman" w:cs="Times New Roman"/>
          <w:vertAlign w:val="superscript"/>
        </w:rPr>
        <w:t>th</w:t>
      </w:r>
      <w:r w:rsidR="00BC5D27">
        <w:rPr>
          <w:rFonts w:ascii="Times New Roman" w:hAnsi="Times New Roman" w:cs="Times New Roman"/>
        </w:rPr>
        <w:t xml:space="preserve"> November 2025]</w:t>
      </w:r>
    </w:p>
  </w:footnote>
  <w:footnote w:id="6">
    <w:p w14:paraId="4A37520C" w14:textId="6C581C45" w:rsidR="00C91B45" w:rsidRPr="00C91B45" w:rsidRDefault="00C91B45">
      <w:pPr>
        <w:pStyle w:val="FootnoteText"/>
        <w:rPr>
          <w:rFonts w:ascii="Times New Roman" w:hAnsi="Times New Roman" w:cs="Times New Roman"/>
        </w:rPr>
      </w:pPr>
      <w:r w:rsidRPr="00C91B45">
        <w:rPr>
          <w:rStyle w:val="FootnoteReference"/>
          <w:rFonts w:ascii="Times New Roman" w:hAnsi="Times New Roman" w:cs="Times New Roman"/>
        </w:rPr>
        <w:footnoteRef/>
      </w:r>
      <w:r w:rsidRPr="00C91B45">
        <w:rPr>
          <w:rFonts w:ascii="Times New Roman" w:hAnsi="Times New Roman" w:cs="Times New Roman"/>
        </w:rPr>
        <w:t xml:space="preserve"> Nor</w:t>
      </w:r>
      <w:r>
        <w:rPr>
          <w:rFonts w:ascii="Times New Roman" w:hAnsi="Times New Roman" w:cs="Times New Roman"/>
        </w:rPr>
        <w:t xml:space="preserve">man de Garis Davies, </w:t>
      </w:r>
      <w:r w:rsidR="0071109E" w:rsidRPr="00C9509B">
        <w:rPr>
          <w:rFonts w:ascii="Times New Roman" w:hAnsi="Times New Roman" w:cs="Times New Roman"/>
          <w:i/>
          <w:iCs/>
        </w:rPr>
        <w:t>The Rock Tombs of Amarna</w:t>
      </w:r>
      <w:r w:rsidR="00754ECD" w:rsidRPr="00C9509B">
        <w:rPr>
          <w:rFonts w:ascii="Times New Roman" w:hAnsi="Times New Roman" w:cs="Times New Roman"/>
          <w:i/>
          <w:iCs/>
        </w:rPr>
        <w:t xml:space="preserve">. Part II – The Tomb of </w:t>
      </w:r>
      <w:proofErr w:type="spellStart"/>
      <w:r w:rsidR="00754ECD" w:rsidRPr="00C9509B">
        <w:rPr>
          <w:rFonts w:ascii="Times New Roman" w:hAnsi="Times New Roman" w:cs="Times New Roman"/>
          <w:i/>
          <w:iCs/>
        </w:rPr>
        <w:t>Panehesy</w:t>
      </w:r>
      <w:proofErr w:type="spellEnd"/>
      <w:r w:rsidR="00754ECD" w:rsidRPr="00C9509B">
        <w:rPr>
          <w:rFonts w:ascii="Times New Roman" w:hAnsi="Times New Roman" w:cs="Times New Roman"/>
          <w:i/>
          <w:iCs/>
        </w:rPr>
        <w:t xml:space="preserve"> and </w:t>
      </w:r>
      <w:proofErr w:type="spellStart"/>
      <w:r w:rsidR="00C9509B" w:rsidRPr="00C9509B">
        <w:rPr>
          <w:rFonts w:ascii="Times New Roman" w:hAnsi="Times New Roman" w:cs="Times New Roman"/>
          <w:i/>
          <w:iCs/>
        </w:rPr>
        <w:t>Meryre</w:t>
      </w:r>
      <w:proofErr w:type="spellEnd"/>
      <w:r w:rsidR="00C9509B" w:rsidRPr="00C9509B">
        <w:rPr>
          <w:rFonts w:ascii="Times New Roman" w:hAnsi="Times New Roman" w:cs="Times New Roman"/>
          <w:i/>
          <w:iCs/>
        </w:rPr>
        <w:t xml:space="preserve"> II</w:t>
      </w:r>
      <w:r w:rsidR="00C9509B">
        <w:rPr>
          <w:rFonts w:ascii="Times New Roman" w:hAnsi="Times New Roman" w:cs="Times New Roman"/>
        </w:rPr>
        <w:t xml:space="preserve"> (</w:t>
      </w:r>
      <w:r w:rsidR="00386E75">
        <w:rPr>
          <w:rFonts w:ascii="Times New Roman" w:hAnsi="Times New Roman" w:cs="Times New Roman"/>
        </w:rPr>
        <w:t>London</w:t>
      </w:r>
      <w:r w:rsidR="00BF154C">
        <w:rPr>
          <w:rFonts w:ascii="Times New Roman" w:hAnsi="Times New Roman" w:cs="Times New Roman"/>
        </w:rPr>
        <w:t xml:space="preserve">: </w:t>
      </w:r>
      <w:r w:rsidR="00386E75">
        <w:rPr>
          <w:rFonts w:ascii="Times New Roman" w:hAnsi="Times New Roman" w:cs="Times New Roman"/>
        </w:rPr>
        <w:t>1905)</w:t>
      </w:r>
    </w:p>
  </w:footnote>
  <w:footnote w:id="7">
    <w:p w14:paraId="5E1FD47D" w14:textId="67510316" w:rsidR="007F3A1B" w:rsidRPr="007F3A1B" w:rsidRDefault="007F3A1B">
      <w:pPr>
        <w:pStyle w:val="FootnoteText"/>
        <w:rPr>
          <w:rFonts w:ascii="Times New Roman" w:hAnsi="Times New Roman" w:cs="Times New Roman"/>
        </w:rPr>
      </w:pPr>
      <w:r w:rsidRPr="000E4758">
        <w:rPr>
          <w:rStyle w:val="FootnoteReference"/>
          <w:rFonts w:ascii="Times New Roman" w:hAnsi="Times New Roman" w:cs="Times New Roman"/>
          <w:sz w:val="18"/>
          <w:szCs w:val="18"/>
        </w:rPr>
        <w:footnoteRef/>
      </w:r>
      <w:r w:rsidR="000E4758" w:rsidRPr="000E4758">
        <w:rPr>
          <w:rFonts w:ascii="Times New Roman" w:hAnsi="Times New Roman" w:cs="Times New Roman"/>
          <w:sz w:val="18"/>
          <w:szCs w:val="18"/>
        </w:rPr>
        <w:t xml:space="preserve"> Geraldine Pinch, </w:t>
      </w:r>
      <w:r w:rsidR="000E4758" w:rsidRPr="000E4758">
        <w:rPr>
          <w:rFonts w:ascii="Times New Roman" w:hAnsi="Times New Roman" w:cs="Times New Roman"/>
          <w:i/>
          <w:iCs/>
          <w:sz w:val="18"/>
          <w:szCs w:val="18"/>
        </w:rPr>
        <w:t>Handbook of Egyptian Mythology</w:t>
      </w:r>
      <w:r w:rsidR="000E4758" w:rsidRPr="000E4758">
        <w:rPr>
          <w:rFonts w:ascii="Times New Roman" w:hAnsi="Times New Roman" w:cs="Times New Roman"/>
          <w:sz w:val="18"/>
          <w:szCs w:val="18"/>
        </w:rPr>
        <w:t xml:space="preserve"> </w:t>
      </w:r>
      <w:r w:rsidR="00BF154C">
        <w:rPr>
          <w:rFonts w:ascii="Times New Roman" w:hAnsi="Times New Roman" w:cs="Times New Roman"/>
          <w:sz w:val="18"/>
          <w:szCs w:val="18"/>
        </w:rPr>
        <w:t xml:space="preserve">(Santa Barbara, California: </w:t>
      </w:r>
      <w:r w:rsidR="00A718DE">
        <w:rPr>
          <w:rFonts w:ascii="Times New Roman" w:hAnsi="Times New Roman" w:cs="Times New Roman"/>
          <w:sz w:val="18"/>
          <w:szCs w:val="18"/>
        </w:rPr>
        <w:t>2002), p. 110</w:t>
      </w:r>
      <w:r w:rsidR="0062608D">
        <w:rPr>
          <w:rFonts w:ascii="Times New Roman" w:hAnsi="Times New Roman" w:cs="Times New Roman"/>
          <w:sz w:val="18"/>
          <w:szCs w:val="18"/>
        </w:rPr>
        <w:t xml:space="preserve">. </w:t>
      </w:r>
      <w:hyperlink r:id="rId4" w:history="1">
        <w:r w:rsidR="0062608D" w:rsidRPr="00894913">
          <w:rPr>
            <w:rStyle w:val="Hyperlink"/>
            <w:rFonts w:ascii="Times New Roman" w:hAnsi="Times New Roman" w:cs="Times New Roman"/>
            <w:sz w:val="18"/>
            <w:szCs w:val="18"/>
          </w:rPr>
          <w:t>https://ebookcentral.proquest.com/lib/trinity/reader.action?docID=265430&amp;c=UERG&amp;ppg=4</w:t>
        </w:r>
      </w:hyperlink>
      <w:r w:rsidR="0062608D">
        <w:rPr>
          <w:rFonts w:ascii="Times New Roman" w:hAnsi="Times New Roman" w:cs="Times New Roman"/>
          <w:sz w:val="18"/>
          <w:szCs w:val="18"/>
        </w:rPr>
        <w:t xml:space="preserve"> </w:t>
      </w:r>
    </w:p>
  </w:footnote>
  <w:footnote w:id="8">
    <w:p w14:paraId="3904067D" w14:textId="3E55593E" w:rsidR="0085796C" w:rsidRPr="0085796C" w:rsidRDefault="0085796C">
      <w:pPr>
        <w:pStyle w:val="FootnoteText"/>
        <w:rPr>
          <w:rFonts w:ascii="Times New Roman" w:hAnsi="Times New Roman" w:cs="Times New Roman"/>
        </w:rPr>
      </w:pPr>
      <w:r w:rsidRPr="0085796C">
        <w:rPr>
          <w:rStyle w:val="FootnoteReference"/>
          <w:rFonts w:ascii="Times New Roman" w:hAnsi="Times New Roman" w:cs="Times New Roman"/>
        </w:rPr>
        <w:footnoteRef/>
      </w:r>
      <w:r w:rsidRPr="0085796C">
        <w:rPr>
          <w:rFonts w:ascii="Times New Roman" w:hAnsi="Times New Roman" w:cs="Times New Roman"/>
        </w:rPr>
        <w:t xml:space="preserve"> </w:t>
      </w:r>
      <w:hyperlink r:id="rId5" w:history="1">
        <w:r w:rsidRPr="00894913">
          <w:rPr>
            <w:rStyle w:val="Hyperlink"/>
            <w:rFonts w:ascii="Times New Roman" w:hAnsi="Times New Roman" w:cs="Times New Roman"/>
          </w:rPr>
          <w:t>https://commons.wikimedia.org/wiki/File:Banquet_scene_in_Huya%27s_tomb.png</w:t>
        </w:r>
      </w:hyperlink>
      <w:r>
        <w:rPr>
          <w:rFonts w:ascii="Times New Roman" w:hAnsi="Times New Roman" w:cs="Times New Roman"/>
        </w:rPr>
        <w:t xml:space="preserve"> [accessed 22</w:t>
      </w:r>
      <w:r w:rsidRPr="0085796C">
        <w:rPr>
          <w:rFonts w:ascii="Times New Roman" w:hAnsi="Times New Roman" w:cs="Times New Roman"/>
          <w:vertAlign w:val="superscript"/>
        </w:rPr>
        <w:t>nd</w:t>
      </w:r>
      <w:r>
        <w:rPr>
          <w:rFonts w:ascii="Times New Roman" w:hAnsi="Times New Roman" w:cs="Times New Roman"/>
        </w:rPr>
        <w:t xml:space="preserve"> November</w:t>
      </w:r>
      <w:r w:rsidR="00E876E1">
        <w:rPr>
          <w:rFonts w:ascii="Times New Roman" w:hAnsi="Times New Roman" w:cs="Times New Roman"/>
        </w:rPr>
        <w:t xml:space="preserve"> 2025]</w:t>
      </w:r>
    </w:p>
  </w:footnote>
  <w:footnote w:id="9">
    <w:p w14:paraId="6140B705" w14:textId="169D30A4" w:rsidR="00AE4B02" w:rsidRPr="00F96B90" w:rsidRDefault="00AE4B02">
      <w:pPr>
        <w:pStyle w:val="FootnoteText"/>
        <w:rPr>
          <w:rFonts w:ascii="Times New Roman" w:hAnsi="Times New Roman" w:cs="Times New Roman"/>
        </w:rPr>
      </w:pPr>
      <w:r w:rsidRPr="00AE4B02">
        <w:rPr>
          <w:rStyle w:val="FootnoteReference"/>
          <w:rFonts w:ascii="Times New Roman" w:hAnsi="Times New Roman" w:cs="Times New Roman"/>
        </w:rPr>
        <w:footnoteRef/>
      </w:r>
      <w:r w:rsidRPr="00AE4B02">
        <w:rPr>
          <w:rFonts w:ascii="Times New Roman" w:hAnsi="Times New Roman" w:cs="Times New Roman"/>
        </w:rPr>
        <w:t xml:space="preserve"> </w:t>
      </w:r>
      <w:r>
        <w:rPr>
          <w:rFonts w:ascii="Times New Roman" w:hAnsi="Times New Roman" w:cs="Times New Roman"/>
        </w:rPr>
        <w:t xml:space="preserve">Davies, </w:t>
      </w:r>
      <w:r w:rsidR="00E111B2" w:rsidRPr="00410236">
        <w:rPr>
          <w:rFonts w:ascii="Times New Roman" w:hAnsi="Times New Roman" w:cs="Times New Roman"/>
          <w:i/>
          <w:iCs/>
        </w:rPr>
        <w:t xml:space="preserve">The Rock Tombs of El Amarna </w:t>
      </w:r>
      <w:r w:rsidR="00410236" w:rsidRPr="00410236">
        <w:rPr>
          <w:rFonts w:ascii="Times New Roman" w:hAnsi="Times New Roman" w:cs="Times New Roman"/>
          <w:i/>
          <w:iCs/>
        </w:rPr>
        <w:t>Part II</w:t>
      </w:r>
      <w:r w:rsidR="00F96B90">
        <w:rPr>
          <w:rFonts w:ascii="Times New Roman" w:hAnsi="Times New Roman" w:cs="Times New Roman"/>
        </w:rPr>
        <w:t>, p. 9</w:t>
      </w:r>
      <w:r w:rsidR="00AF2E95">
        <w:rPr>
          <w:rFonts w:ascii="Times New Roman" w:hAnsi="Times New Roman" w:cs="Times New Roman"/>
        </w:rPr>
        <w:t>—</w:t>
      </w:r>
      <w:r w:rsidR="00F96B90">
        <w:rPr>
          <w:rFonts w:ascii="Times New Roman" w:hAnsi="Times New Roman" w:cs="Times New Roman"/>
        </w:rPr>
        <w:t>3</w:t>
      </w:r>
      <w:r w:rsidR="00AF2E95">
        <w:rPr>
          <w:rFonts w:ascii="Times New Roman" w:hAnsi="Times New Roman" w:cs="Times New Roman"/>
        </w:rPr>
        <w:t>2</w:t>
      </w:r>
    </w:p>
  </w:footnote>
  <w:footnote w:id="10">
    <w:p w14:paraId="29BF0AA5" w14:textId="05DDEC37" w:rsidR="0007306B" w:rsidRPr="0007306B" w:rsidRDefault="0007306B">
      <w:pPr>
        <w:pStyle w:val="FootnoteText"/>
        <w:rPr>
          <w:rFonts w:ascii="Times New Roman" w:hAnsi="Times New Roman" w:cs="Times New Roman"/>
        </w:rPr>
      </w:pPr>
      <w:r w:rsidRPr="0007306B">
        <w:rPr>
          <w:rStyle w:val="FootnoteReference"/>
          <w:rFonts w:ascii="Times New Roman" w:hAnsi="Times New Roman" w:cs="Times New Roman"/>
        </w:rPr>
        <w:footnoteRef/>
      </w:r>
      <w:r w:rsidRPr="0007306B">
        <w:rPr>
          <w:rFonts w:ascii="Times New Roman" w:hAnsi="Times New Roman" w:cs="Times New Roman"/>
        </w:rPr>
        <w:t xml:space="preserve"> </w:t>
      </w:r>
      <w:r>
        <w:rPr>
          <w:rFonts w:ascii="Times New Roman" w:hAnsi="Times New Roman" w:cs="Times New Roman"/>
        </w:rPr>
        <w:t>Amarna Project</w:t>
      </w:r>
      <w:r w:rsidR="004B468F">
        <w:rPr>
          <w:rFonts w:ascii="Times New Roman" w:hAnsi="Times New Roman" w:cs="Times New Roman"/>
        </w:rPr>
        <w:t xml:space="preserve">, North Tombs </w:t>
      </w:r>
      <w:hyperlink r:id="rId6" w:history="1">
        <w:r w:rsidR="004B468F" w:rsidRPr="00506889">
          <w:rPr>
            <w:rStyle w:val="Hyperlink"/>
            <w:rFonts w:ascii="Times New Roman" w:hAnsi="Times New Roman" w:cs="Times New Roman"/>
          </w:rPr>
          <w:t>https://www.amarnaproject.com/amarna-the-place/north-tombs/</w:t>
        </w:r>
      </w:hyperlink>
      <w:r w:rsidR="004B468F">
        <w:rPr>
          <w:rFonts w:ascii="Times New Roman" w:hAnsi="Times New Roman" w:cs="Times New Roman"/>
        </w:rPr>
        <w:t xml:space="preserve"> [accessed 4</w:t>
      </w:r>
      <w:r w:rsidR="004B468F" w:rsidRPr="004B468F">
        <w:rPr>
          <w:rFonts w:ascii="Times New Roman" w:hAnsi="Times New Roman" w:cs="Times New Roman"/>
          <w:vertAlign w:val="superscript"/>
        </w:rPr>
        <w:t>th</w:t>
      </w:r>
      <w:r w:rsidR="004B468F">
        <w:rPr>
          <w:rFonts w:ascii="Times New Roman" w:hAnsi="Times New Roman" w:cs="Times New Roman"/>
        </w:rPr>
        <w:t xml:space="preserve"> December 2025]</w:t>
      </w:r>
    </w:p>
  </w:footnote>
  <w:footnote w:id="11">
    <w:p w14:paraId="0686708C" w14:textId="050E7451" w:rsidR="004B5170" w:rsidRPr="004B5170" w:rsidRDefault="004B5170">
      <w:pPr>
        <w:pStyle w:val="FootnoteText"/>
        <w:rPr>
          <w:rFonts w:ascii="Times New Roman" w:hAnsi="Times New Roman" w:cs="Times New Roman"/>
        </w:rPr>
      </w:pPr>
      <w:r w:rsidRPr="004B5170">
        <w:rPr>
          <w:rStyle w:val="FootnoteReference"/>
          <w:rFonts w:ascii="Times New Roman" w:hAnsi="Times New Roman" w:cs="Times New Roman"/>
        </w:rPr>
        <w:footnoteRef/>
      </w:r>
      <w:r w:rsidRPr="004B5170">
        <w:rPr>
          <w:rFonts w:ascii="Times New Roman" w:hAnsi="Times New Roman" w:cs="Times New Roman"/>
        </w:rPr>
        <w:t xml:space="preserve"> </w:t>
      </w:r>
      <w:r>
        <w:rPr>
          <w:rFonts w:ascii="Times New Roman" w:hAnsi="Times New Roman" w:cs="Times New Roman"/>
        </w:rPr>
        <w:t xml:space="preserve">Ancient Egypt Online, </w:t>
      </w:r>
      <w:r w:rsidR="00A951CD" w:rsidRPr="00A951CD">
        <w:rPr>
          <w:rFonts w:ascii="Times New Roman" w:hAnsi="Times New Roman" w:cs="Times New Roman"/>
          <w:i/>
          <w:iCs/>
        </w:rPr>
        <w:t>Nefertiti</w:t>
      </w:r>
      <w:r w:rsidR="00A951CD">
        <w:rPr>
          <w:rFonts w:ascii="Times New Roman" w:hAnsi="Times New Roman" w:cs="Times New Roman"/>
        </w:rPr>
        <w:t xml:space="preserve"> (2010) </w:t>
      </w:r>
      <w:hyperlink r:id="rId7" w:history="1">
        <w:r w:rsidR="00A01F27" w:rsidRPr="005052CA">
          <w:rPr>
            <w:rStyle w:val="Hyperlink"/>
            <w:rFonts w:ascii="Times New Roman" w:hAnsi="Times New Roman" w:cs="Times New Roman"/>
          </w:rPr>
          <w:t>https://ancientegyptonline.co.uk/nefertiti2/</w:t>
        </w:r>
      </w:hyperlink>
      <w:r w:rsidR="00A01F27">
        <w:rPr>
          <w:rFonts w:ascii="Times New Roman" w:hAnsi="Times New Roman" w:cs="Times New Roman"/>
        </w:rPr>
        <w:t xml:space="preserve"> [accessed 29</w:t>
      </w:r>
      <w:r w:rsidR="00A01F27" w:rsidRPr="00A01F27">
        <w:rPr>
          <w:rFonts w:ascii="Times New Roman" w:hAnsi="Times New Roman" w:cs="Times New Roman"/>
          <w:vertAlign w:val="superscript"/>
        </w:rPr>
        <w:t>th</w:t>
      </w:r>
      <w:r w:rsidR="00A01F27">
        <w:rPr>
          <w:rFonts w:ascii="Times New Roman" w:hAnsi="Times New Roman" w:cs="Times New Roman"/>
        </w:rPr>
        <w:t xml:space="preserve"> November 2025]</w:t>
      </w:r>
    </w:p>
  </w:footnote>
  <w:footnote w:id="12">
    <w:p w14:paraId="21B8DB56" w14:textId="6230D2D5" w:rsidR="008606BA" w:rsidRPr="008606BA" w:rsidRDefault="008606BA">
      <w:pPr>
        <w:pStyle w:val="FootnoteText"/>
        <w:rPr>
          <w:rFonts w:ascii="Times New Roman" w:hAnsi="Times New Roman" w:cs="Times New Roman"/>
        </w:rPr>
      </w:pPr>
      <w:r w:rsidRPr="008606BA">
        <w:rPr>
          <w:rStyle w:val="FootnoteReference"/>
          <w:rFonts w:ascii="Times New Roman" w:hAnsi="Times New Roman" w:cs="Times New Roman"/>
        </w:rPr>
        <w:footnoteRef/>
      </w:r>
      <w:r w:rsidRPr="008606BA">
        <w:rPr>
          <w:rFonts w:ascii="Times New Roman" w:hAnsi="Times New Roman" w:cs="Times New Roman"/>
        </w:rPr>
        <w:t xml:space="preserve"> </w:t>
      </w:r>
      <w:r w:rsidR="00397C38" w:rsidRPr="00397C38">
        <w:rPr>
          <w:rFonts w:ascii="Times New Roman" w:hAnsi="Times New Roman" w:cs="Times New Roman"/>
        </w:rPr>
        <w:t>Zinn, Katharina (2016) </w:t>
      </w:r>
      <w:r w:rsidR="00397C38" w:rsidRPr="00397C38">
        <w:rPr>
          <w:rFonts w:ascii="Times New Roman" w:hAnsi="Times New Roman" w:cs="Times New Roman"/>
          <w:i/>
          <w:iCs/>
        </w:rPr>
        <w:t>Women in Amarna: legendary royals, forgotten elite, unknown populace?</w:t>
      </w:r>
      <w:r w:rsidR="00397C38" w:rsidRPr="00397C38">
        <w:rPr>
          <w:rFonts w:ascii="Times New Roman" w:hAnsi="Times New Roman" w:cs="Times New Roman"/>
        </w:rPr>
        <w:t> In: Women in Antiquity: Real Women Across the Ancient World. Routledge,</w:t>
      </w:r>
      <w:r w:rsidR="00D0056E">
        <w:rPr>
          <w:rFonts w:ascii="Times New Roman" w:hAnsi="Times New Roman" w:cs="Times New Roman"/>
        </w:rPr>
        <w:t xml:space="preserve"> p. 259</w:t>
      </w:r>
    </w:p>
  </w:footnote>
  <w:footnote w:id="13">
    <w:p w14:paraId="5CBB87A4" w14:textId="3B070366" w:rsidR="00A150FF" w:rsidRPr="00A150FF" w:rsidRDefault="00A150FF">
      <w:pPr>
        <w:pStyle w:val="FootnoteText"/>
        <w:rPr>
          <w:rFonts w:ascii="Times New Roman" w:hAnsi="Times New Roman" w:cs="Times New Roman"/>
        </w:rPr>
      </w:pPr>
      <w:r w:rsidRPr="00A150FF">
        <w:rPr>
          <w:rStyle w:val="FootnoteReference"/>
          <w:rFonts w:ascii="Times New Roman" w:hAnsi="Times New Roman" w:cs="Times New Roman"/>
        </w:rPr>
        <w:footnoteRef/>
      </w:r>
      <w:r w:rsidRPr="00A150FF">
        <w:rPr>
          <w:rFonts w:ascii="Times New Roman" w:hAnsi="Times New Roman" w:cs="Times New Roman"/>
        </w:rPr>
        <w:t xml:space="preserve"> </w:t>
      </w:r>
      <w:r>
        <w:rPr>
          <w:rFonts w:ascii="Times New Roman" w:hAnsi="Times New Roman" w:cs="Times New Roman"/>
        </w:rPr>
        <w:t xml:space="preserve">Biblical Archaeological Society Library, </w:t>
      </w:r>
      <w:r w:rsidRPr="00A150FF">
        <w:rPr>
          <w:rFonts w:ascii="Times New Roman" w:hAnsi="Times New Roman" w:cs="Times New Roman"/>
          <w:i/>
          <w:iCs/>
        </w:rPr>
        <w:t>What’s in a Name?: Nefertiti</w:t>
      </w:r>
      <w:r>
        <w:rPr>
          <w:rFonts w:ascii="Times New Roman" w:hAnsi="Times New Roman" w:cs="Times New Roman"/>
        </w:rPr>
        <w:t xml:space="preserve">, </w:t>
      </w:r>
      <w:hyperlink r:id="rId8" w:history="1">
        <w:r w:rsidR="007B4B99" w:rsidRPr="00894913">
          <w:rPr>
            <w:rStyle w:val="Hyperlink"/>
            <w:rFonts w:ascii="Times New Roman" w:hAnsi="Times New Roman" w:cs="Times New Roman"/>
          </w:rPr>
          <w:t>https://library.biblicalarchaeology.org/department/whats-in-a-name-nefertiti/</w:t>
        </w:r>
      </w:hyperlink>
      <w:r w:rsidR="007B4B99">
        <w:rPr>
          <w:rFonts w:ascii="Times New Roman" w:hAnsi="Times New Roman" w:cs="Times New Roman"/>
        </w:rPr>
        <w:t xml:space="preserve"> [accessed 22</w:t>
      </w:r>
      <w:r w:rsidR="007B4B99" w:rsidRPr="007B4B99">
        <w:rPr>
          <w:rFonts w:ascii="Times New Roman" w:hAnsi="Times New Roman" w:cs="Times New Roman"/>
          <w:vertAlign w:val="superscript"/>
        </w:rPr>
        <w:t>nd</w:t>
      </w:r>
      <w:r w:rsidR="007B4B99">
        <w:rPr>
          <w:rFonts w:ascii="Times New Roman" w:hAnsi="Times New Roman" w:cs="Times New Roman"/>
        </w:rPr>
        <w:t xml:space="preserve"> November 2025]</w:t>
      </w:r>
    </w:p>
  </w:footnote>
  <w:footnote w:id="14">
    <w:p w14:paraId="23A832AE" w14:textId="2F05737C" w:rsidR="00A16896" w:rsidRPr="00A16896" w:rsidRDefault="00A16896">
      <w:pPr>
        <w:pStyle w:val="FootnoteText"/>
        <w:rPr>
          <w:rFonts w:ascii="Times New Roman" w:hAnsi="Times New Roman" w:cs="Times New Roman"/>
        </w:rPr>
      </w:pPr>
      <w:r w:rsidRPr="00A16896">
        <w:rPr>
          <w:rStyle w:val="FootnoteReference"/>
          <w:rFonts w:ascii="Times New Roman" w:hAnsi="Times New Roman" w:cs="Times New Roman"/>
        </w:rPr>
        <w:footnoteRef/>
      </w:r>
      <w:r w:rsidRPr="00A16896">
        <w:rPr>
          <w:rFonts w:ascii="Times New Roman" w:hAnsi="Times New Roman" w:cs="Times New Roman"/>
        </w:rPr>
        <w:t xml:space="preserve"> </w:t>
      </w:r>
      <w:r w:rsidR="00CF6C1D" w:rsidRPr="00CF6C1D">
        <w:rPr>
          <w:rFonts w:ascii="Times New Roman" w:hAnsi="Times New Roman" w:cs="Times New Roman"/>
        </w:rPr>
        <w:t>Harris, J. R. </w:t>
      </w:r>
      <w:proofErr w:type="spellStart"/>
      <w:r w:rsidR="00CF6C1D" w:rsidRPr="00CF6C1D">
        <w:rPr>
          <w:rFonts w:ascii="Times New Roman" w:hAnsi="Times New Roman" w:cs="Times New Roman"/>
          <w:i/>
          <w:iCs/>
        </w:rPr>
        <w:t>Neferneferuaten</w:t>
      </w:r>
      <w:proofErr w:type="spellEnd"/>
      <w:r w:rsidR="00CF6C1D" w:rsidRPr="00CF6C1D">
        <w:rPr>
          <w:rFonts w:ascii="Times New Roman" w:hAnsi="Times New Roman" w:cs="Times New Roman"/>
          <w:i/>
          <w:iCs/>
        </w:rPr>
        <w:t xml:space="preserve"> </w:t>
      </w:r>
      <w:proofErr w:type="spellStart"/>
      <w:r w:rsidR="00CF6C1D" w:rsidRPr="00CF6C1D">
        <w:rPr>
          <w:rFonts w:ascii="Times New Roman" w:hAnsi="Times New Roman" w:cs="Times New Roman"/>
          <w:i/>
          <w:iCs/>
        </w:rPr>
        <w:t>Rediviva</w:t>
      </w:r>
      <w:proofErr w:type="spellEnd"/>
      <w:r w:rsidR="00CF6C1D" w:rsidRPr="00CF6C1D">
        <w:rPr>
          <w:rFonts w:ascii="Times New Roman" w:hAnsi="Times New Roman" w:cs="Times New Roman"/>
        </w:rPr>
        <w:t>; 1973 in "Acta Orientalia" 35 pp. 5–13</w:t>
      </w:r>
    </w:p>
  </w:footnote>
  <w:footnote w:id="15">
    <w:p w14:paraId="72DE8691" w14:textId="0A8EAA7F" w:rsidR="007F52F9" w:rsidRPr="007F52F9" w:rsidRDefault="007F52F9">
      <w:pPr>
        <w:pStyle w:val="FootnoteText"/>
        <w:rPr>
          <w:rFonts w:ascii="Times New Roman" w:hAnsi="Times New Roman" w:cs="Times New Roman"/>
        </w:rPr>
      </w:pPr>
      <w:r w:rsidRPr="007F52F9">
        <w:rPr>
          <w:rStyle w:val="FootnoteReference"/>
          <w:rFonts w:ascii="Times New Roman" w:hAnsi="Times New Roman" w:cs="Times New Roman"/>
        </w:rPr>
        <w:footnoteRef/>
      </w:r>
      <w:r w:rsidRPr="007F52F9">
        <w:rPr>
          <w:rFonts w:ascii="Times New Roman" w:hAnsi="Times New Roman" w:cs="Times New Roman"/>
        </w:rPr>
        <w:t xml:space="preserve"> </w:t>
      </w:r>
      <w:hyperlink r:id="rId9" w:history="1">
        <w:r w:rsidRPr="000C44CA">
          <w:rPr>
            <w:rStyle w:val="Hyperlink"/>
            <w:rFonts w:ascii="Times New Roman" w:hAnsi="Times New Roman" w:cs="Times New Roman"/>
          </w:rPr>
          <w:t>https://www.metmuseum.org/art/collection/search/913622</w:t>
        </w:r>
      </w:hyperlink>
      <w:r>
        <w:rPr>
          <w:rFonts w:ascii="Times New Roman" w:hAnsi="Times New Roman" w:cs="Times New Roman"/>
        </w:rPr>
        <w:t xml:space="preserve"> </w:t>
      </w:r>
    </w:p>
  </w:footnote>
  <w:footnote w:id="16">
    <w:p w14:paraId="0BFC17C0" w14:textId="1EA4B781" w:rsidR="00E63D94" w:rsidRPr="00E63D94" w:rsidRDefault="00E63D94">
      <w:pPr>
        <w:pStyle w:val="FootnoteText"/>
        <w:rPr>
          <w:rFonts w:ascii="Times New Roman" w:hAnsi="Times New Roman" w:cs="Times New Roman"/>
        </w:rPr>
      </w:pPr>
      <w:r w:rsidRPr="00E63D94">
        <w:rPr>
          <w:rStyle w:val="FootnoteReference"/>
          <w:rFonts w:ascii="Times New Roman" w:hAnsi="Times New Roman" w:cs="Times New Roman"/>
        </w:rPr>
        <w:footnoteRef/>
      </w:r>
      <w:r w:rsidRPr="00E63D94">
        <w:rPr>
          <w:rFonts w:ascii="Times New Roman" w:hAnsi="Times New Roman" w:cs="Times New Roman"/>
        </w:rPr>
        <w:t xml:space="preserve"> </w:t>
      </w:r>
      <w:r>
        <w:rPr>
          <w:rFonts w:ascii="Times New Roman" w:hAnsi="Times New Roman" w:cs="Times New Roman"/>
        </w:rPr>
        <w:t xml:space="preserve">James P. Allen, </w:t>
      </w:r>
      <w:r w:rsidRPr="000A004B">
        <w:rPr>
          <w:rFonts w:ascii="Times New Roman" w:hAnsi="Times New Roman" w:cs="Times New Roman"/>
          <w:i/>
          <w:iCs/>
        </w:rPr>
        <w:t>The Amarna Succession</w:t>
      </w:r>
      <w:r>
        <w:rPr>
          <w:rFonts w:ascii="Times New Roman" w:hAnsi="Times New Roman" w:cs="Times New Roman"/>
        </w:rPr>
        <w:t xml:space="preserve"> </w:t>
      </w:r>
      <w:r w:rsidR="000A004B">
        <w:rPr>
          <w:rFonts w:ascii="Times New Roman" w:hAnsi="Times New Roman" w:cs="Times New Roman"/>
        </w:rPr>
        <w:t xml:space="preserve">(New </w:t>
      </w:r>
      <w:r w:rsidR="007E7500">
        <w:rPr>
          <w:rFonts w:ascii="Times New Roman" w:hAnsi="Times New Roman" w:cs="Times New Roman"/>
        </w:rPr>
        <w:t xml:space="preserve">England, USA: Brown University, </w:t>
      </w:r>
      <w:r w:rsidR="0075700B">
        <w:rPr>
          <w:rFonts w:ascii="Times New Roman" w:hAnsi="Times New Roman" w:cs="Times New Roman"/>
        </w:rPr>
        <w:t>2009) p. 14</w:t>
      </w:r>
      <w:r w:rsidR="002A6BBF">
        <w:rPr>
          <w:rFonts w:ascii="Times New Roman" w:hAnsi="Times New Roman" w:cs="Times New Roman"/>
        </w:rPr>
        <w:t xml:space="preserve"> </w:t>
      </w:r>
      <w:hyperlink r:id="rId10" w:history="1">
        <w:r w:rsidR="002A6BBF" w:rsidRPr="00506889">
          <w:rPr>
            <w:rStyle w:val="Hyperlink"/>
            <w:rFonts w:ascii="Times New Roman" w:hAnsi="Times New Roman" w:cs="Times New Roman"/>
          </w:rPr>
          <w:t>https://web.archive.org/web/20130701103124/http://cassian.memphis.edu/history/murnane/Allen.pdf</w:t>
        </w:r>
      </w:hyperlink>
      <w:r w:rsidR="002A6BBF">
        <w:rPr>
          <w:rFonts w:ascii="Times New Roman" w:hAnsi="Times New Roman" w:cs="Times New Roman"/>
        </w:rPr>
        <w:t xml:space="preserve"> </w:t>
      </w:r>
      <w:r w:rsidR="00D11DC7">
        <w:rPr>
          <w:rFonts w:ascii="Times New Roman" w:hAnsi="Times New Roman" w:cs="Times New Roman"/>
        </w:rPr>
        <w:t>[accessed 4th December 2025]</w:t>
      </w:r>
    </w:p>
  </w:footnote>
  <w:footnote w:id="17">
    <w:p w14:paraId="21ABD3EF" w14:textId="7BB46AF9" w:rsidR="00822762" w:rsidRPr="00822762" w:rsidRDefault="00822762">
      <w:pPr>
        <w:pStyle w:val="FootnoteText"/>
        <w:rPr>
          <w:rFonts w:ascii="Times New Roman" w:hAnsi="Times New Roman" w:cs="Times New Roman"/>
        </w:rPr>
      </w:pPr>
      <w:r w:rsidRPr="00822762">
        <w:rPr>
          <w:rStyle w:val="FootnoteReference"/>
          <w:rFonts w:ascii="Times New Roman" w:hAnsi="Times New Roman" w:cs="Times New Roman"/>
        </w:rPr>
        <w:footnoteRef/>
      </w:r>
      <w:r w:rsidRPr="00822762">
        <w:rPr>
          <w:rFonts w:ascii="Times New Roman" w:hAnsi="Times New Roman" w:cs="Times New Roman"/>
        </w:rPr>
        <w:t xml:space="preserve"> </w:t>
      </w:r>
      <w:r w:rsidR="00A67720">
        <w:rPr>
          <w:rFonts w:ascii="Times New Roman" w:hAnsi="Times New Roman" w:cs="Times New Roman"/>
        </w:rPr>
        <w:t>Mohamed Zohair</w:t>
      </w:r>
      <w:r w:rsidR="0074364D">
        <w:rPr>
          <w:rFonts w:ascii="Times New Roman" w:hAnsi="Times New Roman" w:cs="Times New Roman"/>
        </w:rPr>
        <w:t>,</w:t>
      </w:r>
      <w:r w:rsidR="00A67720">
        <w:rPr>
          <w:rFonts w:ascii="Times New Roman" w:hAnsi="Times New Roman" w:cs="Times New Roman"/>
        </w:rPr>
        <w:t xml:space="preserve"> </w:t>
      </w:r>
      <w:r w:rsidR="0074364D">
        <w:rPr>
          <w:rFonts w:ascii="Times New Roman" w:hAnsi="Times New Roman" w:cs="Times New Roman"/>
        </w:rPr>
        <w:t>‘</w:t>
      </w:r>
      <w:r w:rsidR="00A67720">
        <w:rPr>
          <w:rFonts w:ascii="Times New Roman" w:hAnsi="Times New Roman" w:cs="Times New Roman"/>
        </w:rPr>
        <w:t>Ancient E</w:t>
      </w:r>
      <w:r w:rsidR="00583583">
        <w:rPr>
          <w:rFonts w:ascii="Times New Roman" w:hAnsi="Times New Roman" w:cs="Times New Roman"/>
        </w:rPr>
        <w:t>gypt: The Tomb of Meryre II at Amarna’, The Database of Religious History,</w:t>
      </w:r>
      <w:r w:rsidR="00483430">
        <w:rPr>
          <w:rFonts w:ascii="Times New Roman" w:hAnsi="Times New Roman" w:cs="Times New Roman"/>
        </w:rPr>
        <w:t xml:space="preserve"> p. 1 </w:t>
      </w:r>
      <w:hyperlink r:id="rId11" w:history="1">
        <w:r w:rsidR="00483430" w:rsidRPr="00506889">
          <w:rPr>
            <w:rStyle w:val="Hyperlink"/>
            <w:rFonts w:ascii="Times New Roman" w:hAnsi="Times New Roman" w:cs="Times New Roman"/>
          </w:rPr>
          <w:t>https://open.library.ubc.ca/media/stream/pdf/52387/1.0422133/2</w:t>
        </w:r>
      </w:hyperlink>
      <w:r w:rsidR="00483430">
        <w:rPr>
          <w:rFonts w:ascii="Times New Roman" w:hAnsi="Times New Roman" w:cs="Times New Roman"/>
        </w:rPr>
        <w:t xml:space="preserve"> [accessed 4th Decem</w:t>
      </w:r>
      <w:r w:rsidR="00856446">
        <w:rPr>
          <w:rFonts w:ascii="Times New Roman" w:hAnsi="Times New Roman" w:cs="Times New Roman"/>
        </w:rPr>
        <w:t>ber 2025]</w:t>
      </w:r>
    </w:p>
  </w:footnote>
  <w:footnote w:id="18">
    <w:p w14:paraId="469AF289" w14:textId="14187F04" w:rsidR="0098026E" w:rsidRPr="0098026E" w:rsidRDefault="0098026E">
      <w:pPr>
        <w:pStyle w:val="FootnoteText"/>
        <w:rPr>
          <w:rFonts w:ascii="Times New Roman" w:hAnsi="Times New Roman" w:cs="Times New Roman"/>
        </w:rPr>
      </w:pPr>
      <w:r w:rsidRPr="0098026E">
        <w:rPr>
          <w:rStyle w:val="FootnoteReference"/>
          <w:rFonts w:ascii="Times New Roman" w:hAnsi="Times New Roman" w:cs="Times New Roman"/>
        </w:rPr>
        <w:footnoteRef/>
      </w:r>
      <w:r w:rsidRPr="0098026E">
        <w:rPr>
          <w:rFonts w:ascii="Times New Roman" w:hAnsi="Times New Roman" w:cs="Times New Roman"/>
        </w:rPr>
        <w:t xml:space="preserve"> </w:t>
      </w:r>
      <w:r w:rsidRPr="00C91B45">
        <w:rPr>
          <w:rFonts w:ascii="Times New Roman" w:hAnsi="Times New Roman" w:cs="Times New Roman"/>
        </w:rPr>
        <w:t>Nor</w:t>
      </w:r>
      <w:r>
        <w:rPr>
          <w:rFonts w:ascii="Times New Roman" w:hAnsi="Times New Roman" w:cs="Times New Roman"/>
        </w:rPr>
        <w:t xml:space="preserve">man de Garis Davies, </w:t>
      </w:r>
      <w:r w:rsidRPr="00C9509B">
        <w:rPr>
          <w:rFonts w:ascii="Times New Roman" w:hAnsi="Times New Roman" w:cs="Times New Roman"/>
          <w:i/>
          <w:iCs/>
        </w:rPr>
        <w:t xml:space="preserve">The Rock Tombs of Amarna. Part II – The Tomb of </w:t>
      </w:r>
      <w:proofErr w:type="spellStart"/>
      <w:r w:rsidRPr="00C9509B">
        <w:rPr>
          <w:rFonts w:ascii="Times New Roman" w:hAnsi="Times New Roman" w:cs="Times New Roman"/>
          <w:i/>
          <w:iCs/>
        </w:rPr>
        <w:t>Panehesy</w:t>
      </w:r>
      <w:proofErr w:type="spellEnd"/>
      <w:r w:rsidRPr="00C9509B">
        <w:rPr>
          <w:rFonts w:ascii="Times New Roman" w:hAnsi="Times New Roman" w:cs="Times New Roman"/>
          <w:i/>
          <w:iCs/>
        </w:rPr>
        <w:t xml:space="preserve"> and </w:t>
      </w:r>
      <w:proofErr w:type="spellStart"/>
      <w:r w:rsidRPr="00C9509B">
        <w:rPr>
          <w:rFonts w:ascii="Times New Roman" w:hAnsi="Times New Roman" w:cs="Times New Roman"/>
          <w:i/>
          <w:iCs/>
        </w:rPr>
        <w:t>Meryre</w:t>
      </w:r>
      <w:proofErr w:type="spellEnd"/>
      <w:r w:rsidRPr="00C9509B">
        <w:rPr>
          <w:rFonts w:ascii="Times New Roman" w:hAnsi="Times New Roman" w:cs="Times New Roman"/>
          <w:i/>
          <w:iCs/>
        </w:rPr>
        <w:t xml:space="preserve"> II</w:t>
      </w:r>
      <w:r>
        <w:rPr>
          <w:rFonts w:ascii="Times New Roman" w:hAnsi="Times New Roman" w:cs="Times New Roman"/>
        </w:rPr>
        <w:t xml:space="preserve"> (London: 1905) p. 35</w:t>
      </w:r>
    </w:p>
  </w:footnote>
  <w:footnote w:id="19">
    <w:p w14:paraId="0B243402" w14:textId="4673585E" w:rsidR="00076233" w:rsidRPr="00076233" w:rsidRDefault="00076233">
      <w:pPr>
        <w:pStyle w:val="FootnoteText"/>
        <w:rPr>
          <w:rFonts w:ascii="Times New Roman" w:hAnsi="Times New Roman" w:cs="Times New Roman"/>
        </w:rPr>
      </w:pPr>
      <w:r w:rsidRPr="00076233">
        <w:rPr>
          <w:rStyle w:val="FootnoteReference"/>
          <w:rFonts w:ascii="Times New Roman" w:hAnsi="Times New Roman" w:cs="Times New Roman"/>
        </w:rPr>
        <w:footnoteRef/>
      </w:r>
      <w:r w:rsidRPr="00076233">
        <w:rPr>
          <w:rFonts w:ascii="Times New Roman" w:hAnsi="Times New Roman" w:cs="Times New Roman"/>
        </w:rPr>
        <w:t xml:space="preserve"> </w:t>
      </w:r>
      <w:r>
        <w:rPr>
          <w:rFonts w:ascii="Times New Roman" w:hAnsi="Times New Roman" w:cs="Times New Roman"/>
        </w:rPr>
        <w:t>Britannica</w:t>
      </w:r>
      <w:r w:rsidR="00950479">
        <w:rPr>
          <w:rFonts w:ascii="Times New Roman" w:hAnsi="Times New Roman" w:cs="Times New Roman"/>
        </w:rPr>
        <w:t xml:space="preserve">, </w:t>
      </w:r>
      <w:r w:rsidR="00950479" w:rsidRPr="00950479">
        <w:rPr>
          <w:rFonts w:ascii="Times New Roman" w:hAnsi="Times New Roman" w:cs="Times New Roman"/>
          <w:i/>
          <w:iCs/>
        </w:rPr>
        <w:t>Sistrum</w:t>
      </w:r>
      <w:r w:rsidR="00950479">
        <w:rPr>
          <w:rFonts w:ascii="Times New Roman" w:hAnsi="Times New Roman" w:cs="Times New Roman"/>
        </w:rPr>
        <w:t xml:space="preserve"> (1998) </w:t>
      </w:r>
      <w:hyperlink r:id="rId12" w:history="1">
        <w:r w:rsidR="00B22D77" w:rsidRPr="00506889">
          <w:rPr>
            <w:rStyle w:val="Hyperlink"/>
            <w:rFonts w:ascii="Times New Roman" w:hAnsi="Times New Roman" w:cs="Times New Roman"/>
          </w:rPr>
          <w:t>https://www.britannica.com/art/sistrum</w:t>
        </w:r>
      </w:hyperlink>
      <w:r w:rsidR="00B22D77">
        <w:rPr>
          <w:rFonts w:ascii="Times New Roman" w:hAnsi="Times New Roman" w:cs="Times New Roman"/>
        </w:rPr>
        <w:t xml:space="preserve"> [accessed 4th December 2025]</w:t>
      </w:r>
    </w:p>
  </w:footnote>
  <w:footnote w:id="20">
    <w:p w14:paraId="75BE26C0" w14:textId="6601072C" w:rsidR="003D3402" w:rsidRPr="00B30FD4" w:rsidRDefault="003D3402">
      <w:pPr>
        <w:pStyle w:val="FootnoteText"/>
        <w:rPr>
          <w:rFonts w:ascii="Times New Roman" w:hAnsi="Times New Roman" w:cs="Times New Roman"/>
        </w:rPr>
      </w:pPr>
      <w:r w:rsidRPr="00B30FD4">
        <w:rPr>
          <w:rStyle w:val="FootnoteReference"/>
          <w:rFonts w:ascii="Times New Roman" w:hAnsi="Times New Roman" w:cs="Times New Roman"/>
        </w:rPr>
        <w:footnoteRef/>
      </w:r>
      <w:r w:rsidRPr="00B30FD4">
        <w:rPr>
          <w:rFonts w:ascii="Times New Roman" w:hAnsi="Times New Roman" w:cs="Times New Roman"/>
        </w:rPr>
        <w:t xml:space="preserve"> </w:t>
      </w:r>
      <w:r w:rsidR="00B30FD4">
        <w:rPr>
          <w:rFonts w:ascii="Times New Roman" w:hAnsi="Times New Roman" w:cs="Times New Roman"/>
        </w:rPr>
        <w:t xml:space="preserve">Barbara </w:t>
      </w:r>
      <w:r w:rsidR="007545E9">
        <w:rPr>
          <w:rFonts w:ascii="Times New Roman" w:hAnsi="Times New Roman" w:cs="Times New Roman"/>
        </w:rPr>
        <w:t xml:space="preserve">Watterson, Amarna: Ancient Egypt’s Age of Revelation (Charleston, </w:t>
      </w:r>
      <w:r w:rsidR="00AF71B8">
        <w:rPr>
          <w:rFonts w:ascii="Times New Roman" w:hAnsi="Times New Roman" w:cs="Times New Roman"/>
        </w:rPr>
        <w:t>South Carolina</w:t>
      </w:r>
      <w:r w:rsidR="00D8238A">
        <w:rPr>
          <w:rFonts w:ascii="Times New Roman" w:hAnsi="Times New Roman" w:cs="Times New Roman"/>
        </w:rPr>
        <w:t>: Tempus Publishing, 1999) p. 70</w:t>
      </w:r>
    </w:p>
  </w:footnote>
  <w:footnote w:id="21">
    <w:p w14:paraId="6448A01E" w14:textId="0BE1F935" w:rsidR="00F24999" w:rsidRPr="00F24999" w:rsidRDefault="00F24999">
      <w:pPr>
        <w:pStyle w:val="FootnoteText"/>
        <w:rPr>
          <w:rFonts w:ascii="Times New Roman" w:hAnsi="Times New Roman" w:cs="Times New Roman"/>
        </w:rPr>
      </w:pPr>
      <w:r w:rsidRPr="00F24999">
        <w:rPr>
          <w:rStyle w:val="FootnoteReference"/>
          <w:rFonts w:ascii="Times New Roman" w:hAnsi="Times New Roman" w:cs="Times New Roman"/>
        </w:rPr>
        <w:footnoteRef/>
      </w:r>
      <w:r w:rsidRPr="00F24999">
        <w:rPr>
          <w:rFonts w:ascii="Times New Roman" w:hAnsi="Times New Roman" w:cs="Times New Roman"/>
        </w:rPr>
        <w:t xml:space="preserve"> </w:t>
      </w:r>
      <w:r w:rsidR="004A0434">
        <w:rPr>
          <w:rFonts w:ascii="Times New Roman" w:hAnsi="Times New Roman" w:cs="Times New Roman"/>
        </w:rPr>
        <w:t>Sal</w:t>
      </w:r>
      <w:r w:rsidR="004E232F">
        <w:rPr>
          <w:rFonts w:ascii="Times New Roman" w:hAnsi="Times New Roman" w:cs="Times New Roman"/>
        </w:rPr>
        <w:t>ima Ikram, ‘Domestic Shrines and the Cult of the Royal Family at el-‘</w:t>
      </w:r>
      <w:proofErr w:type="spellStart"/>
      <w:r w:rsidR="004E232F">
        <w:rPr>
          <w:rFonts w:ascii="Times New Roman" w:hAnsi="Times New Roman" w:cs="Times New Roman"/>
        </w:rPr>
        <w:t>Amarna</w:t>
      </w:r>
      <w:proofErr w:type="spellEnd"/>
      <w:r w:rsidR="004E232F">
        <w:rPr>
          <w:rFonts w:ascii="Times New Roman" w:hAnsi="Times New Roman" w:cs="Times New Roman"/>
        </w:rPr>
        <w:t>’</w:t>
      </w:r>
      <w:r w:rsidR="00D56210">
        <w:rPr>
          <w:rFonts w:ascii="Times New Roman" w:hAnsi="Times New Roman" w:cs="Times New Roman"/>
        </w:rPr>
        <w:t xml:space="preserve">, </w:t>
      </w:r>
      <w:r w:rsidR="00D56210" w:rsidRPr="000E4F5E">
        <w:rPr>
          <w:rFonts w:ascii="Times New Roman" w:hAnsi="Times New Roman" w:cs="Times New Roman"/>
          <w:i/>
          <w:iCs/>
        </w:rPr>
        <w:t>The Journal of Egyptian Archaeology</w:t>
      </w:r>
      <w:r w:rsidR="00D56210">
        <w:rPr>
          <w:rFonts w:ascii="Times New Roman" w:hAnsi="Times New Roman" w:cs="Times New Roman"/>
        </w:rPr>
        <w:t xml:space="preserve"> Vol. 75</w:t>
      </w:r>
      <w:r w:rsidR="000938FC">
        <w:rPr>
          <w:rFonts w:ascii="Times New Roman" w:hAnsi="Times New Roman" w:cs="Times New Roman"/>
        </w:rPr>
        <w:t xml:space="preserve"> (1989), p. 89-101</w:t>
      </w:r>
      <w:r w:rsidR="00201DAB">
        <w:rPr>
          <w:rFonts w:ascii="Times New Roman" w:hAnsi="Times New Roman" w:cs="Times New Roman"/>
        </w:rPr>
        <w:t xml:space="preserve"> </w:t>
      </w:r>
      <w:hyperlink r:id="rId13" w:history="1">
        <w:r w:rsidR="00201DAB" w:rsidRPr="00506889">
          <w:rPr>
            <w:rStyle w:val="Hyperlink"/>
            <w:rFonts w:ascii="Times New Roman" w:hAnsi="Times New Roman" w:cs="Times New Roman"/>
          </w:rPr>
          <w:t>https://www.jstor.org/stable/3821901?seq=1</w:t>
        </w:r>
      </w:hyperlink>
      <w:r w:rsidR="00201DAB">
        <w:rPr>
          <w:rFonts w:ascii="Times New Roman" w:hAnsi="Times New Roman" w:cs="Times New Roman"/>
        </w:rPr>
        <w:t xml:space="preserve"> [accessed 3</w:t>
      </w:r>
      <w:r w:rsidR="00201DAB" w:rsidRPr="00201DAB">
        <w:rPr>
          <w:rFonts w:ascii="Times New Roman" w:hAnsi="Times New Roman" w:cs="Times New Roman"/>
          <w:vertAlign w:val="superscript"/>
        </w:rPr>
        <w:t>rd</w:t>
      </w:r>
      <w:r w:rsidR="00201DAB">
        <w:rPr>
          <w:rFonts w:ascii="Times New Roman" w:hAnsi="Times New Roman" w:cs="Times New Roman"/>
        </w:rPr>
        <w:t xml:space="preserve"> December 2025]</w:t>
      </w:r>
    </w:p>
  </w:footnote>
  <w:footnote w:id="22">
    <w:p w14:paraId="1B90563E" w14:textId="134B58F5" w:rsidR="003407D5" w:rsidRPr="003407D5" w:rsidRDefault="003407D5">
      <w:pPr>
        <w:pStyle w:val="FootnoteText"/>
        <w:rPr>
          <w:rFonts w:ascii="Times New Roman" w:hAnsi="Times New Roman" w:cs="Times New Roman"/>
        </w:rPr>
      </w:pPr>
      <w:r w:rsidRPr="003407D5">
        <w:rPr>
          <w:rStyle w:val="FootnoteReference"/>
          <w:rFonts w:ascii="Times New Roman" w:hAnsi="Times New Roman" w:cs="Times New Roman"/>
        </w:rPr>
        <w:footnoteRef/>
      </w:r>
      <w:r w:rsidRPr="003407D5">
        <w:rPr>
          <w:rFonts w:ascii="Times New Roman" w:hAnsi="Times New Roman" w:cs="Times New Roman"/>
        </w:rPr>
        <w:t xml:space="preserve"> </w:t>
      </w:r>
      <w:r w:rsidR="0009711D">
        <w:rPr>
          <w:rFonts w:ascii="Times New Roman" w:hAnsi="Times New Roman" w:cs="Times New Roman"/>
        </w:rPr>
        <w:t xml:space="preserve">Anna Stevens, </w:t>
      </w:r>
      <w:r w:rsidR="0009711D" w:rsidRPr="00977EBC">
        <w:rPr>
          <w:rFonts w:ascii="Times New Roman" w:hAnsi="Times New Roman" w:cs="Times New Roman"/>
          <w:i/>
          <w:iCs/>
        </w:rPr>
        <w:t>Private Religion at Amarna: The Material Evidence</w:t>
      </w:r>
      <w:r w:rsidR="0009711D">
        <w:rPr>
          <w:rFonts w:ascii="Times New Roman" w:hAnsi="Times New Roman" w:cs="Times New Roman"/>
        </w:rPr>
        <w:t xml:space="preserve"> </w:t>
      </w:r>
      <w:r w:rsidR="00F947A0">
        <w:rPr>
          <w:rFonts w:ascii="Times New Roman" w:hAnsi="Times New Roman" w:cs="Times New Roman"/>
        </w:rPr>
        <w:t>(</w:t>
      </w:r>
      <w:r w:rsidR="00EE1B93">
        <w:rPr>
          <w:rFonts w:ascii="Times New Roman" w:hAnsi="Times New Roman" w:cs="Times New Roman"/>
        </w:rPr>
        <w:t>Oxford: BAR Publishing, 2016)</w:t>
      </w:r>
      <w:r w:rsidR="00C8462E">
        <w:rPr>
          <w:rFonts w:ascii="Times New Roman" w:hAnsi="Times New Roman" w:cs="Times New Roman"/>
        </w:rPr>
        <w:t>, p. 79</w:t>
      </w:r>
    </w:p>
  </w:footnote>
  <w:footnote w:id="23">
    <w:p w14:paraId="1D702D67" w14:textId="16313D7D" w:rsidR="00A12C55" w:rsidRPr="00A12C55" w:rsidRDefault="00A12C55">
      <w:pPr>
        <w:pStyle w:val="FootnoteText"/>
        <w:rPr>
          <w:rFonts w:ascii="Times New Roman" w:hAnsi="Times New Roman" w:cs="Times New Roman"/>
        </w:rPr>
      </w:pPr>
      <w:r w:rsidRPr="00A12C55">
        <w:rPr>
          <w:rStyle w:val="FootnoteReference"/>
          <w:rFonts w:ascii="Times New Roman" w:hAnsi="Times New Roman" w:cs="Times New Roman"/>
        </w:rPr>
        <w:footnoteRef/>
      </w:r>
      <w:r w:rsidRPr="00A12C55">
        <w:rPr>
          <w:rFonts w:ascii="Times New Roman" w:hAnsi="Times New Roman" w:cs="Times New Roman"/>
        </w:rPr>
        <w:t xml:space="preserve"> </w:t>
      </w:r>
      <w:r w:rsidR="00E92DE2">
        <w:rPr>
          <w:rFonts w:ascii="Times New Roman" w:hAnsi="Times New Roman" w:cs="Times New Roman"/>
        </w:rPr>
        <w:t>Branko F. van Oppen de Ruiter</w:t>
      </w:r>
      <w:r w:rsidR="000E4F5E">
        <w:rPr>
          <w:rFonts w:ascii="Times New Roman" w:hAnsi="Times New Roman" w:cs="Times New Roman"/>
        </w:rPr>
        <w:t xml:space="preserve">, ‘Lovely Ugly Bes! Animalistic Aspects in Ancient Egyptian Popular Religion’, </w:t>
      </w:r>
      <w:r w:rsidR="00593618" w:rsidRPr="00C23037">
        <w:rPr>
          <w:rFonts w:ascii="Times New Roman" w:hAnsi="Times New Roman" w:cs="Times New Roman"/>
          <w:i/>
          <w:iCs/>
        </w:rPr>
        <w:t>Animals in Ancient Material Cultures</w:t>
      </w:r>
      <w:r w:rsidR="00593618">
        <w:rPr>
          <w:rFonts w:ascii="Times New Roman" w:hAnsi="Times New Roman" w:cs="Times New Roman"/>
        </w:rPr>
        <w:t xml:space="preserve"> Vol</w:t>
      </w:r>
      <w:r w:rsidR="00C23037">
        <w:rPr>
          <w:rFonts w:ascii="Times New Roman" w:hAnsi="Times New Roman" w:cs="Times New Roman"/>
        </w:rPr>
        <w:t xml:space="preserve">. 2 (2020) </w:t>
      </w:r>
      <w:hyperlink r:id="rId14" w:history="1">
        <w:r w:rsidR="00A66464" w:rsidRPr="00506889">
          <w:rPr>
            <w:rStyle w:val="Hyperlink"/>
            <w:rFonts w:ascii="Times New Roman" w:hAnsi="Times New Roman" w:cs="Times New Roman"/>
          </w:rPr>
          <w:t>https://www.mdpi.com/2076-0752/9/2/51</w:t>
        </w:r>
      </w:hyperlink>
      <w:r w:rsidR="00A66464">
        <w:rPr>
          <w:rFonts w:ascii="Times New Roman" w:hAnsi="Times New Roman" w:cs="Times New Roman"/>
        </w:rPr>
        <w:t xml:space="preserve"> [accessed 3rd December 2025]</w:t>
      </w:r>
    </w:p>
  </w:footnote>
  <w:footnote w:id="24">
    <w:p w14:paraId="5CAAAE13" w14:textId="6623E551" w:rsidR="009F7AC4" w:rsidRPr="009F7AC4" w:rsidRDefault="009F7AC4">
      <w:pPr>
        <w:pStyle w:val="FootnoteText"/>
        <w:rPr>
          <w:rFonts w:ascii="Times New Roman" w:hAnsi="Times New Roman" w:cs="Times New Roman"/>
        </w:rPr>
      </w:pPr>
      <w:r w:rsidRPr="009F7AC4">
        <w:rPr>
          <w:rStyle w:val="FootnoteReference"/>
          <w:rFonts w:ascii="Times New Roman" w:hAnsi="Times New Roman" w:cs="Times New Roman"/>
        </w:rPr>
        <w:footnoteRef/>
      </w:r>
      <w:r w:rsidRPr="009F7AC4">
        <w:rPr>
          <w:rFonts w:ascii="Times New Roman" w:hAnsi="Times New Roman" w:cs="Times New Roman"/>
        </w:rPr>
        <w:t xml:space="preserve"> </w:t>
      </w:r>
      <w:r w:rsidR="003D788A">
        <w:rPr>
          <w:rFonts w:ascii="Times New Roman" w:hAnsi="Times New Roman" w:cs="Times New Roman"/>
        </w:rPr>
        <w:t xml:space="preserve">Stevens, </w:t>
      </w:r>
      <w:r w:rsidR="003D788A" w:rsidRPr="00ED670B">
        <w:rPr>
          <w:rFonts w:ascii="Times New Roman" w:hAnsi="Times New Roman" w:cs="Times New Roman"/>
          <w:i/>
          <w:iCs/>
        </w:rPr>
        <w:t>Private Religion at Amarna: The Material Evidence,</w:t>
      </w:r>
      <w:r w:rsidR="003D788A">
        <w:rPr>
          <w:rFonts w:ascii="Times New Roman" w:hAnsi="Times New Roman" w:cs="Times New Roman"/>
        </w:rPr>
        <w:t xml:space="preserve"> </w:t>
      </w:r>
      <w:r w:rsidR="00ED670B">
        <w:rPr>
          <w:rFonts w:ascii="Times New Roman" w:hAnsi="Times New Roman" w:cs="Times New Roman"/>
        </w:rPr>
        <w:t>p. 83</w:t>
      </w:r>
    </w:p>
  </w:footnote>
  <w:footnote w:id="25">
    <w:p w14:paraId="45EF955A" w14:textId="3ABEA500" w:rsidR="00B661F9" w:rsidRPr="00B661F9" w:rsidRDefault="00B661F9">
      <w:pPr>
        <w:pStyle w:val="FootnoteText"/>
        <w:rPr>
          <w:rFonts w:ascii="Times New Roman" w:hAnsi="Times New Roman" w:cs="Times New Roman"/>
        </w:rPr>
      </w:pPr>
      <w:r w:rsidRPr="00B661F9">
        <w:rPr>
          <w:rStyle w:val="FootnoteReference"/>
          <w:rFonts w:ascii="Times New Roman" w:hAnsi="Times New Roman" w:cs="Times New Roman"/>
        </w:rPr>
        <w:footnoteRef/>
      </w:r>
      <w:r w:rsidRPr="00B661F9">
        <w:rPr>
          <w:rFonts w:ascii="Times New Roman" w:hAnsi="Times New Roman" w:cs="Times New Roman"/>
        </w:rPr>
        <w:t xml:space="preserve"> </w:t>
      </w:r>
      <w:r>
        <w:rPr>
          <w:rFonts w:ascii="Times New Roman" w:hAnsi="Times New Roman" w:cs="Times New Roman"/>
        </w:rPr>
        <w:t xml:space="preserve">Ancient Egypt Online, </w:t>
      </w:r>
      <w:r w:rsidRPr="006B19B5">
        <w:rPr>
          <w:rFonts w:ascii="Times New Roman" w:hAnsi="Times New Roman" w:cs="Times New Roman"/>
          <w:i/>
          <w:iCs/>
        </w:rPr>
        <w:t>Taweret</w:t>
      </w:r>
      <w:r>
        <w:rPr>
          <w:rFonts w:ascii="Times New Roman" w:hAnsi="Times New Roman" w:cs="Times New Roman"/>
        </w:rPr>
        <w:t xml:space="preserve"> (</w:t>
      </w:r>
      <w:r w:rsidR="006B19B5">
        <w:rPr>
          <w:rFonts w:ascii="Times New Roman" w:hAnsi="Times New Roman" w:cs="Times New Roman"/>
        </w:rPr>
        <w:t>2016)</w:t>
      </w:r>
      <w:r w:rsidR="00513246">
        <w:rPr>
          <w:rFonts w:ascii="Times New Roman" w:hAnsi="Times New Roman" w:cs="Times New Roman"/>
        </w:rPr>
        <w:t xml:space="preserve"> </w:t>
      </w:r>
      <w:hyperlink r:id="rId15" w:history="1">
        <w:r w:rsidR="00513246" w:rsidRPr="00506889">
          <w:rPr>
            <w:rStyle w:val="Hyperlink"/>
            <w:rFonts w:ascii="Times New Roman" w:hAnsi="Times New Roman" w:cs="Times New Roman"/>
          </w:rPr>
          <w:t>https://ancientegyptonline.co.uk/taweret/</w:t>
        </w:r>
      </w:hyperlink>
      <w:r w:rsidR="00513246">
        <w:rPr>
          <w:rFonts w:ascii="Times New Roman" w:hAnsi="Times New Roman" w:cs="Times New Roman"/>
        </w:rPr>
        <w:t xml:space="preserve"> [accessed 2</w:t>
      </w:r>
      <w:r w:rsidR="00513246" w:rsidRPr="00513246">
        <w:rPr>
          <w:rFonts w:ascii="Times New Roman" w:hAnsi="Times New Roman" w:cs="Times New Roman"/>
          <w:vertAlign w:val="superscript"/>
        </w:rPr>
        <w:t>nd</w:t>
      </w:r>
      <w:r w:rsidR="00513246">
        <w:rPr>
          <w:rFonts w:ascii="Times New Roman" w:hAnsi="Times New Roman" w:cs="Times New Roman"/>
        </w:rPr>
        <w:t xml:space="preserve"> December 2025]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C5"/>
    <w:rsid w:val="000019D8"/>
    <w:rsid w:val="00005F6F"/>
    <w:rsid w:val="00013ED8"/>
    <w:rsid w:val="000146DC"/>
    <w:rsid w:val="00033300"/>
    <w:rsid w:val="00033A3A"/>
    <w:rsid w:val="000540C0"/>
    <w:rsid w:val="000639F0"/>
    <w:rsid w:val="000672F6"/>
    <w:rsid w:val="000716F6"/>
    <w:rsid w:val="000726F4"/>
    <w:rsid w:val="0007306B"/>
    <w:rsid w:val="00076233"/>
    <w:rsid w:val="000800F7"/>
    <w:rsid w:val="00083D50"/>
    <w:rsid w:val="000938FC"/>
    <w:rsid w:val="0009711D"/>
    <w:rsid w:val="000971A7"/>
    <w:rsid w:val="000A004B"/>
    <w:rsid w:val="000A09D8"/>
    <w:rsid w:val="000A23B8"/>
    <w:rsid w:val="000A44D6"/>
    <w:rsid w:val="000A5208"/>
    <w:rsid w:val="000B318D"/>
    <w:rsid w:val="000C7F10"/>
    <w:rsid w:val="000D0B7E"/>
    <w:rsid w:val="000D0F79"/>
    <w:rsid w:val="000D6B67"/>
    <w:rsid w:val="000D7E0C"/>
    <w:rsid w:val="000E0E56"/>
    <w:rsid w:val="000E4758"/>
    <w:rsid w:val="000E4F5E"/>
    <w:rsid w:val="000E6EB4"/>
    <w:rsid w:val="000F123F"/>
    <w:rsid w:val="000F6A51"/>
    <w:rsid w:val="001044D3"/>
    <w:rsid w:val="00104B44"/>
    <w:rsid w:val="00123C41"/>
    <w:rsid w:val="00133588"/>
    <w:rsid w:val="00143729"/>
    <w:rsid w:val="00143A10"/>
    <w:rsid w:val="00146240"/>
    <w:rsid w:val="0015038D"/>
    <w:rsid w:val="001508B4"/>
    <w:rsid w:val="00153668"/>
    <w:rsid w:val="00160D25"/>
    <w:rsid w:val="001678EA"/>
    <w:rsid w:val="00175525"/>
    <w:rsid w:val="00183FFF"/>
    <w:rsid w:val="00186033"/>
    <w:rsid w:val="00187310"/>
    <w:rsid w:val="001A5716"/>
    <w:rsid w:val="001A681A"/>
    <w:rsid w:val="001B12DB"/>
    <w:rsid w:val="001B4231"/>
    <w:rsid w:val="001C371B"/>
    <w:rsid w:val="001C44D3"/>
    <w:rsid w:val="001C58C3"/>
    <w:rsid w:val="001D15C4"/>
    <w:rsid w:val="001D5D01"/>
    <w:rsid w:val="001D713F"/>
    <w:rsid w:val="001E7FBD"/>
    <w:rsid w:val="001F6280"/>
    <w:rsid w:val="00201DAB"/>
    <w:rsid w:val="00213533"/>
    <w:rsid w:val="00223919"/>
    <w:rsid w:val="00234760"/>
    <w:rsid w:val="00245E17"/>
    <w:rsid w:val="002478C0"/>
    <w:rsid w:val="00270517"/>
    <w:rsid w:val="002723C1"/>
    <w:rsid w:val="00273239"/>
    <w:rsid w:val="00273C01"/>
    <w:rsid w:val="00274D93"/>
    <w:rsid w:val="00274F7C"/>
    <w:rsid w:val="002841BB"/>
    <w:rsid w:val="002A2287"/>
    <w:rsid w:val="002A6BBF"/>
    <w:rsid w:val="002B5BD0"/>
    <w:rsid w:val="002C0BEE"/>
    <w:rsid w:val="002D0244"/>
    <w:rsid w:val="002D5E9E"/>
    <w:rsid w:val="002D6CA0"/>
    <w:rsid w:val="002E0D93"/>
    <w:rsid w:val="002E3B6C"/>
    <w:rsid w:val="002E3FCC"/>
    <w:rsid w:val="002F734C"/>
    <w:rsid w:val="00300184"/>
    <w:rsid w:val="00301184"/>
    <w:rsid w:val="003065DA"/>
    <w:rsid w:val="003076B1"/>
    <w:rsid w:val="003105EC"/>
    <w:rsid w:val="00315E7B"/>
    <w:rsid w:val="00322CBC"/>
    <w:rsid w:val="00325F85"/>
    <w:rsid w:val="00326E2D"/>
    <w:rsid w:val="00335217"/>
    <w:rsid w:val="003407D5"/>
    <w:rsid w:val="00345A7C"/>
    <w:rsid w:val="00352EFE"/>
    <w:rsid w:val="0035418A"/>
    <w:rsid w:val="00354842"/>
    <w:rsid w:val="00374502"/>
    <w:rsid w:val="0037515F"/>
    <w:rsid w:val="00385526"/>
    <w:rsid w:val="00386E75"/>
    <w:rsid w:val="00396656"/>
    <w:rsid w:val="00397193"/>
    <w:rsid w:val="00397C38"/>
    <w:rsid w:val="003A0EA5"/>
    <w:rsid w:val="003A2F81"/>
    <w:rsid w:val="003B025C"/>
    <w:rsid w:val="003B0BA7"/>
    <w:rsid w:val="003B44CC"/>
    <w:rsid w:val="003C08FF"/>
    <w:rsid w:val="003C13F9"/>
    <w:rsid w:val="003C742B"/>
    <w:rsid w:val="003D3402"/>
    <w:rsid w:val="003D6691"/>
    <w:rsid w:val="003D788A"/>
    <w:rsid w:val="003E4D5A"/>
    <w:rsid w:val="003F3F9E"/>
    <w:rsid w:val="003F65B3"/>
    <w:rsid w:val="003F66BA"/>
    <w:rsid w:val="003F70B8"/>
    <w:rsid w:val="00400C5A"/>
    <w:rsid w:val="0040147E"/>
    <w:rsid w:val="00410236"/>
    <w:rsid w:val="00415290"/>
    <w:rsid w:val="004204C0"/>
    <w:rsid w:val="0042457A"/>
    <w:rsid w:val="004272D2"/>
    <w:rsid w:val="0043083A"/>
    <w:rsid w:val="00432637"/>
    <w:rsid w:val="0044004E"/>
    <w:rsid w:val="0044078A"/>
    <w:rsid w:val="0044318B"/>
    <w:rsid w:val="004644FA"/>
    <w:rsid w:val="00474AB4"/>
    <w:rsid w:val="0047542E"/>
    <w:rsid w:val="00483430"/>
    <w:rsid w:val="00487F28"/>
    <w:rsid w:val="00497C85"/>
    <w:rsid w:val="004A0434"/>
    <w:rsid w:val="004A328B"/>
    <w:rsid w:val="004B3256"/>
    <w:rsid w:val="004B468F"/>
    <w:rsid w:val="004B5170"/>
    <w:rsid w:val="004E232F"/>
    <w:rsid w:val="004F0696"/>
    <w:rsid w:val="004F6206"/>
    <w:rsid w:val="00511F65"/>
    <w:rsid w:val="00513246"/>
    <w:rsid w:val="00530C86"/>
    <w:rsid w:val="00533241"/>
    <w:rsid w:val="005341F8"/>
    <w:rsid w:val="00547BA6"/>
    <w:rsid w:val="005545A0"/>
    <w:rsid w:val="005803EC"/>
    <w:rsid w:val="00583583"/>
    <w:rsid w:val="0058784F"/>
    <w:rsid w:val="00593618"/>
    <w:rsid w:val="00597636"/>
    <w:rsid w:val="005A2239"/>
    <w:rsid w:val="005A4DE2"/>
    <w:rsid w:val="005B191B"/>
    <w:rsid w:val="005B25A2"/>
    <w:rsid w:val="005C1D4D"/>
    <w:rsid w:val="005C2B3A"/>
    <w:rsid w:val="005C3133"/>
    <w:rsid w:val="005C3166"/>
    <w:rsid w:val="005C4B8C"/>
    <w:rsid w:val="005D559F"/>
    <w:rsid w:val="005E158F"/>
    <w:rsid w:val="005E41A0"/>
    <w:rsid w:val="005E4B28"/>
    <w:rsid w:val="005E4C39"/>
    <w:rsid w:val="005F2879"/>
    <w:rsid w:val="005F420C"/>
    <w:rsid w:val="006029A7"/>
    <w:rsid w:val="00607119"/>
    <w:rsid w:val="00611AD2"/>
    <w:rsid w:val="0062608D"/>
    <w:rsid w:val="006360D9"/>
    <w:rsid w:val="00660EBD"/>
    <w:rsid w:val="00662F4B"/>
    <w:rsid w:val="006636E7"/>
    <w:rsid w:val="00664FDE"/>
    <w:rsid w:val="00667818"/>
    <w:rsid w:val="00674506"/>
    <w:rsid w:val="0068389A"/>
    <w:rsid w:val="00685922"/>
    <w:rsid w:val="00686EC8"/>
    <w:rsid w:val="006A1CDD"/>
    <w:rsid w:val="006A2494"/>
    <w:rsid w:val="006A2958"/>
    <w:rsid w:val="006B19B5"/>
    <w:rsid w:val="006B7008"/>
    <w:rsid w:val="006C10E8"/>
    <w:rsid w:val="006C370B"/>
    <w:rsid w:val="006D0C00"/>
    <w:rsid w:val="006E5827"/>
    <w:rsid w:val="006F1983"/>
    <w:rsid w:val="006F4C54"/>
    <w:rsid w:val="006F769E"/>
    <w:rsid w:val="00710D4C"/>
    <w:rsid w:val="0071109E"/>
    <w:rsid w:val="00711235"/>
    <w:rsid w:val="0071457F"/>
    <w:rsid w:val="00714A79"/>
    <w:rsid w:val="00716EB0"/>
    <w:rsid w:val="00737437"/>
    <w:rsid w:val="00737E89"/>
    <w:rsid w:val="0074364D"/>
    <w:rsid w:val="00750A4F"/>
    <w:rsid w:val="007545E9"/>
    <w:rsid w:val="00754ECD"/>
    <w:rsid w:val="00755671"/>
    <w:rsid w:val="0075700B"/>
    <w:rsid w:val="00757F38"/>
    <w:rsid w:val="007602AA"/>
    <w:rsid w:val="00765BD1"/>
    <w:rsid w:val="00770B4E"/>
    <w:rsid w:val="00772385"/>
    <w:rsid w:val="0077546A"/>
    <w:rsid w:val="00776532"/>
    <w:rsid w:val="007844AD"/>
    <w:rsid w:val="00784EF2"/>
    <w:rsid w:val="00784F20"/>
    <w:rsid w:val="007853BF"/>
    <w:rsid w:val="00787083"/>
    <w:rsid w:val="007947A5"/>
    <w:rsid w:val="007A3826"/>
    <w:rsid w:val="007A5C17"/>
    <w:rsid w:val="007A6C52"/>
    <w:rsid w:val="007B218C"/>
    <w:rsid w:val="007B4B99"/>
    <w:rsid w:val="007D1BF2"/>
    <w:rsid w:val="007D35E2"/>
    <w:rsid w:val="007D44EA"/>
    <w:rsid w:val="007E0898"/>
    <w:rsid w:val="007E2BA5"/>
    <w:rsid w:val="007E7500"/>
    <w:rsid w:val="007F0467"/>
    <w:rsid w:val="007F3A1B"/>
    <w:rsid w:val="007F44F1"/>
    <w:rsid w:val="007F52F9"/>
    <w:rsid w:val="007F5FD2"/>
    <w:rsid w:val="008001F0"/>
    <w:rsid w:val="0081237B"/>
    <w:rsid w:val="00822762"/>
    <w:rsid w:val="008318C8"/>
    <w:rsid w:val="00833EFE"/>
    <w:rsid w:val="00836459"/>
    <w:rsid w:val="00836AB9"/>
    <w:rsid w:val="00836C0E"/>
    <w:rsid w:val="00845328"/>
    <w:rsid w:val="00846FC8"/>
    <w:rsid w:val="00856446"/>
    <w:rsid w:val="0085796C"/>
    <w:rsid w:val="008606BA"/>
    <w:rsid w:val="008636A6"/>
    <w:rsid w:val="00874FA2"/>
    <w:rsid w:val="00877364"/>
    <w:rsid w:val="008A4051"/>
    <w:rsid w:val="008A4EFB"/>
    <w:rsid w:val="008A7E8E"/>
    <w:rsid w:val="008B6AAF"/>
    <w:rsid w:val="008C4831"/>
    <w:rsid w:val="008C6F4A"/>
    <w:rsid w:val="008E5E4B"/>
    <w:rsid w:val="008E5F56"/>
    <w:rsid w:val="008F188F"/>
    <w:rsid w:val="008F706B"/>
    <w:rsid w:val="008F75CF"/>
    <w:rsid w:val="009078D2"/>
    <w:rsid w:val="00913806"/>
    <w:rsid w:val="009164BA"/>
    <w:rsid w:val="00933717"/>
    <w:rsid w:val="00942774"/>
    <w:rsid w:val="00946C11"/>
    <w:rsid w:val="00950479"/>
    <w:rsid w:val="00957A07"/>
    <w:rsid w:val="0096029A"/>
    <w:rsid w:val="00967A47"/>
    <w:rsid w:val="00977EBC"/>
    <w:rsid w:val="0098026E"/>
    <w:rsid w:val="0098533C"/>
    <w:rsid w:val="00995205"/>
    <w:rsid w:val="00997599"/>
    <w:rsid w:val="009A3427"/>
    <w:rsid w:val="009A4B65"/>
    <w:rsid w:val="009B0A0D"/>
    <w:rsid w:val="009B69BD"/>
    <w:rsid w:val="009C0AC5"/>
    <w:rsid w:val="009C399D"/>
    <w:rsid w:val="009C4C06"/>
    <w:rsid w:val="009C5708"/>
    <w:rsid w:val="009D5708"/>
    <w:rsid w:val="009E37FE"/>
    <w:rsid w:val="009E5B02"/>
    <w:rsid w:val="009E76C5"/>
    <w:rsid w:val="009F4299"/>
    <w:rsid w:val="009F7AC4"/>
    <w:rsid w:val="00A01F27"/>
    <w:rsid w:val="00A0451D"/>
    <w:rsid w:val="00A1183C"/>
    <w:rsid w:val="00A12C45"/>
    <w:rsid w:val="00A12C55"/>
    <w:rsid w:val="00A150FF"/>
    <w:rsid w:val="00A16896"/>
    <w:rsid w:val="00A17BB5"/>
    <w:rsid w:val="00A2234F"/>
    <w:rsid w:val="00A26116"/>
    <w:rsid w:val="00A26211"/>
    <w:rsid w:val="00A26CA9"/>
    <w:rsid w:val="00A33EB5"/>
    <w:rsid w:val="00A34821"/>
    <w:rsid w:val="00A4520E"/>
    <w:rsid w:val="00A46EF7"/>
    <w:rsid w:val="00A47A38"/>
    <w:rsid w:val="00A504EB"/>
    <w:rsid w:val="00A50649"/>
    <w:rsid w:val="00A5110B"/>
    <w:rsid w:val="00A53D1F"/>
    <w:rsid w:val="00A55C98"/>
    <w:rsid w:val="00A562D0"/>
    <w:rsid w:val="00A6331A"/>
    <w:rsid w:val="00A66030"/>
    <w:rsid w:val="00A66464"/>
    <w:rsid w:val="00A67720"/>
    <w:rsid w:val="00A718DE"/>
    <w:rsid w:val="00A718E7"/>
    <w:rsid w:val="00A740C9"/>
    <w:rsid w:val="00A75178"/>
    <w:rsid w:val="00A77043"/>
    <w:rsid w:val="00A81A22"/>
    <w:rsid w:val="00A83CC1"/>
    <w:rsid w:val="00A86E8E"/>
    <w:rsid w:val="00A93C0D"/>
    <w:rsid w:val="00A951CD"/>
    <w:rsid w:val="00A959DB"/>
    <w:rsid w:val="00AA2638"/>
    <w:rsid w:val="00AA6B86"/>
    <w:rsid w:val="00AB0F4D"/>
    <w:rsid w:val="00AB350E"/>
    <w:rsid w:val="00AB780A"/>
    <w:rsid w:val="00AC102D"/>
    <w:rsid w:val="00AC5399"/>
    <w:rsid w:val="00AD4DFD"/>
    <w:rsid w:val="00AE28A0"/>
    <w:rsid w:val="00AE4B02"/>
    <w:rsid w:val="00AF2E95"/>
    <w:rsid w:val="00AF4A6B"/>
    <w:rsid w:val="00AF71B8"/>
    <w:rsid w:val="00B020AD"/>
    <w:rsid w:val="00B20300"/>
    <w:rsid w:val="00B22BD2"/>
    <w:rsid w:val="00B22D77"/>
    <w:rsid w:val="00B30FD4"/>
    <w:rsid w:val="00B312B2"/>
    <w:rsid w:val="00B42FEA"/>
    <w:rsid w:val="00B44B49"/>
    <w:rsid w:val="00B50BD6"/>
    <w:rsid w:val="00B537DA"/>
    <w:rsid w:val="00B56EE1"/>
    <w:rsid w:val="00B620DC"/>
    <w:rsid w:val="00B661F9"/>
    <w:rsid w:val="00B676E3"/>
    <w:rsid w:val="00B701FA"/>
    <w:rsid w:val="00B8533B"/>
    <w:rsid w:val="00B91BE4"/>
    <w:rsid w:val="00B948C0"/>
    <w:rsid w:val="00B9584D"/>
    <w:rsid w:val="00B976DE"/>
    <w:rsid w:val="00BA0B15"/>
    <w:rsid w:val="00BA781C"/>
    <w:rsid w:val="00BC05D0"/>
    <w:rsid w:val="00BC1D4F"/>
    <w:rsid w:val="00BC5D27"/>
    <w:rsid w:val="00BC796E"/>
    <w:rsid w:val="00BD44AA"/>
    <w:rsid w:val="00BD67AD"/>
    <w:rsid w:val="00BD6EDA"/>
    <w:rsid w:val="00BE6427"/>
    <w:rsid w:val="00BF154C"/>
    <w:rsid w:val="00BF5238"/>
    <w:rsid w:val="00C01871"/>
    <w:rsid w:val="00C05F00"/>
    <w:rsid w:val="00C101A5"/>
    <w:rsid w:val="00C10CBE"/>
    <w:rsid w:val="00C12090"/>
    <w:rsid w:val="00C138E3"/>
    <w:rsid w:val="00C1457D"/>
    <w:rsid w:val="00C23037"/>
    <w:rsid w:val="00C35046"/>
    <w:rsid w:val="00C4294B"/>
    <w:rsid w:val="00C65562"/>
    <w:rsid w:val="00C77308"/>
    <w:rsid w:val="00C77584"/>
    <w:rsid w:val="00C81C54"/>
    <w:rsid w:val="00C8462E"/>
    <w:rsid w:val="00C84BDA"/>
    <w:rsid w:val="00C84F31"/>
    <w:rsid w:val="00C91B45"/>
    <w:rsid w:val="00C9509B"/>
    <w:rsid w:val="00CA011B"/>
    <w:rsid w:val="00CB7078"/>
    <w:rsid w:val="00CB7E2F"/>
    <w:rsid w:val="00CC39F2"/>
    <w:rsid w:val="00CC6091"/>
    <w:rsid w:val="00CD04ED"/>
    <w:rsid w:val="00CD0F08"/>
    <w:rsid w:val="00CD47AE"/>
    <w:rsid w:val="00CD4E1E"/>
    <w:rsid w:val="00CF6042"/>
    <w:rsid w:val="00CF6269"/>
    <w:rsid w:val="00CF6C1D"/>
    <w:rsid w:val="00D0056E"/>
    <w:rsid w:val="00D01CF8"/>
    <w:rsid w:val="00D11DC7"/>
    <w:rsid w:val="00D17ECE"/>
    <w:rsid w:val="00D20239"/>
    <w:rsid w:val="00D21549"/>
    <w:rsid w:val="00D30598"/>
    <w:rsid w:val="00D30698"/>
    <w:rsid w:val="00D3714A"/>
    <w:rsid w:val="00D40A2D"/>
    <w:rsid w:val="00D4581D"/>
    <w:rsid w:val="00D50E08"/>
    <w:rsid w:val="00D538CB"/>
    <w:rsid w:val="00D53C5A"/>
    <w:rsid w:val="00D56210"/>
    <w:rsid w:val="00D60560"/>
    <w:rsid w:val="00D6204F"/>
    <w:rsid w:val="00D6282E"/>
    <w:rsid w:val="00D67B3E"/>
    <w:rsid w:val="00D8238A"/>
    <w:rsid w:val="00D87D40"/>
    <w:rsid w:val="00D91727"/>
    <w:rsid w:val="00D946BB"/>
    <w:rsid w:val="00D95ECC"/>
    <w:rsid w:val="00D977EC"/>
    <w:rsid w:val="00DA05F7"/>
    <w:rsid w:val="00DA6013"/>
    <w:rsid w:val="00DB0D6F"/>
    <w:rsid w:val="00DB67B2"/>
    <w:rsid w:val="00DB6B72"/>
    <w:rsid w:val="00DC0CC4"/>
    <w:rsid w:val="00DC3D63"/>
    <w:rsid w:val="00DC7B4E"/>
    <w:rsid w:val="00DD383A"/>
    <w:rsid w:val="00DD6C78"/>
    <w:rsid w:val="00DD746B"/>
    <w:rsid w:val="00DF1B15"/>
    <w:rsid w:val="00DF753E"/>
    <w:rsid w:val="00E05B5E"/>
    <w:rsid w:val="00E10E25"/>
    <w:rsid w:val="00E111B2"/>
    <w:rsid w:val="00E2043E"/>
    <w:rsid w:val="00E2491B"/>
    <w:rsid w:val="00E27EDF"/>
    <w:rsid w:val="00E34174"/>
    <w:rsid w:val="00E3551B"/>
    <w:rsid w:val="00E44749"/>
    <w:rsid w:val="00E46392"/>
    <w:rsid w:val="00E54F85"/>
    <w:rsid w:val="00E63D94"/>
    <w:rsid w:val="00E74A70"/>
    <w:rsid w:val="00E8170C"/>
    <w:rsid w:val="00E81DF9"/>
    <w:rsid w:val="00E876E1"/>
    <w:rsid w:val="00E902A5"/>
    <w:rsid w:val="00E92DE2"/>
    <w:rsid w:val="00EA716A"/>
    <w:rsid w:val="00EC00C5"/>
    <w:rsid w:val="00EC14E6"/>
    <w:rsid w:val="00EC2996"/>
    <w:rsid w:val="00ED0155"/>
    <w:rsid w:val="00ED0647"/>
    <w:rsid w:val="00ED0F0E"/>
    <w:rsid w:val="00ED670B"/>
    <w:rsid w:val="00EE1B93"/>
    <w:rsid w:val="00F05276"/>
    <w:rsid w:val="00F07A0E"/>
    <w:rsid w:val="00F125E4"/>
    <w:rsid w:val="00F204D7"/>
    <w:rsid w:val="00F22841"/>
    <w:rsid w:val="00F24999"/>
    <w:rsid w:val="00F53C60"/>
    <w:rsid w:val="00F61FC3"/>
    <w:rsid w:val="00F7117C"/>
    <w:rsid w:val="00F8472C"/>
    <w:rsid w:val="00F942E7"/>
    <w:rsid w:val="00F947A0"/>
    <w:rsid w:val="00F96B90"/>
    <w:rsid w:val="00F971F0"/>
    <w:rsid w:val="00FA0914"/>
    <w:rsid w:val="00FA2743"/>
    <w:rsid w:val="00FA6CBE"/>
    <w:rsid w:val="00FA7546"/>
    <w:rsid w:val="00FB0473"/>
    <w:rsid w:val="00FB1262"/>
    <w:rsid w:val="00FC0235"/>
    <w:rsid w:val="00FC41A0"/>
    <w:rsid w:val="00FC5C4F"/>
    <w:rsid w:val="00FC7E5D"/>
    <w:rsid w:val="00FE0B3A"/>
    <w:rsid w:val="00FE24E9"/>
    <w:rsid w:val="00FF7A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6DAF9"/>
  <w15:chartTrackingRefBased/>
  <w15:docId w15:val="{A329B97C-4225-9940-AFE8-A8217ECFA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6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76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76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76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76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76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76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76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76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6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76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76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76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76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76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76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76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76C5"/>
    <w:rPr>
      <w:rFonts w:eastAsiaTheme="majorEastAsia" w:cstheme="majorBidi"/>
      <w:color w:val="272727" w:themeColor="text1" w:themeTint="D8"/>
    </w:rPr>
  </w:style>
  <w:style w:type="paragraph" w:styleId="Title">
    <w:name w:val="Title"/>
    <w:basedOn w:val="Normal"/>
    <w:next w:val="Normal"/>
    <w:link w:val="TitleChar"/>
    <w:uiPriority w:val="10"/>
    <w:qFormat/>
    <w:rsid w:val="009E76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76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76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76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76C5"/>
    <w:pPr>
      <w:spacing w:before="160"/>
      <w:jc w:val="center"/>
    </w:pPr>
    <w:rPr>
      <w:i/>
      <w:iCs/>
      <w:color w:val="404040" w:themeColor="text1" w:themeTint="BF"/>
    </w:rPr>
  </w:style>
  <w:style w:type="character" w:customStyle="1" w:styleId="QuoteChar">
    <w:name w:val="Quote Char"/>
    <w:basedOn w:val="DefaultParagraphFont"/>
    <w:link w:val="Quote"/>
    <w:uiPriority w:val="29"/>
    <w:rsid w:val="009E76C5"/>
    <w:rPr>
      <w:i/>
      <w:iCs/>
      <w:color w:val="404040" w:themeColor="text1" w:themeTint="BF"/>
    </w:rPr>
  </w:style>
  <w:style w:type="paragraph" w:styleId="ListParagraph">
    <w:name w:val="List Paragraph"/>
    <w:basedOn w:val="Normal"/>
    <w:uiPriority w:val="34"/>
    <w:qFormat/>
    <w:rsid w:val="009E76C5"/>
    <w:pPr>
      <w:ind w:left="720"/>
      <w:contextualSpacing/>
    </w:pPr>
  </w:style>
  <w:style w:type="character" w:styleId="IntenseEmphasis">
    <w:name w:val="Intense Emphasis"/>
    <w:basedOn w:val="DefaultParagraphFont"/>
    <w:uiPriority w:val="21"/>
    <w:qFormat/>
    <w:rsid w:val="009E76C5"/>
    <w:rPr>
      <w:i/>
      <w:iCs/>
      <w:color w:val="0F4761" w:themeColor="accent1" w:themeShade="BF"/>
    </w:rPr>
  </w:style>
  <w:style w:type="paragraph" w:styleId="IntenseQuote">
    <w:name w:val="Intense Quote"/>
    <w:basedOn w:val="Normal"/>
    <w:next w:val="Normal"/>
    <w:link w:val="IntenseQuoteChar"/>
    <w:uiPriority w:val="30"/>
    <w:qFormat/>
    <w:rsid w:val="009E76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76C5"/>
    <w:rPr>
      <w:i/>
      <w:iCs/>
      <w:color w:val="0F4761" w:themeColor="accent1" w:themeShade="BF"/>
    </w:rPr>
  </w:style>
  <w:style w:type="character" w:styleId="IntenseReference">
    <w:name w:val="Intense Reference"/>
    <w:basedOn w:val="DefaultParagraphFont"/>
    <w:uiPriority w:val="32"/>
    <w:qFormat/>
    <w:rsid w:val="009E76C5"/>
    <w:rPr>
      <w:b/>
      <w:bCs/>
      <w:smallCaps/>
      <w:color w:val="0F4761" w:themeColor="accent1" w:themeShade="BF"/>
      <w:spacing w:val="5"/>
    </w:rPr>
  </w:style>
  <w:style w:type="character" w:styleId="Hyperlink">
    <w:name w:val="Hyperlink"/>
    <w:basedOn w:val="DefaultParagraphFont"/>
    <w:uiPriority w:val="99"/>
    <w:unhideWhenUsed/>
    <w:rsid w:val="009E76C5"/>
    <w:rPr>
      <w:color w:val="467886" w:themeColor="hyperlink"/>
      <w:u w:val="single"/>
    </w:rPr>
  </w:style>
  <w:style w:type="character" w:styleId="UnresolvedMention">
    <w:name w:val="Unresolved Mention"/>
    <w:basedOn w:val="DefaultParagraphFont"/>
    <w:uiPriority w:val="99"/>
    <w:semiHidden/>
    <w:unhideWhenUsed/>
    <w:rsid w:val="009E76C5"/>
    <w:rPr>
      <w:color w:val="605E5C"/>
      <w:shd w:val="clear" w:color="auto" w:fill="E1DFDD"/>
    </w:rPr>
  </w:style>
  <w:style w:type="paragraph" w:styleId="FootnoteText">
    <w:name w:val="footnote text"/>
    <w:basedOn w:val="Normal"/>
    <w:link w:val="FootnoteTextChar"/>
    <w:uiPriority w:val="99"/>
    <w:unhideWhenUsed/>
    <w:rsid w:val="00877364"/>
    <w:pPr>
      <w:spacing w:after="0" w:line="240" w:lineRule="auto"/>
    </w:pPr>
    <w:rPr>
      <w:sz w:val="20"/>
      <w:szCs w:val="20"/>
    </w:rPr>
  </w:style>
  <w:style w:type="character" w:customStyle="1" w:styleId="FootnoteTextChar">
    <w:name w:val="Footnote Text Char"/>
    <w:basedOn w:val="DefaultParagraphFont"/>
    <w:link w:val="FootnoteText"/>
    <w:uiPriority w:val="99"/>
    <w:rsid w:val="00877364"/>
    <w:rPr>
      <w:sz w:val="20"/>
      <w:szCs w:val="20"/>
    </w:rPr>
  </w:style>
  <w:style w:type="character" w:styleId="FootnoteReference">
    <w:name w:val="footnote reference"/>
    <w:basedOn w:val="DefaultParagraphFont"/>
    <w:uiPriority w:val="99"/>
    <w:semiHidden/>
    <w:unhideWhenUsed/>
    <w:rsid w:val="00877364"/>
    <w:rPr>
      <w:vertAlign w:val="superscript"/>
    </w:rPr>
  </w:style>
  <w:style w:type="paragraph" w:styleId="Header">
    <w:name w:val="header"/>
    <w:basedOn w:val="Normal"/>
    <w:link w:val="HeaderChar"/>
    <w:uiPriority w:val="99"/>
    <w:unhideWhenUsed/>
    <w:rsid w:val="007112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235"/>
  </w:style>
  <w:style w:type="paragraph" w:styleId="Footer">
    <w:name w:val="footer"/>
    <w:basedOn w:val="Normal"/>
    <w:link w:val="FooterChar"/>
    <w:uiPriority w:val="99"/>
    <w:unhideWhenUsed/>
    <w:rsid w:val="007112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235"/>
  </w:style>
  <w:style w:type="character" w:styleId="FollowedHyperlink">
    <w:name w:val="FollowedHyperlink"/>
    <w:basedOn w:val="DefaultParagraphFont"/>
    <w:uiPriority w:val="99"/>
    <w:semiHidden/>
    <w:unhideWhenUsed/>
    <w:rsid w:val="006D0C0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rnaproject.com/amarna-the-place/boundary-stelae/" TargetMode="External"/><Relationship Id="rId13" Type="http://schemas.openxmlformats.org/officeDocument/2006/relationships/hyperlink" Target="https://commons.wikimedia.org/wiki/File:Banquet_scene_in_Huya%27s_tomb.png" TargetMode="External"/><Relationship Id="rId18" Type="http://schemas.openxmlformats.org/officeDocument/2006/relationships/hyperlink" Target="https://www.jstor.org/stable/3821901?seq=1" TargetMode="External"/><Relationship Id="rId3" Type="http://schemas.openxmlformats.org/officeDocument/2006/relationships/settings" Target="settings.xml"/><Relationship Id="rId21" Type="http://schemas.openxmlformats.org/officeDocument/2006/relationships/hyperlink" Target="https://www.mdpi.com/2076-0752/9/2/51" TargetMode="External"/><Relationship Id="rId7" Type="http://schemas.openxmlformats.org/officeDocument/2006/relationships/hyperlink" Target="https://web.archive.org/web/20130701103124/http://cassian.memphis.edu/history/murnane/Allen.pdf" TargetMode="External"/><Relationship Id="rId12" Type="http://schemas.openxmlformats.org/officeDocument/2006/relationships/hyperlink" Target="https://ancientegyptonline.co.uk/amarnareligion/" TargetMode="External"/><Relationship Id="rId17" Type="http://schemas.openxmlformats.org/officeDocument/2006/relationships/hyperlink" Target="https://www.flickr.com/photos/mharrsch/43983917494/" TargetMode="External"/><Relationship Id="rId2" Type="http://schemas.openxmlformats.org/officeDocument/2006/relationships/styles" Target="styles.xml"/><Relationship Id="rId16" Type="http://schemas.openxmlformats.org/officeDocument/2006/relationships/hyperlink" Target="https://www.britannica.com/art/sistrum" TargetMode="External"/><Relationship Id="rId20" Type="http://schemas.openxmlformats.org/officeDocument/2006/relationships/hyperlink" Target="https://commons.wikimedia.org/wiki/File:Fragment_of_a_limestone_column_depicting_Queen_Nefertiti_offering_a_bouquet_to_the_Aten_followed_by_Princess_Merataten_shaking_a_sistrum_from_the_Great_Palace_at_Tell_el-Amarna_Egypt_18th_dynasty_%2843983917494%29.jp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ncientegyptonline.co.uk/tawere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ritannica.com/biography/Akhenaten" TargetMode="External"/><Relationship Id="rId23" Type="http://schemas.openxmlformats.org/officeDocument/2006/relationships/fontTable" Target="fontTable.xml"/><Relationship Id="rId10" Type="http://schemas.openxmlformats.org/officeDocument/2006/relationships/hyperlink" Target="https://ancientegyptonline.co.uk/nefertiti2/" TargetMode="External"/><Relationship Id="rId19" Type="http://schemas.openxmlformats.org/officeDocument/2006/relationships/hyperlink" Target="https://ebookcentral.proquest.com/lib/trinity/reader.action?docID=265430&amp;c=UERG&amp;ppg=4" TargetMode="External"/><Relationship Id="rId4" Type="http://schemas.openxmlformats.org/officeDocument/2006/relationships/webSettings" Target="webSettings.xml"/><Relationship Id="rId9" Type="http://schemas.openxmlformats.org/officeDocument/2006/relationships/hyperlink" Target="https://www.amarnaproject.com/amarna-the-place/north-tombs/" TargetMode="External"/><Relationship Id="rId14" Type="http://schemas.openxmlformats.org/officeDocument/2006/relationships/hyperlink" Target="https://library.biblicalarchaeology.org/department/whats-in-a-name-nefertiti/" TargetMode="External"/><Relationship Id="rId22" Type="http://schemas.openxmlformats.org/officeDocument/2006/relationships/hyperlink" Target="https://open.library.ubc.ca/media/stream/pdf/52387/1.0422133/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library.biblicalarchaeology.org/department/whats-in-a-name-nefertiti/" TargetMode="External"/><Relationship Id="rId13" Type="http://schemas.openxmlformats.org/officeDocument/2006/relationships/hyperlink" Target="https://www.jstor.org/stable/3821901?seq=1" TargetMode="External"/><Relationship Id="rId3" Type="http://schemas.openxmlformats.org/officeDocument/2006/relationships/hyperlink" Target="https://www.flickr.com/photos/mharrsch/43983917494/" TargetMode="External"/><Relationship Id="rId7" Type="http://schemas.openxmlformats.org/officeDocument/2006/relationships/hyperlink" Target="https://ancientegyptonline.co.uk/nefertiti2/" TargetMode="External"/><Relationship Id="rId12" Type="http://schemas.openxmlformats.org/officeDocument/2006/relationships/hyperlink" Target="https://www.britannica.com/art/sistrum" TargetMode="External"/><Relationship Id="rId2" Type="http://schemas.openxmlformats.org/officeDocument/2006/relationships/hyperlink" Target="https://www.amarnaproject.com/amarna-the-place/boundary-stelae/" TargetMode="External"/><Relationship Id="rId1" Type="http://schemas.openxmlformats.org/officeDocument/2006/relationships/hyperlink" Target="https://ancientegyptonline.co.uk/amarnareligion/" TargetMode="External"/><Relationship Id="rId6" Type="http://schemas.openxmlformats.org/officeDocument/2006/relationships/hyperlink" Target="https://www.amarnaproject.com/amarna-the-place/north-tombs/" TargetMode="External"/><Relationship Id="rId11" Type="http://schemas.openxmlformats.org/officeDocument/2006/relationships/hyperlink" Target="https://open.library.ubc.ca/media/stream/pdf/52387/1.0422133/2" TargetMode="External"/><Relationship Id="rId5" Type="http://schemas.openxmlformats.org/officeDocument/2006/relationships/hyperlink" Target="https://commons.wikimedia.org/wiki/File:Banquet_scene_in_Huya%27s_tomb.png" TargetMode="External"/><Relationship Id="rId15" Type="http://schemas.openxmlformats.org/officeDocument/2006/relationships/hyperlink" Target="https://ancientegyptonline.co.uk/taweret/" TargetMode="External"/><Relationship Id="rId10" Type="http://schemas.openxmlformats.org/officeDocument/2006/relationships/hyperlink" Target="https://web.archive.org/web/20130701103124/http://cassian.memphis.edu/history/murnane/Allen.pdf" TargetMode="External"/><Relationship Id="rId4" Type="http://schemas.openxmlformats.org/officeDocument/2006/relationships/hyperlink" Target="https://ebookcentral.proquest.com/lib/trinity/reader.action?docID=265430&amp;c=UERG&amp;ppg=4" TargetMode="External"/><Relationship Id="rId9" Type="http://schemas.openxmlformats.org/officeDocument/2006/relationships/hyperlink" Target="https://www.metmuseum.org/art/collection/search/913622" TargetMode="External"/><Relationship Id="rId14" Type="http://schemas.openxmlformats.org/officeDocument/2006/relationships/hyperlink" Target="https://www.mdpi.com/2076-0752/9/2/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279C6-C813-468B-81BA-952D4F4A3D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7</Pages>
  <Words>2993</Words>
  <Characters>17063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Hunt (2403821)</dc:creator>
  <cp:keywords/>
  <dc:description/>
  <cp:lastModifiedBy>Olivia Hunt (2403821)</cp:lastModifiedBy>
  <cp:revision>180</cp:revision>
  <dcterms:created xsi:type="dcterms:W3CDTF">2025-11-16T14:14:00Z</dcterms:created>
  <dcterms:modified xsi:type="dcterms:W3CDTF">2025-12-07T18:19:00Z</dcterms:modified>
</cp:coreProperties>
</file>