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lang w:eastAsia="en-US"/>
          <w14:ligatures w14:val="standardContextual"/>
        </w:rPr>
        <w:id w:val="1114942866"/>
        <w:docPartObj>
          <w:docPartGallery w:val="Cover Pages"/>
          <w:docPartUnique/>
        </w:docPartObj>
      </w:sdtPr>
      <w:sdtEndPr>
        <w:rPr>
          <w:color w:val="auto"/>
        </w:rPr>
      </w:sdtEndPr>
      <w:sdtContent>
        <w:p w14:paraId="33CF9736" w14:textId="038E358E" w:rsidR="00AE5998" w:rsidRDefault="00AE5998" w:rsidP="00AE5998">
          <w:pPr>
            <w:pStyle w:val="NoSpacing"/>
            <w:spacing w:before="1540" w:after="240"/>
            <w:rPr>
              <w:color w:val="4472C4" w:themeColor="accent1"/>
            </w:rPr>
          </w:pPr>
          <w:r w:rsidRPr="00AE5998">
            <w:rPr>
              <w:noProof/>
              <w:color w:val="4472C4" w:themeColor="accent1"/>
            </w:rPr>
            <w:drawing>
              <wp:inline distT="0" distB="0" distL="0" distR="0" wp14:anchorId="51196D10" wp14:editId="51922497">
                <wp:extent cx="2048161" cy="838317"/>
                <wp:effectExtent l="0" t="0" r="9525" b="0"/>
                <wp:docPr id="1278756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56774" name=""/>
                        <pic:cNvPicPr/>
                      </pic:nvPicPr>
                      <pic:blipFill>
                        <a:blip r:embed="rId8"/>
                        <a:stretch>
                          <a:fillRect/>
                        </a:stretch>
                      </pic:blipFill>
                      <pic:spPr>
                        <a:xfrm>
                          <a:off x="0" y="0"/>
                          <a:ext cx="2048161" cy="838317"/>
                        </a:xfrm>
                        <a:prstGeom prst="rect">
                          <a:avLst/>
                        </a:prstGeom>
                      </pic:spPr>
                    </pic:pic>
                  </a:graphicData>
                </a:graphic>
              </wp:inline>
            </w:drawing>
          </w:r>
        </w:p>
        <w:p w14:paraId="72BB9BFD" w14:textId="01A928E2" w:rsidR="008F2E7C" w:rsidRDefault="005A1805" w:rsidP="005A1805">
          <w:pPr>
            <w:pStyle w:val="NoSpacing"/>
            <w:spacing w:before="1540" w:after="240"/>
            <w:rPr>
              <w:color w:val="4472C4" w:themeColor="accent1"/>
            </w:rPr>
          </w:pPr>
          <w:r>
            <w:rPr>
              <w:noProof/>
              <w:color w:val="4472C4" w:themeColor="accent1"/>
            </w:rPr>
            <w:drawing>
              <wp:anchor distT="0" distB="0" distL="114300" distR="114300" simplePos="0" relativeHeight="251662336" behindDoc="0" locked="0" layoutInCell="1" allowOverlap="1" wp14:anchorId="0240CF4B" wp14:editId="276AA8BA">
                <wp:simplePos x="0" y="0"/>
                <wp:positionH relativeFrom="margin">
                  <wp:align>center</wp:align>
                </wp:positionH>
                <wp:positionV relativeFrom="paragraph">
                  <wp:posOffset>438150</wp:posOffset>
                </wp:positionV>
                <wp:extent cx="1417320" cy="750898"/>
                <wp:effectExtent l="0" t="0" r="0" b="0"/>
                <wp:wrapSquare wrapText="bothSides"/>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anchor>
            </w:drawing>
          </w:r>
          <w:r>
            <w:rPr>
              <w:color w:val="4472C4" w:themeColor="accent1"/>
            </w:rPr>
            <w:br w:type="textWrapping" w:clear="all"/>
          </w:r>
        </w:p>
        <w:sdt>
          <w:sdtPr>
            <w:rPr>
              <w:rFonts w:ascii="Arial" w:hAnsi="Arial" w:cs="Arial"/>
              <w:sz w:val="36"/>
              <w:szCs w:val="36"/>
            </w:rPr>
            <w:alias w:val="Title"/>
            <w:tag w:val=""/>
            <w:id w:val="1735040861"/>
            <w:placeholder>
              <w:docPart w:val="BEA9DDF1B4294327AA9B841D4DB6C55C"/>
            </w:placeholder>
            <w:dataBinding w:prefixMappings="xmlns:ns0='http://purl.org/dc/elements/1.1/' xmlns:ns1='http://schemas.openxmlformats.org/package/2006/metadata/core-properties' " w:xpath="/ns1:coreProperties[1]/ns0:title[1]" w:storeItemID="{6C3C8BC8-F283-45AE-878A-BAB7291924A1}"/>
            <w:text/>
          </w:sdtPr>
          <w:sdtContent>
            <w:p w14:paraId="225C3CF0" w14:textId="0707EFD0" w:rsidR="008F2E7C" w:rsidRPr="00BA7313" w:rsidRDefault="00BA731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6"/>
                  <w:szCs w:val="36"/>
                </w:rPr>
              </w:pPr>
              <w:r w:rsidRPr="00BA7313">
                <w:rPr>
                  <w:rFonts w:ascii="Arial" w:hAnsi="Arial" w:cs="Arial"/>
                  <w:sz w:val="36"/>
                  <w:szCs w:val="36"/>
                </w:rPr>
                <w:t>Contemporary HR Challenges and HR Practices: A Report on Tesco plc.</w:t>
              </w:r>
            </w:p>
          </w:sdtContent>
        </w:sdt>
        <w:p w14:paraId="479A78C3" w14:textId="7703F301" w:rsidR="008F2E7C" w:rsidRDefault="008F2E7C" w:rsidP="00BA7313">
          <w:pPr>
            <w:pStyle w:val="NoSpacing"/>
            <w:rPr>
              <w:color w:val="4472C4" w:themeColor="accent1"/>
              <w:sz w:val="28"/>
              <w:szCs w:val="28"/>
            </w:rPr>
          </w:pPr>
        </w:p>
        <w:p w14:paraId="0C17A5D0" w14:textId="6D8E591C" w:rsidR="008F2E7C" w:rsidRDefault="008B3242">
          <w:pPr>
            <w:pStyle w:val="NoSpacing"/>
            <w:spacing w:before="480"/>
            <w:jc w:val="center"/>
            <w:rPr>
              <w:color w:val="4472C4" w:themeColor="accent1"/>
            </w:rPr>
          </w:pPr>
          <w:r>
            <w:rPr>
              <w:noProof/>
            </w:rPr>
            <mc:AlternateContent>
              <mc:Choice Requires="wps">
                <w:drawing>
                  <wp:anchor distT="45720" distB="45720" distL="114300" distR="114300" simplePos="0" relativeHeight="251661312" behindDoc="0" locked="0" layoutInCell="1" allowOverlap="1" wp14:anchorId="60EFF891" wp14:editId="158E7BA2">
                    <wp:simplePos x="0" y="0"/>
                    <wp:positionH relativeFrom="margin">
                      <wp:posOffset>308610</wp:posOffset>
                    </wp:positionH>
                    <wp:positionV relativeFrom="paragraph">
                      <wp:posOffset>975360</wp:posOffset>
                    </wp:positionV>
                    <wp:extent cx="5091430" cy="2897505"/>
                    <wp:effectExtent l="0" t="0" r="139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1430" cy="2897505"/>
                            </a:xfrm>
                            <a:prstGeom prst="rect">
                              <a:avLst/>
                            </a:prstGeom>
                            <a:solidFill>
                              <a:srgbClr val="FFFFFF"/>
                            </a:solidFill>
                            <a:ln w="9525">
                              <a:solidFill>
                                <a:srgbClr val="000000"/>
                              </a:solidFill>
                              <a:miter lim="800000"/>
                              <a:headEnd/>
                              <a:tailEnd/>
                            </a:ln>
                          </wps:spPr>
                          <wps:txbx>
                            <w:txbxContent>
                              <w:p w14:paraId="4D31F9B7" w14:textId="77777777" w:rsidR="008B3242" w:rsidRPr="008B3242" w:rsidRDefault="008B3242" w:rsidP="008B3242">
                                <w:pPr>
                                  <w:spacing w:line="360" w:lineRule="auto"/>
                                  <w:jc w:val="center"/>
                                  <w:rPr>
                                    <w:rFonts w:ascii="Arial" w:hAnsi="Arial" w:cs="Arial"/>
                                    <w:b/>
                                    <w:bCs/>
                                    <w:sz w:val="32"/>
                                    <w:szCs w:val="32"/>
                                  </w:rPr>
                                </w:pPr>
                                <w:r w:rsidRPr="008B3242">
                                  <w:rPr>
                                    <w:rFonts w:ascii="Arial" w:hAnsi="Arial" w:cs="Arial"/>
                                    <w:b/>
                                    <w:bCs/>
                                    <w:sz w:val="32"/>
                                    <w:szCs w:val="32"/>
                                  </w:rPr>
                                  <w:t xml:space="preserve">BA (Hons) Leadership and Management </w:t>
                                </w:r>
                              </w:p>
                              <w:p w14:paraId="33BDC22B" w14:textId="501B53EF" w:rsidR="00BA7313" w:rsidRPr="00BA7313" w:rsidRDefault="008F2E7C" w:rsidP="008B3242">
                                <w:pPr>
                                  <w:spacing w:line="360" w:lineRule="auto"/>
                                  <w:jc w:val="center"/>
                                  <w:rPr>
                                    <w:rFonts w:ascii="Arial" w:hAnsi="Arial" w:cs="Arial"/>
                                    <w:sz w:val="32"/>
                                    <w:szCs w:val="32"/>
                                  </w:rPr>
                                </w:pPr>
                                <w:r w:rsidRPr="008F2E7C">
                                  <w:rPr>
                                    <w:rFonts w:ascii="Arial" w:hAnsi="Arial" w:cs="Arial"/>
                                    <w:sz w:val="32"/>
                                    <w:szCs w:val="32"/>
                                  </w:rPr>
                                  <w:t xml:space="preserve">Student Name: </w:t>
                                </w:r>
                                <w:r w:rsidRPr="00BA7313">
                                  <w:rPr>
                                    <w:rFonts w:ascii="Arial" w:hAnsi="Arial" w:cs="Arial"/>
                                    <w:sz w:val="32"/>
                                    <w:szCs w:val="32"/>
                                  </w:rPr>
                                  <w:t>Matilda Jace</w:t>
                                </w:r>
                                <w:r w:rsidRPr="008F2E7C">
                                  <w:rPr>
                                    <w:rFonts w:ascii="Arial" w:hAnsi="Arial" w:cs="Arial"/>
                                    <w:sz w:val="32"/>
                                    <w:szCs w:val="32"/>
                                  </w:rPr>
                                  <w:br/>
                                  <w:t xml:space="preserve">Student Number: </w:t>
                                </w:r>
                                <w:r w:rsidRPr="00BA7313">
                                  <w:rPr>
                                    <w:rFonts w:ascii="Arial" w:hAnsi="Arial" w:cs="Arial"/>
                                    <w:sz w:val="32"/>
                                    <w:szCs w:val="32"/>
                                  </w:rPr>
                                  <w:t>2415101</w:t>
                                </w:r>
                                <w:r w:rsidRPr="008F2E7C">
                                  <w:rPr>
                                    <w:rFonts w:ascii="Arial" w:hAnsi="Arial" w:cs="Arial"/>
                                    <w:sz w:val="32"/>
                                    <w:szCs w:val="32"/>
                                  </w:rPr>
                                  <w:br/>
                                  <w:t xml:space="preserve">Module Code and Title: </w:t>
                                </w:r>
                                <w:r w:rsidR="00BA7313" w:rsidRPr="00BA7313">
                                  <w:rPr>
                                    <w:rFonts w:ascii="Arial" w:hAnsi="Arial" w:cs="Arial"/>
                                    <w:sz w:val="32"/>
                                    <w:szCs w:val="32"/>
                                  </w:rPr>
                                  <w:t>LCLM5002 Developing and Managing Individuals and Teams</w:t>
                                </w:r>
                                <w:r w:rsidRPr="008F2E7C">
                                  <w:rPr>
                                    <w:rFonts w:ascii="Arial" w:hAnsi="Arial" w:cs="Arial"/>
                                    <w:sz w:val="32"/>
                                    <w:szCs w:val="32"/>
                                  </w:rPr>
                                  <w:br/>
                                  <w:t>Lecturer’s Name:</w:t>
                                </w:r>
                                <w:r w:rsidRPr="00BA7313">
                                  <w:rPr>
                                    <w:rFonts w:ascii="Arial" w:hAnsi="Arial" w:cs="Arial"/>
                                    <w:sz w:val="32"/>
                                    <w:szCs w:val="32"/>
                                  </w:rPr>
                                  <w:t xml:space="preserve"> </w:t>
                                </w:r>
                                <w:r w:rsidR="00BA7313" w:rsidRPr="00BA7313">
                                  <w:rPr>
                                    <w:rFonts w:ascii="Arial" w:hAnsi="Arial" w:cs="Arial"/>
                                    <w:sz w:val="32"/>
                                    <w:szCs w:val="32"/>
                                  </w:rPr>
                                  <w:t xml:space="preserve">Doreen Nyaa </w:t>
                                </w:r>
                                <w:proofErr w:type="spellStart"/>
                                <w:r w:rsidR="00BA7313" w:rsidRPr="00BA7313">
                                  <w:rPr>
                                    <w:rFonts w:ascii="Arial" w:hAnsi="Arial" w:cs="Arial"/>
                                    <w:sz w:val="32"/>
                                    <w:szCs w:val="32"/>
                                  </w:rPr>
                                  <w:t>Amundam</w:t>
                                </w:r>
                                <w:proofErr w:type="spellEnd"/>
                                <w:r w:rsidR="00BA7313" w:rsidRPr="00BA7313">
                                  <w:rPr>
                                    <w:rFonts w:ascii="Arial" w:hAnsi="Arial" w:cs="Arial"/>
                                    <w:sz w:val="32"/>
                                    <w:szCs w:val="32"/>
                                  </w:rPr>
                                  <w:t xml:space="preserve"> Nishi Ramsurrun</w:t>
                                </w:r>
                                <w:r w:rsidRPr="008F2E7C">
                                  <w:rPr>
                                    <w:rFonts w:ascii="Arial" w:hAnsi="Arial" w:cs="Arial"/>
                                    <w:sz w:val="32"/>
                                    <w:szCs w:val="32"/>
                                  </w:rPr>
                                  <w:br/>
                                  <w:t xml:space="preserve">Assignment Title: </w:t>
                                </w:r>
                                <w:r w:rsidR="00BA7313" w:rsidRPr="00BA7313">
                                  <w:rPr>
                                    <w:rFonts w:ascii="Arial" w:hAnsi="Arial" w:cs="Arial"/>
                                    <w:sz w:val="32"/>
                                    <w:szCs w:val="32"/>
                                  </w:rPr>
                                  <w:t>Component 2- Individual Report</w:t>
                                </w:r>
                              </w:p>
                              <w:p w14:paraId="28D9D69F" w14:textId="38C7253A" w:rsidR="008F2E7C" w:rsidRDefault="008F2E7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FF891" id="_x0000_t202" coordsize="21600,21600" o:spt="202" path="m,l,21600r21600,l21600,xe">
                    <v:stroke joinstyle="miter"/>
                    <v:path gradientshapeok="t" o:connecttype="rect"/>
                  </v:shapetype>
                  <v:shape id="Text Box 2" o:spid="_x0000_s1026" type="#_x0000_t202" style="position:absolute;left:0;text-align:left;margin-left:24.3pt;margin-top:76.8pt;width:400.9pt;height:228.1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">
                    <v:textbox>
                      <w:txbxContent>
                        <w:p w14:paraId="4D31F9B7" w14:textId="77777777" w:rsidR="008B3242" w:rsidRPr="008B3242" w:rsidRDefault="008B3242" w:rsidP="008B3242">
                          <w:pPr>
                            <w:spacing w:line="360" w:lineRule="auto"/>
                            <w:jc w:val="center"/>
                            <w:rPr>
                              <w:rFonts w:ascii="Arial" w:hAnsi="Arial" w:cs="Arial"/>
                              <w:b/>
                              <w:bCs/>
                              <w:sz w:val="32"/>
                              <w:szCs w:val="32"/>
                            </w:rPr>
                          </w:pPr>
                          <w:r w:rsidRPr="008B3242">
                            <w:rPr>
                              <w:rFonts w:ascii="Arial" w:hAnsi="Arial" w:cs="Arial"/>
                              <w:b/>
                              <w:bCs/>
                              <w:sz w:val="32"/>
                              <w:szCs w:val="32"/>
                            </w:rPr>
                            <w:t xml:space="preserve">BA (Hons) Leadership and Management </w:t>
                          </w:r>
                        </w:p>
                        <w:p w14:paraId="33BDC22B" w14:textId="501B53EF" w:rsidR="00BA7313" w:rsidRPr="00BA7313" w:rsidRDefault="008F2E7C" w:rsidP="008B3242">
                          <w:pPr>
                            <w:spacing w:line="360" w:lineRule="auto"/>
                            <w:jc w:val="center"/>
                            <w:rPr>
                              <w:rFonts w:ascii="Arial" w:hAnsi="Arial" w:cs="Arial"/>
                              <w:sz w:val="32"/>
                              <w:szCs w:val="32"/>
                            </w:rPr>
                          </w:pPr>
                          <w:r w:rsidRPr="008F2E7C">
                            <w:rPr>
                              <w:rFonts w:ascii="Arial" w:hAnsi="Arial" w:cs="Arial"/>
                              <w:sz w:val="32"/>
                              <w:szCs w:val="32"/>
                            </w:rPr>
                            <w:t xml:space="preserve">Student Name: </w:t>
                          </w:r>
                          <w:r w:rsidRPr="00BA7313">
                            <w:rPr>
                              <w:rFonts w:ascii="Arial" w:hAnsi="Arial" w:cs="Arial"/>
                              <w:sz w:val="32"/>
                              <w:szCs w:val="32"/>
                            </w:rPr>
                            <w:t>Matilda Jace</w:t>
                          </w:r>
                          <w:r w:rsidRPr="008F2E7C">
                            <w:rPr>
                              <w:rFonts w:ascii="Arial" w:hAnsi="Arial" w:cs="Arial"/>
                              <w:sz w:val="32"/>
                              <w:szCs w:val="32"/>
                            </w:rPr>
                            <w:br/>
                            <w:t xml:space="preserve">Student Number: </w:t>
                          </w:r>
                          <w:r w:rsidRPr="00BA7313">
                            <w:rPr>
                              <w:rFonts w:ascii="Arial" w:hAnsi="Arial" w:cs="Arial"/>
                              <w:sz w:val="32"/>
                              <w:szCs w:val="32"/>
                            </w:rPr>
                            <w:t>2415101</w:t>
                          </w:r>
                          <w:r w:rsidRPr="008F2E7C">
                            <w:rPr>
                              <w:rFonts w:ascii="Arial" w:hAnsi="Arial" w:cs="Arial"/>
                              <w:sz w:val="32"/>
                              <w:szCs w:val="32"/>
                            </w:rPr>
                            <w:br/>
                            <w:t xml:space="preserve">Module Code and Title: </w:t>
                          </w:r>
                          <w:r w:rsidR="00BA7313" w:rsidRPr="00BA7313">
                            <w:rPr>
                              <w:rFonts w:ascii="Arial" w:hAnsi="Arial" w:cs="Arial"/>
                              <w:sz w:val="32"/>
                              <w:szCs w:val="32"/>
                            </w:rPr>
                            <w:t>LCLM5002</w:t>
                          </w:r>
                          <w:r w:rsidR="00BA7313" w:rsidRPr="00BA7313">
                            <w:rPr>
                              <w:rFonts w:ascii="Arial" w:hAnsi="Arial" w:cs="Arial"/>
                              <w:sz w:val="32"/>
                              <w:szCs w:val="32"/>
                            </w:rPr>
                            <w:t xml:space="preserve"> </w:t>
                          </w:r>
                          <w:r w:rsidR="00BA7313" w:rsidRPr="00BA7313">
                            <w:rPr>
                              <w:rFonts w:ascii="Arial" w:hAnsi="Arial" w:cs="Arial"/>
                              <w:sz w:val="32"/>
                              <w:szCs w:val="32"/>
                            </w:rPr>
                            <w:t>Developing and Managing Individuals and Teams</w:t>
                          </w:r>
                          <w:r w:rsidRPr="008F2E7C">
                            <w:rPr>
                              <w:rFonts w:ascii="Arial" w:hAnsi="Arial" w:cs="Arial"/>
                              <w:sz w:val="32"/>
                              <w:szCs w:val="32"/>
                            </w:rPr>
                            <w:br/>
                            <w:t>Lecturer’s Name:</w:t>
                          </w:r>
                          <w:r w:rsidRPr="00BA7313">
                            <w:rPr>
                              <w:rFonts w:ascii="Arial" w:hAnsi="Arial" w:cs="Arial"/>
                              <w:sz w:val="32"/>
                              <w:szCs w:val="32"/>
                            </w:rPr>
                            <w:t xml:space="preserve"> </w:t>
                          </w:r>
                          <w:r w:rsidR="00BA7313" w:rsidRPr="00BA7313">
                            <w:rPr>
                              <w:rFonts w:ascii="Arial" w:hAnsi="Arial" w:cs="Arial"/>
                              <w:sz w:val="32"/>
                              <w:szCs w:val="32"/>
                            </w:rPr>
                            <w:t xml:space="preserve">Doreen Nyaa </w:t>
                          </w:r>
                          <w:proofErr w:type="spellStart"/>
                          <w:r w:rsidR="00BA7313" w:rsidRPr="00BA7313">
                            <w:rPr>
                              <w:rFonts w:ascii="Arial" w:hAnsi="Arial" w:cs="Arial"/>
                              <w:sz w:val="32"/>
                              <w:szCs w:val="32"/>
                            </w:rPr>
                            <w:t>Amundam</w:t>
                          </w:r>
                          <w:proofErr w:type="spellEnd"/>
                          <w:r w:rsidR="00BA7313" w:rsidRPr="00BA7313">
                            <w:rPr>
                              <w:rFonts w:ascii="Arial" w:hAnsi="Arial" w:cs="Arial"/>
                              <w:sz w:val="32"/>
                              <w:szCs w:val="32"/>
                            </w:rPr>
                            <w:t xml:space="preserve"> Nishi Ramsurrun</w:t>
                          </w:r>
                          <w:r w:rsidRPr="008F2E7C">
                            <w:rPr>
                              <w:rFonts w:ascii="Arial" w:hAnsi="Arial" w:cs="Arial"/>
                              <w:sz w:val="32"/>
                              <w:szCs w:val="32"/>
                            </w:rPr>
                            <w:br/>
                            <w:t xml:space="preserve">Assignment Title: </w:t>
                          </w:r>
                          <w:r w:rsidR="00BA7313" w:rsidRPr="00BA7313">
                            <w:rPr>
                              <w:rFonts w:ascii="Arial" w:hAnsi="Arial" w:cs="Arial"/>
                              <w:sz w:val="32"/>
                              <w:szCs w:val="32"/>
                            </w:rPr>
                            <w:t>Component 2- Individual Report</w:t>
                          </w:r>
                        </w:p>
                        <w:p w14:paraId="28D9D69F" w14:textId="38C7253A" w:rsidR="008F2E7C" w:rsidRDefault="008F2E7C"/>
                      </w:txbxContent>
                    </v:textbox>
                    <w10:wrap type="square" anchorx="margin"/>
                  </v:shape>
                </w:pict>
              </mc:Fallback>
            </mc:AlternateContent>
          </w:r>
          <w:r w:rsidR="008F2E7C">
            <w:rPr>
              <w:noProof/>
              <w:color w:val="4472C4" w:themeColor="accent1"/>
            </w:rPr>
            <w:drawing>
              <wp:inline distT="0" distB="0" distL="0" distR="0" wp14:anchorId="425BDF7F" wp14:editId="7A9DE006">
                <wp:extent cx="758727" cy="522333"/>
                <wp:effectExtent l="0" t="0" r="3810"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64178" cy="526086"/>
                        </a:xfrm>
                        <a:prstGeom prst="rect">
                          <a:avLst/>
                        </a:prstGeom>
                      </pic:spPr>
                    </pic:pic>
                  </a:graphicData>
                </a:graphic>
              </wp:inline>
            </w:drawing>
          </w:r>
        </w:p>
        <w:p w14:paraId="5DDFAAE6" w14:textId="77777777" w:rsidR="00AE5998" w:rsidRDefault="008F2E7C">
          <w:r>
            <w:br w:type="page"/>
          </w:r>
        </w:p>
        <w:p w14:paraId="02C62C37" w14:textId="4F67D83E" w:rsidR="008F2E7C" w:rsidRDefault="00000000"/>
      </w:sdtContent>
    </w:sdt>
    <w:p w14:paraId="372C774B" w14:textId="38F42867" w:rsidR="008F2E7C" w:rsidRDefault="008F2E7C" w:rsidP="008F2E7C">
      <w:pPr>
        <w:rPr>
          <w:b/>
          <w:bCs/>
        </w:rPr>
      </w:pPr>
    </w:p>
    <w:p w14:paraId="174CCE11" w14:textId="77777777" w:rsidR="002C104F" w:rsidRPr="008F2E7C" w:rsidRDefault="002C104F" w:rsidP="008F2E7C">
      <w:pPr>
        <w:rPr>
          <w:b/>
          <w:bCs/>
        </w:rPr>
      </w:pPr>
    </w:p>
    <w:p w14:paraId="7664A4FF" w14:textId="77777777" w:rsidR="008F2E7C" w:rsidRDefault="008F2E7C" w:rsidP="008F2E7C"/>
    <w:p w14:paraId="35742563" w14:textId="77777777" w:rsidR="008F2E7C" w:rsidRDefault="008F2E7C" w:rsidP="008F2E7C"/>
    <w:p w14:paraId="38BED1F5" w14:textId="77777777" w:rsidR="00AE5998" w:rsidRPr="002C104F" w:rsidRDefault="00AE5998" w:rsidP="00AE5998">
      <w:pPr>
        <w:rPr>
          <w:rFonts w:ascii="Arial" w:hAnsi="Arial" w:cs="Arial"/>
        </w:rPr>
      </w:pPr>
      <w:r w:rsidRPr="002C104F">
        <w:rPr>
          <w:rFonts w:ascii="Arial" w:hAnsi="Arial" w:cs="Arial"/>
          <w:b/>
          <w:bCs/>
        </w:rPr>
        <w:t>Table of Contents</w:t>
      </w:r>
    </w:p>
    <w:p w14:paraId="0B897142" w14:textId="77777777" w:rsidR="00AE5998" w:rsidRPr="003254CE" w:rsidRDefault="00AE5998" w:rsidP="00F27375">
      <w:pPr>
        <w:numPr>
          <w:ilvl w:val="0"/>
          <w:numId w:val="3"/>
        </w:numPr>
        <w:rPr>
          <w:rFonts w:ascii="Arial" w:hAnsi="Arial" w:cs="Arial"/>
        </w:rPr>
      </w:pPr>
      <w:r w:rsidRPr="003254CE">
        <w:rPr>
          <w:rFonts w:ascii="Arial" w:hAnsi="Arial" w:cs="Arial"/>
        </w:rPr>
        <w:t>Introduction ............................................................ 1</w:t>
      </w:r>
    </w:p>
    <w:p w14:paraId="32CAAEDE" w14:textId="441857A8" w:rsidR="00AE5998" w:rsidRPr="002C104F" w:rsidRDefault="002C104F" w:rsidP="00F27375">
      <w:pPr>
        <w:pStyle w:val="ListParagraph"/>
        <w:numPr>
          <w:ilvl w:val="0"/>
          <w:numId w:val="3"/>
        </w:numPr>
        <w:rPr>
          <w:rFonts w:ascii="Arial" w:hAnsi="Arial" w:cs="Arial"/>
        </w:rPr>
      </w:pPr>
      <w:r w:rsidRPr="002C104F">
        <w:rPr>
          <w:rFonts w:ascii="Arial" w:hAnsi="Arial" w:cs="Arial"/>
        </w:rPr>
        <w:t>Specific Factors Related to Technological Advancement, Talent Acquisition and Retention, and DEI</w:t>
      </w:r>
      <w:r w:rsidR="00AE5998" w:rsidRPr="002C104F">
        <w:rPr>
          <w:rFonts w:ascii="Arial" w:hAnsi="Arial" w:cs="Arial"/>
        </w:rPr>
        <w:t xml:space="preserve"> ................................. 2</w:t>
      </w:r>
    </w:p>
    <w:p w14:paraId="24A355D7" w14:textId="7EF82C31" w:rsidR="00AE5998" w:rsidRPr="003254CE" w:rsidRDefault="002C104F" w:rsidP="00F27375">
      <w:pPr>
        <w:numPr>
          <w:ilvl w:val="0"/>
          <w:numId w:val="3"/>
        </w:numPr>
        <w:rPr>
          <w:rFonts w:ascii="Arial" w:hAnsi="Arial" w:cs="Arial"/>
        </w:rPr>
      </w:pPr>
      <w:r w:rsidRPr="008F2E7C">
        <w:rPr>
          <w:rFonts w:ascii="Arial" w:hAnsi="Arial" w:cs="Arial"/>
        </w:rPr>
        <w:t>Evaluation of Contemporary HR Practices to Address Each Factor</w:t>
      </w:r>
      <w:r w:rsidR="00AE5998" w:rsidRPr="003254CE">
        <w:rPr>
          <w:rFonts w:ascii="Arial" w:hAnsi="Arial" w:cs="Arial"/>
        </w:rPr>
        <w:t xml:space="preserve">............... </w:t>
      </w:r>
      <w:r w:rsidR="006A1924">
        <w:rPr>
          <w:rFonts w:ascii="Arial" w:hAnsi="Arial" w:cs="Arial"/>
        </w:rPr>
        <w:t>4</w:t>
      </w:r>
    </w:p>
    <w:p w14:paraId="2920CEC1" w14:textId="35390C47" w:rsidR="00AE5998" w:rsidRPr="003254CE" w:rsidRDefault="002C104F" w:rsidP="00F27375">
      <w:pPr>
        <w:numPr>
          <w:ilvl w:val="0"/>
          <w:numId w:val="3"/>
        </w:numPr>
        <w:rPr>
          <w:rFonts w:ascii="Arial" w:hAnsi="Arial" w:cs="Arial"/>
        </w:rPr>
      </w:pPr>
      <w:r w:rsidRPr="008F2E7C">
        <w:rPr>
          <w:rFonts w:ascii="Arial" w:hAnsi="Arial" w:cs="Arial"/>
        </w:rPr>
        <w:t>Critical Evaluation of How Departmental Managers Can Ensure These Practices Are Implemented as a Matter of Urgency</w:t>
      </w:r>
      <w:r w:rsidR="00AE5998" w:rsidRPr="003254CE">
        <w:rPr>
          <w:rFonts w:ascii="Arial" w:hAnsi="Arial" w:cs="Arial"/>
        </w:rPr>
        <w:t xml:space="preserve">...................................... </w:t>
      </w:r>
      <w:r w:rsidR="006A1924">
        <w:rPr>
          <w:rFonts w:ascii="Arial" w:hAnsi="Arial" w:cs="Arial"/>
        </w:rPr>
        <w:t>6</w:t>
      </w:r>
    </w:p>
    <w:p w14:paraId="50329AF6" w14:textId="7201A64F" w:rsidR="00AE5998" w:rsidRDefault="00AE5998" w:rsidP="00F27375">
      <w:pPr>
        <w:numPr>
          <w:ilvl w:val="0"/>
          <w:numId w:val="3"/>
        </w:numPr>
        <w:rPr>
          <w:rFonts w:ascii="Arial" w:hAnsi="Arial" w:cs="Arial"/>
        </w:rPr>
      </w:pPr>
      <w:r w:rsidRPr="003254CE">
        <w:rPr>
          <w:rFonts w:ascii="Arial" w:hAnsi="Arial" w:cs="Arial"/>
        </w:rPr>
        <w:t xml:space="preserve">Conclusion ........................................................... </w:t>
      </w:r>
      <w:r w:rsidR="00F27375">
        <w:rPr>
          <w:rFonts w:ascii="Arial" w:hAnsi="Arial" w:cs="Arial"/>
        </w:rPr>
        <w:t>8</w:t>
      </w:r>
    </w:p>
    <w:p w14:paraId="431195CA" w14:textId="05853345" w:rsidR="00F27375" w:rsidRPr="003254CE" w:rsidRDefault="00F27375" w:rsidP="00F27375">
      <w:pPr>
        <w:numPr>
          <w:ilvl w:val="0"/>
          <w:numId w:val="3"/>
        </w:numPr>
        <w:rPr>
          <w:rFonts w:ascii="Arial" w:hAnsi="Arial" w:cs="Arial"/>
        </w:rPr>
      </w:pPr>
      <w:r w:rsidRPr="003254CE">
        <w:rPr>
          <w:rFonts w:ascii="Arial" w:hAnsi="Arial" w:cs="Arial"/>
        </w:rPr>
        <w:t xml:space="preserve">Recommendations ...................................................... </w:t>
      </w:r>
      <w:r>
        <w:rPr>
          <w:rFonts w:ascii="Arial" w:hAnsi="Arial" w:cs="Arial"/>
        </w:rPr>
        <w:t>9</w:t>
      </w:r>
    </w:p>
    <w:p w14:paraId="406FA935" w14:textId="4FAB69EC" w:rsidR="00AE5998" w:rsidRPr="003254CE" w:rsidRDefault="00AE5998" w:rsidP="00F27375">
      <w:pPr>
        <w:numPr>
          <w:ilvl w:val="0"/>
          <w:numId w:val="3"/>
        </w:numPr>
        <w:rPr>
          <w:rFonts w:ascii="Arial" w:hAnsi="Arial" w:cs="Arial"/>
        </w:rPr>
      </w:pPr>
      <w:r w:rsidRPr="003254CE">
        <w:rPr>
          <w:rFonts w:ascii="Arial" w:hAnsi="Arial" w:cs="Arial"/>
        </w:rPr>
        <w:t xml:space="preserve">Reference List ....................................................... </w:t>
      </w:r>
      <w:r w:rsidR="00F27375">
        <w:rPr>
          <w:rFonts w:ascii="Arial" w:hAnsi="Arial" w:cs="Arial"/>
        </w:rPr>
        <w:t>10</w:t>
      </w:r>
    </w:p>
    <w:p w14:paraId="16BB27EE" w14:textId="77777777" w:rsidR="00AE5998" w:rsidRPr="002C104F" w:rsidRDefault="00AE5998" w:rsidP="00AE5998">
      <w:pPr>
        <w:rPr>
          <w:rFonts w:ascii="Arial" w:hAnsi="Arial" w:cs="Arial"/>
        </w:rPr>
      </w:pPr>
    </w:p>
    <w:p w14:paraId="618E3DD4" w14:textId="77777777" w:rsidR="008F2E7C" w:rsidRDefault="008F2E7C" w:rsidP="008F2E7C"/>
    <w:p w14:paraId="38DB8ABD" w14:textId="77777777" w:rsidR="008F2E7C" w:rsidRDefault="008F2E7C" w:rsidP="008F2E7C"/>
    <w:p w14:paraId="455FB05A" w14:textId="77777777" w:rsidR="008F2E7C" w:rsidRDefault="008F2E7C" w:rsidP="008F2E7C"/>
    <w:p w14:paraId="4A6ADD39" w14:textId="77777777" w:rsidR="008F2E7C" w:rsidRDefault="008F2E7C" w:rsidP="008F2E7C"/>
    <w:p w14:paraId="57B27B4C" w14:textId="77777777" w:rsidR="008F2E7C" w:rsidRDefault="008F2E7C" w:rsidP="008F2E7C"/>
    <w:p w14:paraId="71C08B57" w14:textId="77777777" w:rsidR="008F2E7C" w:rsidRDefault="008F2E7C" w:rsidP="008F2E7C"/>
    <w:p w14:paraId="7BCC0A11" w14:textId="77777777" w:rsidR="008F2E7C" w:rsidRDefault="008F2E7C" w:rsidP="008F2E7C"/>
    <w:p w14:paraId="07B82F2D" w14:textId="77777777" w:rsidR="008F2E7C" w:rsidRDefault="008F2E7C" w:rsidP="008F2E7C"/>
    <w:p w14:paraId="72186461" w14:textId="77777777" w:rsidR="008F2E7C" w:rsidRDefault="008F2E7C" w:rsidP="008F2E7C"/>
    <w:p w14:paraId="3A4D0DCE" w14:textId="77777777" w:rsidR="008F2E7C" w:rsidRDefault="008F2E7C" w:rsidP="008F2E7C"/>
    <w:p w14:paraId="53346E3C" w14:textId="77777777" w:rsidR="008F2E7C" w:rsidRDefault="008F2E7C" w:rsidP="008F2E7C"/>
    <w:p w14:paraId="656CC246" w14:textId="77777777" w:rsidR="00AF00EA" w:rsidRDefault="00AF00EA" w:rsidP="008F2E7C"/>
    <w:p w14:paraId="67E79991" w14:textId="77777777" w:rsidR="002C104F" w:rsidRDefault="002C104F" w:rsidP="008F2E7C">
      <w:pPr>
        <w:rPr>
          <w:b/>
          <w:bCs/>
        </w:rPr>
      </w:pPr>
    </w:p>
    <w:p w14:paraId="518E31F3" w14:textId="77777777" w:rsidR="002C104F" w:rsidRDefault="002C104F" w:rsidP="008F2E7C">
      <w:pPr>
        <w:rPr>
          <w:b/>
          <w:bCs/>
        </w:rPr>
      </w:pPr>
    </w:p>
    <w:p w14:paraId="6086DF0C" w14:textId="77777777" w:rsidR="002C104F" w:rsidRDefault="002C104F" w:rsidP="008F2E7C">
      <w:pPr>
        <w:rPr>
          <w:b/>
          <w:bCs/>
        </w:rPr>
      </w:pPr>
    </w:p>
    <w:p w14:paraId="5D3BF10A" w14:textId="77777777" w:rsidR="002C104F" w:rsidRDefault="002C104F" w:rsidP="008F2E7C">
      <w:pPr>
        <w:rPr>
          <w:b/>
          <w:bCs/>
        </w:rPr>
      </w:pPr>
    </w:p>
    <w:p w14:paraId="545A83B2" w14:textId="77777777" w:rsidR="002C104F" w:rsidRDefault="002C104F" w:rsidP="008F2E7C">
      <w:pPr>
        <w:rPr>
          <w:b/>
          <w:bCs/>
        </w:rPr>
      </w:pPr>
    </w:p>
    <w:p w14:paraId="750A6725" w14:textId="5F9AE545" w:rsidR="008F2E7C" w:rsidRPr="008F2E7C" w:rsidRDefault="008F2E7C" w:rsidP="008F2E7C">
      <w:pPr>
        <w:rPr>
          <w:b/>
          <w:bCs/>
        </w:rPr>
      </w:pPr>
      <w:r w:rsidRPr="008F2E7C">
        <w:rPr>
          <w:b/>
          <w:bCs/>
        </w:rPr>
        <w:t>Contemporary HR Challenges and HR Practices: A Report on Tesco plc</w:t>
      </w:r>
    </w:p>
    <w:p w14:paraId="2B23E5B6" w14:textId="77777777" w:rsidR="008F2E7C" w:rsidRPr="008F2E7C" w:rsidRDefault="008F2E7C" w:rsidP="008F2E7C">
      <w:pPr>
        <w:rPr>
          <w:b/>
          <w:bCs/>
        </w:rPr>
      </w:pPr>
      <w:r w:rsidRPr="008F2E7C">
        <w:rPr>
          <w:b/>
          <w:bCs/>
        </w:rPr>
        <w:t>Introduction</w:t>
      </w:r>
    </w:p>
    <w:p w14:paraId="1B3046EB" w14:textId="77777777" w:rsidR="008F2E7C" w:rsidRPr="008F2E7C" w:rsidRDefault="008F2E7C" w:rsidP="008F2E7C">
      <w:r w:rsidRPr="008F2E7C">
        <w:t>Human Resource Management (HRM) plays a central role in helping organisations respond to changing economic, technological and social conditions. In the modern business environment, HR departments are expected not only to support administrative functions, but also to act strategically in building workforce capability, strengthening employee commitment and sustaining organisational performance. UK organisations currently face several pressing HR challenges, particularly in relation to technological advancement, talent acquisition and retention, and diversity, equity and inclusion (DEI). These issues are highly relevant to large employers whose workforces are diverse, geographically dispersed and subject to constant operational change.</w:t>
      </w:r>
    </w:p>
    <w:p w14:paraId="261D6A02" w14:textId="77777777" w:rsidR="008F2E7C" w:rsidRPr="008F2E7C" w:rsidRDefault="008F2E7C" w:rsidP="008F2E7C">
      <w:r w:rsidRPr="008F2E7C">
        <w:t>This report focuses on Tesco plc, one of the largest UK-based retail organisations and employers. Tesco offers an appropriate case study because its size, digital transformation, customer-facing business model and public workforce commitments make it highly relevant for examining current HR challenges in practice. The company operates in an environment where workforce agility, employee engagement and inclusive people management are critical to maintaining service quality and competitiveness. Recent HR debates show that employers are increasingly required to adopt new technologies, attract and retain talent in a competitive labour market, and build inclusive workplaces that reflect both legal expectations and wider social values (CIPD, 2024).</w:t>
      </w:r>
    </w:p>
    <w:p w14:paraId="517890E3" w14:textId="77777777" w:rsidR="008F2E7C" w:rsidRPr="008F2E7C" w:rsidRDefault="008F2E7C" w:rsidP="008F2E7C">
      <w:r w:rsidRPr="008F2E7C">
        <w:t>The report is divided into three main sections. The first explains the specific factors associated with technological advancement, talent acquisition and retention, and DEI in Tesco. The second evaluates contemporary HR practices used to address each of these challenges. The third critically evaluates how departmental managers can ensure that these practices are implemented urgently and effectively. In doing so, the report draws on HR theories and models, including the Resource-Based View, Human Capital Theory, the Psychological Contract, and selected motivation theories, notably Maslow’s hierarchy of needs, Alderfer’s ERG theory and Herzberg’s two-factor theory. These theories help explain why employees join, stay, perform and disengage, and therefore strengthen the analysis of talent retention and management practice.</w:t>
      </w:r>
    </w:p>
    <w:p w14:paraId="195B3D38" w14:textId="77777777" w:rsidR="008F2E7C" w:rsidRDefault="008F2E7C" w:rsidP="008F2E7C">
      <w:r w:rsidRPr="008F2E7C">
        <w:t>Overall, the report argues that successful HR strategy in Tesco depends on integrating technological capability, employee motivation, inclusion and managerial accountability. Policies alone are insufficient; the effectiveness of HR practice depends on how consistently and urgently these initiatives are implemented across departments.</w:t>
      </w:r>
    </w:p>
    <w:p w14:paraId="7F757BFC" w14:textId="77777777" w:rsidR="008F2E7C" w:rsidRDefault="008F2E7C" w:rsidP="008F2E7C"/>
    <w:p w14:paraId="18D2AA7F" w14:textId="77777777" w:rsidR="008F2E7C" w:rsidRDefault="008F2E7C" w:rsidP="008F2E7C"/>
    <w:p w14:paraId="0ABAAF25" w14:textId="77777777" w:rsidR="008F2E7C" w:rsidRDefault="008F2E7C" w:rsidP="008F2E7C"/>
    <w:p w14:paraId="76B6D6F2" w14:textId="77777777" w:rsidR="008F2E7C" w:rsidRDefault="008F2E7C" w:rsidP="008F2E7C"/>
    <w:p w14:paraId="261CBBEC" w14:textId="77777777" w:rsidR="008F2E7C" w:rsidRDefault="008F2E7C" w:rsidP="008F2E7C"/>
    <w:p w14:paraId="68169D8C" w14:textId="77777777" w:rsidR="002C104F" w:rsidRDefault="002C104F" w:rsidP="008F2E7C"/>
    <w:p w14:paraId="495ADF00" w14:textId="77777777" w:rsidR="008F2E7C" w:rsidRPr="008F2E7C" w:rsidRDefault="008F2E7C" w:rsidP="008F2E7C"/>
    <w:p w14:paraId="5C483E45" w14:textId="77777777" w:rsidR="008F2E7C" w:rsidRPr="008F2E7C" w:rsidRDefault="008F2E7C" w:rsidP="008F2E7C">
      <w:pPr>
        <w:rPr>
          <w:b/>
          <w:bCs/>
        </w:rPr>
      </w:pPr>
      <w:r w:rsidRPr="008F2E7C">
        <w:rPr>
          <w:b/>
          <w:bCs/>
        </w:rPr>
        <w:lastRenderedPageBreak/>
        <w:t>1. Specific Factors Related to Technological Advancement, Talent Acquisition and Retention, and DEI</w:t>
      </w:r>
    </w:p>
    <w:p w14:paraId="5A89CE5B" w14:textId="77777777" w:rsidR="008F2E7C" w:rsidRPr="008F2E7C" w:rsidRDefault="008F2E7C" w:rsidP="008F2E7C">
      <w:r w:rsidRPr="008F2E7C">
        <w:t>One major factor affecting Tesco is the need to keep pace with technological advancement. Digital transformation has changed the nature of work across retail, logistics, administration and HR itself. HR departments increasingly rely on applicant tracking systems, HR analytics, digital onboarding platforms, e-learning systems and AI-supported recruitment processes. This shift creates pressure on Tesco to invest in both technology and employee capability. According to the CIPD (2024), many employers are increasing their use of technology in recruitment and onboarding, reflecting a broader move towards digital HRM. However, introducing technology is not simply a technical matter; it also creates challenges concerning employee skills, adaptability, data management and fairness. From a Human Capital Theory perspective, employees’ knowledge and skills are assets that must be developed to maintain organisational productivity. If Tesco introduces advanced systems without adequately training staff, the technology may fail to deliver its intended value.</w:t>
      </w:r>
    </w:p>
    <w:p w14:paraId="73BE6B79" w14:textId="77777777" w:rsidR="008F2E7C" w:rsidRPr="008F2E7C" w:rsidRDefault="008F2E7C" w:rsidP="008F2E7C">
      <w:r w:rsidRPr="008F2E7C">
        <w:t>A further challenge linked to technology is the changing nature of job roles. Automation and digital systems may reduce some routine tasks while increasing the need for problem-solving, digital confidence and cross-functional coordination. This means Tesco must support reskilling and continuous learning, rather than relying entirely on new recruitment. At the same time, the use of automated decision-making in recruitment raises legal and ethical concerns around bias, transparency and accountability. Therefore, technological advancement requires not just efficiency, but responsible and inclusive implementation.</w:t>
      </w:r>
    </w:p>
    <w:p w14:paraId="6B2DE8CE" w14:textId="77777777" w:rsidR="008F2E7C" w:rsidRPr="008F2E7C" w:rsidRDefault="008F2E7C" w:rsidP="008F2E7C">
      <w:r w:rsidRPr="008F2E7C">
        <w:t>The second factor is talent acquisition and retention. Tesco operates in a highly competitive labour market in which employers are competing for both frontline employees and skilled managerial or specialist staff. Recruitment challenges may arise from labour shortages, changing employee expectations, inflationary pressures, and demand for flexibility. Retention has become equally important because high labour turnover increases costs, disrupts team stability and reduces service consistency. The Psychological Contract is useful here, as it explains the unwritten expectations between employees and employers (Rousseau, 1995). Employees increasingly expect fair treatment, development opportunities, supportive management and work-life balance. When these expectations are not met, employees may disengage or leave.</w:t>
      </w:r>
    </w:p>
    <w:p w14:paraId="5B491DBF" w14:textId="77777777" w:rsidR="008F2E7C" w:rsidRPr="008F2E7C" w:rsidRDefault="008F2E7C" w:rsidP="008F2E7C">
      <w:r w:rsidRPr="008F2E7C">
        <w:t>Motivation theories help explain why retention is a serious HR issue. Maslow’s hierarchy of needs suggests that employees seek not only basic financial security, but also belonging, esteem and self-actualisation (Maslow, 1943). Tesco must therefore provide a working environment that supports both lower-level and higher-level needs. Alderfer’s ERG theory develops this idea by grouping needs into existence, relatedness and growth, while also recognising that employees may move between them rather than progress in a fixed sequence (Alderfer, 1969). This is relevant in retail because some workers may prioritise secure income and stable hours, while others may seek career progression and recognition. Herzberg’s two-factor theory further distinguishes between hygiene factors such as pay, conditions and policies, and motivators such as achievement, responsibility and advancement (Herzberg, Mausner and Snyderman, 1959). This suggests Tesco cannot rely only on pay increases to retain employees; it must also provide meaningful development, recognition and progression.</w:t>
      </w:r>
    </w:p>
    <w:p w14:paraId="1F070C6B" w14:textId="77777777" w:rsidR="008F2E7C" w:rsidRPr="008F2E7C" w:rsidRDefault="008F2E7C" w:rsidP="008F2E7C">
      <w:r w:rsidRPr="008F2E7C">
        <w:t xml:space="preserve">The third factor is diversity, equity and inclusion (DEI). DEI has become a strategic concern because organisations are expected to recruit and manage employees fairly, create inclusive cultures and widen access to opportunity. Tesco’s large and diverse workforce means DEI affects recruitment, progression, engagement and reputation. Diversity refers to workforce differences, equity concerns fairness of access and treatment, and inclusion focuses on whether employees feel respected, heard </w:t>
      </w:r>
      <w:r w:rsidRPr="008F2E7C">
        <w:lastRenderedPageBreak/>
        <w:t>and able to contribute. A key factor in Tesco is ensuring that DEI is embedded across all stages of the employee lifecycle, including attraction, selection, induction, development and promotion.</w:t>
      </w:r>
    </w:p>
    <w:p w14:paraId="6C742B27" w14:textId="77777777" w:rsidR="008F2E7C" w:rsidRPr="008F2E7C" w:rsidRDefault="008F2E7C" w:rsidP="008F2E7C">
      <w:r w:rsidRPr="008F2E7C">
        <w:t>DEI is also linked to organisational performance. The Resource-Based View suggests that firms gain competitive advantage from valuable, rare and hard-to-imitate resources, including people and organisational culture (Barney, 1991). A diverse and inclusive workforce can improve innovation, decision-making and customer understanding. However, DEI is difficult to achieve if organisational systems unintentionally reproduce bias. For example, recruitment criteria, promotion decisions or technology-enabled screening tools may disadvantage certain groups if not monitored carefully. Therefore, Tesco must move beyond policy statements and ensure that inclusion is reflected in day-to-day management decisions.</w:t>
      </w:r>
    </w:p>
    <w:p w14:paraId="3FA85F8B" w14:textId="77777777" w:rsidR="008F2E7C" w:rsidRDefault="008F2E7C" w:rsidP="008F2E7C">
      <w:r w:rsidRPr="008F2E7C">
        <w:t>In summary, Tesco’s HR challenges are interconnected. Technology affects workforce capability and fairness; attraction and retention depend on both material and motivational factors; and DEI shapes who is recruited, developed and retained. These challenges require strategic and evidence-based HR responses.</w:t>
      </w:r>
    </w:p>
    <w:p w14:paraId="663DDEF5" w14:textId="77777777" w:rsidR="008F2E7C" w:rsidRDefault="008F2E7C" w:rsidP="008F2E7C"/>
    <w:p w14:paraId="70914566" w14:textId="77777777" w:rsidR="008F2E7C" w:rsidRDefault="008F2E7C" w:rsidP="008F2E7C"/>
    <w:p w14:paraId="45139DA3" w14:textId="77777777" w:rsidR="008F2E7C" w:rsidRDefault="008F2E7C" w:rsidP="008F2E7C"/>
    <w:p w14:paraId="593F6898" w14:textId="77777777" w:rsidR="008F2E7C" w:rsidRDefault="008F2E7C" w:rsidP="008F2E7C"/>
    <w:p w14:paraId="3E3D362E" w14:textId="77777777" w:rsidR="008F2E7C" w:rsidRDefault="008F2E7C" w:rsidP="008F2E7C"/>
    <w:p w14:paraId="355042D9" w14:textId="77777777" w:rsidR="008F2E7C" w:rsidRDefault="008F2E7C" w:rsidP="008F2E7C"/>
    <w:p w14:paraId="107919FD" w14:textId="77777777" w:rsidR="008F2E7C" w:rsidRDefault="008F2E7C" w:rsidP="008F2E7C"/>
    <w:p w14:paraId="7E36878C" w14:textId="77777777" w:rsidR="008F2E7C" w:rsidRDefault="008F2E7C" w:rsidP="008F2E7C"/>
    <w:p w14:paraId="12E57F6D" w14:textId="77777777" w:rsidR="008F2E7C" w:rsidRDefault="008F2E7C" w:rsidP="008F2E7C"/>
    <w:p w14:paraId="4DA89B40" w14:textId="77777777" w:rsidR="008F2E7C" w:rsidRDefault="008F2E7C" w:rsidP="008F2E7C"/>
    <w:p w14:paraId="5FD0E3E5" w14:textId="77777777" w:rsidR="008F2E7C" w:rsidRDefault="008F2E7C" w:rsidP="008F2E7C"/>
    <w:p w14:paraId="503C4440" w14:textId="77777777" w:rsidR="008F2E7C" w:rsidRDefault="008F2E7C" w:rsidP="008F2E7C"/>
    <w:p w14:paraId="03A1D114" w14:textId="77777777" w:rsidR="008F2E7C" w:rsidRDefault="008F2E7C" w:rsidP="008F2E7C"/>
    <w:p w14:paraId="055B056C" w14:textId="77777777" w:rsidR="008F2E7C" w:rsidRDefault="008F2E7C" w:rsidP="008F2E7C"/>
    <w:p w14:paraId="61069707" w14:textId="77777777" w:rsidR="008F2E7C" w:rsidRDefault="008F2E7C" w:rsidP="008F2E7C"/>
    <w:p w14:paraId="3712BA52" w14:textId="77777777" w:rsidR="008F2E7C" w:rsidRDefault="008F2E7C" w:rsidP="008F2E7C"/>
    <w:p w14:paraId="0636AAE3" w14:textId="77777777" w:rsidR="008F2E7C" w:rsidRDefault="008F2E7C" w:rsidP="008F2E7C"/>
    <w:p w14:paraId="7D679CB8" w14:textId="77777777" w:rsidR="008F2E7C" w:rsidRDefault="008F2E7C" w:rsidP="008F2E7C"/>
    <w:p w14:paraId="55BF1124" w14:textId="77777777" w:rsidR="008F2E7C" w:rsidRDefault="008F2E7C" w:rsidP="008F2E7C"/>
    <w:p w14:paraId="3A676795" w14:textId="77777777" w:rsidR="008F2E7C" w:rsidRDefault="008F2E7C" w:rsidP="008F2E7C"/>
    <w:p w14:paraId="3B079216" w14:textId="77777777" w:rsidR="008F2E7C" w:rsidRPr="008F2E7C" w:rsidRDefault="008F2E7C" w:rsidP="008F2E7C"/>
    <w:p w14:paraId="39663263" w14:textId="77777777" w:rsidR="008F2E7C" w:rsidRPr="008F2E7C" w:rsidRDefault="008F2E7C" w:rsidP="008F2E7C">
      <w:pPr>
        <w:rPr>
          <w:b/>
          <w:bCs/>
        </w:rPr>
      </w:pPr>
      <w:r w:rsidRPr="008F2E7C">
        <w:rPr>
          <w:b/>
          <w:bCs/>
        </w:rPr>
        <w:lastRenderedPageBreak/>
        <w:t>2. Evaluation of Contemporary HR Practices to Address Each Factor</w:t>
      </w:r>
    </w:p>
    <w:p w14:paraId="20A7C01B" w14:textId="77777777" w:rsidR="008F2E7C" w:rsidRPr="008F2E7C" w:rsidRDefault="008F2E7C" w:rsidP="008F2E7C">
      <w:r w:rsidRPr="008F2E7C">
        <w:t>To address technological advancement, one important contemporary HR practice is the use of digital HRM systems. These include e-recruitment platforms, digital onboarding, cloud-based HR records, workforce analytics and online learning systems. Such practices can increase speed, accuracy and efficiency in recruitment and workforce planning. They also allow HR to analyse trends such as turnover, absenteeism and training completion more effectively. From a strategic perspective, digital HRM supports evidence-based decision-making and can help Tesco respond more quickly to operational change. However, the effectiveness of these tools depends on how they are implemented. If employees and managers lack digital skills, the technology may create frustration rather than efficiency. In addition, excessive dependence on automated systems may weaken human judgement, especially in recruitment, where fairness and context remain important.</w:t>
      </w:r>
    </w:p>
    <w:p w14:paraId="5E8191DD" w14:textId="77777777" w:rsidR="008F2E7C" w:rsidRPr="008F2E7C" w:rsidRDefault="008F2E7C" w:rsidP="008F2E7C">
      <w:r w:rsidRPr="008F2E7C">
        <w:t>A second practice is continuous learning and reskilling. In a digitally changing business, training must be ongoing rather than occasional. Tesco can use e-learning, micro-learning modules, mentoring and role-specific digital training to help staff adapt to new systems. This aligns with Human Capital Theory, which views training as an investment that improves organisational capability. The advantage of this practice is that it develops internal talent and reduces dependence on the external labour market. It can also improve employee confidence and engagement. However, it requires time, funding and strong managerial support. If learning is available but not prioritised operationally, uptake may remain low.</w:t>
      </w:r>
    </w:p>
    <w:p w14:paraId="2BC5C51F" w14:textId="77777777" w:rsidR="008F2E7C" w:rsidRPr="008F2E7C" w:rsidRDefault="008F2E7C" w:rsidP="008F2E7C">
      <w:r w:rsidRPr="008F2E7C">
        <w:t>To address talent acquisition and retention, a major contemporary practice is strengthening the employee value proposition (EVP). An effective EVP includes competitive pay, flexible working options, wellbeing support, career development and a positive organisational culture. In Tesco’s context, this is important because employees are unlikely to stay solely for salary if they experience poor scheduling, limited progression or weak management support. The CIPD (2024) highlights the growing importance of flexibility and internal development in attracting and retaining staff. This can be evaluated positively because it recognises employees as individuals with diverse needs.</w:t>
      </w:r>
    </w:p>
    <w:p w14:paraId="5D27F713" w14:textId="77777777" w:rsidR="008F2E7C" w:rsidRPr="008F2E7C" w:rsidRDefault="008F2E7C" w:rsidP="008F2E7C">
      <w:r w:rsidRPr="008F2E7C">
        <w:t>Motivation theory strengthens the case for this approach. According to Maslow, pay and job security meet lower-level needs, while recognition and advancement satisfy higher-level needs. Alderfer similarly suggests that employees may seek growth opportunities even when other needs remain relevant. Herzberg’s theory is especially useful because it shows why improving only hygiene factors, such as pay or policies, may reduce dissatisfaction but not necessarily create commitment. In practice, Tesco should combine fair reward with motivators such as recognition, skills development, internal mobility and job enrichment. This is a stronger retention strategy than relying on transactional incentives alone. The limitation is cost and consistency: a strong EVP can be difficult to deliver equally across different departments and job levels.</w:t>
      </w:r>
    </w:p>
    <w:p w14:paraId="613E724F" w14:textId="77777777" w:rsidR="008F2E7C" w:rsidRPr="008F2E7C" w:rsidRDefault="008F2E7C" w:rsidP="008F2E7C">
      <w:r w:rsidRPr="008F2E7C">
        <w:t>Another important practice is strategic talent development, including graduate schemes, apprenticeships, succession planning, internal recruitment and career pathways. This approach helps Tesco create a pipeline of capable employees while improving engagement and reducing turnover. It reflects the Resource-Based View, since internally developed talent can become a source of competitive advantage. It also supports the psychological contract by signalling that the organisation values employee growth. However, if promotion opportunities are perceived as unfair or limited, talent programmes may increase frustration rather than retention. Therefore, transparency and equal access are essential.</w:t>
      </w:r>
    </w:p>
    <w:p w14:paraId="33B43BCF" w14:textId="77777777" w:rsidR="008F2E7C" w:rsidRPr="008F2E7C" w:rsidRDefault="008F2E7C" w:rsidP="008F2E7C">
      <w:r w:rsidRPr="008F2E7C">
        <w:lastRenderedPageBreak/>
        <w:t>To address DEI, one key contemporary practice is inclusive recruitment and selection. This may involve using unbiased job descriptions, broad advertising channels, structured interviews, diverse panels and objective scoring criteria. These practices are valuable because they reduce reliance on informal judgements and widen access to underrepresented groups. In Tesco’s case, inclusive recruitment is especially relevant because of the company’s scale and range of roles. The advantage is that it supports fairness, employer reputation and access to broader talent pools. However, there are limits. Recruitment can be inclusive in design while workplace culture remains exclusionary in practice. This means DEI must continue beyond hiring.</w:t>
      </w:r>
    </w:p>
    <w:p w14:paraId="24673863" w14:textId="77777777" w:rsidR="008F2E7C" w:rsidRPr="008F2E7C" w:rsidRDefault="008F2E7C" w:rsidP="008F2E7C">
      <w:r w:rsidRPr="008F2E7C">
        <w:t>A further DEI practice is inclusive leadership development. Managers should be trained to recognise bias, support diverse teams and respond appropriately to employee concerns. Inclusive leadership is vital because employee experience is shaped less by corporate policy documents and more by direct management behaviour. This practice can improve belonging, reduce conflict and strengthen retention among underrepresented employees. It also supports Herzberg’s motivators, particularly recognition, achievement and responsibility, by ensuring more equitable access to these experiences. However, leadership training alone does not guarantee behavioural change. It must be accompanied by accountability mechanisms and performance measures.</w:t>
      </w:r>
    </w:p>
    <w:p w14:paraId="26EAECAF" w14:textId="77777777" w:rsidR="008F2E7C" w:rsidRPr="008F2E7C" w:rsidRDefault="008F2E7C" w:rsidP="008F2E7C">
      <w:r w:rsidRPr="008F2E7C">
        <w:t>Finally, people analytics and HR metrics are increasingly used to monitor whether HR practices are working. Tesco can track turnover, promotion rates, training participation, diversity representation and engagement by department. This supports evidence-based HRM and helps identify where interventions are needed most urgently. The strength of this practice is that it can reveal hidden patterns and reduce reliance on assumptions. The weakness is that data may be collected without meaningful action. Therefore, analytics are most effective when integrated with managerial accountability and strategic decision-making.</w:t>
      </w:r>
    </w:p>
    <w:p w14:paraId="1D86AA53" w14:textId="77777777" w:rsidR="008F2E7C" w:rsidRDefault="008F2E7C" w:rsidP="008F2E7C">
      <w:r w:rsidRPr="008F2E7C">
        <w:t>Overall, contemporary HR practices can address Tesco’s challenges effectively, but only when they are combined into a coherent strategy. Technology, motivation, inclusion and development must work together rather than as isolated initiatives.</w:t>
      </w:r>
    </w:p>
    <w:p w14:paraId="30EB0B15" w14:textId="77777777" w:rsidR="008F2E7C" w:rsidRDefault="008F2E7C" w:rsidP="008F2E7C"/>
    <w:p w14:paraId="713A1861" w14:textId="77777777" w:rsidR="008F2E7C" w:rsidRDefault="008F2E7C" w:rsidP="008F2E7C"/>
    <w:p w14:paraId="3BBE09E6" w14:textId="77777777" w:rsidR="008F2E7C" w:rsidRDefault="008F2E7C" w:rsidP="008F2E7C"/>
    <w:p w14:paraId="6F237BBB" w14:textId="77777777" w:rsidR="008F2E7C" w:rsidRDefault="008F2E7C" w:rsidP="008F2E7C"/>
    <w:p w14:paraId="44DEE70F" w14:textId="77777777" w:rsidR="008F2E7C" w:rsidRDefault="008F2E7C" w:rsidP="008F2E7C"/>
    <w:p w14:paraId="275D1923" w14:textId="77777777" w:rsidR="008F2E7C" w:rsidRDefault="008F2E7C" w:rsidP="008F2E7C"/>
    <w:p w14:paraId="6942E43B" w14:textId="77777777" w:rsidR="008F2E7C" w:rsidRDefault="008F2E7C" w:rsidP="008F2E7C"/>
    <w:p w14:paraId="53618330" w14:textId="77777777" w:rsidR="008F2E7C" w:rsidRDefault="008F2E7C" w:rsidP="008F2E7C"/>
    <w:p w14:paraId="1F8A1579" w14:textId="77777777" w:rsidR="008F2E7C" w:rsidRDefault="008F2E7C" w:rsidP="008F2E7C"/>
    <w:p w14:paraId="6B21D7BE" w14:textId="77777777" w:rsidR="008F2E7C" w:rsidRDefault="008F2E7C" w:rsidP="008F2E7C"/>
    <w:p w14:paraId="1EB4DCEF" w14:textId="77777777" w:rsidR="008F2E7C" w:rsidRDefault="008F2E7C" w:rsidP="008F2E7C"/>
    <w:p w14:paraId="75BA2BC5" w14:textId="77777777" w:rsidR="008F2E7C" w:rsidRPr="008F2E7C" w:rsidRDefault="008F2E7C" w:rsidP="008F2E7C"/>
    <w:p w14:paraId="52410732" w14:textId="77777777" w:rsidR="008F2E7C" w:rsidRPr="008F2E7C" w:rsidRDefault="008F2E7C" w:rsidP="008F2E7C">
      <w:pPr>
        <w:rPr>
          <w:b/>
          <w:bCs/>
        </w:rPr>
      </w:pPr>
      <w:r w:rsidRPr="008F2E7C">
        <w:rPr>
          <w:b/>
          <w:bCs/>
        </w:rPr>
        <w:lastRenderedPageBreak/>
        <w:t>3. Critical Evaluation of How Departmental Managers Can Ensure These Practices Are Implemented as a Matter of Urgency</w:t>
      </w:r>
    </w:p>
    <w:p w14:paraId="23BDE939" w14:textId="77777777" w:rsidR="008F2E7C" w:rsidRPr="008F2E7C" w:rsidRDefault="008F2E7C" w:rsidP="008F2E7C">
      <w:r w:rsidRPr="008F2E7C">
        <w:t>Departmental managers are crucial to the implementation of contemporary HR practices because they translate policy into everyday employee experience. In Tesco, line and departmental managers influence recruitment quality, onboarding, training uptake, flexibility, team culture and employee engagement. As a result, the urgency of HR implementation depends significantly on their capability, priorities and accountability. Even strong HR strategies can fail if managers treat them as secondary to operational targets.</w:t>
      </w:r>
    </w:p>
    <w:p w14:paraId="47A9044D" w14:textId="77777777" w:rsidR="008F2E7C" w:rsidRPr="008F2E7C" w:rsidRDefault="008F2E7C" w:rsidP="008F2E7C">
      <w:proofErr w:type="gramStart"/>
      <w:r w:rsidRPr="008F2E7C">
        <w:t>One way</w:t>
      </w:r>
      <w:proofErr w:type="gramEnd"/>
      <w:r w:rsidRPr="008F2E7C">
        <w:t xml:space="preserve"> managers can ensure urgent implementation is through clear accountability for people outcomes. HR practices should be embedded in departmental objectives rather than treated as optional initiatives. Managers should be assessed not only on productivity and customer service, but also on retention, absence, employee engagement, inclusion indicators, training completion and internal progression. This increases urgency because managers are more likely to prioritise issues that affect performance evaluation. Critically, however, accountability must be meaningful. If targets are too narrow, managers may focus on appearance rather than substance, for example by meeting hiring targets without ensuring quality or inclusion. Therefore, performance measures must balance operational and human outcomes.</w:t>
      </w:r>
    </w:p>
    <w:p w14:paraId="3A16DA96" w14:textId="77777777" w:rsidR="008F2E7C" w:rsidRPr="008F2E7C" w:rsidRDefault="008F2E7C" w:rsidP="008F2E7C">
      <w:r w:rsidRPr="008F2E7C">
        <w:t>Managers also need training and practical support to implement HR practices effectively. For example, they may be expected to use digital systems, conduct structured interviews, support flexible work arrangements, manage diverse teams and recognise signs of disengagement. Without proper training, they may resist these practices or apply them inconsistently. This is especially important in relation to motivation and retention. If Herzberg’s theory is applied, managers need to understand that simply enforcing rules or maintaining minimum conditions will not inspire commitment. They must actively create motivators such as recognition, responsibility and development. Similarly, Maslow and Alderfer suggest that employees have multiple needs which managers must recognise, from security and belonging to growth and achievement. A manager who ignores these needs may contribute directly to turnover.</w:t>
      </w:r>
    </w:p>
    <w:p w14:paraId="19CC7374" w14:textId="77777777" w:rsidR="008F2E7C" w:rsidRPr="008F2E7C" w:rsidRDefault="008F2E7C" w:rsidP="008F2E7C">
      <w:r w:rsidRPr="008F2E7C">
        <w:t>Another important mechanism is regular monitoring and rapid intervention. Urgency requires more frequent review than annual appraisals or occasional HR meetings. Departmental managers should use short review cycles to identify emerging problems such as high turnover among new recruits, low participation in training or poor representation in promotion outcomes. By monitoring these patterns monthly or quarterly, managers can act before issues become entrenched. This may involve redesigning induction, improving communication, reallocating workloads or seeking HR support. Critically, this approach depends on reliable data and the willingness to respond to it honestly rather than defensively.</w:t>
      </w:r>
    </w:p>
    <w:p w14:paraId="5375DD24" w14:textId="77777777" w:rsidR="008F2E7C" w:rsidRPr="008F2E7C" w:rsidRDefault="008F2E7C" w:rsidP="008F2E7C">
      <w:r w:rsidRPr="008F2E7C">
        <w:t>Managers must also role-model inclusive and developmental leadership. DEI and retention are heavily influenced by daily team interactions. If a manager tolerates exclusion, ignores employee voice or applies flexibility unfairly, formal HR policies will lose credibility. Conversely, managers who communicate openly, treat people fairly and support development help strengthen the psychological contract and encourage discretionary effort. From a critical perspective, this shows that implementation is not only procedural but cultural. However, relying on individual goodwill is risky. Tesco should therefore support urgency through audits, escalation processes and consequences for repeated non-compliance.</w:t>
      </w:r>
    </w:p>
    <w:p w14:paraId="6BB18A2A" w14:textId="77777777" w:rsidR="008F2E7C" w:rsidRPr="008F2E7C" w:rsidRDefault="008F2E7C" w:rsidP="008F2E7C">
      <w:r w:rsidRPr="008F2E7C">
        <w:lastRenderedPageBreak/>
        <w:t>Finally, effective implementation requires close collaboration between HR and departmental managers. HR can design frameworks, offer specialist expertise and provide data dashboards, but managers understand operational realities. Urgent implementation is most likely when both sides share responsibility. For example, HR may develop inclusive recruitment guidance, but managers must apply it consistently in the actual hiring process. HR may provide learning systems, but managers must allow time for staff to engage with them. Therefore, urgency is created through partnership, clear expectations and follow-through.</w:t>
      </w:r>
    </w:p>
    <w:p w14:paraId="150E502B" w14:textId="77777777" w:rsidR="008F2E7C" w:rsidRDefault="008F2E7C" w:rsidP="008F2E7C">
      <w:r w:rsidRPr="008F2E7C">
        <w:t>In critical terms, departmental managers are both the greatest enablers and the greatest potential barriers to HR success. If they are well-trained, accountable and supported, they can accelerate digital adaptation, retention and inclusion. If not, even well-designed HR policies will remain symbolic.</w:t>
      </w:r>
    </w:p>
    <w:p w14:paraId="3FD244E7" w14:textId="77777777" w:rsidR="008F2E7C" w:rsidRDefault="008F2E7C" w:rsidP="008F2E7C"/>
    <w:p w14:paraId="19C84C64" w14:textId="77777777" w:rsidR="008F2E7C" w:rsidRDefault="008F2E7C" w:rsidP="008F2E7C"/>
    <w:p w14:paraId="61FE81BC" w14:textId="77777777" w:rsidR="008F2E7C" w:rsidRDefault="008F2E7C" w:rsidP="008F2E7C"/>
    <w:p w14:paraId="24ACDA56" w14:textId="77777777" w:rsidR="008F2E7C" w:rsidRDefault="008F2E7C" w:rsidP="008F2E7C"/>
    <w:p w14:paraId="5140EB68" w14:textId="77777777" w:rsidR="008F2E7C" w:rsidRDefault="008F2E7C" w:rsidP="008F2E7C"/>
    <w:p w14:paraId="3E391B1A" w14:textId="77777777" w:rsidR="008F2E7C" w:rsidRDefault="008F2E7C" w:rsidP="008F2E7C"/>
    <w:p w14:paraId="160FCF66" w14:textId="77777777" w:rsidR="008F2E7C" w:rsidRDefault="008F2E7C" w:rsidP="008F2E7C"/>
    <w:p w14:paraId="0EDE58D1" w14:textId="77777777" w:rsidR="008F2E7C" w:rsidRDefault="008F2E7C" w:rsidP="008F2E7C"/>
    <w:p w14:paraId="00A2103B" w14:textId="77777777" w:rsidR="008F2E7C" w:rsidRDefault="008F2E7C" w:rsidP="008F2E7C"/>
    <w:p w14:paraId="36B3662A" w14:textId="77777777" w:rsidR="008F2E7C" w:rsidRDefault="008F2E7C" w:rsidP="008F2E7C"/>
    <w:p w14:paraId="4505B646" w14:textId="77777777" w:rsidR="008F2E7C" w:rsidRDefault="008F2E7C" w:rsidP="008F2E7C"/>
    <w:p w14:paraId="1E49D33D" w14:textId="77777777" w:rsidR="008F2E7C" w:rsidRDefault="008F2E7C" w:rsidP="008F2E7C"/>
    <w:p w14:paraId="6770F13A" w14:textId="77777777" w:rsidR="008F2E7C" w:rsidRDefault="008F2E7C" w:rsidP="008F2E7C"/>
    <w:p w14:paraId="10E4AB9C" w14:textId="77777777" w:rsidR="008F2E7C" w:rsidRDefault="008F2E7C" w:rsidP="008F2E7C"/>
    <w:p w14:paraId="7B179FAF" w14:textId="77777777" w:rsidR="008F2E7C" w:rsidRDefault="008F2E7C" w:rsidP="008F2E7C"/>
    <w:p w14:paraId="7F8A8A29" w14:textId="77777777" w:rsidR="008F2E7C" w:rsidRDefault="008F2E7C" w:rsidP="008F2E7C"/>
    <w:p w14:paraId="296AC46C" w14:textId="77777777" w:rsidR="008F2E7C" w:rsidRDefault="008F2E7C" w:rsidP="008F2E7C"/>
    <w:p w14:paraId="52CB3501" w14:textId="77777777" w:rsidR="008F2E7C" w:rsidRDefault="008F2E7C" w:rsidP="008F2E7C"/>
    <w:p w14:paraId="70726E70" w14:textId="77777777" w:rsidR="008F2E7C" w:rsidRDefault="008F2E7C" w:rsidP="008F2E7C"/>
    <w:p w14:paraId="364F1321" w14:textId="77777777" w:rsidR="008F2E7C" w:rsidRDefault="008F2E7C" w:rsidP="008F2E7C"/>
    <w:p w14:paraId="466F45DC" w14:textId="77777777" w:rsidR="008F2E7C" w:rsidRDefault="008F2E7C" w:rsidP="008F2E7C"/>
    <w:p w14:paraId="37C6D1A2" w14:textId="77777777" w:rsidR="008F2E7C" w:rsidRDefault="008F2E7C" w:rsidP="008F2E7C"/>
    <w:p w14:paraId="78CBBF02" w14:textId="77777777" w:rsidR="008F2E7C" w:rsidRPr="008F2E7C" w:rsidRDefault="008F2E7C" w:rsidP="008F2E7C"/>
    <w:p w14:paraId="61262C1B" w14:textId="77777777" w:rsidR="008F2E7C" w:rsidRPr="008F2E7C" w:rsidRDefault="008F2E7C" w:rsidP="008F2E7C">
      <w:pPr>
        <w:rPr>
          <w:b/>
          <w:bCs/>
        </w:rPr>
      </w:pPr>
      <w:r w:rsidRPr="008F2E7C">
        <w:rPr>
          <w:b/>
          <w:bCs/>
        </w:rPr>
        <w:lastRenderedPageBreak/>
        <w:t>Conclusion</w:t>
      </w:r>
    </w:p>
    <w:p w14:paraId="1076E147" w14:textId="77777777" w:rsidR="008F2E7C" w:rsidRPr="008F2E7C" w:rsidRDefault="008F2E7C" w:rsidP="008F2E7C">
      <w:r w:rsidRPr="008F2E7C">
        <w:t>This report has examined the main HR challenges facing Tesco plc in relation to technological advancement, talent acquisition and retention, and diversity, equity and inclusion. The analysis shows that these issues are closely linked. Technological change requires workforce adaptability and ethical use of digital systems. Talent acquisition and retention demand more than recruitment volume; they require a compelling employee experience supported by fair reward, development and management quality. DEI is not only a legal or reputational issue, but a strategic one affecting access to talent, employee engagement and organisational performance.</w:t>
      </w:r>
    </w:p>
    <w:p w14:paraId="3BAD0FA0" w14:textId="77777777" w:rsidR="008F2E7C" w:rsidRPr="008F2E7C" w:rsidRDefault="008F2E7C" w:rsidP="008F2E7C">
      <w:r w:rsidRPr="008F2E7C">
        <w:t>The report has shown that contemporary HR practices such as digital HRM, reskilling, flexible working, talent development, inclusive recruitment and people analytics offer valuable responses to these challenges. However, their effectiveness depends on how consistently they are implemented. The use of motivation theories strengthens this conclusion. Maslow, Alderfer and Herzberg each demonstrate that employees remain committed when organisations and managers address both basic and higher-level needs, including security, belonging, recognition and growth. This means Tesco’s HR strategy should not focus only on efficiency, but also on employee motivation and fairness.</w:t>
      </w:r>
    </w:p>
    <w:p w14:paraId="793D34C1" w14:textId="77777777" w:rsidR="008F2E7C" w:rsidRDefault="008F2E7C" w:rsidP="008F2E7C">
      <w:r w:rsidRPr="008F2E7C">
        <w:t>The report also concludes that departmental managers are central to urgent implementation. They shape the lived reality of HR policy through their decisions, behaviours and priorities. Therefore, successful HR practice in Tesco requires not only strategic planning from HR specialists, but also accountability, capability and inclusive leadership from managers at departmental level.</w:t>
      </w:r>
    </w:p>
    <w:p w14:paraId="2E9C3FF3" w14:textId="77777777" w:rsidR="008F2E7C" w:rsidRDefault="008F2E7C" w:rsidP="008F2E7C"/>
    <w:p w14:paraId="3D56FD11" w14:textId="77777777" w:rsidR="008F2E7C" w:rsidRDefault="008F2E7C" w:rsidP="008F2E7C"/>
    <w:p w14:paraId="5CC84AAB" w14:textId="77777777" w:rsidR="008F2E7C" w:rsidRDefault="008F2E7C" w:rsidP="008F2E7C"/>
    <w:p w14:paraId="1E5E8303" w14:textId="77777777" w:rsidR="008F2E7C" w:rsidRDefault="008F2E7C" w:rsidP="008F2E7C"/>
    <w:p w14:paraId="418FB1C9" w14:textId="77777777" w:rsidR="008F2E7C" w:rsidRDefault="008F2E7C" w:rsidP="008F2E7C"/>
    <w:p w14:paraId="75EB5F31" w14:textId="77777777" w:rsidR="008F2E7C" w:rsidRDefault="008F2E7C" w:rsidP="008F2E7C"/>
    <w:p w14:paraId="2EEDCFAA" w14:textId="77777777" w:rsidR="008F2E7C" w:rsidRDefault="008F2E7C" w:rsidP="008F2E7C"/>
    <w:p w14:paraId="03C70EF0" w14:textId="77777777" w:rsidR="008F2E7C" w:rsidRDefault="008F2E7C" w:rsidP="008F2E7C"/>
    <w:p w14:paraId="15E931D3" w14:textId="77777777" w:rsidR="008F2E7C" w:rsidRDefault="008F2E7C" w:rsidP="008F2E7C"/>
    <w:p w14:paraId="7EBDD711" w14:textId="77777777" w:rsidR="008F2E7C" w:rsidRDefault="008F2E7C" w:rsidP="008F2E7C"/>
    <w:p w14:paraId="4F32E9F0" w14:textId="77777777" w:rsidR="008F2E7C" w:rsidRDefault="008F2E7C" w:rsidP="008F2E7C"/>
    <w:p w14:paraId="56FE9A04" w14:textId="77777777" w:rsidR="008F2E7C" w:rsidRDefault="008F2E7C" w:rsidP="008F2E7C"/>
    <w:p w14:paraId="1A97350F" w14:textId="77777777" w:rsidR="008F2E7C" w:rsidRDefault="008F2E7C" w:rsidP="008F2E7C"/>
    <w:p w14:paraId="35302D77" w14:textId="77777777" w:rsidR="008F2E7C" w:rsidRDefault="008F2E7C" w:rsidP="008F2E7C"/>
    <w:p w14:paraId="6A3E4C14" w14:textId="77777777" w:rsidR="008F2E7C" w:rsidRDefault="008F2E7C" w:rsidP="008F2E7C"/>
    <w:p w14:paraId="6C1EC427" w14:textId="77777777" w:rsidR="008F2E7C" w:rsidRDefault="008F2E7C" w:rsidP="008F2E7C"/>
    <w:p w14:paraId="113EC886" w14:textId="77777777" w:rsidR="008F2E7C" w:rsidRPr="008F2E7C" w:rsidRDefault="008F2E7C" w:rsidP="008F2E7C"/>
    <w:p w14:paraId="3C1DC2D4" w14:textId="77777777" w:rsidR="008F2E7C" w:rsidRPr="008F2E7C" w:rsidRDefault="008F2E7C" w:rsidP="008F2E7C">
      <w:pPr>
        <w:rPr>
          <w:b/>
          <w:bCs/>
        </w:rPr>
      </w:pPr>
      <w:r w:rsidRPr="008F2E7C">
        <w:rPr>
          <w:b/>
          <w:bCs/>
        </w:rPr>
        <w:lastRenderedPageBreak/>
        <w:t>Recommendations</w:t>
      </w:r>
    </w:p>
    <w:p w14:paraId="5CC81C73" w14:textId="77777777" w:rsidR="008F2E7C" w:rsidRPr="008F2E7C" w:rsidRDefault="008F2E7C" w:rsidP="008F2E7C">
      <w:r w:rsidRPr="008F2E7C">
        <w:t>Tesco should adopt the following actions to improve HR effectiveness:</w:t>
      </w:r>
    </w:p>
    <w:p w14:paraId="03F85507" w14:textId="77777777" w:rsidR="008F2E7C" w:rsidRPr="008F2E7C" w:rsidRDefault="008F2E7C" w:rsidP="008F2E7C">
      <w:pPr>
        <w:numPr>
          <w:ilvl w:val="0"/>
          <w:numId w:val="1"/>
        </w:numPr>
      </w:pPr>
      <w:r w:rsidRPr="008F2E7C">
        <w:t>Invest in digital capability alongside digital systems</w:t>
      </w:r>
      <w:r w:rsidRPr="008F2E7C">
        <w:br/>
        <w:t>New HR technologies should be supported by role-specific training, practical guidance and human oversight to ensure fairness and effective use.</w:t>
      </w:r>
    </w:p>
    <w:p w14:paraId="68E29A93" w14:textId="77777777" w:rsidR="008F2E7C" w:rsidRPr="008F2E7C" w:rsidRDefault="008F2E7C" w:rsidP="008F2E7C">
      <w:pPr>
        <w:numPr>
          <w:ilvl w:val="0"/>
          <w:numId w:val="1"/>
        </w:numPr>
      </w:pPr>
      <w:r w:rsidRPr="008F2E7C">
        <w:t>Strengthen retention through both hygiene factors and motivators</w:t>
      </w:r>
      <w:r w:rsidRPr="008F2E7C">
        <w:br/>
        <w:t>In line with Herzberg’s theory, Tesco should improve pay, conditions and scheduling while also increasing recognition, career progression and job enrichment.</w:t>
      </w:r>
    </w:p>
    <w:p w14:paraId="5850D99C" w14:textId="77777777" w:rsidR="008F2E7C" w:rsidRPr="008F2E7C" w:rsidRDefault="008F2E7C" w:rsidP="008F2E7C">
      <w:pPr>
        <w:numPr>
          <w:ilvl w:val="0"/>
          <w:numId w:val="1"/>
        </w:numPr>
      </w:pPr>
      <w:r w:rsidRPr="008F2E7C">
        <w:t>Embed flexible working and wellbeing into the employee value proposition</w:t>
      </w:r>
      <w:r w:rsidRPr="008F2E7C">
        <w:br/>
        <w:t>This should include flexibility where operationally possible, predictable scheduling and stronger support for work-life balance.</w:t>
      </w:r>
    </w:p>
    <w:p w14:paraId="30B91834" w14:textId="77777777" w:rsidR="008F2E7C" w:rsidRPr="008F2E7C" w:rsidRDefault="008F2E7C" w:rsidP="008F2E7C">
      <w:pPr>
        <w:numPr>
          <w:ilvl w:val="0"/>
          <w:numId w:val="1"/>
        </w:numPr>
      </w:pPr>
      <w:r w:rsidRPr="008F2E7C">
        <w:t>Expand internal development pathways</w:t>
      </w:r>
      <w:r w:rsidRPr="008F2E7C">
        <w:br/>
        <w:t>Apprenticeships, mentoring, succession planning and internal mobility should be used to develop talent and reduce dependence on external recruitment.</w:t>
      </w:r>
    </w:p>
    <w:p w14:paraId="47E25742" w14:textId="77777777" w:rsidR="008F2E7C" w:rsidRPr="008F2E7C" w:rsidRDefault="008F2E7C" w:rsidP="008F2E7C">
      <w:pPr>
        <w:numPr>
          <w:ilvl w:val="0"/>
          <w:numId w:val="1"/>
        </w:numPr>
      </w:pPr>
      <w:r w:rsidRPr="008F2E7C">
        <w:t>Make DEI measurable and manager-led</w:t>
      </w:r>
      <w:r w:rsidRPr="008F2E7C">
        <w:br/>
        <w:t>Managers should be accountable for inclusive recruitment, development and progression outcomes through departmental scorecards and regular review.</w:t>
      </w:r>
    </w:p>
    <w:p w14:paraId="513A6D0C" w14:textId="77777777" w:rsidR="008F2E7C" w:rsidRPr="008F2E7C" w:rsidRDefault="008F2E7C" w:rsidP="008F2E7C">
      <w:pPr>
        <w:numPr>
          <w:ilvl w:val="0"/>
          <w:numId w:val="1"/>
        </w:numPr>
      </w:pPr>
      <w:r w:rsidRPr="008F2E7C">
        <w:t>Provide mandatory inclusive leadership and people-management training</w:t>
      </w:r>
      <w:r w:rsidRPr="008F2E7C">
        <w:br/>
        <w:t>This should focus on structured hiring, bias reduction, motivation, employee support and fair implementation of HR policy.</w:t>
      </w:r>
    </w:p>
    <w:p w14:paraId="497638AE" w14:textId="77777777" w:rsidR="008F2E7C" w:rsidRDefault="008F2E7C" w:rsidP="008F2E7C">
      <w:pPr>
        <w:numPr>
          <w:ilvl w:val="0"/>
          <w:numId w:val="1"/>
        </w:numPr>
      </w:pPr>
      <w:r w:rsidRPr="008F2E7C">
        <w:t>Use quarterly HR dashboards at departmental level</w:t>
      </w:r>
      <w:r w:rsidRPr="008F2E7C">
        <w:br/>
        <w:t>Turnover, engagement, training uptake, diversity data and early attrition should be reviewed regularly so urgent interventions can be made.</w:t>
      </w:r>
    </w:p>
    <w:p w14:paraId="7164ABC4" w14:textId="77777777" w:rsidR="008F2E7C" w:rsidRDefault="008F2E7C" w:rsidP="008F2E7C"/>
    <w:p w14:paraId="32FB2C7F" w14:textId="77777777" w:rsidR="008F2E7C" w:rsidRDefault="008F2E7C" w:rsidP="008F2E7C"/>
    <w:p w14:paraId="77E7DF24" w14:textId="77777777" w:rsidR="008F2E7C" w:rsidRDefault="008F2E7C" w:rsidP="008F2E7C"/>
    <w:p w14:paraId="60EE49E8" w14:textId="77777777" w:rsidR="008F2E7C" w:rsidRDefault="008F2E7C" w:rsidP="008F2E7C"/>
    <w:p w14:paraId="0B04CB7B" w14:textId="77777777" w:rsidR="008F2E7C" w:rsidRDefault="008F2E7C" w:rsidP="008F2E7C"/>
    <w:p w14:paraId="39C3170F" w14:textId="77777777" w:rsidR="008F2E7C" w:rsidRDefault="008F2E7C" w:rsidP="008F2E7C"/>
    <w:p w14:paraId="37CE33ED" w14:textId="77777777" w:rsidR="008F2E7C" w:rsidRDefault="008F2E7C" w:rsidP="008F2E7C"/>
    <w:p w14:paraId="43C1757D" w14:textId="77777777" w:rsidR="008F2E7C" w:rsidRDefault="008F2E7C" w:rsidP="008F2E7C"/>
    <w:p w14:paraId="762FEFB7" w14:textId="77777777" w:rsidR="008F2E7C" w:rsidRDefault="008F2E7C" w:rsidP="008F2E7C"/>
    <w:p w14:paraId="74E91CE0" w14:textId="77777777" w:rsidR="008F2E7C" w:rsidRDefault="008F2E7C" w:rsidP="008F2E7C"/>
    <w:p w14:paraId="2C5DD310" w14:textId="77777777" w:rsidR="008F2E7C" w:rsidRDefault="008F2E7C" w:rsidP="008F2E7C"/>
    <w:p w14:paraId="3AC902D9" w14:textId="77777777" w:rsidR="008F2E7C" w:rsidRDefault="008F2E7C" w:rsidP="008F2E7C"/>
    <w:p w14:paraId="4363AA56" w14:textId="77777777" w:rsidR="008F2E7C" w:rsidRPr="008F2E7C" w:rsidRDefault="008F2E7C" w:rsidP="008F2E7C"/>
    <w:p w14:paraId="57694473" w14:textId="77777777" w:rsidR="008F2E7C" w:rsidRPr="008F2E7C" w:rsidRDefault="008F2E7C" w:rsidP="008F2E7C">
      <w:pPr>
        <w:rPr>
          <w:b/>
          <w:bCs/>
        </w:rPr>
      </w:pPr>
      <w:r w:rsidRPr="008F2E7C">
        <w:rPr>
          <w:b/>
          <w:bCs/>
        </w:rPr>
        <w:lastRenderedPageBreak/>
        <w:t>Reference List</w:t>
      </w:r>
    </w:p>
    <w:p w14:paraId="7C73D66D" w14:textId="77777777" w:rsidR="008F2E7C" w:rsidRPr="008F2E7C" w:rsidRDefault="008F2E7C" w:rsidP="008F2E7C">
      <w:r w:rsidRPr="008F2E7C">
        <w:t xml:space="preserve">Alderfer, C.P. (1969) ‘An empirical test of a new theory of human needs’, </w:t>
      </w:r>
      <w:r w:rsidRPr="008F2E7C">
        <w:rPr>
          <w:i/>
          <w:iCs/>
        </w:rPr>
        <w:t xml:space="preserve">Organizational </w:t>
      </w:r>
      <w:proofErr w:type="spellStart"/>
      <w:r w:rsidRPr="008F2E7C">
        <w:rPr>
          <w:i/>
          <w:iCs/>
        </w:rPr>
        <w:t>Behavior</w:t>
      </w:r>
      <w:proofErr w:type="spellEnd"/>
      <w:r w:rsidRPr="008F2E7C">
        <w:rPr>
          <w:i/>
          <w:iCs/>
        </w:rPr>
        <w:t xml:space="preserve"> and Human Performance</w:t>
      </w:r>
      <w:r w:rsidRPr="008F2E7C">
        <w:t>, 4(2), pp. 142–175.</w:t>
      </w:r>
    </w:p>
    <w:p w14:paraId="02F60DF6" w14:textId="77777777" w:rsidR="008F2E7C" w:rsidRPr="008F2E7C" w:rsidRDefault="008F2E7C" w:rsidP="008F2E7C">
      <w:r w:rsidRPr="008F2E7C">
        <w:t xml:space="preserve">Armstrong, M. and Taylor, S. (2023) </w:t>
      </w:r>
      <w:r w:rsidRPr="008F2E7C">
        <w:rPr>
          <w:i/>
          <w:iCs/>
        </w:rPr>
        <w:t>Armstrong’s Handbook of Human Resource Management Practice</w:t>
      </w:r>
      <w:r w:rsidRPr="008F2E7C">
        <w:t xml:space="preserve">. 16th </w:t>
      </w:r>
      <w:proofErr w:type="spellStart"/>
      <w:r w:rsidRPr="008F2E7C">
        <w:t>edn</w:t>
      </w:r>
      <w:proofErr w:type="spellEnd"/>
      <w:r w:rsidRPr="008F2E7C">
        <w:t>. London: Kogan Page.</w:t>
      </w:r>
    </w:p>
    <w:p w14:paraId="34823B4F" w14:textId="77777777" w:rsidR="008F2E7C" w:rsidRPr="008F2E7C" w:rsidRDefault="008F2E7C" w:rsidP="008F2E7C">
      <w:r w:rsidRPr="008F2E7C">
        <w:t xml:space="preserve">Barney, J. (1991) ‘Firm resources and sustained competitive advantage’, </w:t>
      </w:r>
      <w:r w:rsidRPr="008F2E7C">
        <w:rPr>
          <w:i/>
          <w:iCs/>
        </w:rPr>
        <w:t>Journal of Management</w:t>
      </w:r>
      <w:r w:rsidRPr="008F2E7C">
        <w:t>, 17(1), pp. 99–120.</w:t>
      </w:r>
    </w:p>
    <w:p w14:paraId="032A0E3C" w14:textId="77777777" w:rsidR="008F2E7C" w:rsidRPr="008F2E7C" w:rsidRDefault="008F2E7C" w:rsidP="008F2E7C">
      <w:r w:rsidRPr="008F2E7C">
        <w:t xml:space="preserve">CIPD (2024) </w:t>
      </w:r>
      <w:r w:rsidRPr="008F2E7C">
        <w:rPr>
          <w:i/>
          <w:iCs/>
        </w:rPr>
        <w:t>Resourcing and talent planning report 2024</w:t>
      </w:r>
      <w:r w:rsidRPr="008F2E7C">
        <w:t xml:space="preserve">. Available at: </w:t>
      </w:r>
      <w:hyperlink r:id="rId11" w:tgtFrame="_blank" w:history="1">
        <w:r w:rsidRPr="008F2E7C">
          <w:rPr>
            <w:rStyle w:val="Hyperlink"/>
          </w:rPr>
          <w:t>cipd.org</w:t>
        </w:r>
      </w:hyperlink>
    </w:p>
    <w:p w14:paraId="7F70D7AE" w14:textId="77777777" w:rsidR="008F2E7C" w:rsidRPr="008F2E7C" w:rsidRDefault="008F2E7C" w:rsidP="008F2E7C">
      <w:r w:rsidRPr="008F2E7C">
        <w:t xml:space="preserve">Herzberg, F., Mausner, B. and Snyderman, B.B. (1959) </w:t>
      </w:r>
      <w:r w:rsidRPr="008F2E7C">
        <w:rPr>
          <w:i/>
          <w:iCs/>
        </w:rPr>
        <w:t>The Motivation to Work</w:t>
      </w:r>
      <w:r w:rsidRPr="008F2E7C">
        <w:t xml:space="preserve">. 2nd </w:t>
      </w:r>
      <w:proofErr w:type="spellStart"/>
      <w:r w:rsidRPr="008F2E7C">
        <w:t>edn</w:t>
      </w:r>
      <w:proofErr w:type="spellEnd"/>
      <w:r w:rsidRPr="008F2E7C">
        <w:t>. New York: Wiley.</w:t>
      </w:r>
    </w:p>
    <w:p w14:paraId="270F1DC9" w14:textId="77777777" w:rsidR="008F2E7C" w:rsidRPr="008F2E7C" w:rsidRDefault="008F2E7C" w:rsidP="008F2E7C">
      <w:r w:rsidRPr="008F2E7C">
        <w:t xml:space="preserve">Maslow, A.H. (1943) ‘A theory of human motivation’, </w:t>
      </w:r>
      <w:r w:rsidRPr="008F2E7C">
        <w:rPr>
          <w:i/>
          <w:iCs/>
        </w:rPr>
        <w:t>Psychological Review</w:t>
      </w:r>
      <w:r w:rsidRPr="008F2E7C">
        <w:t>, 50(4), pp. 370–396.</w:t>
      </w:r>
    </w:p>
    <w:p w14:paraId="09F65DE6" w14:textId="77777777" w:rsidR="008F2E7C" w:rsidRPr="008F2E7C" w:rsidRDefault="008F2E7C" w:rsidP="008F2E7C">
      <w:r w:rsidRPr="008F2E7C">
        <w:t xml:space="preserve">Rousseau, D.M. (1995) </w:t>
      </w:r>
      <w:r w:rsidRPr="008F2E7C">
        <w:rPr>
          <w:i/>
          <w:iCs/>
        </w:rPr>
        <w:t>Psychological Contracts in Organizations: Understanding Written and Unwritten Agreements</w:t>
      </w:r>
      <w:r w:rsidRPr="008F2E7C">
        <w:t>. Thousand Oaks, CA: Sage.</w:t>
      </w:r>
    </w:p>
    <w:p w14:paraId="4B7CE4AB" w14:textId="77777777" w:rsidR="008F2E7C" w:rsidRPr="008F2E7C" w:rsidRDefault="008F2E7C" w:rsidP="008F2E7C">
      <w:r w:rsidRPr="008F2E7C">
        <w:t xml:space="preserve">Torrington, D., Hall, L., Taylor, S. and Atkinson, C. (2020) </w:t>
      </w:r>
      <w:r w:rsidRPr="008F2E7C">
        <w:rPr>
          <w:i/>
          <w:iCs/>
        </w:rPr>
        <w:t>Human Resource Management</w:t>
      </w:r>
      <w:r w:rsidRPr="008F2E7C">
        <w:t xml:space="preserve">. 11th </w:t>
      </w:r>
      <w:proofErr w:type="spellStart"/>
      <w:r w:rsidRPr="008F2E7C">
        <w:t>edn</w:t>
      </w:r>
      <w:proofErr w:type="spellEnd"/>
      <w:r w:rsidRPr="008F2E7C">
        <w:t>. Harlow: Pearson.</w:t>
      </w:r>
    </w:p>
    <w:p w14:paraId="115D6318" w14:textId="77777777" w:rsidR="008F2E7C" w:rsidRPr="008F2E7C" w:rsidRDefault="008F2E7C" w:rsidP="008F2E7C">
      <w:r w:rsidRPr="008F2E7C">
        <w:t xml:space="preserve">Tesco (2025) </w:t>
      </w:r>
      <w:r w:rsidRPr="008F2E7C">
        <w:rPr>
          <w:i/>
          <w:iCs/>
        </w:rPr>
        <w:t>Everyone is welcome at Tesco: Annual diversity, equity and inclusion report</w:t>
      </w:r>
      <w:r w:rsidRPr="008F2E7C">
        <w:t xml:space="preserve">. Available at: </w:t>
      </w:r>
      <w:hyperlink r:id="rId12" w:tgtFrame="_blank" w:history="1">
        <w:r w:rsidRPr="008F2E7C">
          <w:rPr>
            <w:rStyle w:val="Hyperlink"/>
          </w:rPr>
          <w:t>digitalcontent.api.tesco.com</w:t>
        </w:r>
      </w:hyperlink>
    </w:p>
    <w:p w14:paraId="3D7321F9" w14:textId="77777777" w:rsidR="00C80B30" w:rsidRDefault="00C80B30"/>
    <w:sectPr w:rsidR="00C80B30" w:rsidSect="008F2E7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8852A" w14:textId="77777777" w:rsidR="003A619D" w:rsidRDefault="003A619D" w:rsidP="00801CD2">
      <w:pPr>
        <w:spacing w:after="0" w:line="240" w:lineRule="auto"/>
      </w:pPr>
      <w:r>
        <w:separator/>
      </w:r>
    </w:p>
  </w:endnote>
  <w:endnote w:type="continuationSeparator" w:id="0">
    <w:p w14:paraId="11876FBC" w14:textId="77777777" w:rsidR="003A619D" w:rsidRDefault="003A619D" w:rsidP="00801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B9FAE" w14:textId="77777777" w:rsidR="003A619D" w:rsidRDefault="003A619D" w:rsidP="00801CD2">
      <w:pPr>
        <w:spacing w:after="0" w:line="240" w:lineRule="auto"/>
      </w:pPr>
      <w:r>
        <w:separator/>
      </w:r>
    </w:p>
  </w:footnote>
  <w:footnote w:type="continuationSeparator" w:id="0">
    <w:p w14:paraId="521550CA" w14:textId="77777777" w:rsidR="003A619D" w:rsidRDefault="003A619D" w:rsidP="00801C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E3E8C"/>
    <w:multiLevelType w:val="multilevel"/>
    <w:tmpl w:val="740EC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B9437A"/>
    <w:multiLevelType w:val="multilevel"/>
    <w:tmpl w:val="401CE58A"/>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A90FBC"/>
    <w:multiLevelType w:val="multilevel"/>
    <w:tmpl w:val="30FA55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4596502">
    <w:abstractNumId w:val="0"/>
  </w:num>
  <w:num w:numId="2" w16cid:durableId="1383793081">
    <w:abstractNumId w:val="1"/>
  </w:num>
  <w:num w:numId="3" w16cid:durableId="1655645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E4"/>
    <w:rsid w:val="002C104F"/>
    <w:rsid w:val="003A619D"/>
    <w:rsid w:val="005A1805"/>
    <w:rsid w:val="006A1924"/>
    <w:rsid w:val="00801CD2"/>
    <w:rsid w:val="008B3242"/>
    <w:rsid w:val="008F2E7C"/>
    <w:rsid w:val="008F711A"/>
    <w:rsid w:val="009474B3"/>
    <w:rsid w:val="00AE5998"/>
    <w:rsid w:val="00AF00EA"/>
    <w:rsid w:val="00BA7313"/>
    <w:rsid w:val="00C80B30"/>
    <w:rsid w:val="00DD1FC2"/>
    <w:rsid w:val="00E253D3"/>
    <w:rsid w:val="00EB48E4"/>
    <w:rsid w:val="00F27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62F4A"/>
  <w15:chartTrackingRefBased/>
  <w15:docId w15:val="{CB281AF2-8761-46B1-BDB7-988A994C6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8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48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48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48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48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4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8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48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48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48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48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4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8E4"/>
    <w:rPr>
      <w:rFonts w:eastAsiaTheme="majorEastAsia" w:cstheme="majorBidi"/>
      <w:color w:val="272727" w:themeColor="text1" w:themeTint="D8"/>
    </w:rPr>
  </w:style>
  <w:style w:type="paragraph" w:styleId="Title">
    <w:name w:val="Title"/>
    <w:basedOn w:val="Normal"/>
    <w:next w:val="Normal"/>
    <w:link w:val="TitleChar"/>
    <w:uiPriority w:val="10"/>
    <w:qFormat/>
    <w:rsid w:val="00EB4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8E4"/>
    <w:pPr>
      <w:spacing w:before="160"/>
      <w:jc w:val="center"/>
    </w:pPr>
    <w:rPr>
      <w:i/>
      <w:iCs/>
      <w:color w:val="404040" w:themeColor="text1" w:themeTint="BF"/>
    </w:rPr>
  </w:style>
  <w:style w:type="character" w:customStyle="1" w:styleId="QuoteChar">
    <w:name w:val="Quote Char"/>
    <w:basedOn w:val="DefaultParagraphFont"/>
    <w:link w:val="Quote"/>
    <w:uiPriority w:val="29"/>
    <w:rsid w:val="00EB48E4"/>
    <w:rPr>
      <w:i/>
      <w:iCs/>
      <w:color w:val="404040" w:themeColor="text1" w:themeTint="BF"/>
    </w:rPr>
  </w:style>
  <w:style w:type="paragraph" w:styleId="ListParagraph">
    <w:name w:val="List Paragraph"/>
    <w:basedOn w:val="Normal"/>
    <w:uiPriority w:val="34"/>
    <w:qFormat/>
    <w:rsid w:val="00EB48E4"/>
    <w:pPr>
      <w:ind w:left="720"/>
      <w:contextualSpacing/>
    </w:pPr>
  </w:style>
  <w:style w:type="character" w:styleId="IntenseEmphasis">
    <w:name w:val="Intense Emphasis"/>
    <w:basedOn w:val="DefaultParagraphFont"/>
    <w:uiPriority w:val="21"/>
    <w:qFormat/>
    <w:rsid w:val="00EB48E4"/>
    <w:rPr>
      <w:i/>
      <w:iCs/>
      <w:color w:val="2F5496" w:themeColor="accent1" w:themeShade="BF"/>
    </w:rPr>
  </w:style>
  <w:style w:type="paragraph" w:styleId="IntenseQuote">
    <w:name w:val="Intense Quote"/>
    <w:basedOn w:val="Normal"/>
    <w:next w:val="Normal"/>
    <w:link w:val="IntenseQuoteChar"/>
    <w:uiPriority w:val="30"/>
    <w:qFormat/>
    <w:rsid w:val="00EB48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48E4"/>
    <w:rPr>
      <w:i/>
      <w:iCs/>
      <w:color w:val="2F5496" w:themeColor="accent1" w:themeShade="BF"/>
    </w:rPr>
  </w:style>
  <w:style w:type="character" w:styleId="IntenseReference">
    <w:name w:val="Intense Reference"/>
    <w:basedOn w:val="DefaultParagraphFont"/>
    <w:uiPriority w:val="32"/>
    <w:qFormat/>
    <w:rsid w:val="00EB48E4"/>
    <w:rPr>
      <w:b/>
      <w:bCs/>
      <w:smallCaps/>
      <w:color w:val="2F5496" w:themeColor="accent1" w:themeShade="BF"/>
      <w:spacing w:val="5"/>
    </w:rPr>
  </w:style>
  <w:style w:type="character" w:styleId="Hyperlink">
    <w:name w:val="Hyperlink"/>
    <w:basedOn w:val="DefaultParagraphFont"/>
    <w:uiPriority w:val="99"/>
    <w:unhideWhenUsed/>
    <w:rsid w:val="008F2E7C"/>
    <w:rPr>
      <w:color w:val="0563C1" w:themeColor="hyperlink"/>
      <w:u w:val="single"/>
    </w:rPr>
  </w:style>
  <w:style w:type="character" w:styleId="UnresolvedMention">
    <w:name w:val="Unresolved Mention"/>
    <w:basedOn w:val="DefaultParagraphFont"/>
    <w:uiPriority w:val="99"/>
    <w:semiHidden/>
    <w:unhideWhenUsed/>
    <w:rsid w:val="008F2E7C"/>
    <w:rPr>
      <w:color w:val="605E5C"/>
      <w:shd w:val="clear" w:color="auto" w:fill="E1DFDD"/>
    </w:rPr>
  </w:style>
  <w:style w:type="paragraph" w:styleId="NoSpacing">
    <w:name w:val="No Spacing"/>
    <w:link w:val="NoSpacingChar"/>
    <w:uiPriority w:val="1"/>
    <w:qFormat/>
    <w:rsid w:val="008F2E7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F2E7C"/>
    <w:rPr>
      <w:rFonts w:eastAsiaTheme="minorEastAsia"/>
      <w:kern w:val="0"/>
      <w:lang w:eastAsia="en-GB"/>
      <w14:ligatures w14:val="none"/>
    </w:rPr>
  </w:style>
  <w:style w:type="paragraph" w:styleId="Header">
    <w:name w:val="header"/>
    <w:basedOn w:val="Normal"/>
    <w:link w:val="HeaderChar"/>
    <w:uiPriority w:val="99"/>
    <w:unhideWhenUsed/>
    <w:rsid w:val="00801C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CD2"/>
  </w:style>
  <w:style w:type="paragraph" w:styleId="Footer">
    <w:name w:val="footer"/>
    <w:basedOn w:val="Normal"/>
    <w:link w:val="FooterChar"/>
    <w:uiPriority w:val="99"/>
    <w:unhideWhenUsed/>
    <w:rsid w:val="00801C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content.api.tesco.com/v2/media/ourtesco/456a055d-933c-4a42-b432-a2a45cb66322/DEI_Report2025_Tesco_Technology_Krakow_1d3353a06b.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pd.org/uk/knowledge/reports/resourcing-survey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A9DDF1B4294327AA9B841D4DB6C55C"/>
        <w:category>
          <w:name w:val="General"/>
          <w:gallery w:val="placeholder"/>
        </w:category>
        <w:types>
          <w:type w:val="bbPlcHdr"/>
        </w:types>
        <w:behaviors>
          <w:behavior w:val="content"/>
        </w:behaviors>
        <w:guid w:val="{7C9B9002-7BC1-4CED-A0CF-4803B0E71CFA}"/>
      </w:docPartPr>
      <w:docPartBody>
        <w:p w:rsidR="002365EA" w:rsidRDefault="004320FB" w:rsidP="004320FB">
          <w:pPr>
            <w:pStyle w:val="BEA9DDF1B4294327AA9B841D4DB6C55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0FB"/>
    <w:rsid w:val="00115262"/>
    <w:rsid w:val="002365EA"/>
    <w:rsid w:val="004320FB"/>
    <w:rsid w:val="00E253D3"/>
    <w:rsid w:val="00E47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A9DDF1B4294327AA9B841D4DB6C55C">
    <w:name w:val="BEA9DDF1B4294327AA9B841D4DB6C55C"/>
    <w:rsid w:val="004320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D470D-4A9F-46ED-85C6-399CE5481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3649</Words>
  <Characters>20802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HR Challenges and HR Practices: A Report on Tesco plc.</dc:title>
  <dc:subject/>
  <dc:creator>Matilda Jace (2415101)</dc:creator>
  <cp:keywords/>
  <dc:description/>
  <cp:lastModifiedBy>Matilda Jace (2415101)</cp:lastModifiedBy>
  <cp:revision>2</cp:revision>
  <dcterms:created xsi:type="dcterms:W3CDTF">2026-04-22T09:11:00Z</dcterms:created>
  <dcterms:modified xsi:type="dcterms:W3CDTF">2026-04-22T09:11:00Z</dcterms:modified>
</cp:coreProperties>
</file>