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F41A" w14:textId="5A4AE0DA" w:rsidR="000E574B" w:rsidRPr="000E574B" w:rsidRDefault="000E574B" w:rsidP="000E574B">
      <w:pPr>
        <w:jc w:val="center"/>
        <w:rPr>
          <w:sz w:val="28"/>
          <w:szCs w:val="28"/>
          <w:lang w:val="en-US"/>
        </w:rPr>
      </w:pPr>
    </w:p>
    <w:tbl>
      <w:tblPr>
        <w:tblStyle w:val="TableGridLight"/>
        <w:tblW w:w="0" w:type="auto"/>
        <w:tblLayout w:type="fixed"/>
        <w:tblLook w:val="04A0" w:firstRow="1" w:lastRow="0" w:firstColumn="1" w:lastColumn="0" w:noHBand="0" w:noVBand="1"/>
      </w:tblPr>
      <w:tblGrid>
        <w:gridCol w:w="2494"/>
        <w:gridCol w:w="5839"/>
      </w:tblGrid>
      <w:tr w:rsidR="000E574B" w:rsidRPr="000E574B" w14:paraId="24BE1380" w14:textId="77777777" w:rsidTr="000E574B">
        <w:tc>
          <w:tcPr>
            <w:tcW w:w="2494" w:type="dxa"/>
          </w:tcPr>
          <w:p w14:paraId="38CA79B0" w14:textId="77777777" w:rsidR="000E574B" w:rsidRPr="000E574B" w:rsidRDefault="000E574B" w:rsidP="000E574B">
            <w:pPr>
              <w:spacing w:after="160"/>
              <w:rPr>
                <w:lang w:val="en-US"/>
              </w:rPr>
            </w:pPr>
            <w:r w:rsidRPr="000E574B">
              <w:rPr>
                <w:b/>
                <w:lang w:val="en-US"/>
              </w:rPr>
              <w:t>Student Name</w:t>
            </w:r>
          </w:p>
        </w:tc>
        <w:tc>
          <w:tcPr>
            <w:tcW w:w="5839" w:type="dxa"/>
          </w:tcPr>
          <w:p w14:paraId="4AAB3286" w14:textId="320CB186" w:rsidR="000E574B" w:rsidRPr="000E574B" w:rsidRDefault="007F532A" w:rsidP="000E574B">
            <w:pPr>
              <w:spacing w:after="160"/>
              <w:rPr>
                <w:lang w:val="en-US"/>
              </w:rPr>
            </w:pPr>
            <w:r>
              <w:rPr>
                <w:lang w:val="en-US"/>
              </w:rPr>
              <w:t>Rabia Bi</w:t>
            </w:r>
          </w:p>
        </w:tc>
      </w:tr>
      <w:tr w:rsidR="000E574B" w:rsidRPr="000E574B" w14:paraId="25B1A09D" w14:textId="77777777" w:rsidTr="000E574B">
        <w:tc>
          <w:tcPr>
            <w:tcW w:w="2494" w:type="dxa"/>
          </w:tcPr>
          <w:p w14:paraId="2AFEE0A8" w14:textId="77777777" w:rsidR="000E574B" w:rsidRPr="000E574B" w:rsidRDefault="000E574B" w:rsidP="000E574B">
            <w:pPr>
              <w:spacing w:after="160"/>
              <w:rPr>
                <w:lang w:val="en-US"/>
              </w:rPr>
            </w:pPr>
            <w:r w:rsidRPr="000E574B">
              <w:rPr>
                <w:b/>
                <w:lang w:val="en-US"/>
              </w:rPr>
              <w:t>Student Number</w:t>
            </w:r>
          </w:p>
        </w:tc>
        <w:tc>
          <w:tcPr>
            <w:tcW w:w="5839" w:type="dxa"/>
          </w:tcPr>
          <w:p w14:paraId="0EFD47A1" w14:textId="3A4381E3" w:rsidR="000E574B" w:rsidRPr="000E574B" w:rsidRDefault="007F532A" w:rsidP="000E574B">
            <w:pPr>
              <w:spacing w:after="160"/>
              <w:rPr>
                <w:lang w:val="en-US"/>
              </w:rPr>
            </w:pPr>
            <w:r>
              <w:t>2521424</w:t>
            </w:r>
          </w:p>
        </w:tc>
      </w:tr>
      <w:tr w:rsidR="000E574B" w:rsidRPr="000E574B" w14:paraId="38FA32E3" w14:textId="77777777" w:rsidTr="000E574B">
        <w:tc>
          <w:tcPr>
            <w:tcW w:w="2494" w:type="dxa"/>
          </w:tcPr>
          <w:p w14:paraId="2A6B788F" w14:textId="77777777" w:rsidR="000E574B" w:rsidRPr="000E574B" w:rsidRDefault="000E574B" w:rsidP="000E574B">
            <w:pPr>
              <w:spacing w:after="160"/>
              <w:rPr>
                <w:lang w:val="en-US"/>
              </w:rPr>
            </w:pPr>
            <w:r w:rsidRPr="000E574B">
              <w:rPr>
                <w:b/>
                <w:lang w:val="en-US"/>
              </w:rPr>
              <w:t>Module</w:t>
            </w:r>
          </w:p>
        </w:tc>
        <w:tc>
          <w:tcPr>
            <w:tcW w:w="5839" w:type="dxa"/>
          </w:tcPr>
          <w:p w14:paraId="77FCD166" w14:textId="77777777" w:rsidR="000E574B" w:rsidRPr="000E574B" w:rsidRDefault="000E574B" w:rsidP="000E574B">
            <w:pPr>
              <w:spacing w:after="160"/>
              <w:rPr>
                <w:lang w:val="en-US"/>
              </w:rPr>
            </w:pPr>
            <w:r w:rsidRPr="000E574B">
              <w:rPr>
                <w:lang w:val="en-US"/>
              </w:rPr>
              <w:t>LCHS4003 – Introduction to Health and Social Care</w:t>
            </w:r>
          </w:p>
        </w:tc>
      </w:tr>
      <w:tr w:rsidR="000E574B" w:rsidRPr="000E574B" w14:paraId="05FC95B3" w14:textId="77777777" w:rsidTr="000E574B">
        <w:tc>
          <w:tcPr>
            <w:tcW w:w="2494" w:type="dxa"/>
          </w:tcPr>
          <w:p w14:paraId="717EF99D" w14:textId="77777777" w:rsidR="000E574B" w:rsidRPr="000E574B" w:rsidRDefault="000E574B" w:rsidP="000E574B">
            <w:pPr>
              <w:spacing w:after="160"/>
              <w:rPr>
                <w:lang w:val="en-US"/>
              </w:rPr>
            </w:pPr>
            <w:r w:rsidRPr="000E574B">
              <w:rPr>
                <w:b/>
                <w:lang w:val="en-US"/>
              </w:rPr>
              <w:t>Lecturer</w:t>
            </w:r>
          </w:p>
        </w:tc>
        <w:tc>
          <w:tcPr>
            <w:tcW w:w="5839" w:type="dxa"/>
          </w:tcPr>
          <w:p w14:paraId="2F3B035B" w14:textId="0F75516C" w:rsidR="000E574B" w:rsidRPr="000E574B" w:rsidRDefault="009040AA" w:rsidP="000E574B">
            <w:pPr>
              <w:spacing w:after="160"/>
              <w:rPr>
                <w:lang w:val="en-US"/>
              </w:rPr>
            </w:pPr>
            <w:r>
              <w:rPr>
                <w:lang w:val="en-US"/>
              </w:rPr>
              <w:t>Vivian Osuchukwu</w:t>
            </w:r>
          </w:p>
        </w:tc>
      </w:tr>
      <w:tr w:rsidR="000E574B" w:rsidRPr="000E574B" w14:paraId="456153F5" w14:textId="77777777" w:rsidTr="000E574B">
        <w:tc>
          <w:tcPr>
            <w:tcW w:w="2494" w:type="dxa"/>
          </w:tcPr>
          <w:p w14:paraId="4607AD1F" w14:textId="77777777" w:rsidR="000E574B" w:rsidRPr="000E574B" w:rsidRDefault="000E574B" w:rsidP="000E574B">
            <w:pPr>
              <w:spacing w:after="160"/>
              <w:rPr>
                <w:lang w:val="en-US"/>
              </w:rPr>
            </w:pPr>
            <w:r w:rsidRPr="000E574B">
              <w:rPr>
                <w:b/>
                <w:lang w:val="en-US"/>
              </w:rPr>
              <w:t>Assignment Title</w:t>
            </w:r>
          </w:p>
        </w:tc>
        <w:tc>
          <w:tcPr>
            <w:tcW w:w="5839" w:type="dxa"/>
          </w:tcPr>
          <w:p w14:paraId="2F8967D6" w14:textId="77777777" w:rsidR="000E574B" w:rsidRPr="000E574B" w:rsidRDefault="000E574B" w:rsidP="000E574B">
            <w:pPr>
              <w:spacing w:after="160"/>
              <w:rPr>
                <w:lang w:val="en-US"/>
              </w:rPr>
            </w:pPr>
            <w:r w:rsidRPr="000E574B">
              <w:rPr>
                <w:lang w:val="en-US"/>
              </w:rPr>
              <w:t>Written Assignment – Component 2</w:t>
            </w:r>
          </w:p>
        </w:tc>
      </w:tr>
      <w:tr w:rsidR="000E574B" w:rsidRPr="000E574B" w14:paraId="22185D6A" w14:textId="77777777" w:rsidTr="000E574B">
        <w:tc>
          <w:tcPr>
            <w:tcW w:w="2494" w:type="dxa"/>
          </w:tcPr>
          <w:p w14:paraId="41DEC854" w14:textId="77777777" w:rsidR="000E574B" w:rsidRPr="000E574B" w:rsidRDefault="000E574B" w:rsidP="000E574B">
            <w:pPr>
              <w:spacing w:after="160"/>
              <w:rPr>
                <w:lang w:val="en-US"/>
              </w:rPr>
            </w:pPr>
            <w:r w:rsidRPr="000E574B">
              <w:rPr>
                <w:b/>
                <w:lang w:val="en-US"/>
              </w:rPr>
              <w:t>Submission Date</w:t>
            </w:r>
          </w:p>
        </w:tc>
        <w:tc>
          <w:tcPr>
            <w:tcW w:w="5839" w:type="dxa"/>
          </w:tcPr>
          <w:p w14:paraId="1AB80EB1" w14:textId="6309D8AA" w:rsidR="000E574B" w:rsidRPr="000E574B" w:rsidRDefault="007F532A" w:rsidP="000E574B">
            <w:pPr>
              <w:spacing w:after="160"/>
              <w:rPr>
                <w:lang w:val="en-US"/>
              </w:rPr>
            </w:pPr>
            <w:r>
              <w:rPr>
                <w:lang w:val="en-US"/>
              </w:rPr>
              <w:t>17-07-2026</w:t>
            </w:r>
          </w:p>
        </w:tc>
      </w:tr>
      <w:tr w:rsidR="000E574B" w:rsidRPr="000E574B" w14:paraId="6C404763" w14:textId="77777777" w:rsidTr="000E574B">
        <w:tc>
          <w:tcPr>
            <w:tcW w:w="2494" w:type="dxa"/>
          </w:tcPr>
          <w:p w14:paraId="1BC47F6E" w14:textId="77777777" w:rsidR="000E574B" w:rsidRPr="000E574B" w:rsidRDefault="000E574B" w:rsidP="000E574B">
            <w:pPr>
              <w:spacing w:after="160"/>
              <w:rPr>
                <w:lang w:val="en-US"/>
              </w:rPr>
            </w:pPr>
            <w:r w:rsidRPr="000E574B">
              <w:rPr>
                <w:b/>
                <w:lang w:val="en-US"/>
              </w:rPr>
              <w:t>Word Count</w:t>
            </w:r>
          </w:p>
        </w:tc>
        <w:tc>
          <w:tcPr>
            <w:tcW w:w="5839" w:type="dxa"/>
          </w:tcPr>
          <w:p w14:paraId="5C596338" w14:textId="1CB67E4B" w:rsidR="000E574B" w:rsidRPr="000E574B" w:rsidRDefault="003D1492" w:rsidP="000E574B">
            <w:pPr>
              <w:spacing w:after="160"/>
              <w:rPr>
                <w:lang w:val="en-US"/>
              </w:rPr>
            </w:pPr>
            <w:r>
              <w:rPr>
                <w:lang w:val="en-US"/>
              </w:rPr>
              <w:t>2249</w:t>
            </w:r>
          </w:p>
        </w:tc>
      </w:tr>
    </w:tbl>
    <w:p w14:paraId="78FF9E51" w14:textId="77777777" w:rsidR="000E574B" w:rsidRPr="000E574B" w:rsidRDefault="000E574B" w:rsidP="000E574B">
      <w:pPr>
        <w:rPr>
          <w:lang w:val="en-US"/>
        </w:rPr>
        <w:sectPr w:rsidR="000E574B" w:rsidRPr="000E574B" w:rsidSect="000E574B">
          <w:pgSz w:w="11906" w:h="16838"/>
          <w:pgMar w:top="1417" w:right="1417" w:bottom="1247" w:left="1417" w:header="567" w:footer="567" w:gutter="0"/>
          <w:cols w:space="720"/>
          <w:docGrid w:linePitch="360"/>
        </w:sectPr>
      </w:pPr>
    </w:p>
    <w:sdt>
      <w:sdtPr>
        <w:rPr>
          <w:rFonts w:ascii="Times New Roman" w:eastAsiaTheme="minorHAnsi" w:hAnsi="Times New Roman" w:cstheme="minorBidi"/>
          <w:color w:val="auto"/>
          <w:kern w:val="2"/>
          <w:sz w:val="24"/>
          <w:szCs w:val="24"/>
          <w:lang w:val="en-GB"/>
          <w14:ligatures w14:val="standardContextual"/>
        </w:rPr>
        <w:id w:val="-2087454787"/>
        <w:docPartObj>
          <w:docPartGallery w:val="Table of Contents"/>
          <w:docPartUnique/>
        </w:docPartObj>
      </w:sdtPr>
      <w:sdtEndPr>
        <w:rPr>
          <w:b/>
          <w:bCs/>
          <w:noProof/>
        </w:rPr>
      </w:sdtEndPr>
      <w:sdtContent>
        <w:p w14:paraId="38684899" w14:textId="12D6AF37" w:rsidR="000E574B" w:rsidRDefault="000E574B">
          <w:pPr>
            <w:pStyle w:val="TOCHeading"/>
          </w:pPr>
          <w:r>
            <w:t>Contents</w:t>
          </w:r>
        </w:p>
        <w:p w14:paraId="4B5632BB" w14:textId="6E8AEE32" w:rsidR="00A35186" w:rsidRDefault="000E574B">
          <w:pPr>
            <w:pStyle w:val="TOC1"/>
            <w:tabs>
              <w:tab w:val="right" w:leader="dot" w:pos="9062"/>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5131593" w:history="1">
            <w:r w:rsidR="00A35186" w:rsidRPr="00BE799D">
              <w:rPr>
                <w:rStyle w:val="Hyperlink"/>
                <w:noProof/>
                <w:lang w:val="en-US"/>
              </w:rPr>
              <w:t>Introduction</w:t>
            </w:r>
            <w:r w:rsidR="00A35186">
              <w:rPr>
                <w:noProof/>
                <w:webHidden/>
              </w:rPr>
              <w:tab/>
            </w:r>
            <w:r w:rsidR="00A35186">
              <w:rPr>
                <w:noProof/>
                <w:webHidden/>
              </w:rPr>
              <w:fldChar w:fldCharType="begin"/>
            </w:r>
            <w:r w:rsidR="00A35186">
              <w:rPr>
                <w:noProof/>
                <w:webHidden/>
              </w:rPr>
              <w:instrText xml:space="preserve"> PAGEREF _Toc235131593 \h </w:instrText>
            </w:r>
            <w:r w:rsidR="00A35186">
              <w:rPr>
                <w:noProof/>
                <w:webHidden/>
              </w:rPr>
            </w:r>
            <w:r w:rsidR="00A35186">
              <w:rPr>
                <w:noProof/>
                <w:webHidden/>
              </w:rPr>
              <w:fldChar w:fldCharType="separate"/>
            </w:r>
            <w:r w:rsidR="00A35186">
              <w:rPr>
                <w:noProof/>
                <w:webHidden/>
              </w:rPr>
              <w:t>2</w:t>
            </w:r>
            <w:r w:rsidR="00A35186">
              <w:rPr>
                <w:noProof/>
                <w:webHidden/>
              </w:rPr>
              <w:fldChar w:fldCharType="end"/>
            </w:r>
          </w:hyperlink>
        </w:p>
        <w:p w14:paraId="44E50FEB" w14:textId="68BE467B" w:rsidR="00A35186" w:rsidRDefault="00A35186">
          <w:pPr>
            <w:pStyle w:val="TOC1"/>
            <w:tabs>
              <w:tab w:val="right" w:leader="dot" w:pos="9062"/>
            </w:tabs>
            <w:rPr>
              <w:rFonts w:asciiTheme="minorHAnsi" w:eastAsiaTheme="minorEastAsia" w:hAnsiTheme="minorHAnsi"/>
              <w:noProof/>
              <w:lang w:eastAsia="en-GB"/>
            </w:rPr>
          </w:pPr>
          <w:hyperlink w:anchor="_Toc235131594" w:history="1">
            <w:r w:rsidRPr="00BE799D">
              <w:rPr>
                <w:rStyle w:val="Hyperlink"/>
                <w:noProof/>
                <w:lang w:val="en-US"/>
              </w:rPr>
              <w:t>1. Effective Communication</w:t>
            </w:r>
            <w:r>
              <w:rPr>
                <w:noProof/>
                <w:webHidden/>
              </w:rPr>
              <w:tab/>
            </w:r>
            <w:r>
              <w:rPr>
                <w:noProof/>
                <w:webHidden/>
              </w:rPr>
              <w:fldChar w:fldCharType="begin"/>
            </w:r>
            <w:r>
              <w:rPr>
                <w:noProof/>
                <w:webHidden/>
              </w:rPr>
              <w:instrText xml:space="preserve"> PAGEREF _Toc235131594 \h </w:instrText>
            </w:r>
            <w:r>
              <w:rPr>
                <w:noProof/>
                <w:webHidden/>
              </w:rPr>
            </w:r>
            <w:r>
              <w:rPr>
                <w:noProof/>
                <w:webHidden/>
              </w:rPr>
              <w:fldChar w:fldCharType="separate"/>
            </w:r>
            <w:r>
              <w:rPr>
                <w:noProof/>
                <w:webHidden/>
              </w:rPr>
              <w:t>2</w:t>
            </w:r>
            <w:r>
              <w:rPr>
                <w:noProof/>
                <w:webHidden/>
              </w:rPr>
              <w:fldChar w:fldCharType="end"/>
            </w:r>
          </w:hyperlink>
        </w:p>
        <w:p w14:paraId="22A07800" w14:textId="0D660BA7" w:rsidR="00A35186" w:rsidRDefault="00A35186">
          <w:pPr>
            <w:pStyle w:val="TOC1"/>
            <w:tabs>
              <w:tab w:val="right" w:leader="dot" w:pos="9062"/>
            </w:tabs>
            <w:rPr>
              <w:rFonts w:asciiTheme="minorHAnsi" w:eastAsiaTheme="minorEastAsia" w:hAnsiTheme="minorHAnsi"/>
              <w:noProof/>
              <w:lang w:eastAsia="en-GB"/>
            </w:rPr>
          </w:pPr>
          <w:hyperlink w:anchor="_Toc235131595" w:history="1">
            <w:r w:rsidRPr="00BE799D">
              <w:rPr>
                <w:rStyle w:val="Hyperlink"/>
                <w:noProof/>
                <w:lang w:val="en-US"/>
              </w:rPr>
              <w:t>2. Administrative Skills and Record Keeping</w:t>
            </w:r>
            <w:r>
              <w:rPr>
                <w:noProof/>
                <w:webHidden/>
              </w:rPr>
              <w:tab/>
            </w:r>
            <w:r>
              <w:rPr>
                <w:noProof/>
                <w:webHidden/>
              </w:rPr>
              <w:fldChar w:fldCharType="begin"/>
            </w:r>
            <w:r>
              <w:rPr>
                <w:noProof/>
                <w:webHidden/>
              </w:rPr>
              <w:instrText xml:space="preserve"> PAGEREF _Toc235131595 \h </w:instrText>
            </w:r>
            <w:r>
              <w:rPr>
                <w:noProof/>
                <w:webHidden/>
              </w:rPr>
            </w:r>
            <w:r>
              <w:rPr>
                <w:noProof/>
                <w:webHidden/>
              </w:rPr>
              <w:fldChar w:fldCharType="separate"/>
            </w:r>
            <w:r>
              <w:rPr>
                <w:noProof/>
                <w:webHidden/>
              </w:rPr>
              <w:t>3</w:t>
            </w:r>
            <w:r>
              <w:rPr>
                <w:noProof/>
                <w:webHidden/>
              </w:rPr>
              <w:fldChar w:fldCharType="end"/>
            </w:r>
          </w:hyperlink>
        </w:p>
        <w:p w14:paraId="01285260" w14:textId="245552F3" w:rsidR="00A35186" w:rsidRDefault="00A35186">
          <w:pPr>
            <w:pStyle w:val="TOC1"/>
            <w:tabs>
              <w:tab w:val="right" w:leader="dot" w:pos="9062"/>
            </w:tabs>
            <w:rPr>
              <w:rFonts w:asciiTheme="minorHAnsi" w:eastAsiaTheme="minorEastAsia" w:hAnsiTheme="minorHAnsi"/>
              <w:noProof/>
              <w:lang w:eastAsia="en-GB"/>
            </w:rPr>
          </w:pPr>
          <w:hyperlink w:anchor="_Toc235131596" w:history="1">
            <w:r w:rsidRPr="00BE799D">
              <w:rPr>
                <w:rStyle w:val="Hyperlink"/>
                <w:noProof/>
                <w:lang w:val="en-US"/>
              </w:rPr>
              <w:t>3. Collaborative Working</w:t>
            </w:r>
            <w:r>
              <w:rPr>
                <w:noProof/>
                <w:webHidden/>
              </w:rPr>
              <w:tab/>
            </w:r>
            <w:r>
              <w:rPr>
                <w:noProof/>
                <w:webHidden/>
              </w:rPr>
              <w:fldChar w:fldCharType="begin"/>
            </w:r>
            <w:r>
              <w:rPr>
                <w:noProof/>
                <w:webHidden/>
              </w:rPr>
              <w:instrText xml:space="preserve"> PAGEREF _Toc235131596 \h </w:instrText>
            </w:r>
            <w:r>
              <w:rPr>
                <w:noProof/>
                <w:webHidden/>
              </w:rPr>
            </w:r>
            <w:r>
              <w:rPr>
                <w:noProof/>
                <w:webHidden/>
              </w:rPr>
              <w:fldChar w:fldCharType="separate"/>
            </w:r>
            <w:r>
              <w:rPr>
                <w:noProof/>
                <w:webHidden/>
              </w:rPr>
              <w:t>5</w:t>
            </w:r>
            <w:r>
              <w:rPr>
                <w:noProof/>
                <w:webHidden/>
              </w:rPr>
              <w:fldChar w:fldCharType="end"/>
            </w:r>
          </w:hyperlink>
        </w:p>
        <w:p w14:paraId="02ECCD19" w14:textId="79694230" w:rsidR="00A35186" w:rsidRDefault="00A35186">
          <w:pPr>
            <w:pStyle w:val="TOC1"/>
            <w:tabs>
              <w:tab w:val="right" w:leader="dot" w:pos="9062"/>
            </w:tabs>
            <w:rPr>
              <w:rFonts w:asciiTheme="minorHAnsi" w:eastAsiaTheme="minorEastAsia" w:hAnsiTheme="minorHAnsi"/>
              <w:noProof/>
              <w:lang w:eastAsia="en-GB"/>
            </w:rPr>
          </w:pPr>
          <w:hyperlink w:anchor="_Toc235131597" w:history="1">
            <w:r w:rsidRPr="00BE799D">
              <w:rPr>
                <w:rStyle w:val="Hyperlink"/>
                <w:noProof/>
                <w:lang w:val="en-US"/>
              </w:rPr>
              <w:t>Conclusion</w:t>
            </w:r>
            <w:r>
              <w:rPr>
                <w:noProof/>
                <w:webHidden/>
              </w:rPr>
              <w:tab/>
            </w:r>
            <w:r>
              <w:rPr>
                <w:noProof/>
                <w:webHidden/>
              </w:rPr>
              <w:fldChar w:fldCharType="begin"/>
            </w:r>
            <w:r>
              <w:rPr>
                <w:noProof/>
                <w:webHidden/>
              </w:rPr>
              <w:instrText xml:space="preserve"> PAGEREF _Toc235131597 \h </w:instrText>
            </w:r>
            <w:r>
              <w:rPr>
                <w:noProof/>
                <w:webHidden/>
              </w:rPr>
            </w:r>
            <w:r>
              <w:rPr>
                <w:noProof/>
                <w:webHidden/>
              </w:rPr>
              <w:fldChar w:fldCharType="separate"/>
            </w:r>
            <w:r>
              <w:rPr>
                <w:noProof/>
                <w:webHidden/>
              </w:rPr>
              <w:t>6</w:t>
            </w:r>
            <w:r>
              <w:rPr>
                <w:noProof/>
                <w:webHidden/>
              </w:rPr>
              <w:fldChar w:fldCharType="end"/>
            </w:r>
          </w:hyperlink>
        </w:p>
        <w:p w14:paraId="5184EF9B" w14:textId="355164A8" w:rsidR="00A35186" w:rsidRDefault="00A35186">
          <w:pPr>
            <w:pStyle w:val="TOC1"/>
            <w:tabs>
              <w:tab w:val="right" w:leader="dot" w:pos="9062"/>
            </w:tabs>
            <w:rPr>
              <w:rFonts w:asciiTheme="minorHAnsi" w:eastAsiaTheme="minorEastAsia" w:hAnsiTheme="minorHAnsi"/>
              <w:noProof/>
              <w:lang w:eastAsia="en-GB"/>
            </w:rPr>
          </w:pPr>
          <w:hyperlink w:anchor="_Toc235131598" w:history="1">
            <w:r w:rsidRPr="00BE799D">
              <w:rPr>
                <w:rStyle w:val="Hyperlink"/>
                <w:noProof/>
                <w:lang w:val="en-US"/>
              </w:rPr>
              <w:t>References</w:t>
            </w:r>
            <w:r>
              <w:rPr>
                <w:noProof/>
                <w:webHidden/>
              </w:rPr>
              <w:tab/>
            </w:r>
            <w:r>
              <w:rPr>
                <w:noProof/>
                <w:webHidden/>
              </w:rPr>
              <w:fldChar w:fldCharType="begin"/>
            </w:r>
            <w:r>
              <w:rPr>
                <w:noProof/>
                <w:webHidden/>
              </w:rPr>
              <w:instrText xml:space="preserve"> PAGEREF _Toc235131598 \h </w:instrText>
            </w:r>
            <w:r>
              <w:rPr>
                <w:noProof/>
                <w:webHidden/>
              </w:rPr>
            </w:r>
            <w:r>
              <w:rPr>
                <w:noProof/>
                <w:webHidden/>
              </w:rPr>
              <w:fldChar w:fldCharType="separate"/>
            </w:r>
            <w:r>
              <w:rPr>
                <w:noProof/>
                <w:webHidden/>
              </w:rPr>
              <w:t>7</w:t>
            </w:r>
            <w:r>
              <w:rPr>
                <w:noProof/>
                <w:webHidden/>
              </w:rPr>
              <w:fldChar w:fldCharType="end"/>
            </w:r>
          </w:hyperlink>
        </w:p>
        <w:p w14:paraId="13B5F079" w14:textId="73E8E322" w:rsidR="000E574B" w:rsidRDefault="000E574B">
          <w:r>
            <w:rPr>
              <w:b/>
              <w:bCs/>
              <w:noProof/>
            </w:rPr>
            <w:fldChar w:fldCharType="end"/>
          </w:r>
        </w:p>
      </w:sdtContent>
    </w:sdt>
    <w:p w14:paraId="171687F3" w14:textId="77777777" w:rsidR="000E574B" w:rsidRDefault="000E574B">
      <w:pPr>
        <w:spacing w:line="278" w:lineRule="auto"/>
        <w:rPr>
          <w:b/>
          <w:lang w:val="en-US"/>
        </w:rPr>
      </w:pPr>
      <w:r>
        <w:rPr>
          <w:b/>
          <w:lang w:val="en-US"/>
        </w:rPr>
        <w:br w:type="page"/>
      </w:r>
    </w:p>
    <w:p w14:paraId="43F11437" w14:textId="7B73732D" w:rsidR="000E574B" w:rsidRPr="000E574B" w:rsidRDefault="000E574B" w:rsidP="000E574B">
      <w:pPr>
        <w:pStyle w:val="Heading1"/>
        <w:rPr>
          <w:lang w:val="en-US"/>
        </w:rPr>
      </w:pPr>
      <w:bookmarkStart w:id="0" w:name="_Toc235131593"/>
      <w:r w:rsidRPr="000E574B">
        <w:rPr>
          <w:lang w:val="en-US"/>
        </w:rPr>
        <w:t>Introduction</w:t>
      </w:r>
      <w:bookmarkEnd w:id="0"/>
    </w:p>
    <w:p w14:paraId="12A16185" w14:textId="786E3686" w:rsidR="000E574B" w:rsidRPr="000E574B" w:rsidRDefault="00DC1B4C" w:rsidP="000E574B">
      <w:pPr>
        <w:rPr>
          <w:lang w:val="en-US"/>
        </w:rPr>
      </w:pPr>
      <w:r w:rsidRPr="00DC1B4C">
        <w:rPr>
          <w:lang w:val="en-US"/>
        </w:rPr>
        <w:t>Mrs Thompson is 84 and has recently moved into sheltered housing, following treatment at the hospital for pneumonia. She receives twice-daily domiciliary care and has a mild form of dementia</w:t>
      </w:r>
      <w:r w:rsidR="00066BE8">
        <w:rPr>
          <w:lang w:val="en-US"/>
        </w:rPr>
        <w:t>,</w:t>
      </w:r>
      <w:r w:rsidRPr="00DC1B4C">
        <w:rPr>
          <w:lang w:val="en-US"/>
        </w:rPr>
        <w:t xml:space="preserve"> and was not living a hygienic life, missing days of medications and being found out and in the cold with unsuitable clothing. These incidents relate to issues of memory loss, medication issues, self-neglect and lack of continuity of recovery after hospital discharge. NHS England (2024) highlights the importance of moving towards more robust community care for dementia and closing the divide in services for those who are already known to health and social care. Although it may seem obvious, this report is particular with the need </w:t>
      </w:r>
      <w:r w:rsidR="00066BE8">
        <w:rPr>
          <w:lang w:val="en-US"/>
        </w:rPr>
        <w:t>for</w:t>
      </w:r>
      <w:r w:rsidRPr="00DC1B4C">
        <w:rPr>
          <w:lang w:val="en-US"/>
        </w:rPr>
        <w:t xml:space="preserve"> effective communication in Mrs Thompson's care, administrative skills, record keeping and collaborative working</w:t>
      </w:r>
      <w:r w:rsidR="000E574B" w:rsidRPr="000E574B">
        <w:rPr>
          <w:lang w:val="en-US"/>
        </w:rPr>
        <w:t>. These functions are interdependent: communication identifies needs and preferences, records preserve and transfer information, and collaboration turns that information into coordinated action. The discussion content is based on legal provisions, professional standards and policy guidance.</w:t>
      </w:r>
    </w:p>
    <w:p w14:paraId="5426DA98" w14:textId="77777777" w:rsidR="000E574B" w:rsidRPr="000E574B" w:rsidRDefault="000E574B" w:rsidP="000E574B">
      <w:pPr>
        <w:pStyle w:val="Heading1"/>
        <w:rPr>
          <w:lang w:val="en-US"/>
        </w:rPr>
      </w:pPr>
      <w:bookmarkStart w:id="1" w:name="_Toc235131594"/>
      <w:r w:rsidRPr="000E574B">
        <w:rPr>
          <w:lang w:val="en-US"/>
        </w:rPr>
        <w:t>1. Effective Communication</w:t>
      </w:r>
      <w:bookmarkEnd w:id="1"/>
    </w:p>
    <w:p w14:paraId="719CEAA8" w14:textId="68B36128" w:rsidR="000E574B" w:rsidRPr="000E574B" w:rsidRDefault="008D5BFA" w:rsidP="000E574B">
      <w:pPr>
        <w:rPr>
          <w:lang w:val="en-US"/>
        </w:rPr>
      </w:pPr>
      <w:r w:rsidRPr="008D5BFA">
        <w:rPr>
          <w:lang w:val="en-US"/>
        </w:rPr>
        <w:t>Effective communication enables Mrs Thompson to express her care preferences, participate in decisions and report changes in her health</w:t>
      </w:r>
      <w:r w:rsidR="000E574B" w:rsidRPr="000E574B">
        <w:rPr>
          <w:lang w:val="en-US"/>
        </w:rPr>
        <w:t>.</w:t>
      </w:r>
      <w:r w:rsidR="006B5383">
        <w:rPr>
          <w:lang w:val="en-US"/>
        </w:rPr>
        <w:t xml:space="preserve"> </w:t>
      </w:r>
      <w:r w:rsidR="006B5383" w:rsidRPr="006B5383">
        <w:rPr>
          <w:lang w:val="en-US"/>
        </w:rPr>
        <w:t>It also helps practitioners identify deterioration and prevent further medication omissions</w:t>
      </w:r>
      <w:r w:rsidR="006B5383">
        <w:rPr>
          <w:lang w:val="en-US"/>
        </w:rPr>
        <w:t>.</w:t>
      </w:r>
      <w:r w:rsidR="000E574B" w:rsidRPr="000E574B">
        <w:rPr>
          <w:lang w:val="en-US"/>
        </w:rPr>
        <w:t xml:space="preserve"> </w:t>
      </w:r>
      <w:r w:rsidR="008609E2" w:rsidRPr="008609E2">
        <w:rPr>
          <w:lang w:val="en-US"/>
        </w:rPr>
        <w:t xml:space="preserve"> Memory loss and other aspects of dementia (including language, processing and orientation) do not take away its voice nor automatically make it disappear. NICE (2018), however, suggests that in a person with dementia, their history, choices and dignity should be taken into consideration. Care workers should therefore introduce themselves, addressing her </w:t>
      </w:r>
      <w:r w:rsidR="005E0E38">
        <w:rPr>
          <w:lang w:val="en-US"/>
        </w:rPr>
        <w:t>as</w:t>
      </w:r>
      <w:r w:rsidR="008609E2" w:rsidRPr="008609E2">
        <w:rPr>
          <w:lang w:val="en-US"/>
        </w:rPr>
        <w:t xml:space="preserve"> Mrs Thompson instead of calling her Mrs Thompson, speak in a relaxed manner but in one idea at a time, </w:t>
      </w:r>
      <w:r w:rsidR="00066BE8">
        <w:rPr>
          <w:lang w:val="en-US"/>
        </w:rPr>
        <w:t xml:space="preserve">and </w:t>
      </w:r>
      <w:r w:rsidR="008609E2" w:rsidRPr="008609E2">
        <w:rPr>
          <w:lang w:val="en-US"/>
        </w:rPr>
        <w:t xml:space="preserve">give time for her to respond to each. Questions aim to be short, to the point and to avoid a </w:t>
      </w:r>
      <w:r w:rsidR="00066BE8">
        <w:rPr>
          <w:lang w:val="en-US"/>
        </w:rPr>
        <w:t>patronising</w:t>
      </w:r>
      <w:r w:rsidR="005E0E38">
        <w:rPr>
          <w:lang w:val="en-US"/>
        </w:rPr>
        <w:t xml:space="preserve">, </w:t>
      </w:r>
      <w:r w:rsidR="008609E2" w:rsidRPr="008609E2">
        <w:rPr>
          <w:lang w:val="en-US"/>
        </w:rPr>
        <w:t>disrespectful/childish tone. Her understanding should be validated, for instance, using the teach-back strategy, by asking her what, why, and how she will be taking her medication. Needs may be expressed in a non-verbal way through increased or decreased tone of apprehension, isolation or agitation</w:t>
      </w:r>
      <w:r w:rsidR="00A63769" w:rsidRPr="00A63769">
        <w:rPr>
          <w:lang w:val="en-US"/>
        </w:rPr>
        <w:t>. Therefore, changes in Mrs Thompson’s non-verbal behaviour should be explored rather than ignored</w:t>
      </w:r>
      <w:r w:rsidR="000E574B" w:rsidRPr="000E574B">
        <w:rPr>
          <w:lang w:val="en-US"/>
        </w:rPr>
        <w:t>.</w:t>
      </w:r>
    </w:p>
    <w:p w14:paraId="2BE32F63" w14:textId="160AA37B" w:rsidR="000E574B" w:rsidRPr="000E574B" w:rsidRDefault="000E574B" w:rsidP="000E574B">
      <w:pPr>
        <w:rPr>
          <w:lang w:val="en-US"/>
        </w:rPr>
      </w:pPr>
      <w:r w:rsidRPr="000E574B">
        <w:rPr>
          <w:lang w:val="en-US"/>
        </w:rPr>
        <w:t>The Shannon-Weaver model depicts communication in terms of a sender, an encoded message, a channel, a receiver, decoding, noise and feedback (Shannon and Weaver, 19</w:t>
      </w:r>
      <w:r w:rsidR="00773DCA">
        <w:rPr>
          <w:lang w:val="en-US"/>
        </w:rPr>
        <w:t>64</w:t>
      </w:r>
      <w:r w:rsidRPr="000E574B">
        <w:rPr>
          <w:lang w:val="en-US"/>
        </w:rPr>
        <w:t xml:space="preserve">). </w:t>
      </w:r>
      <w:r w:rsidR="004C74BB" w:rsidRPr="004C74BB">
        <w:rPr>
          <w:lang w:val="en-US"/>
        </w:rPr>
        <w:t>In Mrs Thompson’s case</w:t>
      </w:r>
      <w:r w:rsidRPr="000E574B">
        <w:rPr>
          <w:lang w:val="en-US"/>
        </w:rPr>
        <w:t xml:space="preserve">, noise may refer to confusion, forgetfulness, problems with hearing, medical jargon, hasty visits, or conflicting advice from healthcare professionals after someone has had a pneumonia. Staff can help to minimise noise by using plain English, short sentences, repeating and introducing a large print medication chart, and using visual cues and prompts to use. </w:t>
      </w:r>
      <w:r w:rsidR="00DC1EBC" w:rsidRPr="00DC1EBC">
        <w:rPr>
          <w:lang w:val="en-US"/>
        </w:rPr>
        <w:t>Feedback is essential because staff should not rely only on Mrs Thompson answering “yes” or “no”. They should check whether she can explain the information in her own words. However, the Shannon–Weaver model may present the receiver as passive. Communication in dementia care should instead be a two-way process in which Mrs Thompson actively contributes to decisions and shared understanding</w:t>
      </w:r>
      <w:r w:rsidR="00B9336E">
        <w:rPr>
          <w:lang w:val="en-US"/>
        </w:rPr>
        <w:t>.</w:t>
      </w:r>
      <w:r w:rsidRPr="000E574B">
        <w:rPr>
          <w:lang w:val="en-US"/>
        </w:rPr>
        <w:t xml:space="preserve"> </w:t>
      </w:r>
      <w:r w:rsidR="003866A6" w:rsidRPr="003866A6">
        <w:rPr>
          <w:lang w:val="en-US"/>
        </w:rPr>
        <w:t>Caring for someone with dementia is a mutual process – one in which Mrs Thompson can play an active role in shaping what they do and helping to make their lives meaningful. Williamson's (2012) arguments abound that individuals with dementia should have their voice heard when considering who they are and what they need, as well as the services and decisions being made regarding them</w:t>
      </w:r>
      <w:r w:rsidRPr="000E574B">
        <w:rPr>
          <w:lang w:val="en-US"/>
        </w:rPr>
        <w:t>.</w:t>
      </w:r>
    </w:p>
    <w:p w14:paraId="459DA249" w14:textId="03D0877D" w:rsidR="000E574B" w:rsidRPr="000E574B" w:rsidRDefault="00152996" w:rsidP="000E574B">
      <w:pPr>
        <w:rPr>
          <w:lang w:val="en-US"/>
        </w:rPr>
      </w:pPr>
      <w:r w:rsidRPr="00152996">
        <w:rPr>
          <w:lang w:val="en-US"/>
        </w:rPr>
        <w:t>Under the Equality Act 2010, service providers must make reasonable adjustments where a disabled person would otherwise experience a substantial disadvantage (Great Britain, 2010</w:t>
      </w:r>
      <w:r w:rsidR="000E574B" w:rsidRPr="000E574B">
        <w:rPr>
          <w:lang w:val="en-US"/>
        </w:rPr>
        <w:t xml:space="preserve">). Under the Accessible Information Standard (AIS), individuals who receive NHS and publicly funded adult social care services must have their existing communication needs identified, recorded and flagged, with subsequent steps taken to meet and review this need (NHS England, 2025a). </w:t>
      </w:r>
      <w:r w:rsidR="008001DF" w:rsidRPr="008001DF">
        <w:rPr>
          <w:lang w:val="en-US"/>
        </w:rPr>
        <w:t>Accessible formats or extended appointments may then be required to assist learners in achieving the goals. Where the situation is complicated or important</w:t>
      </w:r>
      <w:r w:rsidR="00066BE8">
        <w:rPr>
          <w:lang w:val="en-US"/>
        </w:rPr>
        <w:t>,</w:t>
      </w:r>
      <w:r w:rsidR="008001DF" w:rsidRPr="008001DF">
        <w:rPr>
          <w:lang w:val="en-US"/>
        </w:rPr>
        <w:t xml:space="preserve"> an interviewer in her preferred language should be used if Mrs Thompson has difficulty using English. Family members should not routinely be expected to interpret Confidential/Clinical information, as this could impact the accuracy, the flow of privacy and informed decision making</w:t>
      </w:r>
      <w:r w:rsidR="008001DF">
        <w:rPr>
          <w:lang w:val="en-US"/>
        </w:rPr>
        <w:t xml:space="preserve"> </w:t>
      </w:r>
      <w:r w:rsidR="000E574B" w:rsidRPr="000E574B">
        <w:rPr>
          <w:lang w:val="en-US"/>
        </w:rPr>
        <w:t>(NHS England 2025b). Do not assume cultural preferences relating to family involvement, personal care and medication. Recall and reassurance are supported by the family, and normally, information sharing requires Mrs Thompson's consent. The Mental Capacity Act 2005 states that capacity should be presumed and evaluated for each decision; if someone is not capable of making a decision, then any action must be taken in her best interests and, wherever possible, in her presence (Great Britain,2005).</w:t>
      </w:r>
    </w:p>
    <w:p w14:paraId="4B67A2A3" w14:textId="77777777" w:rsidR="000E574B" w:rsidRPr="000E574B" w:rsidRDefault="000E574B" w:rsidP="000E574B">
      <w:pPr>
        <w:pStyle w:val="Heading1"/>
        <w:rPr>
          <w:lang w:val="en-US"/>
        </w:rPr>
      </w:pPr>
      <w:bookmarkStart w:id="2" w:name="_Toc235131595"/>
      <w:r w:rsidRPr="000E574B">
        <w:rPr>
          <w:lang w:val="en-US"/>
        </w:rPr>
        <w:t>2. Administrative Skills and Record Keeping</w:t>
      </w:r>
      <w:bookmarkEnd w:id="2"/>
    </w:p>
    <w:p w14:paraId="61D71211" w14:textId="2434DC18" w:rsidR="000E574B" w:rsidRPr="000E574B" w:rsidRDefault="000E574B" w:rsidP="000E574B">
      <w:pPr>
        <w:rPr>
          <w:lang w:val="en-US"/>
        </w:rPr>
      </w:pPr>
      <w:r w:rsidRPr="000E574B">
        <w:rPr>
          <w:lang w:val="en-US"/>
        </w:rPr>
        <w:t xml:space="preserve">Correct administration ensures accurate accounts, to base safe decisions across organisations. </w:t>
      </w:r>
      <w:r w:rsidR="00182EB8" w:rsidRPr="00182EB8">
        <w:rPr>
          <w:lang w:val="en-US"/>
        </w:rPr>
        <w:t>All of this should be recorded on the medication administration record, notes on the whiteboard, incident form, contact record, discharge record, risk assessment and care plan, all signed off by Mrs Thompson. Entries must be on time, accurate, polite, signed, dated and allow for differentiation between positives of direct observation versus opinion. NMC Code (NMC, 2018) requires that the risks and actions are identified and recorded accurately, securely and simultaneously</w:t>
      </w:r>
      <w:r w:rsidRPr="000E574B">
        <w:rPr>
          <w:lang w:val="en-US"/>
        </w:rPr>
        <w:t xml:space="preserve">. </w:t>
      </w:r>
      <w:r w:rsidR="00845EEE" w:rsidRPr="00845EEE">
        <w:rPr>
          <w:lang w:val="en-US"/>
        </w:rPr>
        <w:t>CQC Regulation 17 also requires providers to maintain complete, accurate and up-to-date records relating to each service user’s care, treatment and decisions</w:t>
      </w:r>
      <w:r w:rsidR="00845EEE">
        <w:rPr>
          <w:lang w:val="en-US"/>
        </w:rPr>
        <w:t xml:space="preserve"> </w:t>
      </w:r>
      <w:r w:rsidRPr="000E574B">
        <w:rPr>
          <w:lang w:val="en-US"/>
        </w:rPr>
        <w:t>(Care Quality Commission, 2025).</w:t>
      </w:r>
    </w:p>
    <w:p w14:paraId="12DD01A0" w14:textId="18099FC5" w:rsidR="000E574B" w:rsidRPr="000E574B" w:rsidRDefault="004A0BD0" w:rsidP="000E574B">
      <w:pPr>
        <w:rPr>
          <w:lang w:val="en-US"/>
        </w:rPr>
      </w:pPr>
      <w:r w:rsidRPr="004A0BD0">
        <w:rPr>
          <w:lang w:val="en-US"/>
        </w:rPr>
        <w:t>Poor record keeping might result in another missed dose, duplication and/or conflicting action, delayed review, inappropriate discharge provision or failure to identify self-neglect. It also decreases the accountability of professionals</w:t>
      </w:r>
      <w:r>
        <w:rPr>
          <w:lang w:val="en-US"/>
        </w:rPr>
        <w:t>,</w:t>
      </w:r>
      <w:r w:rsidRPr="004A0BD0">
        <w:rPr>
          <w:lang w:val="en-US"/>
        </w:rPr>
        <w:t xml:space="preserve"> as practitioners may not be able to account for or be able to defend the decisions made. Medicines support needs should be assessed, properly documented and communicated</w:t>
      </w:r>
      <w:r>
        <w:rPr>
          <w:lang w:val="en-US"/>
        </w:rPr>
        <w:t xml:space="preserve"> (</w:t>
      </w:r>
      <w:r w:rsidRPr="004A0BD0">
        <w:rPr>
          <w:lang w:val="en-US"/>
        </w:rPr>
        <w:t>NICE</w:t>
      </w:r>
      <w:r>
        <w:rPr>
          <w:lang w:val="en-US"/>
        </w:rPr>
        <w:t xml:space="preserve">, </w:t>
      </w:r>
      <w:r w:rsidRPr="004A0BD0">
        <w:rPr>
          <w:lang w:val="en-US"/>
        </w:rPr>
        <w:t>2017)</w:t>
      </w:r>
      <w:r w:rsidR="000E574B" w:rsidRPr="000E574B">
        <w:rPr>
          <w:lang w:val="en-US"/>
        </w:rPr>
        <w:t>. Therefore, the decision to prompt, administer, or review medications in the pharmacy should be detailed in Mrs Thompson's plan, along with who the staff member will be and what they should do after a medication is refused or not administered and what action the corresponding pharmacist has to take. She has had incidents that should be reviewed in terms of well-being, safety and accommodation (Great Britain, 2014) under section 9 of the Care Act 2014 (Department of Health and Social Care, 2025). Keep a check on discharge information as this is linked to GP and domiciliary records to minimise omissions and repeated questioning (NICE 2015). Completed plans should not be seen as a guarantee of improvement, as an audit would look at whether they were adhered to and whether incidents were reduced.</w:t>
      </w:r>
    </w:p>
    <w:p w14:paraId="43941CBC" w14:textId="20624672" w:rsidR="000E574B" w:rsidRPr="000E574B" w:rsidRDefault="000E574B" w:rsidP="000E574B">
      <w:pPr>
        <w:rPr>
          <w:lang w:val="en-US"/>
        </w:rPr>
      </w:pPr>
      <w:r w:rsidRPr="000E574B">
        <w:rPr>
          <w:lang w:val="en-US"/>
        </w:rPr>
        <w:t>Health information falls under the category of personal data, which is considered special for information security reasons. UK GDPR and the Data Protection Act 2018 call for lawful, fair and transparent processing, for data minimisation, for accuracy, and for security and accountability (Great Britain, 2018; Information Commissioner's Office, 2024). Secure systems should be used to communicate with staff via approved processes, role-based access and using appropriate systems of retention – personal devices and unscheduled informal messages should be avoided. However, confidentiality must not justify unsafe silence. One of the Caldicott Principles is to allow only the 'minimum necessary' access and to 'recognise that there may be occasions when access should be shared, where that is appropriate and where that is essential to protection' (National Data Guardian, 2020). Therefore, the omissions of medication and confusion should be included only with authorised GP, nurse and carer staff who are directly providing care, and not related to the information should not be shared. Records should also include Mrs Thompson's views, strengths and desired outcomes, not just describe her in terms of risks. Further, Hoyle et al. (2019) demonstrate the impact of social-care records on rights and subsequent decisions—a testament to the importance of respectful and accurate representation.</w:t>
      </w:r>
    </w:p>
    <w:p w14:paraId="241F2853" w14:textId="77777777" w:rsidR="000E574B" w:rsidRPr="000E574B" w:rsidRDefault="000E574B" w:rsidP="000E574B">
      <w:pPr>
        <w:pStyle w:val="Heading1"/>
        <w:rPr>
          <w:lang w:val="en-US"/>
        </w:rPr>
      </w:pPr>
      <w:bookmarkStart w:id="3" w:name="_Toc235131596"/>
      <w:r w:rsidRPr="000E574B">
        <w:rPr>
          <w:lang w:val="en-US"/>
        </w:rPr>
        <w:t>3. Collaborative Working</w:t>
      </w:r>
      <w:bookmarkEnd w:id="3"/>
    </w:p>
    <w:p w14:paraId="5A5AAB54" w14:textId="77777777" w:rsidR="000E574B" w:rsidRPr="000E574B" w:rsidRDefault="000E574B" w:rsidP="000E574B">
      <w:pPr>
        <w:rPr>
          <w:lang w:val="en-US"/>
        </w:rPr>
      </w:pPr>
      <w:r w:rsidRPr="000E574B">
        <w:rPr>
          <w:lang w:val="en-US"/>
        </w:rPr>
        <w:t>Mrs Thompson's needs go beyond profession and organisation. The GP should initiate the medicines review and look for reversible causes of confusion; the community nurse should ensure that patients are monitored for their recovery; the domiciliary workers should report any changes daily and support with medicines; a pharmacist should review adherence and complexities; local authority practitioner review care and safeguarding; housing staff review environmental risks. The involvement of families should be coordinated with Mrs Thompson and MUST NOT take the place of her being involved.</w:t>
      </w:r>
    </w:p>
    <w:p w14:paraId="636B91AD" w14:textId="199B2FB9" w:rsidR="000E574B" w:rsidRPr="000E574B" w:rsidRDefault="008A5FDE" w:rsidP="000E574B">
      <w:pPr>
        <w:rPr>
          <w:lang w:val="en-US"/>
        </w:rPr>
      </w:pPr>
      <w:r w:rsidRPr="008A5FDE">
        <w:rPr>
          <w:lang w:val="en-US"/>
        </w:rPr>
        <w:t xml:space="preserve">While multidisciplinary working is tailored for older people with complex needs, it needs to be organised (roles, leadership and information systems) (Social Care Institute for Excellence, 2022). Fragmentation of care will be minimised by the introduction of the following: named coordinator, shared plan for </w:t>
      </w:r>
      <w:r>
        <w:rPr>
          <w:lang w:val="en-US"/>
        </w:rPr>
        <w:t>person-centred</w:t>
      </w:r>
      <w:r w:rsidRPr="008A5FDE">
        <w:rPr>
          <w:lang w:val="en-US"/>
        </w:rPr>
        <w:t xml:space="preserve"> care, structured handovers and escalation, and short review meetings. </w:t>
      </w:r>
      <w:r w:rsidR="000E574B" w:rsidRPr="000E574B">
        <w:rPr>
          <w:lang w:val="en-US"/>
        </w:rPr>
        <w:t>This should include GP review, an updated medication plan and cold-weather safety measures, and every action should have an owner and a deadline. This should lead to fewer omissions, fewer incidents in the outdoor section, fewer places of unplanned offence and more confidence. This not only avoids redundant visits but will also send out signals of emergence before avoidable crises.</w:t>
      </w:r>
    </w:p>
    <w:p w14:paraId="30C083B9" w14:textId="3F2C0039" w:rsidR="000E574B" w:rsidRPr="000E574B" w:rsidRDefault="00771A09" w:rsidP="000E574B">
      <w:pPr>
        <w:rPr>
          <w:lang w:val="en-US"/>
        </w:rPr>
      </w:pPr>
      <w:r w:rsidRPr="00771A09">
        <w:rPr>
          <w:lang w:val="en-US"/>
        </w:rPr>
        <w:t>Common barriers to multi-agency working include incompatible record systems, time pressures, unclear responsibilities, different professional priorities, organisational boundaries, professional hierarchy and uncertainty about confidentiality</w:t>
      </w:r>
      <w:r w:rsidR="000E574B" w:rsidRPr="000E574B">
        <w:rPr>
          <w:lang w:val="en-US"/>
        </w:rPr>
        <w:t xml:space="preserve">. Glasby and Dickinson (2014) argue that partnership working must address practical and cultural boundaries rather than assume integration occurs automatically. </w:t>
      </w:r>
      <w:r w:rsidR="00066BE8">
        <w:rPr>
          <w:lang w:val="en-US"/>
        </w:rPr>
        <w:t>The team must make</w:t>
      </w:r>
      <w:r w:rsidR="000E574B" w:rsidRPr="000E574B">
        <w:rPr>
          <w:lang w:val="en-US"/>
        </w:rPr>
        <w:t xml:space="preserve"> a common agreement regarding the word, lawful sharing, how to get in touch and the system for escalating. Power also has an impact, as it can be that a person living with dementia is dominated by a professional or by relatives. In examining professional and structural influence, Karim's (2023) power-informed approach enables Mrs Thompson to remain an active partner. Arrangements should be reviewed regularly to ensure that </w:t>
      </w:r>
      <w:r w:rsidR="000E574B">
        <w:rPr>
          <w:lang w:val="en-US"/>
        </w:rPr>
        <w:t>they are</w:t>
      </w:r>
      <w:r w:rsidR="000E574B" w:rsidRPr="000E574B">
        <w:rPr>
          <w:lang w:val="en-US"/>
        </w:rPr>
        <w:t xml:space="preserve"> improving safety, and changes to support should be considered if risks or preferences change.</w:t>
      </w:r>
    </w:p>
    <w:p w14:paraId="648A1CEF" w14:textId="77777777" w:rsidR="000E574B" w:rsidRPr="000E574B" w:rsidRDefault="000E574B" w:rsidP="000E574B">
      <w:pPr>
        <w:pStyle w:val="Heading1"/>
        <w:rPr>
          <w:lang w:val="en-US"/>
        </w:rPr>
      </w:pPr>
      <w:bookmarkStart w:id="4" w:name="_Toc235131597"/>
      <w:r w:rsidRPr="000E574B">
        <w:rPr>
          <w:lang w:val="en-US"/>
        </w:rPr>
        <w:t>Conclusion</w:t>
      </w:r>
      <w:bookmarkEnd w:id="4"/>
    </w:p>
    <w:p w14:paraId="2184D6AA" w14:textId="77777777" w:rsidR="000E574B" w:rsidRPr="000E574B" w:rsidRDefault="000E574B" w:rsidP="000E574B">
      <w:pPr>
        <w:rPr>
          <w:lang w:val="en-US"/>
        </w:rPr>
      </w:pPr>
      <w:r w:rsidRPr="000E574B">
        <w:rPr>
          <w:lang w:val="en-US"/>
        </w:rPr>
        <w:t>Mrs Thompson's case demonstrates communication and documentation, and the importance of partnership to safe care. Communication should be kept at a reasonable level of awareness of capacity, should be culturally sensitive, accessible and should be accompanied by reasonable adjustments and feedback. The Shannon Weaver process is useful for highlighting areas of confusion, jargon and inconsistencies, but person-centred practice needs to go further than the linear limits of the model. Records are accurate and up-to-date, linking incidents with medicine review, care planning, safeguarding and meeting data protection requirements. No unnecessary information is to be disclosed to an authorised person for a care-related purpose. Working together should bring together the GP, nurse, care workers, the pharmacist, local authority, housing staff and the family together, guided by leadership and a clear plan. Most of all, Mrs Thompson shouldn't be a passive object of professional activity. These should support her wishes, limitations, communication needs and outcomes, a balance of protection, dignity and independence.</w:t>
      </w:r>
      <w:r w:rsidRPr="000E574B">
        <w:rPr>
          <w:lang w:val="en-US"/>
        </w:rPr>
        <w:br w:type="page"/>
      </w:r>
    </w:p>
    <w:p w14:paraId="002C096F" w14:textId="77777777" w:rsidR="000E574B" w:rsidRPr="000E574B" w:rsidRDefault="000E574B" w:rsidP="000E574B">
      <w:pPr>
        <w:pStyle w:val="Heading1"/>
        <w:rPr>
          <w:lang w:val="en-US"/>
        </w:rPr>
      </w:pPr>
      <w:bookmarkStart w:id="5" w:name="_Toc235131598"/>
      <w:r w:rsidRPr="000E574B">
        <w:rPr>
          <w:lang w:val="en-US"/>
        </w:rPr>
        <w:t>References</w:t>
      </w:r>
      <w:bookmarkEnd w:id="5"/>
    </w:p>
    <w:p w14:paraId="34729A5A" w14:textId="07EC396F" w:rsidR="000E574B" w:rsidRPr="000E574B" w:rsidRDefault="000E574B" w:rsidP="000E574B">
      <w:pPr>
        <w:rPr>
          <w:lang w:val="en-US"/>
        </w:rPr>
      </w:pPr>
      <w:r w:rsidRPr="000E574B">
        <w:rPr>
          <w:lang w:val="en-US"/>
        </w:rPr>
        <w:t xml:space="preserve">Care Quality Commission (2025) </w:t>
      </w:r>
      <w:r w:rsidRPr="000E574B">
        <w:rPr>
          <w:i/>
          <w:lang w:val="en-US"/>
        </w:rPr>
        <w:t>Regulation 17: Good governance</w:t>
      </w:r>
      <w:r w:rsidRPr="000E574B">
        <w:rPr>
          <w:lang w:val="en-US"/>
        </w:rPr>
        <w:t xml:space="preserve">. Available at: </w:t>
      </w:r>
      <w:hyperlink r:id="rId7">
        <w:r w:rsidRPr="000E574B">
          <w:rPr>
            <w:rStyle w:val="Hyperlink"/>
            <w:lang w:val="en-US"/>
          </w:rPr>
          <w:t>https://www.cqc.org.uk/guidance-regulation/providers/regulations-service-providers-and-managers/health-social-care-act/regulation-17</w:t>
        </w:r>
      </w:hyperlink>
      <w:r w:rsidRPr="000E574B">
        <w:rPr>
          <w:lang w:val="en-US"/>
        </w:rPr>
        <w:t xml:space="preserve"> (Accessed: 1</w:t>
      </w:r>
      <w:r w:rsidR="00214062">
        <w:rPr>
          <w:lang w:val="en-US"/>
        </w:rPr>
        <w:t>5</w:t>
      </w:r>
      <w:r w:rsidRPr="000E574B">
        <w:rPr>
          <w:lang w:val="en-US"/>
        </w:rPr>
        <w:t xml:space="preserve"> July 2026).</w:t>
      </w:r>
    </w:p>
    <w:p w14:paraId="2B983CEC" w14:textId="0A8DAB6E" w:rsidR="000E574B" w:rsidRPr="000E574B" w:rsidRDefault="000E574B" w:rsidP="000E574B">
      <w:pPr>
        <w:rPr>
          <w:lang w:val="en-US"/>
        </w:rPr>
      </w:pPr>
      <w:r w:rsidRPr="000E574B">
        <w:rPr>
          <w:lang w:val="en-US"/>
        </w:rPr>
        <w:t>Department of Health and Social Care (2025)</w:t>
      </w:r>
      <w:r w:rsidR="00066BE8">
        <w:rPr>
          <w:lang w:val="en-US"/>
        </w:rPr>
        <w:t>.</w:t>
      </w:r>
      <w:r w:rsidRPr="000E574B">
        <w:rPr>
          <w:lang w:val="en-US"/>
        </w:rPr>
        <w:t xml:space="preserve"> </w:t>
      </w:r>
      <w:r w:rsidRPr="000E574B">
        <w:rPr>
          <w:i/>
          <w:lang w:val="en-US"/>
        </w:rPr>
        <w:t>Care and support statutory guidance</w:t>
      </w:r>
      <w:r w:rsidRPr="000E574B">
        <w:rPr>
          <w:lang w:val="en-US"/>
        </w:rPr>
        <w:t xml:space="preserve">. Available at: </w:t>
      </w:r>
      <w:hyperlink r:id="rId8">
        <w:r w:rsidRPr="000E574B">
          <w:rPr>
            <w:rStyle w:val="Hyperlink"/>
            <w:lang w:val="en-US"/>
          </w:rPr>
          <w:t>https://www.gov.uk/government/publications/care-act-statutory-guidance/care-and-support-statutory-guidance</w:t>
        </w:r>
      </w:hyperlink>
      <w:r w:rsidRPr="000E574B">
        <w:rPr>
          <w:lang w:val="en-US"/>
        </w:rPr>
        <w:t xml:space="preserve"> (Accessed: 1</w:t>
      </w:r>
      <w:r w:rsidR="00214062">
        <w:rPr>
          <w:lang w:val="en-US"/>
        </w:rPr>
        <w:t>5</w:t>
      </w:r>
      <w:r w:rsidRPr="000E574B">
        <w:rPr>
          <w:lang w:val="en-US"/>
        </w:rPr>
        <w:t xml:space="preserve"> July 2026).</w:t>
      </w:r>
    </w:p>
    <w:p w14:paraId="41D264D6" w14:textId="48628ED2" w:rsidR="00BC66C3" w:rsidRDefault="00BC66C3" w:rsidP="000E574B">
      <w:r w:rsidRPr="00BC66C3">
        <w:t xml:space="preserve">Glasby, J. and Dickinson, H., </w:t>
      </w:r>
      <w:r>
        <w:t>(</w:t>
      </w:r>
      <w:r w:rsidRPr="00BC66C3">
        <w:t>2014</w:t>
      </w:r>
      <w:r>
        <w:t>)</w:t>
      </w:r>
      <w:r w:rsidRPr="00BC66C3">
        <w:t>. </w:t>
      </w:r>
      <w:r w:rsidRPr="00BC66C3">
        <w:rPr>
          <w:i/>
          <w:iCs/>
        </w:rPr>
        <w:t>Partnership working in health and social care: what is integrated care and how can we deliver it?</w:t>
      </w:r>
      <w:r w:rsidRPr="00BC66C3">
        <w:t>. Policy Press.</w:t>
      </w:r>
    </w:p>
    <w:p w14:paraId="06AF6F90" w14:textId="79E7847B" w:rsidR="000E574B" w:rsidRPr="000E574B" w:rsidRDefault="000E574B" w:rsidP="000E574B">
      <w:pPr>
        <w:rPr>
          <w:lang w:val="en-US"/>
        </w:rPr>
      </w:pPr>
      <w:r w:rsidRPr="000E574B">
        <w:rPr>
          <w:lang w:val="en-US"/>
        </w:rPr>
        <w:t xml:space="preserve">Great Britain (2005) </w:t>
      </w:r>
      <w:r w:rsidRPr="000E574B">
        <w:rPr>
          <w:i/>
          <w:lang w:val="en-US"/>
        </w:rPr>
        <w:t>Mental Capacity Act 2005</w:t>
      </w:r>
      <w:r w:rsidRPr="000E574B">
        <w:rPr>
          <w:lang w:val="en-US"/>
        </w:rPr>
        <w:t xml:space="preserve">. London: The Stationery Office. Available at: </w:t>
      </w:r>
      <w:hyperlink r:id="rId9">
        <w:r w:rsidRPr="000E574B">
          <w:rPr>
            <w:rStyle w:val="Hyperlink"/>
            <w:lang w:val="en-US"/>
          </w:rPr>
          <w:t>https://www.legislation.gov.uk/ukpga/2005/9/contents</w:t>
        </w:r>
      </w:hyperlink>
      <w:r w:rsidRPr="000E574B">
        <w:rPr>
          <w:lang w:val="en-US"/>
        </w:rPr>
        <w:t xml:space="preserve"> (Accessed: 16 July 2026).</w:t>
      </w:r>
    </w:p>
    <w:p w14:paraId="135789DC" w14:textId="77777777" w:rsidR="000E574B" w:rsidRPr="000E574B" w:rsidRDefault="000E574B" w:rsidP="000E574B">
      <w:pPr>
        <w:rPr>
          <w:lang w:val="en-US"/>
        </w:rPr>
      </w:pPr>
      <w:r w:rsidRPr="000E574B">
        <w:rPr>
          <w:lang w:val="en-US"/>
        </w:rPr>
        <w:t xml:space="preserve">Great Britain (2010) </w:t>
      </w:r>
      <w:r w:rsidRPr="000E574B">
        <w:rPr>
          <w:i/>
          <w:lang w:val="en-US"/>
        </w:rPr>
        <w:t>Equality Act 2010</w:t>
      </w:r>
      <w:r w:rsidRPr="000E574B">
        <w:rPr>
          <w:lang w:val="en-US"/>
        </w:rPr>
        <w:t xml:space="preserve">. London: The Stationery Office. Available at: </w:t>
      </w:r>
      <w:hyperlink r:id="rId10">
        <w:r w:rsidRPr="000E574B">
          <w:rPr>
            <w:rStyle w:val="Hyperlink"/>
            <w:lang w:val="en-US"/>
          </w:rPr>
          <w:t>https://www.legislation.gov.uk/ukpga/2010/15/contents</w:t>
        </w:r>
      </w:hyperlink>
      <w:r w:rsidRPr="000E574B">
        <w:rPr>
          <w:lang w:val="en-US"/>
        </w:rPr>
        <w:t xml:space="preserve"> (Accessed: 16 July 2026).</w:t>
      </w:r>
    </w:p>
    <w:p w14:paraId="20506649" w14:textId="6D14C488" w:rsidR="000E574B" w:rsidRPr="000E574B" w:rsidRDefault="000E574B" w:rsidP="000E574B">
      <w:pPr>
        <w:rPr>
          <w:lang w:val="en-US"/>
        </w:rPr>
      </w:pPr>
      <w:r w:rsidRPr="000E574B">
        <w:rPr>
          <w:lang w:val="en-US"/>
        </w:rPr>
        <w:t xml:space="preserve">Great Britain (2014) </w:t>
      </w:r>
      <w:r w:rsidRPr="000E574B">
        <w:rPr>
          <w:i/>
          <w:lang w:val="en-US"/>
        </w:rPr>
        <w:t>Care Act 2014</w:t>
      </w:r>
      <w:r w:rsidRPr="000E574B">
        <w:rPr>
          <w:lang w:val="en-US"/>
        </w:rPr>
        <w:t xml:space="preserve">. London: The Stationery Office. Available at: </w:t>
      </w:r>
      <w:hyperlink r:id="rId11">
        <w:r w:rsidRPr="000E574B">
          <w:rPr>
            <w:rStyle w:val="Hyperlink"/>
            <w:lang w:val="en-US"/>
          </w:rPr>
          <w:t>https://www.legislation.gov.uk/ukpga/2014/23/contents</w:t>
        </w:r>
      </w:hyperlink>
      <w:r w:rsidRPr="000E574B">
        <w:rPr>
          <w:lang w:val="en-US"/>
        </w:rPr>
        <w:t xml:space="preserve"> (Accessed: 1</w:t>
      </w:r>
      <w:r w:rsidR="00214062">
        <w:rPr>
          <w:lang w:val="en-US"/>
        </w:rPr>
        <w:t>5</w:t>
      </w:r>
      <w:r w:rsidRPr="000E574B">
        <w:rPr>
          <w:lang w:val="en-US"/>
        </w:rPr>
        <w:t xml:space="preserve"> July 2026).</w:t>
      </w:r>
    </w:p>
    <w:p w14:paraId="4770BC2F" w14:textId="2041F848" w:rsidR="000E574B" w:rsidRPr="000E574B" w:rsidRDefault="000E574B" w:rsidP="000E574B">
      <w:pPr>
        <w:rPr>
          <w:lang w:val="en-US"/>
        </w:rPr>
      </w:pPr>
      <w:r w:rsidRPr="000E574B">
        <w:rPr>
          <w:lang w:val="en-US"/>
        </w:rPr>
        <w:t xml:space="preserve">Great Britain (2018) </w:t>
      </w:r>
      <w:r w:rsidRPr="000E574B">
        <w:rPr>
          <w:i/>
          <w:lang w:val="en-US"/>
        </w:rPr>
        <w:t>Data Protection Act 2018</w:t>
      </w:r>
      <w:r w:rsidRPr="000E574B">
        <w:rPr>
          <w:lang w:val="en-US"/>
        </w:rPr>
        <w:t xml:space="preserve">. London: The Stationery Office. Available at: </w:t>
      </w:r>
      <w:hyperlink r:id="rId12">
        <w:r w:rsidRPr="000E574B">
          <w:rPr>
            <w:rStyle w:val="Hyperlink"/>
            <w:lang w:val="en-US"/>
          </w:rPr>
          <w:t>https://www.legislation.gov.uk/ukpga/2018/12/contents</w:t>
        </w:r>
      </w:hyperlink>
      <w:r w:rsidRPr="000E574B">
        <w:rPr>
          <w:lang w:val="en-US"/>
        </w:rPr>
        <w:t xml:space="preserve"> (Accessed: 1</w:t>
      </w:r>
      <w:r w:rsidR="00214062">
        <w:rPr>
          <w:lang w:val="en-US"/>
        </w:rPr>
        <w:t>5</w:t>
      </w:r>
      <w:r w:rsidRPr="000E574B">
        <w:rPr>
          <w:lang w:val="en-US"/>
        </w:rPr>
        <w:t xml:space="preserve"> July 2026).</w:t>
      </w:r>
    </w:p>
    <w:p w14:paraId="4AF043B8" w14:textId="77777777" w:rsidR="000E574B" w:rsidRPr="000E574B" w:rsidRDefault="000E574B" w:rsidP="000E574B">
      <w:pPr>
        <w:rPr>
          <w:lang w:val="en-US"/>
        </w:rPr>
      </w:pPr>
      <w:r w:rsidRPr="000E574B">
        <w:rPr>
          <w:lang w:val="en-US"/>
        </w:rPr>
        <w:t xml:space="preserve">Hoyle, V., Shepherd, E., Flinn, A. and Lomas, E. (2019) ‘Child social-care recording and the information rights of care-experienced people: A recordkeeping perspective’, </w:t>
      </w:r>
      <w:r w:rsidRPr="000E574B">
        <w:rPr>
          <w:i/>
          <w:lang w:val="en-US"/>
        </w:rPr>
        <w:t>British Journal of Social Work</w:t>
      </w:r>
      <w:r w:rsidRPr="000E574B">
        <w:rPr>
          <w:lang w:val="en-US"/>
        </w:rPr>
        <w:t xml:space="preserve">, 49(7), pp. 1856–1874. Available at: </w:t>
      </w:r>
      <w:hyperlink r:id="rId13">
        <w:r w:rsidRPr="000E574B">
          <w:rPr>
            <w:rStyle w:val="Hyperlink"/>
            <w:lang w:val="en-US"/>
          </w:rPr>
          <w:t>https://doi.org/10.1093/bjsw/bcy115</w:t>
        </w:r>
      </w:hyperlink>
      <w:r w:rsidRPr="000E574B">
        <w:rPr>
          <w:lang w:val="en-US"/>
        </w:rPr>
        <w:t xml:space="preserve"> (Accessed: 16 July 2026).</w:t>
      </w:r>
    </w:p>
    <w:p w14:paraId="7E62D237" w14:textId="77777777" w:rsidR="000E574B" w:rsidRPr="000E574B" w:rsidRDefault="000E574B" w:rsidP="000E574B">
      <w:pPr>
        <w:rPr>
          <w:lang w:val="en-US"/>
        </w:rPr>
      </w:pPr>
      <w:r w:rsidRPr="000E574B">
        <w:rPr>
          <w:lang w:val="en-US"/>
        </w:rPr>
        <w:t xml:space="preserve">Information Commissioner’s Office (2024) </w:t>
      </w:r>
      <w:r w:rsidRPr="000E574B">
        <w:rPr>
          <w:i/>
          <w:lang w:val="en-US"/>
        </w:rPr>
        <w:t>Special category data</w:t>
      </w:r>
      <w:r w:rsidRPr="000E574B">
        <w:rPr>
          <w:lang w:val="en-US"/>
        </w:rPr>
        <w:t xml:space="preserve">. Available at: </w:t>
      </w:r>
      <w:hyperlink r:id="rId14">
        <w:r w:rsidRPr="000E574B">
          <w:rPr>
            <w:rStyle w:val="Hyperlink"/>
            <w:lang w:val="en-US"/>
          </w:rPr>
          <w:t>https://ico.org.uk/for-organisations/uk-gdpr-guidance-and-resources/lawful-basis/a-guide-to-lawful-basis/special-category-data/</w:t>
        </w:r>
      </w:hyperlink>
      <w:r w:rsidRPr="000E574B">
        <w:rPr>
          <w:lang w:val="en-US"/>
        </w:rPr>
        <w:t xml:space="preserve"> (Accessed: 16 July 2026).</w:t>
      </w:r>
    </w:p>
    <w:p w14:paraId="30278928" w14:textId="77777777" w:rsidR="000E574B" w:rsidRPr="000E574B" w:rsidRDefault="000E574B" w:rsidP="000E574B">
      <w:pPr>
        <w:rPr>
          <w:lang w:val="en-US"/>
        </w:rPr>
      </w:pPr>
      <w:r w:rsidRPr="000E574B">
        <w:rPr>
          <w:lang w:val="en-US"/>
        </w:rPr>
        <w:t xml:space="preserve">Karim, S. (2023) ‘Power-informed practice in social work’, </w:t>
      </w:r>
      <w:r w:rsidRPr="000E574B">
        <w:rPr>
          <w:i/>
          <w:lang w:val="en-US"/>
        </w:rPr>
        <w:t>Journal of Social Work</w:t>
      </w:r>
      <w:r w:rsidRPr="000E574B">
        <w:rPr>
          <w:lang w:val="en-US"/>
        </w:rPr>
        <w:t xml:space="preserve">, 23(6), pp. 1062–1079. Available at: </w:t>
      </w:r>
      <w:hyperlink r:id="rId15">
        <w:r w:rsidRPr="000E574B">
          <w:rPr>
            <w:rStyle w:val="Hyperlink"/>
            <w:lang w:val="en-US"/>
          </w:rPr>
          <w:t>https://doi.org/10.1177/14680173231180307</w:t>
        </w:r>
      </w:hyperlink>
      <w:r w:rsidRPr="000E574B">
        <w:rPr>
          <w:lang w:val="en-US"/>
        </w:rPr>
        <w:t xml:space="preserve"> (Accessed: 16 July 2026).</w:t>
      </w:r>
    </w:p>
    <w:p w14:paraId="77C5A310" w14:textId="00FF43EE" w:rsidR="000E574B" w:rsidRPr="000E574B" w:rsidRDefault="000E574B" w:rsidP="000E574B">
      <w:pPr>
        <w:rPr>
          <w:lang w:val="en-US"/>
        </w:rPr>
      </w:pPr>
      <w:r w:rsidRPr="000E574B">
        <w:rPr>
          <w:lang w:val="en-US"/>
        </w:rPr>
        <w:t xml:space="preserve">National Data Guardian (2020) </w:t>
      </w:r>
      <w:r w:rsidRPr="000E574B">
        <w:rPr>
          <w:i/>
          <w:lang w:val="en-US"/>
        </w:rPr>
        <w:t>The Caldicott Principles</w:t>
      </w:r>
      <w:r w:rsidRPr="000E574B">
        <w:rPr>
          <w:lang w:val="en-US"/>
        </w:rPr>
        <w:t xml:space="preserve">. Available at: </w:t>
      </w:r>
      <w:hyperlink r:id="rId16">
        <w:r w:rsidRPr="000E574B">
          <w:rPr>
            <w:rStyle w:val="Hyperlink"/>
            <w:lang w:val="en-US"/>
          </w:rPr>
          <w:t>https://www.gov.uk/government/publications/the-caldicott-principles</w:t>
        </w:r>
      </w:hyperlink>
      <w:r w:rsidRPr="000E574B">
        <w:rPr>
          <w:lang w:val="en-US"/>
        </w:rPr>
        <w:t xml:space="preserve"> (Accessed: 1</w:t>
      </w:r>
      <w:r w:rsidR="00214062">
        <w:rPr>
          <w:lang w:val="en-US"/>
        </w:rPr>
        <w:t>5</w:t>
      </w:r>
      <w:r w:rsidRPr="000E574B">
        <w:rPr>
          <w:lang w:val="en-US"/>
        </w:rPr>
        <w:t xml:space="preserve"> July 2026).</w:t>
      </w:r>
    </w:p>
    <w:p w14:paraId="740D8D5A" w14:textId="77777777" w:rsidR="000E574B" w:rsidRPr="000E574B" w:rsidRDefault="000E574B" w:rsidP="000E574B">
      <w:pPr>
        <w:rPr>
          <w:lang w:val="en-US"/>
        </w:rPr>
      </w:pPr>
      <w:r w:rsidRPr="000E574B">
        <w:rPr>
          <w:lang w:val="en-US"/>
        </w:rPr>
        <w:t xml:space="preserve">NHS England (2024) </w:t>
      </w:r>
      <w:r w:rsidRPr="000E574B">
        <w:rPr>
          <w:i/>
          <w:lang w:val="en-US"/>
        </w:rPr>
        <w:t>RightCare dementia scenario</w:t>
      </w:r>
      <w:r w:rsidRPr="000E574B">
        <w:rPr>
          <w:lang w:val="en-US"/>
        </w:rPr>
        <w:t xml:space="preserve">. Available at: </w:t>
      </w:r>
      <w:hyperlink r:id="rId17">
        <w:r w:rsidRPr="000E574B">
          <w:rPr>
            <w:rStyle w:val="Hyperlink"/>
            <w:lang w:val="en-US"/>
          </w:rPr>
          <w:t>https://www.england.nhs.uk/long-read/rightcare-dementia-scenario/</w:t>
        </w:r>
      </w:hyperlink>
      <w:r w:rsidRPr="000E574B">
        <w:rPr>
          <w:lang w:val="en-US"/>
        </w:rPr>
        <w:t xml:space="preserve"> (Accessed: 16 July 2026).</w:t>
      </w:r>
    </w:p>
    <w:p w14:paraId="46F4AF4E" w14:textId="77777777" w:rsidR="000E574B" w:rsidRPr="000E574B" w:rsidRDefault="000E574B" w:rsidP="000E574B">
      <w:pPr>
        <w:rPr>
          <w:lang w:val="en-US"/>
        </w:rPr>
      </w:pPr>
      <w:r w:rsidRPr="000E574B">
        <w:rPr>
          <w:lang w:val="en-US"/>
        </w:rPr>
        <w:t xml:space="preserve">NHS England (2025a) </w:t>
      </w:r>
      <w:r w:rsidRPr="000E574B">
        <w:rPr>
          <w:i/>
          <w:lang w:val="en-US"/>
        </w:rPr>
        <w:t>Accessible Information Standard – requirements (DAPB1605)</w:t>
      </w:r>
      <w:r w:rsidRPr="000E574B">
        <w:rPr>
          <w:lang w:val="en-US"/>
        </w:rPr>
        <w:t xml:space="preserve">. Available at: </w:t>
      </w:r>
      <w:hyperlink r:id="rId18">
        <w:r w:rsidRPr="000E574B">
          <w:rPr>
            <w:rStyle w:val="Hyperlink"/>
            <w:lang w:val="en-US"/>
          </w:rPr>
          <w:t>https://www.england.nhs.uk/long-read/accessible-information-standard-requirements-dapb1605/</w:t>
        </w:r>
      </w:hyperlink>
      <w:r w:rsidRPr="000E574B">
        <w:rPr>
          <w:lang w:val="en-US"/>
        </w:rPr>
        <w:t xml:space="preserve"> (Accessed: 16 July 2026).</w:t>
      </w:r>
    </w:p>
    <w:p w14:paraId="33F615AF" w14:textId="77777777" w:rsidR="000E574B" w:rsidRPr="000E574B" w:rsidRDefault="000E574B" w:rsidP="000E574B">
      <w:pPr>
        <w:rPr>
          <w:lang w:val="en-US"/>
        </w:rPr>
      </w:pPr>
      <w:r w:rsidRPr="000E574B">
        <w:rPr>
          <w:lang w:val="en-US"/>
        </w:rPr>
        <w:t xml:space="preserve">NHS England (2025b) </w:t>
      </w:r>
      <w:r w:rsidRPr="000E574B">
        <w:rPr>
          <w:i/>
          <w:lang w:val="en-US"/>
        </w:rPr>
        <w:t>Improvement framework: community language translation and interpreting services</w:t>
      </w:r>
      <w:r w:rsidRPr="000E574B">
        <w:rPr>
          <w:lang w:val="en-US"/>
        </w:rPr>
        <w:t xml:space="preserve">. Available at: </w:t>
      </w:r>
      <w:hyperlink r:id="rId19">
        <w:r w:rsidRPr="000E574B">
          <w:rPr>
            <w:rStyle w:val="Hyperlink"/>
            <w:lang w:val="en-US"/>
          </w:rPr>
          <w:t>https://www.england.nhs.uk/long-read/improvement-framework-community-language-translation-and-interpreting-services/</w:t>
        </w:r>
      </w:hyperlink>
      <w:r w:rsidRPr="000E574B">
        <w:rPr>
          <w:lang w:val="en-US"/>
        </w:rPr>
        <w:t xml:space="preserve"> (Accessed: 16 July 2026).</w:t>
      </w:r>
    </w:p>
    <w:p w14:paraId="02AAA5F5" w14:textId="63BB09A0" w:rsidR="000E574B" w:rsidRPr="000E574B" w:rsidRDefault="000E574B" w:rsidP="000E574B">
      <w:pPr>
        <w:rPr>
          <w:lang w:val="en-US"/>
        </w:rPr>
      </w:pPr>
      <w:r w:rsidRPr="000E574B">
        <w:rPr>
          <w:lang w:val="en-US"/>
        </w:rPr>
        <w:t xml:space="preserve">National Institute for Health and Care Excellence (2015) </w:t>
      </w:r>
      <w:r w:rsidRPr="000E574B">
        <w:rPr>
          <w:i/>
          <w:lang w:val="en-US"/>
        </w:rPr>
        <w:t>Transition between inpatient hospital settings and community or care home settings for adults with social care needs</w:t>
      </w:r>
      <w:r w:rsidRPr="000E574B">
        <w:rPr>
          <w:lang w:val="en-US"/>
        </w:rPr>
        <w:t xml:space="preserve"> (NG27). Available at: </w:t>
      </w:r>
      <w:hyperlink r:id="rId20">
        <w:r w:rsidRPr="000E574B">
          <w:rPr>
            <w:rStyle w:val="Hyperlink"/>
            <w:lang w:val="en-US"/>
          </w:rPr>
          <w:t>https://www.nice.org.uk/guidance/ng27</w:t>
        </w:r>
      </w:hyperlink>
      <w:r w:rsidRPr="000E574B">
        <w:rPr>
          <w:lang w:val="en-US"/>
        </w:rPr>
        <w:t xml:space="preserve"> (Accessed: 1</w:t>
      </w:r>
      <w:r w:rsidR="00214062">
        <w:rPr>
          <w:lang w:val="en-US"/>
        </w:rPr>
        <w:t>5</w:t>
      </w:r>
      <w:r w:rsidRPr="000E574B">
        <w:rPr>
          <w:lang w:val="en-US"/>
        </w:rPr>
        <w:t xml:space="preserve"> July 2026).</w:t>
      </w:r>
    </w:p>
    <w:p w14:paraId="67AD5123" w14:textId="77777777" w:rsidR="000E574B" w:rsidRPr="000E574B" w:rsidRDefault="000E574B" w:rsidP="000E574B">
      <w:pPr>
        <w:rPr>
          <w:lang w:val="en-US"/>
        </w:rPr>
      </w:pPr>
      <w:r w:rsidRPr="000E574B">
        <w:rPr>
          <w:lang w:val="en-US"/>
        </w:rPr>
        <w:t xml:space="preserve">National Institute for Health and Care Excellence (2017) </w:t>
      </w:r>
      <w:r w:rsidRPr="000E574B">
        <w:rPr>
          <w:i/>
          <w:lang w:val="en-US"/>
        </w:rPr>
        <w:t>Managing medicines for adults receiving social care in the community</w:t>
      </w:r>
      <w:r w:rsidRPr="000E574B">
        <w:rPr>
          <w:lang w:val="en-US"/>
        </w:rPr>
        <w:t xml:space="preserve"> (NG67). Available at: </w:t>
      </w:r>
      <w:hyperlink r:id="rId21">
        <w:r w:rsidRPr="000E574B">
          <w:rPr>
            <w:rStyle w:val="Hyperlink"/>
            <w:lang w:val="en-US"/>
          </w:rPr>
          <w:t>https://www.nice.org.uk/guidance/ng67</w:t>
        </w:r>
      </w:hyperlink>
      <w:r w:rsidRPr="000E574B">
        <w:rPr>
          <w:lang w:val="en-US"/>
        </w:rPr>
        <w:t xml:space="preserve"> (Accessed: 16 July 2026).</w:t>
      </w:r>
    </w:p>
    <w:p w14:paraId="7F0EA134" w14:textId="77777777" w:rsidR="000E574B" w:rsidRPr="000E574B" w:rsidRDefault="000E574B" w:rsidP="000E574B">
      <w:pPr>
        <w:rPr>
          <w:lang w:val="en-US"/>
        </w:rPr>
      </w:pPr>
      <w:r w:rsidRPr="000E574B">
        <w:rPr>
          <w:lang w:val="en-US"/>
        </w:rPr>
        <w:t xml:space="preserve">National Institute for Health and Care Excellence (2018) </w:t>
      </w:r>
      <w:r w:rsidRPr="000E574B">
        <w:rPr>
          <w:i/>
          <w:lang w:val="en-US"/>
        </w:rPr>
        <w:t>Dementia: assessment, management and support for people living with dementia and their carers</w:t>
      </w:r>
      <w:r w:rsidRPr="000E574B">
        <w:rPr>
          <w:lang w:val="en-US"/>
        </w:rPr>
        <w:t xml:space="preserve"> (NG97). Available at: </w:t>
      </w:r>
      <w:hyperlink r:id="rId22">
        <w:r w:rsidRPr="000E574B">
          <w:rPr>
            <w:rStyle w:val="Hyperlink"/>
            <w:lang w:val="en-US"/>
          </w:rPr>
          <w:t>https://www.nice.org.uk/guidance/ng97</w:t>
        </w:r>
      </w:hyperlink>
      <w:r w:rsidRPr="000E574B">
        <w:rPr>
          <w:lang w:val="en-US"/>
        </w:rPr>
        <w:t xml:space="preserve"> (Accessed: 16 July 2026).</w:t>
      </w:r>
    </w:p>
    <w:p w14:paraId="6F4B3189" w14:textId="5933CBAB" w:rsidR="000E574B" w:rsidRPr="000E574B" w:rsidRDefault="000E574B" w:rsidP="000E574B">
      <w:pPr>
        <w:rPr>
          <w:lang w:val="en-US"/>
        </w:rPr>
      </w:pPr>
      <w:r w:rsidRPr="000E574B">
        <w:rPr>
          <w:lang w:val="en-US"/>
        </w:rPr>
        <w:t xml:space="preserve">Nursing and Midwifery Council (2018) </w:t>
      </w:r>
      <w:r w:rsidRPr="000E574B">
        <w:rPr>
          <w:i/>
          <w:lang w:val="en-US"/>
        </w:rPr>
        <w:t>The Code: Professional standards of practice and behaviour for nurses, midwives and nursing associates</w:t>
      </w:r>
      <w:r w:rsidRPr="000E574B">
        <w:rPr>
          <w:lang w:val="en-US"/>
        </w:rPr>
        <w:t xml:space="preserve">. London: NMC. Available at: </w:t>
      </w:r>
      <w:hyperlink r:id="rId23">
        <w:r w:rsidRPr="000E574B">
          <w:rPr>
            <w:rStyle w:val="Hyperlink"/>
            <w:lang w:val="en-US"/>
          </w:rPr>
          <w:t>https://www.nmc.org.uk/standards/code/</w:t>
        </w:r>
      </w:hyperlink>
      <w:r w:rsidRPr="000E574B">
        <w:rPr>
          <w:lang w:val="en-US"/>
        </w:rPr>
        <w:t xml:space="preserve"> (Accessed: 1</w:t>
      </w:r>
      <w:r w:rsidR="00D442D9">
        <w:rPr>
          <w:lang w:val="en-US"/>
        </w:rPr>
        <w:t>5</w:t>
      </w:r>
      <w:r w:rsidRPr="000E574B">
        <w:rPr>
          <w:lang w:val="en-US"/>
        </w:rPr>
        <w:t xml:space="preserve"> July 2026).</w:t>
      </w:r>
    </w:p>
    <w:p w14:paraId="32B85978" w14:textId="7658AE1B" w:rsidR="000E574B" w:rsidRPr="000E574B" w:rsidRDefault="000E574B" w:rsidP="000E574B">
      <w:pPr>
        <w:rPr>
          <w:lang w:val="en-US"/>
        </w:rPr>
      </w:pPr>
      <w:r w:rsidRPr="000E574B">
        <w:rPr>
          <w:lang w:val="en-US"/>
        </w:rPr>
        <w:t>Shannon, C.E. and Weaver, W. (19</w:t>
      </w:r>
      <w:r w:rsidR="002D5921">
        <w:rPr>
          <w:lang w:val="en-US"/>
        </w:rPr>
        <w:t>64</w:t>
      </w:r>
      <w:r w:rsidRPr="000E574B">
        <w:rPr>
          <w:lang w:val="en-US"/>
        </w:rPr>
        <w:t xml:space="preserve">) </w:t>
      </w:r>
      <w:r w:rsidRPr="000E574B">
        <w:rPr>
          <w:i/>
          <w:lang w:val="en-US"/>
        </w:rPr>
        <w:t>The Mathematical Theory of Communication</w:t>
      </w:r>
      <w:r w:rsidRPr="000E574B">
        <w:rPr>
          <w:lang w:val="en-US"/>
        </w:rPr>
        <w:t>. Urbana, IL: University of Illinois Press.</w:t>
      </w:r>
      <w:r w:rsidR="002D5921">
        <w:rPr>
          <w:lang w:val="en-US"/>
        </w:rPr>
        <w:t xml:space="preserve"> </w:t>
      </w:r>
      <w:r w:rsidR="00773DCA">
        <w:rPr>
          <w:lang w:val="en-US"/>
        </w:rPr>
        <w:t>Available</w:t>
      </w:r>
      <w:r w:rsidR="002D5921">
        <w:rPr>
          <w:lang w:val="en-US"/>
        </w:rPr>
        <w:t xml:space="preserve"> at: </w:t>
      </w:r>
      <w:hyperlink r:id="rId24" w:history="1">
        <w:r w:rsidR="002D5921" w:rsidRPr="00FA7AA4">
          <w:rPr>
            <w:rStyle w:val="Hyperlink"/>
            <w:lang w:val="en-US"/>
          </w:rPr>
          <w:t>https://pure.mpg.de/rest/items/item_2383164_3/component/file_2383163/content</w:t>
        </w:r>
      </w:hyperlink>
      <w:r w:rsidR="002D5921">
        <w:rPr>
          <w:lang w:val="en-US"/>
        </w:rPr>
        <w:t xml:space="preserve"> </w:t>
      </w:r>
    </w:p>
    <w:p w14:paraId="654D1E71" w14:textId="77777777" w:rsidR="000E574B" w:rsidRPr="000E574B" w:rsidRDefault="000E574B" w:rsidP="000E574B">
      <w:pPr>
        <w:rPr>
          <w:lang w:val="en-US"/>
        </w:rPr>
      </w:pPr>
      <w:r w:rsidRPr="000E574B">
        <w:rPr>
          <w:lang w:val="en-US"/>
        </w:rPr>
        <w:t xml:space="preserve">Social Care Institute for Excellence (2022) </w:t>
      </w:r>
      <w:r w:rsidRPr="000E574B">
        <w:rPr>
          <w:i/>
          <w:lang w:val="en-US"/>
        </w:rPr>
        <w:t>Multidisciplinary teams working for integrated care</w:t>
      </w:r>
      <w:r w:rsidRPr="000E574B">
        <w:rPr>
          <w:lang w:val="en-US"/>
        </w:rPr>
        <w:t xml:space="preserve">. Available at: </w:t>
      </w:r>
      <w:hyperlink r:id="rId25">
        <w:r w:rsidRPr="000E574B">
          <w:rPr>
            <w:rStyle w:val="Hyperlink"/>
            <w:lang w:val="en-US"/>
          </w:rPr>
          <w:t>https://www.scie.org.uk/integrated-care/research-practice/activities/multidisciplinary-teams/</w:t>
        </w:r>
      </w:hyperlink>
      <w:r w:rsidRPr="000E574B">
        <w:rPr>
          <w:lang w:val="en-US"/>
        </w:rPr>
        <w:t xml:space="preserve"> (Accessed: 16 July 2026).</w:t>
      </w:r>
    </w:p>
    <w:p w14:paraId="5A95CAB0" w14:textId="77777777" w:rsidR="000E574B" w:rsidRPr="000E574B" w:rsidRDefault="000E574B" w:rsidP="000E574B">
      <w:pPr>
        <w:rPr>
          <w:lang w:val="en-US"/>
        </w:rPr>
      </w:pPr>
      <w:r w:rsidRPr="000E574B">
        <w:rPr>
          <w:lang w:val="en-US"/>
        </w:rPr>
        <w:t xml:space="preserve">Williamson, T. (2012) </w:t>
      </w:r>
      <w:r w:rsidRPr="000E574B">
        <w:rPr>
          <w:i/>
          <w:lang w:val="en-US"/>
        </w:rPr>
        <w:t>A stronger collective voice for people with dementia</w:t>
      </w:r>
      <w:r w:rsidRPr="000E574B">
        <w:rPr>
          <w:lang w:val="en-US"/>
        </w:rPr>
        <w:t>. York: Joseph Rowntree Foundation.</w:t>
      </w:r>
    </w:p>
    <w:p w14:paraId="485CA239" w14:textId="77777777" w:rsidR="007408CC" w:rsidRDefault="007408CC"/>
    <w:sectPr w:rsidR="007408CC" w:rsidSect="000E574B">
      <w:headerReference w:type="default" r:id="rId26"/>
      <w:footerReference w:type="default" r:id="rId27"/>
      <w:pgSz w:w="11906" w:h="16838"/>
      <w:pgMar w:top="1247" w:right="1417" w:bottom="1134" w:left="1417" w:header="510" w:footer="51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E450A" w14:textId="77777777" w:rsidR="00C60655" w:rsidRDefault="00C60655">
      <w:pPr>
        <w:spacing w:after="0" w:line="240" w:lineRule="auto"/>
      </w:pPr>
      <w:r>
        <w:separator/>
      </w:r>
    </w:p>
  </w:endnote>
  <w:endnote w:type="continuationSeparator" w:id="0">
    <w:p w14:paraId="18B329FE" w14:textId="77777777" w:rsidR="00C60655" w:rsidRDefault="00C6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0148" w14:textId="77777777" w:rsidR="000E574B" w:rsidRDefault="000E574B">
    <w:pPr>
      <w:pStyle w:val="Footer"/>
      <w:jc w:val="center"/>
    </w:pPr>
    <w:r>
      <w:rPr>
        <w:sz w:val="18"/>
      </w:rPr>
      <w:t xml:space="preserve">Page </w:t>
    </w:r>
    <w:r>
      <w:rPr>
        <w:sz w:val="18"/>
      </w:rPr>
      <w:fldChar w:fldCharType="begin"/>
    </w:r>
    <w:r>
      <w:rPr>
        <w:rFonts w:ascii="Arial" w:hAnsi="Arial"/>
        <w:sz w:val="18"/>
      </w:rPr>
      <w:instrText>PAGE</w:instrText>
    </w:r>
    <w:r>
      <w:rPr>
        <w:sz w:val="18"/>
      </w:rPr>
      <w:fldChar w:fldCharType="separate"/>
    </w:r>
    <w:r>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9F5C3" w14:textId="77777777" w:rsidR="00C60655" w:rsidRDefault="00C60655">
      <w:pPr>
        <w:spacing w:after="0" w:line="240" w:lineRule="auto"/>
      </w:pPr>
      <w:r>
        <w:separator/>
      </w:r>
    </w:p>
  </w:footnote>
  <w:footnote w:type="continuationSeparator" w:id="0">
    <w:p w14:paraId="54992601" w14:textId="77777777" w:rsidR="00C60655" w:rsidRDefault="00C60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DA285" w14:textId="11EEE9DF" w:rsidR="000E574B" w:rsidRDefault="000E574B">
    <w:pPr>
      <w:pStyle w:val="Header"/>
      <w:pBdr>
        <w:bottom w:val="single" w:sz="4" w:space="2" w:color="B8C7D1"/>
      </w:pBd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74B"/>
    <w:rsid w:val="00066BE8"/>
    <w:rsid w:val="000E574B"/>
    <w:rsid w:val="001103EB"/>
    <w:rsid w:val="00152996"/>
    <w:rsid w:val="00173AF0"/>
    <w:rsid w:val="00182EB8"/>
    <w:rsid w:val="00214062"/>
    <w:rsid w:val="00286624"/>
    <w:rsid w:val="002A6794"/>
    <w:rsid w:val="002D5921"/>
    <w:rsid w:val="00344F86"/>
    <w:rsid w:val="003866A6"/>
    <w:rsid w:val="003B68C9"/>
    <w:rsid w:val="003D1492"/>
    <w:rsid w:val="003D3F41"/>
    <w:rsid w:val="003D563F"/>
    <w:rsid w:val="00422CE8"/>
    <w:rsid w:val="004A0BD0"/>
    <w:rsid w:val="004A55C3"/>
    <w:rsid w:val="004B2FDE"/>
    <w:rsid w:val="004C74BB"/>
    <w:rsid w:val="00556C0C"/>
    <w:rsid w:val="005A03CB"/>
    <w:rsid w:val="005E0E38"/>
    <w:rsid w:val="00621F94"/>
    <w:rsid w:val="00624D7D"/>
    <w:rsid w:val="00676676"/>
    <w:rsid w:val="006B5383"/>
    <w:rsid w:val="007408CC"/>
    <w:rsid w:val="0074658A"/>
    <w:rsid w:val="00771A09"/>
    <w:rsid w:val="00773DCA"/>
    <w:rsid w:val="007F532A"/>
    <w:rsid w:val="008001DF"/>
    <w:rsid w:val="00845EEE"/>
    <w:rsid w:val="008609E2"/>
    <w:rsid w:val="008A5FDE"/>
    <w:rsid w:val="008B344F"/>
    <w:rsid w:val="008D5BFA"/>
    <w:rsid w:val="009040AA"/>
    <w:rsid w:val="00A35186"/>
    <w:rsid w:val="00A63769"/>
    <w:rsid w:val="00A96497"/>
    <w:rsid w:val="00B2768E"/>
    <w:rsid w:val="00B9336E"/>
    <w:rsid w:val="00BC66C3"/>
    <w:rsid w:val="00C406E9"/>
    <w:rsid w:val="00C60655"/>
    <w:rsid w:val="00CA1B6E"/>
    <w:rsid w:val="00CF5510"/>
    <w:rsid w:val="00D10589"/>
    <w:rsid w:val="00D442D9"/>
    <w:rsid w:val="00DC1B4C"/>
    <w:rsid w:val="00DC1EBC"/>
    <w:rsid w:val="00DF69DE"/>
    <w:rsid w:val="00E337F4"/>
    <w:rsid w:val="00F06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8C35"/>
  <w15:chartTrackingRefBased/>
  <w15:docId w15:val="{B73C60C4-4324-483B-A0C8-2525642F7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8CC"/>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DF69DE"/>
    <w:pPr>
      <w:keepNext/>
      <w:keepLines/>
      <w:spacing w:before="360" w:after="80"/>
      <w:outlineLvl w:val="0"/>
    </w:pPr>
    <w:rPr>
      <w:rFonts w:asciiTheme="majorHAnsi" w:eastAsiaTheme="majorEastAsia" w:hAnsiTheme="majorHAnsi" w:cstheme="majorBidi"/>
      <w:b/>
      <w:color w:val="1F3864" w:themeColor="accent1" w:themeShade="80"/>
      <w:sz w:val="32"/>
      <w:szCs w:val="40"/>
    </w:rPr>
  </w:style>
  <w:style w:type="paragraph" w:styleId="Heading2">
    <w:name w:val="heading 2"/>
    <w:basedOn w:val="Normal"/>
    <w:next w:val="Normal"/>
    <w:link w:val="Heading2Char"/>
    <w:autoRedefine/>
    <w:uiPriority w:val="9"/>
    <w:unhideWhenUsed/>
    <w:qFormat/>
    <w:rsid w:val="00344F86"/>
    <w:pPr>
      <w:keepNext/>
      <w:keepLines/>
      <w:spacing w:before="160" w:after="80"/>
      <w:outlineLvl w:val="1"/>
    </w:pPr>
    <w:rPr>
      <w:rFonts w:asciiTheme="majorHAnsi" w:eastAsiaTheme="majorEastAsia" w:hAnsiTheme="majorHAnsi"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0E574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574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74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E57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E574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E574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E574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9DE"/>
    <w:rPr>
      <w:rFonts w:asciiTheme="majorHAnsi" w:eastAsiaTheme="majorEastAsia" w:hAnsiTheme="majorHAnsi" w:cstheme="majorBidi"/>
      <w:b/>
      <w:color w:val="1F3864" w:themeColor="accent1" w:themeShade="80"/>
      <w:sz w:val="32"/>
      <w:szCs w:val="40"/>
    </w:rPr>
  </w:style>
  <w:style w:type="character" w:customStyle="1" w:styleId="Heading2Char">
    <w:name w:val="Heading 2 Char"/>
    <w:basedOn w:val="DefaultParagraphFont"/>
    <w:link w:val="Heading2"/>
    <w:uiPriority w:val="9"/>
    <w:rsid w:val="00344F86"/>
    <w:rPr>
      <w:rFonts w:asciiTheme="majorHAnsi" w:eastAsiaTheme="majorEastAsia" w:hAnsiTheme="majorHAnsi"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0E574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E574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E574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E574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E574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E574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E574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E5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74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E57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74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E574B"/>
    <w:pPr>
      <w:spacing w:before="160"/>
      <w:jc w:val="center"/>
    </w:pPr>
    <w:rPr>
      <w:i/>
      <w:iCs/>
      <w:color w:val="404040" w:themeColor="text1" w:themeTint="BF"/>
    </w:rPr>
  </w:style>
  <w:style w:type="character" w:customStyle="1" w:styleId="QuoteChar">
    <w:name w:val="Quote Char"/>
    <w:basedOn w:val="DefaultParagraphFont"/>
    <w:link w:val="Quote"/>
    <w:uiPriority w:val="29"/>
    <w:rsid w:val="000E574B"/>
    <w:rPr>
      <w:rFonts w:ascii="Times New Roman" w:hAnsi="Times New Roman"/>
      <w:i/>
      <w:iCs/>
      <w:color w:val="404040" w:themeColor="text1" w:themeTint="BF"/>
      <w:lang w:val="en-GB"/>
    </w:rPr>
  </w:style>
  <w:style w:type="paragraph" w:styleId="ListParagraph">
    <w:name w:val="List Paragraph"/>
    <w:basedOn w:val="Normal"/>
    <w:uiPriority w:val="34"/>
    <w:qFormat/>
    <w:rsid w:val="000E574B"/>
    <w:pPr>
      <w:ind w:left="720"/>
      <w:contextualSpacing/>
    </w:pPr>
  </w:style>
  <w:style w:type="character" w:styleId="IntenseEmphasis">
    <w:name w:val="Intense Emphasis"/>
    <w:basedOn w:val="DefaultParagraphFont"/>
    <w:uiPriority w:val="21"/>
    <w:qFormat/>
    <w:rsid w:val="000E574B"/>
    <w:rPr>
      <w:i/>
      <w:iCs/>
      <w:color w:val="2F5496" w:themeColor="accent1" w:themeShade="BF"/>
    </w:rPr>
  </w:style>
  <w:style w:type="paragraph" w:styleId="IntenseQuote">
    <w:name w:val="Intense Quote"/>
    <w:basedOn w:val="Normal"/>
    <w:next w:val="Normal"/>
    <w:link w:val="IntenseQuoteChar"/>
    <w:uiPriority w:val="30"/>
    <w:qFormat/>
    <w:rsid w:val="000E57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574B"/>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0E574B"/>
    <w:rPr>
      <w:b/>
      <w:bCs/>
      <w:smallCaps/>
      <w:color w:val="2F5496" w:themeColor="accent1" w:themeShade="BF"/>
      <w:spacing w:val="5"/>
    </w:rPr>
  </w:style>
  <w:style w:type="paragraph" w:styleId="Header">
    <w:name w:val="header"/>
    <w:basedOn w:val="Normal"/>
    <w:link w:val="HeaderChar"/>
    <w:uiPriority w:val="99"/>
    <w:semiHidden/>
    <w:unhideWhenUsed/>
    <w:rsid w:val="000E574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574B"/>
    <w:rPr>
      <w:rFonts w:ascii="Times New Roman" w:hAnsi="Times New Roman"/>
      <w:lang w:val="en-GB"/>
    </w:rPr>
  </w:style>
  <w:style w:type="paragraph" w:styleId="Footer">
    <w:name w:val="footer"/>
    <w:basedOn w:val="Normal"/>
    <w:link w:val="FooterChar"/>
    <w:uiPriority w:val="99"/>
    <w:semiHidden/>
    <w:unhideWhenUsed/>
    <w:rsid w:val="000E574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E574B"/>
    <w:rPr>
      <w:rFonts w:ascii="Times New Roman" w:hAnsi="Times New Roman"/>
      <w:lang w:val="en-GB"/>
    </w:rPr>
  </w:style>
  <w:style w:type="character" w:styleId="Hyperlink">
    <w:name w:val="Hyperlink"/>
    <w:basedOn w:val="DefaultParagraphFont"/>
    <w:uiPriority w:val="99"/>
    <w:unhideWhenUsed/>
    <w:rsid w:val="000E574B"/>
    <w:rPr>
      <w:color w:val="0563C1" w:themeColor="hyperlink"/>
      <w:u w:val="single"/>
    </w:rPr>
  </w:style>
  <w:style w:type="character" w:styleId="UnresolvedMention">
    <w:name w:val="Unresolved Mention"/>
    <w:basedOn w:val="DefaultParagraphFont"/>
    <w:uiPriority w:val="99"/>
    <w:semiHidden/>
    <w:unhideWhenUsed/>
    <w:rsid w:val="000E574B"/>
    <w:rPr>
      <w:color w:val="605E5C"/>
      <w:shd w:val="clear" w:color="auto" w:fill="E1DFDD"/>
    </w:rPr>
  </w:style>
  <w:style w:type="table" w:styleId="TableGridLight">
    <w:name w:val="Grid Table Light"/>
    <w:basedOn w:val="TableNormal"/>
    <w:uiPriority w:val="40"/>
    <w:rsid w:val="000E57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0E574B"/>
    <w:pPr>
      <w:spacing w:before="240" w:after="0" w:line="259" w:lineRule="auto"/>
      <w:outlineLvl w:val="9"/>
    </w:pPr>
    <w:rPr>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0E574B"/>
    <w:pPr>
      <w:spacing w:after="100"/>
    </w:pPr>
  </w:style>
  <w:style w:type="character" w:styleId="FollowedHyperlink">
    <w:name w:val="FollowedHyperlink"/>
    <w:basedOn w:val="DefaultParagraphFont"/>
    <w:uiPriority w:val="99"/>
    <w:semiHidden/>
    <w:unhideWhenUsed/>
    <w:rsid w:val="00D442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ct-statutory-guidance/care-and-support-statutory-guidance" TargetMode="External" /><Relationship Id="rId13" Type="http://schemas.openxmlformats.org/officeDocument/2006/relationships/hyperlink" Target="https://doi.org/10.1093/bjsw/bcy115" TargetMode="External" /><Relationship Id="rId18" Type="http://schemas.openxmlformats.org/officeDocument/2006/relationships/hyperlink" Target="https://www.england.nhs.uk/long-read/accessible-information-standard-requirements-dapb1605/" TargetMode="External" /><Relationship Id="rId26"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hyperlink" Target="https://www.nice.org.uk/guidance/ng67" TargetMode="External" /><Relationship Id="rId7" Type="http://schemas.openxmlformats.org/officeDocument/2006/relationships/hyperlink" Target="https://www.cqc.org.uk/guidance-regulation/providers/regulations-service-providers-and-managers/health-social-care-act/regulation-17" TargetMode="External" /><Relationship Id="rId12" Type="http://schemas.openxmlformats.org/officeDocument/2006/relationships/hyperlink" Target="https://www.legislation.gov.uk/ukpga/2018/12/contents" TargetMode="External" /><Relationship Id="rId17" Type="http://schemas.openxmlformats.org/officeDocument/2006/relationships/hyperlink" Target="https://www.england.nhs.uk/long-read/rightcare-dementia-scenario/" TargetMode="External" /><Relationship Id="rId25" Type="http://schemas.openxmlformats.org/officeDocument/2006/relationships/hyperlink" Target="https://www.scie.org.uk/integrated-care/research-practice/activities/multidisciplinary-teams/" TargetMode="External" /><Relationship Id="rId2" Type="http://schemas.openxmlformats.org/officeDocument/2006/relationships/styles" Target="styles.xml" /><Relationship Id="rId16" Type="http://schemas.openxmlformats.org/officeDocument/2006/relationships/hyperlink" Target="https://www.gov.uk/government/publications/the-caldicott-principles" TargetMode="External" /><Relationship Id="rId20" Type="http://schemas.openxmlformats.org/officeDocument/2006/relationships/hyperlink" Target="https://www.nice.org.uk/guidance/ng27"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legislation.gov.uk/ukpga/2014/23/contents" TargetMode="External" /><Relationship Id="rId24" Type="http://schemas.openxmlformats.org/officeDocument/2006/relationships/hyperlink" Target="https://pure.mpg.de/rest/items/item_2383164_3/component/file_2383163/content" TargetMode="External" /><Relationship Id="rId5" Type="http://schemas.openxmlformats.org/officeDocument/2006/relationships/footnotes" Target="footnotes.xml" /><Relationship Id="rId15" Type="http://schemas.openxmlformats.org/officeDocument/2006/relationships/hyperlink" Target="https://doi.org/10.1177/14680173231180307" TargetMode="External" /><Relationship Id="rId23" Type="http://schemas.openxmlformats.org/officeDocument/2006/relationships/hyperlink" Target="https://www.nmc.org.uk/standards/code/" TargetMode="External" /><Relationship Id="rId28" Type="http://schemas.openxmlformats.org/officeDocument/2006/relationships/fontTable" Target="fontTable.xml" /><Relationship Id="rId10" Type="http://schemas.openxmlformats.org/officeDocument/2006/relationships/hyperlink" Target="https://www.legislation.gov.uk/ukpga/2010/15/contents" TargetMode="External" /><Relationship Id="rId19" Type="http://schemas.openxmlformats.org/officeDocument/2006/relationships/hyperlink" Target="https://www.england.nhs.uk/long-read/improvement-framework-community-language-translation-and-interpreting-services/" TargetMode="External" /><Relationship Id="rId4" Type="http://schemas.openxmlformats.org/officeDocument/2006/relationships/webSettings" Target="webSettings.xml" /><Relationship Id="rId9" Type="http://schemas.openxmlformats.org/officeDocument/2006/relationships/hyperlink" Target="https://www.legislation.gov.uk/ukpga/2005/9/contents" TargetMode="External" /><Relationship Id="rId14" Type="http://schemas.openxmlformats.org/officeDocument/2006/relationships/hyperlink" Target="https://ico.org.uk/for-organisations/uk-gdpr-guidance-and-resources/lawful-basis/a-guide-to-lawful-basis/special-category-data/" TargetMode="External" /><Relationship Id="rId22" Type="http://schemas.openxmlformats.org/officeDocument/2006/relationships/hyperlink" Target="https://www.nice.org.uk/guidance/ng97"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AC88AC-F231-4480-AE11-2349E910BA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2801</Words>
  <Characters>15968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rabiia bi</cp:lastModifiedBy>
  <cp:revision>2</cp:revision>
  <dcterms:created xsi:type="dcterms:W3CDTF">2026-07-19T16:34:00Z</dcterms:created>
  <dcterms:modified xsi:type="dcterms:W3CDTF">2026-07-19T16:34:00Z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d50914be-1dd2-4762-814b-070123ccd139</vt:lpwstr>
  </property>
</Properties>
</file>