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8B0C1C" w:rsidRPr="008B0C1C" w:rsidRDefault="008B0C1C" w:rsidP="008B0C1C">
      <w:pPr>
        <w:widowControl w:val="0"/>
        <w:autoSpaceDE w:val="0"/>
        <w:autoSpaceDN w:val="0"/>
        <w:adjustRightInd w:val="0"/>
        <w:spacing w:before="100" w:beforeAutospacing="1" w:after="100" w:afterAutospacing="1" w:line="480" w:lineRule="auto"/>
        <w:rPr>
          <w:rFonts w:ascii="Arial" w:hAnsi="Arial" w:cs="Arial"/>
          <w:sz w:val="24"/>
          <w:szCs w:val="24"/>
          <w:lang w:val="en"/>
        </w:rPr>
      </w:pPr>
      <w:r w:rsidRPr="008B0C1C">
        <w:rPr>
          <w:rFonts w:ascii="Arial" w:hAnsi="Arial" w:cs="Arial"/>
          <w:sz w:val="24"/>
          <w:szCs w:val="24"/>
          <w:lang w:val="en"/>
        </w:rPr>
        <w:t xml:space="preserve">REPORT </w:t>
      </w:r>
      <w:r w:rsidRPr="008B0C1C">
        <w:rPr>
          <w:rFonts w:ascii="Arial" w:hAnsi="Arial" w:cs="Arial"/>
          <w:sz w:val="24"/>
          <w:szCs w:val="24"/>
        </w:rPr>
        <w:t>InterContinental Hotels Group (IHG)</w:t>
      </w:r>
    </w:p>
    <w:p w:rsidR="008B0C1C" w:rsidRPr="008B0C1C" w:rsidRDefault="008B0C1C" w:rsidP="008B0C1C">
      <w:pPr>
        <w:widowControl w:val="0"/>
        <w:autoSpaceDE w:val="0"/>
        <w:autoSpaceDN w:val="0"/>
        <w:adjustRightInd w:val="0"/>
        <w:spacing w:before="100" w:beforeAutospacing="1" w:after="100" w:afterAutospacing="1" w:line="480" w:lineRule="auto"/>
        <w:rPr>
          <w:rFonts w:ascii="Arial" w:hAnsi="Arial" w:cs="Arial"/>
          <w:sz w:val="24"/>
          <w:szCs w:val="24"/>
          <w:lang w:val="en"/>
        </w:rPr>
      </w:pPr>
      <w:r w:rsidRPr="008B0C1C">
        <w:rPr>
          <w:rFonts w:ascii="Arial" w:hAnsi="Arial" w:cs="Arial"/>
          <w:sz w:val="24"/>
          <w:szCs w:val="24"/>
          <w:lang w:val="en"/>
        </w:rPr>
        <w:t xml:space="preserve">Student name: Alina Elena </w:t>
      </w:r>
      <w:proofErr w:type="spellStart"/>
      <w:r w:rsidRPr="008B0C1C">
        <w:rPr>
          <w:rFonts w:ascii="Arial" w:hAnsi="Arial" w:cs="Arial"/>
          <w:sz w:val="24"/>
          <w:szCs w:val="24"/>
          <w:lang w:val="en"/>
        </w:rPr>
        <w:t>Craciun</w:t>
      </w:r>
      <w:proofErr w:type="spellEnd"/>
    </w:p>
    <w:p w:rsidR="008B0C1C" w:rsidRPr="008B0C1C" w:rsidRDefault="008B0C1C" w:rsidP="008B0C1C">
      <w:pPr>
        <w:widowControl w:val="0"/>
        <w:autoSpaceDE w:val="0"/>
        <w:autoSpaceDN w:val="0"/>
        <w:adjustRightInd w:val="0"/>
        <w:spacing w:before="100" w:beforeAutospacing="1" w:after="100" w:afterAutospacing="1" w:line="480" w:lineRule="auto"/>
        <w:rPr>
          <w:rFonts w:ascii="Arial" w:hAnsi="Arial" w:cs="Arial"/>
          <w:sz w:val="24"/>
          <w:szCs w:val="24"/>
          <w:lang w:val="en"/>
        </w:rPr>
      </w:pPr>
      <w:r w:rsidRPr="008B0C1C">
        <w:rPr>
          <w:rFonts w:ascii="Arial" w:hAnsi="Arial" w:cs="Arial"/>
          <w:sz w:val="24"/>
          <w:szCs w:val="24"/>
          <w:lang w:val="en"/>
        </w:rPr>
        <w:t xml:space="preserve">Student ID: </w:t>
      </w:r>
      <w:r w:rsidRPr="008B0C1C">
        <w:rPr>
          <w:rFonts w:ascii="Arial" w:hAnsi="Arial" w:cs="Arial"/>
          <w:kern w:val="2"/>
          <w:sz w:val="24"/>
          <w:szCs w:val="24"/>
          <w:shd w:val="clear" w:color="auto" w:fill="FFFFFF"/>
        </w:rPr>
        <w:t>2212851</w:t>
      </w:r>
    </w:p>
    <w:p w:rsidR="008B0C1C" w:rsidRPr="008B0C1C" w:rsidRDefault="008B0C1C" w:rsidP="008B0C1C">
      <w:pPr>
        <w:widowControl w:val="0"/>
        <w:autoSpaceDE w:val="0"/>
        <w:autoSpaceDN w:val="0"/>
        <w:adjustRightInd w:val="0"/>
        <w:spacing w:before="100" w:beforeAutospacing="1" w:after="100" w:afterAutospacing="1" w:line="480" w:lineRule="auto"/>
        <w:rPr>
          <w:rFonts w:ascii="Arial" w:hAnsi="Arial" w:cs="Arial"/>
          <w:sz w:val="24"/>
          <w:szCs w:val="24"/>
          <w:lang w:val="en"/>
        </w:rPr>
      </w:pPr>
      <w:proofErr w:type="gramStart"/>
      <w:r w:rsidRPr="008B0C1C">
        <w:rPr>
          <w:rFonts w:ascii="Arial" w:hAnsi="Arial" w:cs="Arial"/>
          <w:sz w:val="24"/>
          <w:szCs w:val="24"/>
          <w:lang w:val="en"/>
        </w:rPr>
        <w:t>Lecturer :</w:t>
      </w:r>
      <w:proofErr w:type="gramEnd"/>
      <w:r w:rsidRPr="008B0C1C">
        <w:rPr>
          <w:rFonts w:ascii="Arial" w:hAnsi="Arial" w:cs="Arial"/>
          <w:sz w:val="24"/>
          <w:szCs w:val="24"/>
          <w:lang w:val="en"/>
        </w:rPr>
        <w:t xml:space="preserve"> </w:t>
      </w:r>
      <w:r w:rsidRPr="008B0C1C">
        <w:rPr>
          <w:rFonts w:ascii="Arial" w:hAnsi="Arial" w:cs="Arial"/>
          <w:sz w:val="24"/>
          <w:szCs w:val="24"/>
        </w:rPr>
        <w:t xml:space="preserve">Ernest </w:t>
      </w:r>
      <w:proofErr w:type="spellStart"/>
      <w:r w:rsidRPr="008B0C1C">
        <w:rPr>
          <w:rFonts w:ascii="Arial" w:hAnsi="Arial" w:cs="Arial"/>
          <w:sz w:val="24"/>
          <w:szCs w:val="24"/>
        </w:rPr>
        <w:t>Wavei</w:t>
      </w:r>
      <w:proofErr w:type="spellEnd"/>
    </w:p>
    <w:p w:rsidR="008B0C1C" w:rsidRPr="008B0C1C" w:rsidRDefault="008B0C1C" w:rsidP="008B0C1C">
      <w:pPr>
        <w:widowControl w:val="0"/>
        <w:autoSpaceDE w:val="0"/>
        <w:autoSpaceDN w:val="0"/>
        <w:adjustRightInd w:val="0"/>
        <w:spacing w:before="100" w:beforeAutospacing="1" w:after="100" w:afterAutospacing="1" w:line="480" w:lineRule="auto"/>
        <w:rPr>
          <w:rFonts w:ascii="Arial" w:hAnsi="Arial" w:cs="Arial"/>
          <w:sz w:val="24"/>
          <w:szCs w:val="24"/>
        </w:rPr>
      </w:pPr>
      <w:r w:rsidRPr="008B0C1C">
        <w:rPr>
          <w:rFonts w:ascii="Arial" w:hAnsi="Arial" w:cs="Arial"/>
          <w:sz w:val="24"/>
          <w:szCs w:val="24"/>
          <w:lang w:val="en"/>
        </w:rPr>
        <w:t xml:space="preserve">Module: </w:t>
      </w:r>
      <w:r w:rsidRPr="008B0C1C">
        <w:rPr>
          <w:rFonts w:ascii="Arial" w:hAnsi="Arial" w:cs="Arial"/>
          <w:sz w:val="24"/>
          <w:szCs w:val="24"/>
        </w:rPr>
        <w:t xml:space="preserve">Management and Organisational </w:t>
      </w:r>
      <w:proofErr w:type="gramStart"/>
      <w:r w:rsidRPr="008B0C1C">
        <w:rPr>
          <w:rFonts w:ascii="Arial" w:hAnsi="Arial" w:cs="Arial"/>
          <w:sz w:val="24"/>
          <w:szCs w:val="24"/>
        </w:rPr>
        <w:t>Behaviour  BMIH</w:t>
      </w:r>
      <w:proofErr w:type="gramEnd"/>
      <w:r w:rsidRPr="008B0C1C">
        <w:rPr>
          <w:rFonts w:ascii="Arial" w:hAnsi="Arial" w:cs="Arial"/>
          <w:sz w:val="24"/>
          <w:szCs w:val="24"/>
        </w:rPr>
        <w:t>5004</w:t>
      </w: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BE138E" w:rsidRDefault="00BE138E"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lastRenderedPageBreak/>
        <w:t xml:space="preserve">Executive Summary </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This report examines the Intercontinental Hotel Group's (IHG) organisational structure, culture, goals, strategic direction, and recent change initiatives and their impacts. IHG's Journey to Tomorrow Plan, hybrid working model, and diversity initiatives have driven significant environmental improvements, enhanced employee well-being, and increased organisational diversity. IHG operates through an asset-light business model, boasting a diverse brand portfolio that supports its global presence and market adaptability. The company's culture is underpinned by core values promoting ethical behaviour and inclusivity, which are integral to its strategic operations and employee engagement.</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IHG’s strategic goals focus on achieving industry-leading net room growth, enhancing digital capabilities, and driving customer loyalty through the IHG Rewards Club. A SWOT analysis reveals that IHG’s strengths include its strong brand portfolio and robust loyalty program, while weaknesses involve dependence on franchise contracts and intense industry competition. Opportunities lie in expanding into emerging markets and leveraging sustainability initiatives, whereas threats include economic downturns and regulatory changes.</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Recommendations for IHG include expanding green practices, furthering digital innovation, strengthening diversity and inclusion efforts, and expanding presence in emerging markets to sustain growth and maintain competitive advantage.</w:t>
      </w:r>
    </w:p>
    <w:p w:rsidR="008B0C1C" w:rsidRPr="008B0C1C" w:rsidRDefault="008B0C1C" w:rsidP="008B0C1C">
      <w:pPr>
        <w:spacing w:line="480" w:lineRule="auto"/>
        <w:jc w:val="both"/>
        <w:rPr>
          <w:rFonts w:ascii="Arial" w:hAnsi="Arial" w:cs="Arial"/>
          <w:b/>
          <w:bCs/>
          <w:sz w:val="24"/>
          <w:szCs w:val="24"/>
        </w:rPr>
      </w:pPr>
    </w:p>
    <w:p w:rsidR="00197E74" w:rsidRDefault="00197E74" w:rsidP="008B0C1C">
      <w:pPr>
        <w:spacing w:line="480" w:lineRule="auto"/>
        <w:jc w:val="both"/>
        <w:rPr>
          <w:rFonts w:ascii="Arial" w:hAnsi="Arial" w:cs="Arial"/>
          <w:b/>
          <w:bCs/>
          <w:sz w:val="24"/>
          <w:szCs w:val="24"/>
        </w:rPr>
      </w:pPr>
    </w:p>
    <w:p w:rsidR="00197E74" w:rsidRDefault="00197E74"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lastRenderedPageBreak/>
        <w:t>Table of Contents</w:t>
      </w:r>
    </w:p>
    <w:p w:rsidR="008B0C1C" w:rsidRPr="008B0C1C" w:rsidRDefault="008B0C1C" w:rsidP="008B0C1C">
      <w:pPr>
        <w:numPr>
          <w:ilvl w:val="0"/>
          <w:numId w:val="1"/>
        </w:numPr>
        <w:spacing w:line="480" w:lineRule="auto"/>
        <w:jc w:val="both"/>
        <w:rPr>
          <w:rFonts w:ascii="Arial" w:hAnsi="Arial" w:cs="Arial"/>
          <w:sz w:val="24"/>
          <w:szCs w:val="24"/>
        </w:rPr>
      </w:pPr>
      <w:r w:rsidRPr="008B0C1C">
        <w:rPr>
          <w:rFonts w:ascii="Arial" w:hAnsi="Arial" w:cs="Arial"/>
          <w:sz w:val="24"/>
          <w:szCs w:val="24"/>
        </w:rPr>
        <w:t>Executive Summary</w:t>
      </w:r>
    </w:p>
    <w:p w:rsidR="008B0C1C" w:rsidRPr="008B0C1C" w:rsidRDefault="008B0C1C" w:rsidP="008B0C1C">
      <w:pPr>
        <w:numPr>
          <w:ilvl w:val="0"/>
          <w:numId w:val="1"/>
        </w:numPr>
        <w:spacing w:line="480" w:lineRule="auto"/>
        <w:jc w:val="both"/>
        <w:rPr>
          <w:rFonts w:ascii="Arial" w:hAnsi="Arial" w:cs="Arial"/>
          <w:sz w:val="24"/>
          <w:szCs w:val="24"/>
        </w:rPr>
      </w:pPr>
      <w:r w:rsidRPr="008B0C1C">
        <w:rPr>
          <w:rFonts w:ascii="Arial" w:hAnsi="Arial" w:cs="Arial"/>
          <w:sz w:val="24"/>
          <w:szCs w:val="24"/>
        </w:rPr>
        <w:t>Introduction</w:t>
      </w:r>
    </w:p>
    <w:p w:rsidR="008B0C1C" w:rsidRPr="008B0C1C" w:rsidRDefault="008B0C1C" w:rsidP="008B0C1C">
      <w:pPr>
        <w:numPr>
          <w:ilvl w:val="0"/>
          <w:numId w:val="1"/>
        </w:numPr>
        <w:spacing w:line="480" w:lineRule="auto"/>
        <w:jc w:val="both"/>
        <w:rPr>
          <w:rFonts w:ascii="Arial" w:hAnsi="Arial" w:cs="Arial"/>
          <w:sz w:val="24"/>
          <w:szCs w:val="24"/>
        </w:rPr>
      </w:pPr>
      <w:r w:rsidRPr="008B0C1C">
        <w:rPr>
          <w:rFonts w:ascii="Arial" w:hAnsi="Arial" w:cs="Arial"/>
          <w:sz w:val="24"/>
          <w:szCs w:val="24"/>
        </w:rPr>
        <w:t>Recent Change Initiatives, Their Impact, and How Well These Were Managed</w:t>
      </w:r>
    </w:p>
    <w:p w:rsidR="008B0C1C" w:rsidRPr="008B0C1C" w:rsidRDefault="008B0C1C" w:rsidP="008B0C1C">
      <w:pPr>
        <w:numPr>
          <w:ilvl w:val="0"/>
          <w:numId w:val="1"/>
        </w:numPr>
        <w:spacing w:line="480" w:lineRule="auto"/>
        <w:jc w:val="both"/>
        <w:rPr>
          <w:rFonts w:ascii="Arial" w:hAnsi="Arial" w:cs="Arial"/>
          <w:sz w:val="24"/>
          <w:szCs w:val="24"/>
        </w:rPr>
      </w:pPr>
      <w:r w:rsidRPr="008B0C1C">
        <w:rPr>
          <w:rFonts w:ascii="Arial" w:hAnsi="Arial" w:cs="Arial"/>
          <w:sz w:val="24"/>
          <w:szCs w:val="24"/>
        </w:rPr>
        <w:t>Organizational Structure, Culture, and Goals</w:t>
      </w:r>
    </w:p>
    <w:p w:rsidR="008B0C1C" w:rsidRPr="008B0C1C" w:rsidRDefault="008B0C1C" w:rsidP="008B0C1C">
      <w:pPr>
        <w:numPr>
          <w:ilvl w:val="0"/>
          <w:numId w:val="1"/>
        </w:numPr>
        <w:spacing w:line="480" w:lineRule="auto"/>
        <w:jc w:val="both"/>
        <w:rPr>
          <w:rFonts w:ascii="Arial" w:hAnsi="Arial" w:cs="Arial"/>
          <w:sz w:val="24"/>
          <w:szCs w:val="24"/>
        </w:rPr>
      </w:pPr>
      <w:r w:rsidRPr="008B0C1C">
        <w:rPr>
          <w:rFonts w:ascii="Arial" w:hAnsi="Arial" w:cs="Arial"/>
          <w:sz w:val="24"/>
          <w:szCs w:val="24"/>
        </w:rPr>
        <w:t>The Organization’s Strategic Direction</w:t>
      </w:r>
    </w:p>
    <w:p w:rsidR="008B0C1C" w:rsidRPr="008B0C1C" w:rsidRDefault="008B0C1C" w:rsidP="008B0C1C">
      <w:pPr>
        <w:numPr>
          <w:ilvl w:val="0"/>
          <w:numId w:val="1"/>
        </w:numPr>
        <w:spacing w:line="480" w:lineRule="auto"/>
        <w:jc w:val="both"/>
        <w:rPr>
          <w:rFonts w:ascii="Arial" w:hAnsi="Arial" w:cs="Arial"/>
          <w:sz w:val="24"/>
          <w:szCs w:val="24"/>
        </w:rPr>
      </w:pPr>
      <w:r w:rsidRPr="008B0C1C">
        <w:rPr>
          <w:rFonts w:ascii="Arial" w:hAnsi="Arial" w:cs="Arial"/>
          <w:sz w:val="24"/>
          <w:szCs w:val="24"/>
        </w:rPr>
        <w:t>Competitor Comparison</w:t>
      </w:r>
    </w:p>
    <w:p w:rsidR="008B0C1C" w:rsidRPr="008B0C1C" w:rsidRDefault="008B0C1C" w:rsidP="008B0C1C">
      <w:pPr>
        <w:numPr>
          <w:ilvl w:val="0"/>
          <w:numId w:val="1"/>
        </w:numPr>
        <w:spacing w:line="480" w:lineRule="auto"/>
        <w:jc w:val="both"/>
        <w:rPr>
          <w:rFonts w:ascii="Arial" w:hAnsi="Arial" w:cs="Arial"/>
          <w:sz w:val="24"/>
          <w:szCs w:val="24"/>
        </w:rPr>
      </w:pPr>
      <w:r w:rsidRPr="008B0C1C">
        <w:rPr>
          <w:rFonts w:ascii="Arial" w:hAnsi="Arial" w:cs="Arial"/>
          <w:sz w:val="24"/>
          <w:szCs w:val="24"/>
        </w:rPr>
        <w:t>Recommendations</w:t>
      </w:r>
    </w:p>
    <w:p w:rsidR="008B0C1C" w:rsidRPr="008B0C1C" w:rsidRDefault="008B0C1C" w:rsidP="008B0C1C">
      <w:pPr>
        <w:numPr>
          <w:ilvl w:val="0"/>
          <w:numId w:val="1"/>
        </w:numPr>
        <w:spacing w:line="480" w:lineRule="auto"/>
        <w:jc w:val="both"/>
        <w:rPr>
          <w:rFonts w:ascii="Arial" w:hAnsi="Arial" w:cs="Arial"/>
          <w:sz w:val="24"/>
          <w:szCs w:val="24"/>
        </w:rPr>
      </w:pPr>
      <w:r w:rsidRPr="008B0C1C">
        <w:rPr>
          <w:rFonts w:ascii="Arial" w:hAnsi="Arial" w:cs="Arial"/>
          <w:sz w:val="24"/>
          <w:szCs w:val="24"/>
        </w:rPr>
        <w:t>Conclusion</w:t>
      </w:r>
    </w:p>
    <w:p w:rsidR="008B0C1C" w:rsidRPr="008B0C1C" w:rsidRDefault="008B0C1C" w:rsidP="008B0C1C">
      <w:pPr>
        <w:numPr>
          <w:ilvl w:val="0"/>
          <w:numId w:val="1"/>
        </w:numPr>
        <w:spacing w:line="480" w:lineRule="auto"/>
        <w:jc w:val="both"/>
        <w:rPr>
          <w:rFonts w:ascii="Arial" w:hAnsi="Arial" w:cs="Arial"/>
          <w:sz w:val="24"/>
          <w:szCs w:val="24"/>
        </w:rPr>
      </w:pPr>
      <w:r w:rsidRPr="008B0C1C">
        <w:rPr>
          <w:rFonts w:ascii="Arial" w:hAnsi="Arial" w:cs="Arial"/>
          <w:sz w:val="24"/>
          <w:szCs w:val="24"/>
        </w:rPr>
        <w:t>References</w:t>
      </w: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317051" w:rsidRDefault="00317051"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lastRenderedPageBreak/>
        <w:t>Introduction</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This report comprehensively examines the Intercontinental Hotel Group (IHG), focusing on its organisational structure, culture, goals, strategic direction, and recent change initiatives. IHG is a prominent international hospitality corporation renowned for its wide range of brands and dedication to sustainability. This report aims to evaluate the efficacy of IHG's strategic management practices and offer practical suggestions to improve its operational efficiency and market standing.</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The analysis encompasses an assessment of IHG's recent endeavours, including the Journey to Tomorrow Plan, a hybrid working model, and diversity programmes. The text also examines IHG's business model, which minimises assets and its inclusive organisational culture. Moreover, the report provides a SWOT analysis to ascertain IHG's advantages, disadvantages, potential areas for growth, and potential risks. Ultimately, the report provides strategic suggestions to bolster IHG's continuous expansion and triumph in the fiercely competitive hospitality sector.</w:t>
      </w:r>
    </w:p>
    <w:p w:rsidR="008B0C1C" w:rsidRPr="008B0C1C" w:rsidRDefault="008B0C1C" w:rsidP="008B0C1C">
      <w:pPr>
        <w:spacing w:line="480" w:lineRule="auto"/>
        <w:jc w:val="both"/>
        <w:rPr>
          <w:rFonts w:ascii="Arial" w:hAnsi="Arial" w:cs="Arial"/>
          <w:sz w:val="24"/>
          <w:szCs w:val="24"/>
        </w:rPr>
      </w:pP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t>Recent Change Initiatives, Their Impact, and How Well These Were Managed</w:t>
      </w: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t>Overview of Recent Changes within IHG</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 xml:space="preserve">The Intercontinental Hotel Group (IHG) has recently implemented several significant change initiatives to promote sustainability, enhance employee well-being, and increase diversity and inclusion within the organisation. These initiatives include the Journey to Tomorrow Plan, a hybrid working model responding to the COVID-19 pandemic, and diversity and inclusion programmes like the Rise Talent programme and </w:t>
      </w:r>
      <w:proofErr w:type="gramStart"/>
      <w:r w:rsidRPr="008B0C1C">
        <w:rPr>
          <w:rFonts w:ascii="Arial" w:hAnsi="Arial" w:cs="Arial"/>
          <w:sz w:val="24"/>
          <w:szCs w:val="24"/>
        </w:rPr>
        <w:t>Ascend</w:t>
      </w:r>
      <w:proofErr w:type="gramEnd"/>
      <w:r w:rsidRPr="008B0C1C">
        <w:rPr>
          <w:rFonts w:ascii="Arial" w:hAnsi="Arial" w:cs="Arial"/>
          <w:sz w:val="24"/>
          <w:szCs w:val="24"/>
        </w:rPr>
        <w:t>.</w:t>
      </w:r>
    </w:p>
    <w:p w:rsidR="008B0C1C" w:rsidRPr="008B0C1C" w:rsidRDefault="008B0C1C" w:rsidP="008B0C1C">
      <w:pPr>
        <w:spacing w:line="480" w:lineRule="auto"/>
        <w:jc w:val="both"/>
        <w:rPr>
          <w:rFonts w:ascii="Arial" w:hAnsi="Arial" w:cs="Arial"/>
          <w:sz w:val="24"/>
          <w:szCs w:val="24"/>
        </w:rPr>
      </w:pPr>
      <w:r w:rsidRPr="008B0C1C">
        <w:rPr>
          <w:rFonts w:ascii="Arial" w:hAnsi="Arial" w:cs="Arial"/>
          <w:b/>
          <w:bCs/>
          <w:sz w:val="24"/>
          <w:szCs w:val="24"/>
        </w:rPr>
        <w:lastRenderedPageBreak/>
        <w:t>Journey to Tomorrow Plan</w:t>
      </w:r>
      <w:r w:rsidRPr="008B0C1C">
        <w:rPr>
          <w:rFonts w:ascii="Arial" w:hAnsi="Arial" w:cs="Arial"/>
          <w:sz w:val="24"/>
          <w:szCs w:val="24"/>
        </w:rPr>
        <w:t>: Initiated by IHG, this comprehensive 10-year strategy focuses on five key areas: individuals, communities, carbon emissions and energy consumption, waste management, and water resources. The plan sets ambitious goals such as reducing carbon emissions by 46% and eliminating single-use plastics by 2030 (IHG, 2021).</w:t>
      </w:r>
    </w:p>
    <w:p w:rsidR="008B0C1C" w:rsidRPr="008B0C1C" w:rsidRDefault="008B0C1C" w:rsidP="008B0C1C">
      <w:pPr>
        <w:spacing w:line="480" w:lineRule="auto"/>
        <w:jc w:val="both"/>
        <w:rPr>
          <w:rFonts w:ascii="Arial" w:hAnsi="Arial" w:cs="Arial"/>
          <w:sz w:val="24"/>
          <w:szCs w:val="24"/>
        </w:rPr>
      </w:pPr>
      <w:r w:rsidRPr="008B0C1C">
        <w:rPr>
          <w:rFonts w:ascii="Arial" w:hAnsi="Arial" w:cs="Arial"/>
          <w:b/>
          <w:bCs/>
          <w:sz w:val="24"/>
          <w:szCs w:val="24"/>
        </w:rPr>
        <w:t>Hybrid Working Model</w:t>
      </w:r>
      <w:r w:rsidRPr="008B0C1C">
        <w:rPr>
          <w:rFonts w:ascii="Arial" w:hAnsi="Arial" w:cs="Arial"/>
          <w:sz w:val="24"/>
          <w:szCs w:val="24"/>
        </w:rPr>
        <w:t>: In response to the COVID-19 pandemic, IHG introduced a hybrid working model allowing employees to work remotely while retaining flexibility. This model includes initiatives like Recharge Days and Focus Fridays, designed to boost employee well-being and productivity (IHG, 2022).</w:t>
      </w:r>
    </w:p>
    <w:p w:rsidR="008B0C1C" w:rsidRPr="008B0C1C" w:rsidRDefault="008B0C1C" w:rsidP="008B0C1C">
      <w:pPr>
        <w:spacing w:line="480" w:lineRule="auto"/>
        <w:jc w:val="both"/>
        <w:rPr>
          <w:rFonts w:ascii="Arial" w:hAnsi="Arial" w:cs="Arial"/>
          <w:sz w:val="24"/>
          <w:szCs w:val="24"/>
        </w:rPr>
      </w:pPr>
      <w:r w:rsidRPr="008B0C1C">
        <w:rPr>
          <w:rFonts w:ascii="Arial" w:hAnsi="Arial" w:cs="Arial"/>
          <w:b/>
          <w:bCs/>
          <w:sz w:val="24"/>
          <w:szCs w:val="24"/>
        </w:rPr>
        <w:t>Diversity and Inclusion Initiatives</w:t>
      </w:r>
      <w:r w:rsidRPr="008B0C1C">
        <w:rPr>
          <w:rFonts w:ascii="Arial" w:hAnsi="Arial" w:cs="Arial"/>
          <w:sz w:val="24"/>
          <w:szCs w:val="24"/>
        </w:rPr>
        <w:t>: IHG has committed to enhancing diversity and inclusion through programmes like the Rise Talent and Ascend. These initiatives aim to promote gender balance and ethnic diversity in leadership positions. They also include inclusion training and the development of a new Inclusion Index to track progress (IHG, 2021).</w:t>
      </w: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t>Analysis of the Impact of These Changes</w:t>
      </w:r>
    </w:p>
    <w:p w:rsidR="008B0C1C" w:rsidRPr="008B0C1C" w:rsidRDefault="008B0C1C" w:rsidP="008B0C1C">
      <w:pPr>
        <w:spacing w:line="480" w:lineRule="auto"/>
        <w:jc w:val="both"/>
        <w:rPr>
          <w:rFonts w:ascii="Arial" w:hAnsi="Arial" w:cs="Arial"/>
          <w:sz w:val="24"/>
          <w:szCs w:val="24"/>
        </w:rPr>
      </w:pPr>
      <w:r w:rsidRPr="008B0C1C">
        <w:rPr>
          <w:rFonts w:ascii="Arial" w:hAnsi="Arial" w:cs="Arial"/>
          <w:b/>
          <w:bCs/>
          <w:sz w:val="24"/>
          <w:szCs w:val="24"/>
        </w:rPr>
        <w:t>Journey to Tomorrow Plan</w:t>
      </w:r>
      <w:r w:rsidRPr="008B0C1C">
        <w:rPr>
          <w:rFonts w:ascii="Arial" w:hAnsi="Arial" w:cs="Arial"/>
          <w:sz w:val="24"/>
          <w:szCs w:val="24"/>
        </w:rPr>
        <w:t>: Implementing this plan has significantly improved the environment. Every IHG hotel now has targets to reduce energy consumption, aligning with the Paris Agreement's 1.5°C target. Adopting sustainable practices has strengthened IHG's competitive advantage, particularly in markets like China with its HUALUXE brand (Hu et al., 2021).</w:t>
      </w:r>
    </w:p>
    <w:p w:rsidR="008B0C1C" w:rsidRPr="008B0C1C" w:rsidRDefault="008B0C1C" w:rsidP="008B0C1C">
      <w:pPr>
        <w:spacing w:line="480" w:lineRule="auto"/>
        <w:jc w:val="both"/>
        <w:rPr>
          <w:rFonts w:ascii="Arial" w:hAnsi="Arial" w:cs="Arial"/>
          <w:sz w:val="24"/>
          <w:szCs w:val="24"/>
        </w:rPr>
      </w:pPr>
      <w:r w:rsidRPr="008B0C1C">
        <w:rPr>
          <w:rFonts w:ascii="Arial" w:hAnsi="Arial" w:cs="Arial"/>
          <w:b/>
          <w:bCs/>
          <w:sz w:val="24"/>
          <w:szCs w:val="24"/>
        </w:rPr>
        <w:t>Hybrid Working Model</w:t>
      </w:r>
      <w:r w:rsidRPr="008B0C1C">
        <w:rPr>
          <w:rFonts w:ascii="Arial" w:hAnsi="Arial" w:cs="Arial"/>
          <w:sz w:val="24"/>
          <w:szCs w:val="24"/>
        </w:rPr>
        <w:t xml:space="preserve">: The hybrid working model and well-being initiatives have positively impacted employee satisfaction. The introduction of improved parental </w:t>
      </w:r>
      <w:proofErr w:type="gramStart"/>
      <w:r w:rsidRPr="008B0C1C">
        <w:rPr>
          <w:rFonts w:ascii="Arial" w:hAnsi="Arial" w:cs="Arial"/>
          <w:sz w:val="24"/>
          <w:szCs w:val="24"/>
        </w:rPr>
        <w:t>leave</w:t>
      </w:r>
      <w:proofErr w:type="gramEnd"/>
      <w:r w:rsidRPr="008B0C1C">
        <w:rPr>
          <w:rFonts w:ascii="Arial" w:hAnsi="Arial" w:cs="Arial"/>
          <w:sz w:val="24"/>
          <w:szCs w:val="24"/>
        </w:rPr>
        <w:t xml:space="preserve"> policies and flexible working conditions resulted in an 85% employee </w:t>
      </w:r>
      <w:r w:rsidRPr="008B0C1C">
        <w:rPr>
          <w:rFonts w:ascii="Arial" w:hAnsi="Arial" w:cs="Arial"/>
          <w:sz w:val="24"/>
          <w:szCs w:val="24"/>
        </w:rPr>
        <w:lastRenderedPageBreak/>
        <w:t>engagement score. Studies confirm employee recognition and flexible work environments significantly enhance job satisfaction (Lončar &amp; Knežević, 2023).</w:t>
      </w:r>
    </w:p>
    <w:p w:rsidR="008B0C1C" w:rsidRPr="008B0C1C" w:rsidRDefault="008B0C1C" w:rsidP="008B0C1C">
      <w:pPr>
        <w:spacing w:line="480" w:lineRule="auto"/>
        <w:jc w:val="both"/>
        <w:rPr>
          <w:rFonts w:ascii="Arial" w:hAnsi="Arial" w:cs="Arial"/>
          <w:sz w:val="24"/>
          <w:szCs w:val="24"/>
        </w:rPr>
      </w:pPr>
      <w:r w:rsidRPr="008B0C1C">
        <w:rPr>
          <w:rFonts w:ascii="Arial" w:hAnsi="Arial" w:cs="Arial"/>
          <w:b/>
          <w:bCs/>
          <w:sz w:val="24"/>
          <w:szCs w:val="24"/>
        </w:rPr>
        <w:t>Diversity and Inclusion Initiatives</w:t>
      </w:r>
      <w:r w:rsidRPr="008B0C1C">
        <w:rPr>
          <w:rFonts w:ascii="Arial" w:hAnsi="Arial" w:cs="Arial"/>
          <w:sz w:val="24"/>
          <w:szCs w:val="24"/>
        </w:rPr>
        <w:t>: These initiatives have successfully increased the representation of women and ethnic minorities in leadership roles. For instance, the Rise programme has promoted numerous women to senior leadership positions. Research underscores the importance of cultural diversity in enhancing crisis management and organisational resilience (Wang &amp; Wu, 2018).</w:t>
      </w: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t>Evaluation of How Effectively These Changes Were Managed</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IHG has employed a systematic approach to managing these changes, incorporating organised planning and stakeholder engagement. The Global Environmental Sustainability Committee collaborates with hotel owners to ensure the efficient execution of the Journey to Tomorrow Plan. Effective governance structures, such as the Responsible Business Committee of the Board, oversee the advancement of these initiatives, ensuring their integration into the company’s broader strategic goals (Voegeli, 2021).</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Using Kotter’s Change Model to evaluate IHG’s management of these initiatives:</w:t>
      </w:r>
    </w:p>
    <w:p w:rsidR="008B0C1C" w:rsidRPr="008B0C1C" w:rsidRDefault="008B0C1C" w:rsidP="008B0C1C">
      <w:pPr>
        <w:numPr>
          <w:ilvl w:val="0"/>
          <w:numId w:val="2"/>
        </w:numPr>
        <w:spacing w:line="480" w:lineRule="auto"/>
        <w:jc w:val="both"/>
        <w:rPr>
          <w:rFonts w:ascii="Arial" w:hAnsi="Arial" w:cs="Arial"/>
          <w:sz w:val="24"/>
          <w:szCs w:val="24"/>
        </w:rPr>
      </w:pPr>
      <w:r w:rsidRPr="008B0C1C">
        <w:rPr>
          <w:rFonts w:ascii="Arial" w:hAnsi="Arial" w:cs="Arial"/>
          <w:b/>
          <w:bCs/>
          <w:sz w:val="24"/>
          <w:szCs w:val="24"/>
        </w:rPr>
        <w:t>Creating a Sense of Urgency</w:t>
      </w:r>
      <w:r w:rsidRPr="008B0C1C">
        <w:rPr>
          <w:rFonts w:ascii="Arial" w:hAnsi="Arial" w:cs="Arial"/>
          <w:sz w:val="24"/>
          <w:szCs w:val="24"/>
        </w:rPr>
        <w:t>: IHG has successfully highlighted the urgency of sustainability and diversity through its ambitious goals and public commitments.</w:t>
      </w:r>
    </w:p>
    <w:p w:rsidR="008B0C1C" w:rsidRPr="008B0C1C" w:rsidRDefault="008B0C1C" w:rsidP="008B0C1C">
      <w:pPr>
        <w:numPr>
          <w:ilvl w:val="0"/>
          <w:numId w:val="2"/>
        </w:numPr>
        <w:spacing w:line="480" w:lineRule="auto"/>
        <w:jc w:val="both"/>
        <w:rPr>
          <w:rFonts w:ascii="Arial" w:hAnsi="Arial" w:cs="Arial"/>
          <w:sz w:val="24"/>
          <w:szCs w:val="24"/>
        </w:rPr>
      </w:pPr>
      <w:r w:rsidRPr="008B0C1C">
        <w:rPr>
          <w:rFonts w:ascii="Arial" w:hAnsi="Arial" w:cs="Arial"/>
          <w:b/>
          <w:bCs/>
          <w:sz w:val="24"/>
          <w:szCs w:val="24"/>
        </w:rPr>
        <w:t>Building a Guiding Coalition</w:t>
      </w:r>
      <w:r w:rsidRPr="008B0C1C">
        <w:rPr>
          <w:rFonts w:ascii="Arial" w:hAnsi="Arial" w:cs="Arial"/>
          <w:sz w:val="24"/>
          <w:szCs w:val="24"/>
        </w:rPr>
        <w:t>: The formation of committees and boards indicates strong leadership and support for these changes.</w:t>
      </w:r>
    </w:p>
    <w:p w:rsidR="008B0C1C" w:rsidRPr="008B0C1C" w:rsidRDefault="008B0C1C" w:rsidP="008B0C1C">
      <w:pPr>
        <w:numPr>
          <w:ilvl w:val="0"/>
          <w:numId w:val="2"/>
        </w:numPr>
        <w:spacing w:line="480" w:lineRule="auto"/>
        <w:jc w:val="both"/>
        <w:rPr>
          <w:rFonts w:ascii="Arial" w:hAnsi="Arial" w:cs="Arial"/>
          <w:sz w:val="24"/>
          <w:szCs w:val="24"/>
        </w:rPr>
      </w:pPr>
      <w:r w:rsidRPr="008B0C1C">
        <w:rPr>
          <w:rFonts w:ascii="Arial" w:hAnsi="Arial" w:cs="Arial"/>
          <w:b/>
          <w:bCs/>
          <w:sz w:val="24"/>
          <w:szCs w:val="24"/>
        </w:rPr>
        <w:t>Developing a Vision and Strategy</w:t>
      </w:r>
      <w:r w:rsidRPr="008B0C1C">
        <w:rPr>
          <w:rFonts w:ascii="Arial" w:hAnsi="Arial" w:cs="Arial"/>
          <w:sz w:val="24"/>
          <w:szCs w:val="24"/>
        </w:rPr>
        <w:t>: Clear objectives and well-defined strategies, such as the Journey to Tomorrow Plan, guide IHG’s initiatives.</w:t>
      </w:r>
    </w:p>
    <w:p w:rsidR="008B0C1C" w:rsidRPr="008B0C1C" w:rsidRDefault="008B0C1C" w:rsidP="008B0C1C">
      <w:pPr>
        <w:numPr>
          <w:ilvl w:val="0"/>
          <w:numId w:val="2"/>
        </w:numPr>
        <w:spacing w:line="480" w:lineRule="auto"/>
        <w:jc w:val="both"/>
        <w:rPr>
          <w:rFonts w:ascii="Arial" w:hAnsi="Arial" w:cs="Arial"/>
          <w:sz w:val="24"/>
          <w:szCs w:val="24"/>
        </w:rPr>
      </w:pPr>
      <w:r w:rsidRPr="008B0C1C">
        <w:rPr>
          <w:rFonts w:ascii="Arial" w:hAnsi="Arial" w:cs="Arial"/>
          <w:b/>
          <w:bCs/>
          <w:sz w:val="24"/>
          <w:szCs w:val="24"/>
        </w:rPr>
        <w:lastRenderedPageBreak/>
        <w:t>Communicating the Vision</w:t>
      </w:r>
      <w:r w:rsidRPr="008B0C1C">
        <w:rPr>
          <w:rFonts w:ascii="Arial" w:hAnsi="Arial" w:cs="Arial"/>
          <w:sz w:val="24"/>
          <w:szCs w:val="24"/>
        </w:rPr>
        <w:t>: IHG’s efforts in promoting these initiatives through annual reports and internal communications demonstrate effective dissemination of the vision.</w:t>
      </w:r>
    </w:p>
    <w:p w:rsidR="008B0C1C" w:rsidRPr="008B0C1C" w:rsidRDefault="008B0C1C" w:rsidP="008B0C1C">
      <w:pPr>
        <w:numPr>
          <w:ilvl w:val="0"/>
          <w:numId w:val="2"/>
        </w:numPr>
        <w:spacing w:line="480" w:lineRule="auto"/>
        <w:jc w:val="both"/>
        <w:rPr>
          <w:rFonts w:ascii="Arial" w:hAnsi="Arial" w:cs="Arial"/>
          <w:sz w:val="24"/>
          <w:szCs w:val="24"/>
        </w:rPr>
      </w:pPr>
      <w:r w:rsidRPr="008B0C1C">
        <w:rPr>
          <w:rFonts w:ascii="Arial" w:hAnsi="Arial" w:cs="Arial"/>
          <w:b/>
          <w:bCs/>
          <w:sz w:val="24"/>
          <w:szCs w:val="24"/>
        </w:rPr>
        <w:t>Empowering Employees for Broad-Based Action</w:t>
      </w:r>
      <w:r w:rsidRPr="008B0C1C">
        <w:rPr>
          <w:rFonts w:ascii="Arial" w:hAnsi="Arial" w:cs="Arial"/>
          <w:sz w:val="24"/>
          <w:szCs w:val="24"/>
        </w:rPr>
        <w:t>: Initiatives like the hybrid working model and inclusion training empower employees to embrace and implement changes.</w:t>
      </w:r>
    </w:p>
    <w:p w:rsidR="008B0C1C" w:rsidRPr="008B0C1C" w:rsidRDefault="008B0C1C" w:rsidP="008B0C1C">
      <w:pPr>
        <w:numPr>
          <w:ilvl w:val="0"/>
          <w:numId w:val="2"/>
        </w:numPr>
        <w:spacing w:line="480" w:lineRule="auto"/>
        <w:jc w:val="both"/>
        <w:rPr>
          <w:rFonts w:ascii="Arial" w:hAnsi="Arial" w:cs="Arial"/>
          <w:sz w:val="24"/>
          <w:szCs w:val="24"/>
        </w:rPr>
      </w:pPr>
      <w:r w:rsidRPr="008B0C1C">
        <w:rPr>
          <w:rFonts w:ascii="Arial" w:hAnsi="Arial" w:cs="Arial"/>
          <w:b/>
          <w:bCs/>
          <w:sz w:val="24"/>
          <w:szCs w:val="24"/>
        </w:rPr>
        <w:t>Generating Short-Term Wins</w:t>
      </w:r>
      <w:r w:rsidRPr="008B0C1C">
        <w:rPr>
          <w:rFonts w:ascii="Arial" w:hAnsi="Arial" w:cs="Arial"/>
          <w:sz w:val="24"/>
          <w:szCs w:val="24"/>
        </w:rPr>
        <w:t>: Immediate employee engagement improvements and environmental metrics prove early success.</w:t>
      </w:r>
    </w:p>
    <w:p w:rsidR="008B0C1C" w:rsidRPr="008B0C1C" w:rsidRDefault="008B0C1C" w:rsidP="008B0C1C">
      <w:pPr>
        <w:numPr>
          <w:ilvl w:val="0"/>
          <w:numId w:val="2"/>
        </w:numPr>
        <w:spacing w:line="480" w:lineRule="auto"/>
        <w:jc w:val="both"/>
        <w:rPr>
          <w:rFonts w:ascii="Arial" w:hAnsi="Arial" w:cs="Arial"/>
          <w:sz w:val="24"/>
          <w:szCs w:val="24"/>
        </w:rPr>
      </w:pPr>
      <w:r w:rsidRPr="008B0C1C">
        <w:rPr>
          <w:rFonts w:ascii="Arial" w:hAnsi="Arial" w:cs="Arial"/>
          <w:b/>
          <w:bCs/>
          <w:sz w:val="24"/>
          <w:szCs w:val="24"/>
        </w:rPr>
        <w:t>Consolidating Gains and Producing More Change</w:t>
      </w:r>
      <w:r w:rsidRPr="008B0C1C">
        <w:rPr>
          <w:rFonts w:ascii="Arial" w:hAnsi="Arial" w:cs="Arial"/>
          <w:sz w:val="24"/>
          <w:szCs w:val="24"/>
        </w:rPr>
        <w:t>: Continuous monitoring and enhancement of initiatives ensure ongoing progress.</w:t>
      </w:r>
    </w:p>
    <w:p w:rsidR="008B0C1C" w:rsidRPr="008B0C1C" w:rsidRDefault="008B0C1C" w:rsidP="008B0C1C">
      <w:pPr>
        <w:numPr>
          <w:ilvl w:val="0"/>
          <w:numId w:val="2"/>
        </w:numPr>
        <w:spacing w:line="480" w:lineRule="auto"/>
        <w:jc w:val="both"/>
        <w:rPr>
          <w:rFonts w:ascii="Arial" w:hAnsi="Arial" w:cs="Arial"/>
          <w:sz w:val="24"/>
          <w:szCs w:val="24"/>
        </w:rPr>
      </w:pPr>
      <w:r w:rsidRPr="008B0C1C">
        <w:rPr>
          <w:rFonts w:ascii="Arial" w:hAnsi="Arial" w:cs="Arial"/>
          <w:b/>
          <w:bCs/>
          <w:sz w:val="24"/>
          <w:szCs w:val="24"/>
        </w:rPr>
        <w:t>Anchoring New Approaches in the Culture</w:t>
      </w:r>
      <w:r w:rsidRPr="008B0C1C">
        <w:rPr>
          <w:rFonts w:ascii="Arial" w:hAnsi="Arial" w:cs="Arial"/>
          <w:sz w:val="24"/>
          <w:szCs w:val="24"/>
        </w:rPr>
        <w:t>: IHG’s integration of these changes into its core values and culture solidifies their permanence (Kotter, 1996).</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By following these steps, IHG has effectively managed its recent changes, demonstrating a commitment to sustainability, employee well-being, and diversity.</w:t>
      </w: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t>2. Organizational Structure, Culture, and Goals</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 xml:space="preserve">The Intercontinental Hotel Group (IHG) follows an asset-light business approach, predominantly relying on franchising and management contracts instead of direct property ownership. This strategy aims to minimize financial risks and maximize returns on invested capital by optimizing capital expenditure. It also enhances IHG's adaptability and capacity for growth in different markets. (Seo &amp; Soh, 2019). Research has verified that the asset-light model effectively preserves financial </w:t>
      </w:r>
      <w:r w:rsidRPr="008B0C1C">
        <w:rPr>
          <w:rFonts w:ascii="Arial" w:hAnsi="Arial" w:cs="Arial"/>
          <w:sz w:val="24"/>
          <w:szCs w:val="24"/>
        </w:rPr>
        <w:lastRenderedPageBreak/>
        <w:t>stability, exhibiting lower fluctuations in earnings compared to asset-heavy models (Bourke et al., 2020).</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IHG has a varied collection of 17 distinct brands, encompassing a spectrum of options from high-end choices like InterContinental and Kimpton to more common selections like Holiday Inn and Holiday Inn Express (IHG, 2022). IHG's vast array of brands enables it to target different market segments effectively, enhancing its competitive advantage and position (Seo et al., 2021).</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IHG's organisational culture revolves around its core purpose, "True Hospitality for Good," which prioritises ethical conduct, compassion, excellence, diversity, and collaboration (IHG, 2021). Voegeli (2021) states that IHG's strategic operations and employee engagement practices are based on these values, which create a supportive and ethical workplace environment.</w:t>
      </w: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t>Using Resource-Based View (RBV)</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The Resource-Based View (RBV) theory posits that IHG's organisational structure effectively aligns with its strategic objectives by harnessing distinctive internal resources to attain a competitive edge. IHG's asset-light model demonstrates how the effective utilization of resources, such as brand reputation and franchising expertise, can enhance performance and facilitate growth (Kash et al., 2014).</w:t>
      </w: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t>Impact of Culture on Performance</w:t>
      </w:r>
    </w:p>
    <w:p w:rsidR="002976C4" w:rsidRDefault="008B0C1C" w:rsidP="008B0C1C">
      <w:pPr>
        <w:spacing w:line="480" w:lineRule="auto"/>
        <w:jc w:val="both"/>
        <w:rPr>
          <w:rFonts w:ascii="Arial" w:hAnsi="Arial" w:cs="Arial"/>
          <w:sz w:val="24"/>
          <w:szCs w:val="24"/>
        </w:rPr>
      </w:pPr>
      <w:r w:rsidRPr="008B0C1C">
        <w:rPr>
          <w:rFonts w:ascii="Arial" w:hAnsi="Arial" w:cs="Arial"/>
          <w:sz w:val="24"/>
          <w:szCs w:val="24"/>
        </w:rPr>
        <w:t>Using Hofstede’s cultural dimensions, it’s evident that IHG’s inclusive and ethical culture positively impacts its performance. Hofstede’s framework highlights the importance of valuing diversity and fostering a cooperative work environment, enhancing employee morale and organisational resilience (Lončar &amp; Knežević, 2023).</w:t>
      </w:r>
    </w:p>
    <w:p w:rsidR="008B0C1C" w:rsidRPr="002976C4" w:rsidRDefault="008B0C1C" w:rsidP="008B0C1C">
      <w:pPr>
        <w:spacing w:line="480" w:lineRule="auto"/>
        <w:jc w:val="both"/>
        <w:rPr>
          <w:rFonts w:ascii="Arial" w:hAnsi="Arial" w:cs="Arial"/>
          <w:sz w:val="24"/>
          <w:szCs w:val="24"/>
        </w:rPr>
      </w:pPr>
      <w:r w:rsidRPr="008B0C1C">
        <w:rPr>
          <w:rFonts w:ascii="Arial" w:hAnsi="Arial" w:cs="Arial"/>
          <w:b/>
          <w:bCs/>
          <w:sz w:val="24"/>
          <w:szCs w:val="24"/>
        </w:rPr>
        <w:lastRenderedPageBreak/>
        <w:t>IHG’s Goals</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 xml:space="preserve">IHG aims to attain exceptional net room expansion, improve digital capabilities, and foster customer loyalty through the IHG Rewards Club (Poretti &amp; </w:t>
      </w:r>
      <w:proofErr w:type="spellStart"/>
      <w:r w:rsidRPr="008B0C1C">
        <w:rPr>
          <w:rFonts w:ascii="Arial" w:hAnsi="Arial" w:cs="Arial"/>
          <w:sz w:val="24"/>
          <w:szCs w:val="24"/>
        </w:rPr>
        <w:t>Blal</w:t>
      </w:r>
      <w:proofErr w:type="spellEnd"/>
      <w:r w:rsidRPr="008B0C1C">
        <w:rPr>
          <w:rFonts w:ascii="Arial" w:hAnsi="Arial" w:cs="Arial"/>
          <w:sz w:val="24"/>
          <w:szCs w:val="24"/>
        </w:rPr>
        <w:t>, 2020). IHG has established precise targets under the Journey to Tomorrow Plan to decrease carbon emissions, preserve water, and minimise waste by the United Nations Sustainable Development Goals. These sustainability initiatives enhance ecological efficiency and strengthen brand standing and stakeholder confidence (Cheng &amp; Anderson, 2020).</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By incorporating these strategies and a dedicated emphasis on sustainable practices, IHG maintains its position as a prominent participant in the worldwide hospitality sector.</w:t>
      </w: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t>3. The Organization’s Strategic Direction</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The Intercontinental Hotel Group (IHG) is driven by its vision and mission, which revolve around providing "True Hospitality for Good" and establishing itself as one of the foremost hotel corporations globally. According to IHG's 2022 Annual Report, the company's objective is to create highly regarded hotels that guests adore, achieved through outstanding guest experiences and generating substantial returns for hotel owners. This mission underscores their commitment to high-quality service and sustainable growth (IHG, 2022).</w:t>
      </w:r>
    </w:p>
    <w:p w:rsidR="00FE0FB4" w:rsidRDefault="00FE0FB4" w:rsidP="008B0C1C">
      <w:pPr>
        <w:spacing w:line="480" w:lineRule="auto"/>
        <w:jc w:val="both"/>
        <w:rPr>
          <w:rFonts w:ascii="Arial" w:hAnsi="Arial" w:cs="Arial"/>
          <w:b/>
          <w:bCs/>
          <w:sz w:val="24"/>
          <w:szCs w:val="24"/>
        </w:rPr>
      </w:pPr>
    </w:p>
    <w:p w:rsidR="00FE0FB4" w:rsidRDefault="00FE0FB4" w:rsidP="008B0C1C">
      <w:pPr>
        <w:spacing w:line="480" w:lineRule="auto"/>
        <w:jc w:val="both"/>
        <w:rPr>
          <w:rFonts w:ascii="Arial" w:hAnsi="Arial" w:cs="Arial"/>
          <w:b/>
          <w:bCs/>
          <w:sz w:val="24"/>
          <w:szCs w:val="24"/>
        </w:rPr>
      </w:pPr>
    </w:p>
    <w:p w:rsidR="00634514" w:rsidRDefault="00634514" w:rsidP="008B0C1C">
      <w:pPr>
        <w:spacing w:line="480" w:lineRule="auto"/>
        <w:jc w:val="both"/>
        <w:rPr>
          <w:rFonts w:ascii="Arial" w:hAnsi="Arial" w:cs="Arial"/>
          <w:b/>
          <w:bCs/>
          <w:sz w:val="24"/>
          <w:szCs w:val="24"/>
        </w:rPr>
      </w:pPr>
    </w:p>
    <w:p w:rsidR="00634514" w:rsidRDefault="00634514"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lastRenderedPageBreak/>
        <w:t>Strategic Objectives and SWOT Analysis</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IHG's strategic objectives include achieving exceptional net room expansion, enhancing digital capabilities, and fostering customer loyalty through their IHG Rewards Club. These objectives are vital for sustaining a competitive edge and long-term success (IHG, 2021). Additionally, IHG aims to increase its presence in essential markets and consistently improve its sustainability practices as outlined in the Journey to Tomorrow Plan.</w:t>
      </w: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sz w:val="24"/>
          <w:szCs w:val="24"/>
        </w:rPr>
      </w:pPr>
      <w:r w:rsidRPr="008B0C1C">
        <w:rPr>
          <w:rFonts w:ascii="Arial" w:hAnsi="Arial" w:cs="Arial"/>
          <w:b/>
          <w:bCs/>
          <w:sz w:val="24"/>
          <w:szCs w:val="24"/>
        </w:rPr>
        <w:t>SWOT Analysis:</w:t>
      </w:r>
    </w:p>
    <w:p w:rsidR="008B0C1C" w:rsidRPr="008B0C1C" w:rsidRDefault="008B0C1C" w:rsidP="008B0C1C">
      <w:pPr>
        <w:spacing w:line="480" w:lineRule="auto"/>
        <w:jc w:val="both"/>
        <w:rPr>
          <w:rFonts w:ascii="Arial" w:hAnsi="Arial" w:cs="Arial"/>
          <w:sz w:val="24"/>
          <w:szCs w:val="24"/>
        </w:rPr>
      </w:pPr>
      <w:r w:rsidRPr="008B0C1C">
        <w:rPr>
          <w:rFonts w:ascii="Arial" w:hAnsi="Arial" w:cs="Arial"/>
          <w:b/>
          <w:bCs/>
          <w:sz w:val="24"/>
          <w:szCs w:val="24"/>
        </w:rPr>
        <w:t>Strengths</w:t>
      </w:r>
      <w:r w:rsidRPr="008B0C1C">
        <w:rPr>
          <w:rFonts w:ascii="Arial" w:hAnsi="Arial" w:cs="Arial"/>
          <w:sz w:val="24"/>
          <w:szCs w:val="24"/>
        </w:rPr>
        <w:t>:</w:t>
      </w:r>
    </w:p>
    <w:p w:rsidR="008B0C1C" w:rsidRPr="008B0C1C" w:rsidRDefault="008B0C1C" w:rsidP="008B0C1C">
      <w:pPr>
        <w:numPr>
          <w:ilvl w:val="0"/>
          <w:numId w:val="3"/>
        </w:numPr>
        <w:spacing w:line="480" w:lineRule="auto"/>
        <w:jc w:val="both"/>
        <w:rPr>
          <w:rFonts w:ascii="Arial" w:hAnsi="Arial" w:cs="Arial"/>
          <w:sz w:val="24"/>
          <w:szCs w:val="24"/>
        </w:rPr>
      </w:pPr>
      <w:r w:rsidRPr="008B0C1C">
        <w:rPr>
          <w:rFonts w:ascii="Arial" w:hAnsi="Arial" w:cs="Arial"/>
          <w:sz w:val="24"/>
          <w:szCs w:val="24"/>
        </w:rPr>
        <w:t>IHG boasts a formidable collection of brands and a widespread international presence. Its resilient loyalty program and asset-light business model allow quick and low-risk expansion, which is especially beneficial during economic downturns (Seo &amp; Soh, 2019).</w:t>
      </w:r>
    </w:p>
    <w:p w:rsidR="008B0C1C" w:rsidRPr="008B0C1C" w:rsidRDefault="008B0C1C" w:rsidP="008B0C1C">
      <w:pPr>
        <w:numPr>
          <w:ilvl w:val="0"/>
          <w:numId w:val="3"/>
        </w:numPr>
        <w:spacing w:line="480" w:lineRule="auto"/>
        <w:jc w:val="both"/>
        <w:rPr>
          <w:rFonts w:ascii="Arial" w:hAnsi="Arial" w:cs="Arial"/>
          <w:sz w:val="24"/>
          <w:szCs w:val="24"/>
        </w:rPr>
      </w:pPr>
      <w:r w:rsidRPr="008B0C1C">
        <w:rPr>
          <w:rFonts w:ascii="Arial" w:hAnsi="Arial" w:cs="Arial"/>
          <w:sz w:val="24"/>
          <w:szCs w:val="24"/>
        </w:rPr>
        <w:t>The model enhances financial stability and operational flexibility (Bourke et al., 2020).</w:t>
      </w:r>
    </w:p>
    <w:p w:rsidR="008B0C1C" w:rsidRPr="008B0C1C" w:rsidRDefault="008B0C1C" w:rsidP="008B0C1C">
      <w:pPr>
        <w:spacing w:line="480" w:lineRule="auto"/>
        <w:jc w:val="both"/>
        <w:rPr>
          <w:rFonts w:ascii="Arial" w:hAnsi="Arial" w:cs="Arial"/>
          <w:sz w:val="24"/>
          <w:szCs w:val="24"/>
        </w:rPr>
      </w:pPr>
      <w:r w:rsidRPr="008B0C1C">
        <w:rPr>
          <w:rFonts w:ascii="Arial" w:hAnsi="Arial" w:cs="Arial"/>
          <w:b/>
          <w:bCs/>
          <w:sz w:val="24"/>
          <w:szCs w:val="24"/>
        </w:rPr>
        <w:t>Weaknesses</w:t>
      </w:r>
      <w:r w:rsidRPr="008B0C1C">
        <w:rPr>
          <w:rFonts w:ascii="Arial" w:hAnsi="Arial" w:cs="Arial"/>
          <w:sz w:val="24"/>
          <w:szCs w:val="24"/>
        </w:rPr>
        <w:t>:</w:t>
      </w:r>
    </w:p>
    <w:p w:rsidR="008B0C1C" w:rsidRPr="008B0C1C" w:rsidRDefault="008B0C1C" w:rsidP="008B0C1C">
      <w:pPr>
        <w:numPr>
          <w:ilvl w:val="0"/>
          <w:numId w:val="4"/>
        </w:numPr>
        <w:spacing w:line="480" w:lineRule="auto"/>
        <w:jc w:val="both"/>
        <w:rPr>
          <w:rFonts w:ascii="Arial" w:hAnsi="Arial" w:cs="Arial"/>
          <w:sz w:val="24"/>
          <w:szCs w:val="24"/>
        </w:rPr>
      </w:pPr>
      <w:r w:rsidRPr="008B0C1C">
        <w:rPr>
          <w:rFonts w:ascii="Arial" w:hAnsi="Arial" w:cs="Arial"/>
          <w:sz w:val="24"/>
          <w:szCs w:val="24"/>
        </w:rPr>
        <w:t>Dependence on franchise and management contracts may restrict control over service quality in specific properties (</w:t>
      </w:r>
      <w:proofErr w:type="spellStart"/>
      <w:r w:rsidRPr="008B0C1C">
        <w:rPr>
          <w:rFonts w:ascii="Arial" w:hAnsi="Arial" w:cs="Arial"/>
          <w:sz w:val="24"/>
          <w:szCs w:val="24"/>
        </w:rPr>
        <w:t>Riabenka</w:t>
      </w:r>
      <w:proofErr w:type="spellEnd"/>
      <w:r w:rsidRPr="008B0C1C">
        <w:rPr>
          <w:rFonts w:ascii="Arial" w:hAnsi="Arial" w:cs="Arial"/>
          <w:sz w:val="24"/>
          <w:szCs w:val="24"/>
        </w:rPr>
        <w:t>, 2021).</w:t>
      </w:r>
    </w:p>
    <w:p w:rsidR="008B0C1C" w:rsidRPr="008B0C1C" w:rsidRDefault="008B0C1C" w:rsidP="008B0C1C">
      <w:pPr>
        <w:numPr>
          <w:ilvl w:val="0"/>
          <w:numId w:val="4"/>
        </w:numPr>
        <w:spacing w:line="480" w:lineRule="auto"/>
        <w:jc w:val="both"/>
        <w:rPr>
          <w:rFonts w:ascii="Arial" w:hAnsi="Arial" w:cs="Arial"/>
          <w:sz w:val="24"/>
          <w:szCs w:val="24"/>
        </w:rPr>
      </w:pPr>
      <w:r w:rsidRPr="008B0C1C">
        <w:rPr>
          <w:rFonts w:ascii="Arial" w:hAnsi="Arial" w:cs="Arial"/>
          <w:sz w:val="24"/>
          <w:szCs w:val="24"/>
        </w:rPr>
        <w:t>Intense competition within the hospitality sector requires continuous innovation and investment in technological advancements.</w:t>
      </w:r>
    </w:p>
    <w:p w:rsidR="008B0C1C" w:rsidRPr="008B0C1C" w:rsidRDefault="008B0C1C" w:rsidP="008B0C1C">
      <w:pPr>
        <w:spacing w:line="480" w:lineRule="auto"/>
        <w:jc w:val="both"/>
        <w:rPr>
          <w:rFonts w:ascii="Arial" w:hAnsi="Arial" w:cs="Arial"/>
          <w:sz w:val="24"/>
          <w:szCs w:val="24"/>
        </w:rPr>
      </w:pPr>
      <w:r w:rsidRPr="008B0C1C">
        <w:rPr>
          <w:rFonts w:ascii="Arial" w:hAnsi="Arial" w:cs="Arial"/>
          <w:b/>
          <w:bCs/>
          <w:sz w:val="24"/>
          <w:szCs w:val="24"/>
        </w:rPr>
        <w:lastRenderedPageBreak/>
        <w:t>Opportunities</w:t>
      </w:r>
      <w:r w:rsidRPr="008B0C1C">
        <w:rPr>
          <w:rFonts w:ascii="Arial" w:hAnsi="Arial" w:cs="Arial"/>
          <w:sz w:val="24"/>
          <w:szCs w:val="24"/>
        </w:rPr>
        <w:t>:</w:t>
      </w:r>
    </w:p>
    <w:p w:rsidR="008B0C1C" w:rsidRPr="008B0C1C" w:rsidRDefault="008B0C1C" w:rsidP="008B0C1C">
      <w:pPr>
        <w:numPr>
          <w:ilvl w:val="0"/>
          <w:numId w:val="5"/>
        </w:numPr>
        <w:spacing w:line="480" w:lineRule="auto"/>
        <w:jc w:val="both"/>
        <w:rPr>
          <w:rFonts w:ascii="Arial" w:hAnsi="Arial" w:cs="Arial"/>
          <w:sz w:val="24"/>
          <w:szCs w:val="24"/>
        </w:rPr>
      </w:pPr>
      <w:r w:rsidRPr="008B0C1C">
        <w:rPr>
          <w:rFonts w:ascii="Arial" w:hAnsi="Arial" w:cs="Arial"/>
          <w:sz w:val="24"/>
          <w:szCs w:val="24"/>
        </w:rPr>
        <w:t>Expanding into emerging markets and meeting the growing demand for eco-friendly travel. Leveraging a well-established brand image and sustainability efforts can attract environmentally conscious travellers (</w:t>
      </w:r>
      <w:proofErr w:type="spellStart"/>
      <w:r w:rsidRPr="008B0C1C">
        <w:rPr>
          <w:rFonts w:ascii="Arial" w:hAnsi="Arial" w:cs="Arial"/>
          <w:sz w:val="24"/>
          <w:szCs w:val="24"/>
        </w:rPr>
        <w:t>Pandyak</w:t>
      </w:r>
      <w:proofErr w:type="spellEnd"/>
      <w:r w:rsidRPr="008B0C1C">
        <w:rPr>
          <w:rFonts w:ascii="Arial" w:hAnsi="Arial" w:cs="Arial"/>
          <w:sz w:val="24"/>
          <w:szCs w:val="24"/>
        </w:rPr>
        <w:t xml:space="preserve"> et al., 2023).</w:t>
      </w:r>
    </w:p>
    <w:p w:rsidR="008B0C1C" w:rsidRPr="008B0C1C" w:rsidRDefault="008B0C1C" w:rsidP="008B0C1C">
      <w:pPr>
        <w:numPr>
          <w:ilvl w:val="0"/>
          <w:numId w:val="5"/>
        </w:numPr>
        <w:spacing w:line="480" w:lineRule="auto"/>
        <w:jc w:val="both"/>
        <w:rPr>
          <w:rFonts w:ascii="Arial" w:hAnsi="Arial" w:cs="Arial"/>
          <w:sz w:val="24"/>
          <w:szCs w:val="24"/>
        </w:rPr>
      </w:pPr>
      <w:r w:rsidRPr="008B0C1C">
        <w:rPr>
          <w:rFonts w:ascii="Arial" w:hAnsi="Arial" w:cs="Arial"/>
          <w:sz w:val="24"/>
          <w:szCs w:val="24"/>
        </w:rPr>
        <w:t>The digital revolution offers opportunities to improve guest experiences through technology.</w:t>
      </w:r>
    </w:p>
    <w:p w:rsidR="008B0C1C" w:rsidRPr="008B0C1C" w:rsidRDefault="008B0C1C" w:rsidP="008B0C1C">
      <w:pPr>
        <w:spacing w:line="480" w:lineRule="auto"/>
        <w:jc w:val="both"/>
        <w:rPr>
          <w:rFonts w:ascii="Arial" w:hAnsi="Arial" w:cs="Arial"/>
          <w:sz w:val="24"/>
          <w:szCs w:val="24"/>
        </w:rPr>
      </w:pPr>
      <w:r w:rsidRPr="008B0C1C">
        <w:rPr>
          <w:rFonts w:ascii="Arial" w:hAnsi="Arial" w:cs="Arial"/>
          <w:b/>
          <w:bCs/>
          <w:sz w:val="24"/>
          <w:szCs w:val="24"/>
        </w:rPr>
        <w:t>Threats</w:t>
      </w:r>
      <w:r w:rsidRPr="008B0C1C">
        <w:rPr>
          <w:rFonts w:ascii="Arial" w:hAnsi="Arial" w:cs="Arial"/>
          <w:sz w:val="24"/>
          <w:szCs w:val="24"/>
        </w:rPr>
        <w:t>:</w:t>
      </w:r>
    </w:p>
    <w:p w:rsidR="008B0C1C" w:rsidRPr="008B0C1C" w:rsidRDefault="008B0C1C" w:rsidP="008B0C1C">
      <w:pPr>
        <w:numPr>
          <w:ilvl w:val="0"/>
          <w:numId w:val="6"/>
        </w:numPr>
        <w:spacing w:line="480" w:lineRule="auto"/>
        <w:jc w:val="both"/>
        <w:rPr>
          <w:rFonts w:ascii="Arial" w:hAnsi="Arial" w:cs="Arial"/>
          <w:sz w:val="24"/>
          <w:szCs w:val="24"/>
        </w:rPr>
      </w:pPr>
      <w:r w:rsidRPr="008B0C1C">
        <w:rPr>
          <w:rFonts w:ascii="Arial" w:hAnsi="Arial" w:cs="Arial"/>
          <w:sz w:val="24"/>
          <w:szCs w:val="24"/>
        </w:rPr>
        <w:t>Economic recessions, geopolitical turbulence, and the impacts of global pandemics pose significant risks. The COVID-19 pandemic, particularly, has underscored the need for robust crisis management strategies (Dimitrios et al., 2020).</w:t>
      </w:r>
    </w:p>
    <w:p w:rsidR="008B0C1C" w:rsidRPr="008B0C1C" w:rsidRDefault="008B0C1C" w:rsidP="008B0C1C">
      <w:pPr>
        <w:numPr>
          <w:ilvl w:val="0"/>
          <w:numId w:val="6"/>
        </w:numPr>
        <w:spacing w:line="480" w:lineRule="auto"/>
        <w:jc w:val="both"/>
        <w:rPr>
          <w:rFonts w:ascii="Arial" w:hAnsi="Arial" w:cs="Arial"/>
          <w:sz w:val="24"/>
          <w:szCs w:val="24"/>
        </w:rPr>
      </w:pPr>
      <w:r w:rsidRPr="008B0C1C">
        <w:rPr>
          <w:rFonts w:ascii="Arial" w:hAnsi="Arial" w:cs="Arial"/>
          <w:sz w:val="24"/>
          <w:szCs w:val="24"/>
        </w:rPr>
        <w:t>Ongoing challenges from regulatory changes and competition from alternative lodging options like Airbnb (Nikolaev-</w:t>
      </w:r>
      <w:proofErr w:type="spellStart"/>
      <w:r w:rsidRPr="008B0C1C">
        <w:rPr>
          <w:rFonts w:ascii="Arial" w:hAnsi="Arial" w:cs="Arial"/>
          <w:sz w:val="24"/>
          <w:szCs w:val="24"/>
        </w:rPr>
        <w:t>Pasukhin</w:t>
      </w:r>
      <w:proofErr w:type="spellEnd"/>
      <w:r w:rsidRPr="008B0C1C">
        <w:rPr>
          <w:rFonts w:ascii="Arial" w:hAnsi="Arial" w:cs="Arial"/>
          <w:sz w:val="24"/>
          <w:szCs w:val="24"/>
        </w:rPr>
        <w:t>, 2020).</w:t>
      </w: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t>PESTEL Analysis</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 xml:space="preserve">The Intercontinental Hotel Group (IHG) navigates various external factors through a PESTEL analysis. Politically, regulatory changes and geopolitical instability impact operations. Economically, fluctuations like downturns affect travel demand and occupancy rates. Socially, the growing demand for eco-friendly travel prompts enhanced sustainability practices. Technologically, digital advancements improve guest experiences and operational efficiencies. Environmentally, IHG’s focus on sustainability aligns with global goals and boosts its reputation. Legally, compliance with international laws is crucial for maintaining operational integrity. Addressing </w:t>
      </w:r>
      <w:r w:rsidRPr="008B0C1C">
        <w:rPr>
          <w:rFonts w:ascii="Arial" w:hAnsi="Arial" w:cs="Arial"/>
          <w:sz w:val="24"/>
          <w:szCs w:val="24"/>
        </w:rPr>
        <w:lastRenderedPageBreak/>
        <w:t>these PESTEL factors helps IHG sustain its competitive advantage in the hospitality industry.</w:t>
      </w: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t xml:space="preserve">4. Competitor Comparison </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IHG's strategic direction, organisational structure, and performance metrics demonstrate strengths and areas for improvement compared to its competitors. Like Marriott International and Hilton, IHG utilises an asset-light business strategy to minimise capital expenditure and improve scalability (Seo &amp; Soh, 2019). Nevertheless, AccorHotels, which also employs an asset-light strategy, has a more dominant position in the European market. Its brands, such as Ibis, outperform IHG's Holiday Inn regarding occupancy rates and revenue per available room (RevPAR) (</w:t>
      </w:r>
      <w:proofErr w:type="spellStart"/>
      <w:r w:rsidRPr="008B0C1C">
        <w:rPr>
          <w:rFonts w:ascii="Arial" w:hAnsi="Arial" w:cs="Arial"/>
          <w:sz w:val="24"/>
          <w:szCs w:val="24"/>
        </w:rPr>
        <w:t>Wisang</w:t>
      </w:r>
      <w:proofErr w:type="spellEnd"/>
      <w:r w:rsidRPr="008B0C1C">
        <w:rPr>
          <w:rFonts w:ascii="Arial" w:hAnsi="Arial" w:cs="Arial"/>
          <w:sz w:val="24"/>
          <w:szCs w:val="24"/>
        </w:rPr>
        <w:t xml:space="preserve"> </w:t>
      </w:r>
      <w:proofErr w:type="spellStart"/>
      <w:r w:rsidRPr="008B0C1C">
        <w:rPr>
          <w:rFonts w:ascii="Arial" w:hAnsi="Arial" w:cs="Arial"/>
          <w:sz w:val="24"/>
          <w:szCs w:val="24"/>
        </w:rPr>
        <w:t>Residata</w:t>
      </w:r>
      <w:proofErr w:type="spellEnd"/>
      <w:r w:rsidRPr="008B0C1C">
        <w:rPr>
          <w:rFonts w:ascii="Arial" w:hAnsi="Arial" w:cs="Arial"/>
          <w:sz w:val="24"/>
          <w:szCs w:val="24"/>
        </w:rPr>
        <w:t xml:space="preserve"> et al., 2023).</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Regarding sustainability, IHG's Journey to Tomorrow Plan aligns with Hilton's Travel with Purpose initiative, although Hilton has made progress in specific eco-friendly technologies (Abdou et al., 2020). Marriott is at the forefront of digital innovation, utilising a robust digital platform and advanced mobile app features to improve guest experiences and operational efficiency. Although IHG is making advancements in implementing AI-driven personalised services, it still falls behind in certain aspects of technological integration (Pereira et al., 2021).</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IHG's Rise and Ascend initiatives effectively advance diversity and inclusion. Marriott and Hilton have received recognition for their extensive and successful diversity initiatives (Yusoff et al., 2018). AccorHotels surpasses IHG's ability to penetrate emerging markets, specifically in Africa and Southeast Asia, by leveraging strategic partnerships (</w:t>
      </w:r>
      <w:proofErr w:type="spellStart"/>
      <w:r w:rsidRPr="008B0C1C">
        <w:rPr>
          <w:rFonts w:ascii="Arial" w:hAnsi="Arial" w:cs="Arial"/>
          <w:sz w:val="24"/>
          <w:szCs w:val="24"/>
        </w:rPr>
        <w:t>Alameeri</w:t>
      </w:r>
      <w:proofErr w:type="spellEnd"/>
      <w:r w:rsidRPr="008B0C1C">
        <w:rPr>
          <w:rFonts w:ascii="Arial" w:hAnsi="Arial" w:cs="Arial"/>
          <w:sz w:val="24"/>
          <w:szCs w:val="24"/>
        </w:rPr>
        <w:t xml:space="preserve"> et al., 2018).</w:t>
      </w:r>
    </w:p>
    <w:p w:rsidR="008B0C1C" w:rsidRPr="008B0C1C" w:rsidRDefault="008B0C1C" w:rsidP="008B0C1C">
      <w:pPr>
        <w:spacing w:line="480" w:lineRule="auto"/>
        <w:jc w:val="both"/>
        <w:rPr>
          <w:rFonts w:ascii="Arial" w:hAnsi="Arial" w:cs="Arial"/>
          <w:sz w:val="24"/>
          <w:szCs w:val="24"/>
        </w:rPr>
      </w:pP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t xml:space="preserve">5. Conclusion </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The Intercontinental Hotel Group (IHG) has exhibited a solid dedication to sustainability, employee well-being, and inclusiveness through recent initiatives. Implementing initiatives such as the Journey to Tomorrow Plan, hybrid working model, and diversity programmes has dramatically improved IHG's impact on the environment, employee contentment, and the organisation's ability to adapt. IHG's asset-light business model and diverse brand portfolio have ensured the company's financial stability and ability to adapt to market changes quickly. IHG's strategic objectives, which encompass expanding net rooms, improving digital capabilities, and cultivating customer loyalty, align with its mission of "True Hospitality for Good." Nevertheless, obstacles such as dependence on franchise agreements and fierce competition continue to exist. To maintain continuous growth and a competitive edge, IHG must persist in implementing innovative environmental practices, digital technologies, and diversity initiatives while venturing into emerging markets. IHG's ability to sustain its leadership in the ever-changing hospitality industry will depend on its commitment to continuous innovation and sustainability.</w:t>
      </w: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sz w:val="24"/>
          <w:szCs w:val="24"/>
        </w:rPr>
        <w:br/>
      </w:r>
      <w:r w:rsidRPr="008B0C1C">
        <w:rPr>
          <w:rFonts w:ascii="Arial" w:hAnsi="Arial" w:cs="Arial"/>
          <w:b/>
          <w:bCs/>
          <w:sz w:val="24"/>
          <w:szCs w:val="24"/>
        </w:rPr>
        <w:t xml:space="preserve">6. Recommendations </w:t>
      </w:r>
    </w:p>
    <w:p w:rsidR="008B0C1C" w:rsidRPr="008B0C1C" w:rsidRDefault="008B0C1C" w:rsidP="008B0C1C">
      <w:pPr>
        <w:spacing w:line="480" w:lineRule="auto"/>
        <w:jc w:val="both"/>
        <w:rPr>
          <w:rFonts w:ascii="Arial" w:hAnsi="Arial" w:cs="Arial"/>
          <w:sz w:val="24"/>
          <w:szCs w:val="24"/>
        </w:rPr>
      </w:pPr>
      <w:r w:rsidRPr="008B0C1C">
        <w:rPr>
          <w:rFonts w:ascii="Arial" w:hAnsi="Arial" w:cs="Arial"/>
          <w:sz w:val="24"/>
          <w:szCs w:val="24"/>
        </w:rPr>
        <w:t xml:space="preserve">To improve its sustainability efforts, IHG should expand the implementation of environmentally friendly practices in all its properties by incorporating energy-efficient technologies and waste reduction initiatives. Studies suggest that implementing green practices is crucial in attaining environmental sustainability goals (Abdou et al., 2020). </w:t>
      </w:r>
      <w:r w:rsidRPr="008B0C1C">
        <w:rPr>
          <w:rFonts w:ascii="Arial" w:hAnsi="Arial" w:cs="Arial"/>
          <w:sz w:val="24"/>
          <w:szCs w:val="24"/>
        </w:rPr>
        <w:br/>
      </w:r>
      <w:r w:rsidRPr="008B0C1C">
        <w:rPr>
          <w:rFonts w:ascii="Arial" w:hAnsi="Arial" w:cs="Arial"/>
          <w:sz w:val="24"/>
          <w:szCs w:val="24"/>
        </w:rPr>
        <w:lastRenderedPageBreak/>
        <w:t xml:space="preserve">IHG should continue to allocate resources to digital technologies to improve guest experiences and operational efficiency. By improving the functionalities of mobile applications and incorporating personalised AI-driven services, it is possible to retain well-informed customers and optimise operations (Pereira et al., 2021). </w:t>
      </w:r>
      <w:r w:rsidRPr="008B0C1C">
        <w:rPr>
          <w:rFonts w:ascii="Arial" w:hAnsi="Arial" w:cs="Arial"/>
          <w:sz w:val="24"/>
          <w:szCs w:val="24"/>
        </w:rPr>
        <w:br/>
        <w:t xml:space="preserve">To enhance gender and ethnic diversity in leadership roles, IHG should broaden the scope of initiatives such as Rise and Ascend. To ensure continuous improvement, it is essential to provide comprehensive diversity training and establish specific metrics for diversity objectives (Yusoff et al., 2018). </w:t>
      </w:r>
      <w:r w:rsidRPr="008B0C1C">
        <w:rPr>
          <w:rFonts w:ascii="Arial" w:hAnsi="Arial" w:cs="Arial"/>
          <w:sz w:val="24"/>
          <w:szCs w:val="24"/>
        </w:rPr>
        <w:br/>
        <w:t>To achieve growth, IHG should prioritise expanding its market share in emerging economies. Strategic investments and partnerships have the potential to facilitate the process of entering new markets, generate extra revenue, and improve the ability to reach a global audience (</w:t>
      </w:r>
      <w:proofErr w:type="spellStart"/>
      <w:r w:rsidRPr="008B0C1C">
        <w:rPr>
          <w:rFonts w:ascii="Arial" w:hAnsi="Arial" w:cs="Arial"/>
          <w:sz w:val="24"/>
          <w:szCs w:val="24"/>
        </w:rPr>
        <w:t>Alameeri</w:t>
      </w:r>
      <w:proofErr w:type="spellEnd"/>
      <w:r w:rsidRPr="008B0C1C">
        <w:rPr>
          <w:rFonts w:ascii="Arial" w:hAnsi="Arial" w:cs="Arial"/>
          <w:sz w:val="24"/>
          <w:szCs w:val="24"/>
        </w:rPr>
        <w:t xml:space="preserve"> et al., 2018).</w:t>
      </w:r>
    </w:p>
    <w:p w:rsidR="008B0C1C" w:rsidRPr="008B0C1C" w:rsidRDefault="008B0C1C" w:rsidP="008B0C1C">
      <w:pPr>
        <w:spacing w:line="480" w:lineRule="auto"/>
        <w:jc w:val="both"/>
        <w:rPr>
          <w:rFonts w:ascii="Arial" w:hAnsi="Arial" w:cs="Arial"/>
          <w:sz w:val="24"/>
          <w:szCs w:val="24"/>
        </w:rPr>
      </w:pPr>
    </w:p>
    <w:p w:rsidR="008B0C1C" w:rsidRPr="008B0C1C" w:rsidRDefault="008B0C1C" w:rsidP="008B0C1C">
      <w:pPr>
        <w:spacing w:line="480" w:lineRule="auto"/>
        <w:jc w:val="both"/>
        <w:rPr>
          <w:rFonts w:ascii="Arial" w:hAnsi="Arial" w:cs="Arial"/>
          <w:sz w:val="24"/>
          <w:szCs w:val="24"/>
        </w:rPr>
      </w:pPr>
    </w:p>
    <w:p w:rsidR="008B0C1C" w:rsidRPr="008B0C1C" w:rsidRDefault="008B0C1C" w:rsidP="008B0C1C">
      <w:pPr>
        <w:spacing w:line="480" w:lineRule="auto"/>
        <w:jc w:val="both"/>
        <w:rPr>
          <w:rFonts w:ascii="Arial" w:hAnsi="Arial" w:cs="Arial"/>
          <w:sz w:val="24"/>
          <w:szCs w:val="24"/>
        </w:rPr>
      </w:pPr>
    </w:p>
    <w:p w:rsidR="008B0C1C" w:rsidRPr="008B0C1C" w:rsidRDefault="008B0C1C" w:rsidP="008B0C1C">
      <w:pPr>
        <w:spacing w:line="480" w:lineRule="auto"/>
        <w:jc w:val="both"/>
        <w:rPr>
          <w:rFonts w:ascii="Arial" w:hAnsi="Arial" w:cs="Arial"/>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p>
    <w:p w:rsidR="00FE0FB4" w:rsidRDefault="00FE0FB4" w:rsidP="008B0C1C">
      <w:pPr>
        <w:spacing w:line="480" w:lineRule="auto"/>
        <w:jc w:val="both"/>
        <w:rPr>
          <w:rFonts w:ascii="Arial" w:hAnsi="Arial" w:cs="Arial"/>
          <w:b/>
          <w:bCs/>
          <w:sz w:val="24"/>
          <w:szCs w:val="24"/>
        </w:rPr>
      </w:pPr>
    </w:p>
    <w:p w:rsidR="008B0C1C" w:rsidRPr="008B0C1C" w:rsidRDefault="008B0C1C" w:rsidP="008B0C1C">
      <w:pPr>
        <w:spacing w:line="480" w:lineRule="auto"/>
        <w:jc w:val="both"/>
        <w:rPr>
          <w:rFonts w:ascii="Arial" w:hAnsi="Arial" w:cs="Arial"/>
          <w:b/>
          <w:bCs/>
          <w:sz w:val="24"/>
          <w:szCs w:val="24"/>
        </w:rPr>
      </w:pPr>
      <w:r w:rsidRPr="008B0C1C">
        <w:rPr>
          <w:rFonts w:ascii="Arial" w:hAnsi="Arial" w:cs="Arial"/>
          <w:b/>
          <w:bCs/>
          <w:sz w:val="24"/>
          <w:szCs w:val="24"/>
        </w:rPr>
        <w:lastRenderedPageBreak/>
        <w:t>References</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Abdou, A., Hassan, T. H., &amp; El Dief, M. M. (2020). A Description of Green Hotel Practices and Their Role in Achieving Sustainable Development. Retrieved from </w:t>
      </w:r>
    </w:p>
    <w:p w:rsidR="008B0C1C" w:rsidRPr="008B0C1C" w:rsidRDefault="008B0C1C" w:rsidP="008B0C1C">
      <w:pPr>
        <w:pStyle w:val="ListParagraph"/>
        <w:numPr>
          <w:ilvl w:val="0"/>
          <w:numId w:val="7"/>
        </w:numPr>
        <w:spacing w:line="480" w:lineRule="auto"/>
        <w:jc w:val="both"/>
        <w:rPr>
          <w:rFonts w:ascii="Arial" w:hAnsi="Arial" w:cs="Arial"/>
          <w:sz w:val="24"/>
          <w:szCs w:val="24"/>
        </w:rPr>
      </w:pPr>
      <w:proofErr w:type="spellStart"/>
      <w:r w:rsidRPr="008B0C1C">
        <w:rPr>
          <w:rFonts w:ascii="Arial" w:hAnsi="Arial" w:cs="Arial"/>
          <w:sz w:val="24"/>
          <w:szCs w:val="24"/>
        </w:rPr>
        <w:t>Alameeri</w:t>
      </w:r>
      <w:proofErr w:type="spellEnd"/>
      <w:r w:rsidRPr="008B0C1C">
        <w:rPr>
          <w:rFonts w:ascii="Arial" w:hAnsi="Arial" w:cs="Arial"/>
          <w:sz w:val="24"/>
          <w:szCs w:val="24"/>
        </w:rPr>
        <w:t xml:space="preserve">, A., Ajmal, M. M., Hussain, M., &amp; Helo, P. (2018). Sustainable management practices in UAE hotels.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Bourke, J., Izadi, J., &amp; Olya, H. (2020). Failure of play on asset disposals and share buybacks: Application of game theory in the international hotel market.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Cheng, M., &amp; Anderson, C. (2020). Search Engine Consumer Journeys: Exploring and Segmenting Click-Through </w:t>
      </w:r>
      <w:proofErr w:type="spellStart"/>
      <w:r w:rsidRPr="008B0C1C">
        <w:rPr>
          <w:rFonts w:ascii="Arial" w:hAnsi="Arial" w:cs="Arial"/>
          <w:sz w:val="24"/>
          <w:szCs w:val="24"/>
        </w:rPr>
        <w:t>Behaviors</w:t>
      </w:r>
      <w:proofErr w:type="spellEnd"/>
      <w:r w:rsidRPr="008B0C1C">
        <w:rPr>
          <w:rFonts w:ascii="Arial" w:hAnsi="Arial" w:cs="Arial"/>
          <w:sz w:val="24"/>
          <w:szCs w:val="24"/>
        </w:rPr>
        <w:t xml:space="preserve">.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Dimitrios, B., Papademetriou, C., </w:t>
      </w:r>
      <w:proofErr w:type="spellStart"/>
      <w:r w:rsidRPr="008B0C1C">
        <w:rPr>
          <w:rFonts w:ascii="Arial" w:hAnsi="Arial" w:cs="Arial"/>
          <w:sz w:val="24"/>
          <w:szCs w:val="24"/>
        </w:rPr>
        <w:t>Rossidis</w:t>
      </w:r>
      <w:proofErr w:type="spellEnd"/>
      <w:r w:rsidRPr="008B0C1C">
        <w:rPr>
          <w:rFonts w:ascii="Arial" w:hAnsi="Arial" w:cs="Arial"/>
          <w:sz w:val="24"/>
          <w:szCs w:val="24"/>
        </w:rPr>
        <w:t xml:space="preserve">, I., &amp; Vasiliadis, L. (2020). Strategic Management in the Hotel Industry: Proposed Strategic Practices to Recover from COVID-19 Global Crisis.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Hu, X., Ma, C., Ren, L., &amp; Chen, P.-J. (2021). When in “China”, do as the Chinese do: a case study of IHG’s HUALUXE’S localization in China.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IHG. (2021). Responsible Business Report. Retrieved from IHG official Website.</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IHG. (2022). Annual Report. Retrieved from IHG official Website.</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Kash, B., Spaulding, A., Gamm, L., &amp; Johnson, C. (2014). Healthcare strategic management and the </w:t>
      </w:r>
      <w:proofErr w:type="gramStart"/>
      <w:r w:rsidRPr="008B0C1C">
        <w:rPr>
          <w:rFonts w:ascii="Arial" w:hAnsi="Arial" w:cs="Arial"/>
          <w:sz w:val="24"/>
          <w:szCs w:val="24"/>
        </w:rPr>
        <w:t>resource based</w:t>
      </w:r>
      <w:proofErr w:type="gramEnd"/>
      <w:r w:rsidRPr="008B0C1C">
        <w:rPr>
          <w:rFonts w:ascii="Arial" w:hAnsi="Arial" w:cs="Arial"/>
          <w:sz w:val="24"/>
          <w:szCs w:val="24"/>
        </w:rPr>
        <w:t xml:space="preserve"> view</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Lončar, J., &amp; Knežević, M. (2023). The influence of a hotel room </w:t>
      </w:r>
      <w:proofErr w:type="gramStart"/>
      <w:r w:rsidRPr="008B0C1C">
        <w:rPr>
          <w:rFonts w:ascii="Arial" w:hAnsi="Arial" w:cs="Arial"/>
          <w:sz w:val="24"/>
          <w:szCs w:val="24"/>
        </w:rPr>
        <w:t>experience</w:t>
      </w:r>
      <w:proofErr w:type="gramEnd"/>
      <w:r w:rsidRPr="008B0C1C">
        <w:rPr>
          <w:rFonts w:ascii="Arial" w:hAnsi="Arial" w:cs="Arial"/>
          <w:sz w:val="24"/>
          <w:szCs w:val="24"/>
        </w:rPr>
        <w:t xml:space="preserve"> and loyalty recognition of guests by employees on overall guest satisfaction in IHG hotels.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Nikolaev-</w:t>
      </w:r>
      <w:proofErr w:type="spellStart"/>
      <w:r w:rsidRPr="008B0C1C">
        <w:rPr>
          <w:rFonts w:ascii="Arial" w:hAnsi="Arial" w:cs="Arial"/>
          <w:sz w:val="24"/>
          <w:szCs w:val="24"/>
        </w:rPr>
        <w:t>Pasukhin</w:t>
      </w:r>
      <w:proofErr w:type="spellEnd"/>
      <w:r w:rsidRPr="008B0C1C">
        <w:rPr>
          <w:rFonts w:ascii="Arial" w:hAnsi="Arial" w:cs="Arial"/>
          <w:sz w:val="24"/>
          <w:szCs w:val="24"/>
        </w:rPr>
        <w:t xml:space="preserve">, S. (2020). Strategy of international hotels as the factor of development of tourism in Russia. </w:t>
      </w:r>
    </w:p>
    <w:p w:rsidR="008B0C1C" w:rsidRPr="008B0C1C" w:rsidRDefault="008B0C1C" w:rsidP="008B0C1C">
      <w:pPr>
        <w:pStyle w:val="ListParagraph"/>
        <w:numPr>
          <w:ilvl w:val="0"/>
          <w:numId w:val="7"/>
        </w:numPr>
        <w:spacing w:line="480" w:lineRule="auto"/>
        <w:jc w:val="both"/>
        <w:rPr>
          <w:rFonts w:ascii="Arial" w:hAnsi="Arial" w:cs="Arial"/>
          <w:sz w:val="24"/>
          <w:szCs w:val="24"/>
        </w:rPr>
      </w:pPr>
      <w:proofErr w:type="spellStart"/>
      <w:r w:rsidRPr="008B0C1C">
        <w:rPr>
          <w:rFonts w:ascii="Arial" w:hAnsi="Arial" w:cs="Arial"/>
          <w:sz w:val="24"/>
          <w:szCs w:val="24"/>
        </w:rPr>
        <w:lastRenderedPageBreak/>
        <w:t>Pandyak</w:t>
      </w:r>
      <w:proofErr w:type="spellEnd"/>
      <w:r w:rsidRPr="008B0C1C">
        <w:rPr>
          <w:rFonts w:ascii="Arial" w:hAnsi="Arial" w:cs="Arial"/>
          <w:sz w:val="24"/>
          <w:szCs w:val="24"/>
        </w:rPr>
        <w:t xml:space="preserve">, I., </w:t>
      </w:r>
      <w:proofErr w:type="spellStart"/>
      <w:r w:rsidRPr="008B0C1C">
        <w:rPr>
          <w:rFonts w:ascii="Arial" w:hAnsi="Arial" w:cs="Arial"/>
          <w:sz w:val="24"/>
          <w:szCs w:val="24"/>
        </w:rPr>
        <w:t>Kushniruk</w:t>
      </w:r>
      <w:proofErr w:type="spellEnd"/>
      <w:r w:rsidRPr="008B0C1C">
        <w:rPr>
          <w:rFonts w:ascii="Arial" w:hAnsi="Arial" w:cs="Arial"/>
          <w:sz w:val="24"/>
          <w:szCs w:val="24"/>
        </w:rPr>
        <w:t xml:space="preserve">, H., &amp; </w:t>
      </w:r>
      <w:proofErr w:type="spellStart"/>
      <w:r w:rsidRPr="008B0C1C">
        <w:rPr>
          <w:rFonts w:ascii="Arial" w:hAnsi="Arial" w:cs="Arial"/>
          <w:sz w:val="24"/>
          <w:szCs w:val="24"/>
        </w:rPr>
        <w:t>Petlin</w:t>
      </w:r>
      <w:proofErr w:type="spellEnd"/>
      <w:r w:rsidRPr="008B0C1C">
        <w:rPr>
          <w:rFonts w:ascii="Arial" w:hAnsi="Arial" w:cs="Arial"/>
          <w:sz w:val="24"/>
          <w:szCs w:val="24"/>
        </w:rPr>
        <w:t xml:space="preserve">, I. (2023). Development Strategies of International Hotel Chains.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Pereira, V., Silva, G., &amp; Dias, Á. (2021). Sustainability Practices in Hospitality: Case Study of a Luxury Hotel in </w:t>
      </w:r>
      <w:proofErr w:type="spellStart"/>
      <w:r w:rsidRPr="008B0C1C">
        <w:rPr>
          <w:rFonts w:ascii="Arial" w:hAnsi="Arial" w:cs="Arial"/>
          <w:sz w:val="24"/>
          <w:szCs w:val="24"/>
        </w:rPr>
        <w:t>Arrábida</w:t>
      </w:r>
      <w:proofErr w:type="spellEnd"/>
      <w:r w:rsidRPr="008B0C1C">
        <w:rPr>
          <w:rFonts w:ascii="Arial" w:hAnsi="Arial" w:cs="Arial"/>
          <w:sz w:val="24"/>
          <w:szCs w:val="24"/>
        </w:rPr>
        <w:t xml:space="preserve"> Natural Park.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Poretti, C., &amp; </w:t>
      </w:r>
      <w:proofErr w:type="spellStart"/>
      <w:r w:rsidRPr="008B0C1C">
        <w:rPr>
          <w:rFonts w:ascii="Arial" w:hAnsi="Arial" w:cs="Arial"/>
          <w:sz w:val="24"/>
          <w:szCs w:val="24"/>
        </w:rPr>
        <w:t>Blal</w:t>
      </w:r>
      <w:proofErr w:type="spellEnd"/>
      <w:r w:rsidRPr="008B0C1C">
        <w:rPr>
          <w:rFonts w:ascii="Arial" w:hAnsi="Arial" w:cs="Arial"/>
          <w:sz w:val="24"/>
          <w:szCs w:val="24"/>
        </w:rPr>
        <w:t xml:space="preserve">, I. (2020). The asset-light strategies and the dividend puzzle: International evidence from the hospitality industry. </w:t>
      </w:r>
    </w:p>
    <w:p w:rsidR="008B0C1C" w:rsidRPr="008B0C1C" w:rsidRDefault="008B0C1C" w:rsidP="008B0C1C">
      <w:pPr>
        <w:pStyle w:val="ListParagraph"/>
        <w:numPr>
          <w:ilvl w:val="0"/>
          <w:numId w:val="7"/>
        </w:numPr>
        <w:spacing w:line="480" w:lineRule="auto"/>
        <w:jc w:val="both"/>
        <w:rPr>
          <w:rFonts w:ascii="Arial" w:hAnsi="Arial" w:cs="Arial"/>
          <w:sz w:val="24"/>
          <w:szCs w:val="24"/>
        </w:rPr>
      </w:pPr>
      <w:proofErr w:type="spellStart"/>
      <w:r w:rsidRPr="008B0C1C">
        <w:rPr>
          <w:rFonts w:ascii="Arial" w:hAnsi="Arial" w:cs="Arial"/>
          <w:sz w:val="24"/>
          <w:szCs w:val="24"/>
        </w:rPr>
        <w:t>Riabenka</w:t>
      </w:r>
      <w:proofErr w:type="spellEnd"/>
      <w:r w:rsidRPr="008B0C1C">
        <w:rPr>
          <w:rFonts w:ascii="Arial" w:hAnsi="Arial" w:cs="Arial"/>
          <w:sz w:val="24"/>
          <w:szCs w:val="24"/>
        </w:rPr>
        <w:t xml:space="preserve">, M. (2021). Strategic Planning in Hotel and Restaurant Establishments.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Seo, K., &amp; Soh, J.-I. (2019). Asset-light business model: An examination of investment-cash flow sensitivities and return on invested capital.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Seo, K., Woo, L., Mun, S. G., &amp; Soh, J.-I. (2021). The asset-light business model and firm performance in complex and dynamic environments: The dynamic capabilities view.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Setiawan, A. (2020). Market Orientation, Hotel Chain Group </w:t>
      </w:r>
      <w:proofErr w:type="gramStart"/>
      <w:r w:rsidRPr="008B0C1C">
        <w:rPr>
          <w:rFonts w:ascii="Arial" w:hAnsi="Arial" w:cs="Arial"/>
          <w:sz w:val="24"/>
          <w:szCs w:val="24"/>
        </w:rPr>
        <w:t>And</w:t>
      </w:r>
      <w:proofErr w:type="gramEnd"/>
      <w:r w:rsidRPr="008B0C1C">
        <w:rPr>
          <w:rFonts w:ascii="Arial" w:hAnsi="Arial" w:cs="Arial"/>
          <w:sz w:val="24"/>
          <w:szCs w:val="24"/>
        </w:rPr>
        <w:t xml:space="preserve"> Strategic Management Accounting Usage.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Udofia, K. (2018). Intercontinental Hotel Group's Exit from Nigeria.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Voegeli, C. (2021). A Case Study of Knowledge Management Practices at the Intercontinental Hotels’ Group.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t xml:space="preserve">Wang, J., &amp; Wu, X. (2018). Top-down or outside-in? Culturally diverse approaches to hotel crisis planning. </w:t>
      </w:r>
    </w:p>
    <w:p w:rsidR="008B0C1C" w:rsidRPr="008B0C1C" w:rsidRDefault="008B0C1C" w:rsidP="008B0C1C">
      <w:pPr>
        <w:pStyle w:val="ListParagraph"/>
        <w:numPr>
          <w:ilvl w:val="0"/>
          <w:numId w:val="7"/>
        </w:numPr>
        <w:spacing w:line="480" w:lineRule="auto"/>
        <w:jc w:val="both"/>
        <w:rPr>
          <w:rFonts w:ascii="Arial" w:hAnsi="Arial" w:cs="Arial"/>
          <w:sz w:val="24"/>
          <w:szCs w:val="24"/>
        </w:rPr>
      </w:pPr>
      <w:proofErr w:type="spellStart"/>
      <w:r w:rsidRPr="008B0C1C">
        <w:rPr>
          <w:rFonts w:ascii="Arial" w:hAnsi="Arial" w:cs="Arial"/>
          <w:sz w:val="24"/>
          <w:szCs w:val="24"/>
        </w:rPr>
        <w:t>Wisang</w:t>
      </w:r>
      <w:proofErr w:type="spellEnd"/>
      <w:r w:rsidRPr="008B0C1C">
        <w:rPr>
          <w:rFonts w:ascii="Arial" w:hAnsi="Arial" w:cs="Arial"/>
          <w:sz w:val="24"/>
          <w:szCs w:val="24"/>
        </w:rPr>
        <w:t xml:space="preserve"> </w:t>
      </w:r>
      <w:proofErr w:type="spellStart"/>
      <w:r w:rsidRPr="008B0C1C">
        <w:rPr>
          <w:rFonts w:ascii="Arial" w:hAnsi="Arial" w:cs="Arial"/>
          <w:sz w:val="24"/>
          <w:szCs w:val="24"/>
        </w:rPr>
        <w:t>Residata</w:t>
      </w:r>
      <w:proofErr w:type="spellEnd"/>
      <w:r w:rsidRPr="008B0C1C">
        <w:rPr>
          <w:rFonts w:ascii="Arial" w:hAnsi="Arial" w:cs="Arial"/>
          <w:sz w:val="24"/>
          <w:szCs w:val="24"/>
        </w:rPr>
        <w:t xml:space="preserve">, W., Kusuma Ningrum, N. F., Rahmi, S. N. A., Dylan, M. A., </w:t>
      </w:r>
      <w:proofErr w:type="spellStart"/>
      <w:r w:rsidRPr="008B0C1C">
        <w:rPr>
          <w:rFonts w:ascii="Arial" w:hAnsi="Arial" w:cs="Arial"/>
          <w:sz w:val="24"/>
          <w:szCs w:val="24"/>
        </w:rPr>
        <w:t>Nurcahyo</w:t>
      </w:r>
      <w:proofErr w:type="spellEnd"/>
      <w:r w:rsidRPr="008B0C1C">
        <w:rPr>
          <w:rFonts w:ascii="Arial" w:hAnsi="Arial" w:cs="Arial"/>
          <w:sz w:val="24"/>
          <w:szCs w:val="24"/>
        </w:rPr>
        <w:t xml:space="preserve">, R., Wibowo, N., &amp; </w:t>
      </w:r>
      <w:proofErr w:type="spellStart"/>
      <w:r w:rsidRPr="008B0C1C">
        <w:rPr>
          <w:rFonts w:ascii="Arial" w:hAnsi="Arial" w:cs="Arial"/>
          <w:sz w:val="24"/>
          <w:szCs w:val="24"/>
        </w:rPr>
        <w:t>Kristiningrum</w:t>
      </w:r>
      <w:proofErr w:type="spellEnd"/>
      <w:r w:rsidRPr="008B0C1C">
        <w:rPr>
          <w:rFonts w:ascii="Arial" w:hAnsi="Arial" w:cs="Arial"/>
          <w:sz w:val="24"/>
          <w:szCs w:val="24"/>
        </w:rPr>
        <w:t xml:space="preserve">, E. (2023). Comparative Analysis for Strategy Implementation in Indonesia's Hotel Business Sector During Covid-19. </w:t>
      </w:r>
    </w:p>
    <w:p w:rsidR="008B0C1C" w:rsidRPr="008B0C1C" w:rsidRDefault="008B0C1C" w:rsidP="008B0C1C">
      <w:pPr>
        <w:pStyle w:val="ListParagraph"/>
        <w:numPr>
          <w:ilvl w:val="0"/>
          <w:numId w:val="7"/>
        </w:numPr>
        <w:spacing w:line="480" w:lineRule="auto"/>
        <w:jc w:val="both"/>
        <w:rPr>
          <w:rFonts w:ascii="Arial" w:hAnsi="Arial" w:cs="Arial"/>
          <w:sz w:val="24"/>
          <w:szCs w:val="24"/>
        </w:rPr>
      </w:pPr>
      <w:r w:rsidRPr="008B0C1C">
        <w:rPr>
          <w:rFonts w:ascii="Arial" w:hAnsi="Arial" w:cs="Arial"/>
          <w:sz w:val="24"/>
          <w:szCs w:val="24"/>
        </w:rPr>
        <w:lastRenderedPageBreak/>
        <w:t xml:space="preserve">Yusoff, Y. M., </w:t>
      </w:r>
      <w:proofErr w:type="spellStart"/>
      <w:r w:rsidRPr="008B0C1C">
        <w:rPr>
          <w:rFonts w:ascii="Arial" w:hAnsi="Arial" w:cs="Arial"/>
          <w:sz w:val="24"/>
          <w:szCs w:val="24"/>
        </w:rPr>
        <w:t>Nejati</w:t>
      </w:r>
      <w:proofErr w:type="spellEnd"/>
      <w:r w:rsidRPr="008B0C1C">
        <w:rPr>
          <w:rFonts w:ascii="Arial" w:hAnsi="Arial" w:cs="Arial"/>
          <w:sz w:val="24"/>
          <w:szCs w:val="24"/>
        </w:rPr>
        <w:t xml:space="preserve">, M., Kee, D., &amp; Amran, A. (2018). Linking Green Human Resource Management Practices to Environmental Performance in Hotel Industry. </w:t>
      </w:r>
    </w:p>
    <w:p w:rsidR="008B0C1C" w:rsidRPr="008B0C1C" w:rsidRDefault="008B0C1C" w:rsidP="008B0C1C">
      <w:pPr>
        <w:spacing w:line="480" w:lineRule="auto"/>
        <w:jc w:val="both"/>
        <w:rPr>
          <w:rFonts w:ascii="Arial" w:hAnsi="Arial" w:cs="Arial"/>
          <w:sz w:val="24"/>
          <w:szCs w:val="24"/>
        </w:rPr>
      </w:pPr>
    </w:p>
    <w:p w:rsidR="008B0C1C" w:rsidRPr="008B0C1C" w:rsidRDefault="008B0C1C" w:rsidP="008B0C1C">
      <w:pPr>
        <w:spacing w:line="480" w:lineRule="auto"/>
        <w:jc w:val="both"/>
        <w:rPr>
          <w:rFonts w:ascii="Arial" w:hAnsi="Arial" w:cs="Arial"/>
          <w:sz w:val="24"/>
          <w:szCs w:val="24"/>
        </w:rPr>
      </w:pPr>
    </w:p>
    <w:p w:rsidR="005C5939" w:rsidRPr="008B0C1C" w:rsidRDefault="005C5939" w:rsidP="008B0C1C">
      <w:pPr>
        <w:spacing w:line="480" w:lineRule="auto"/>
        <w:rPr>
          <w:rFonts w:ascii="Arial" w:hAnsi="Arial" w:cs="Arial"/>
          <w:sz w:val="24"/>
          <w:szCs w:val="24"/>
        </w:rPr>
      </w:pPr>
    </w:p>
    <w:sectPr w:rsidR="005C5939" w:rsidRPr="008B0C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03FF0"/>
    <w:multiLevelType w:val="multilevel"/>
    <w:tmpl w:val="369A103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EEA3225"/>
    <w:multiLevelType w:val="multilevel"/>
    <w:tmpl w:val="04D6C89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542B4D8C"/>
    <w:multiLevelType w:val="multilevel"/>
    <w:tmpl w:val="6156B1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5523A5"/>
    <w:multiLevelType w:val="multilevel"/>
    <w:tmpl w:val="49943E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B16860"/>
    <w:multiLevelType w:val="hybridMultilevel"/>
    <w:tmpl w:val="D1F4016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778B54E1"/>
    <w:multiLevelType w:val="multilevel"/>
    <w:tmpl w:val="F710BE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5D585E"/>
    <w:multiLevelType w:val="multilevel"/>
    <w:tmpl w:val="C8E21E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15121076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4767737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080130423">
    <w:abstractNumId w:val="2"/>
    <w:lvlOverride w:ilvl="0"/>
    <w:lvlOverride w:ilvl="1"/>
    <w:lvlOverride w:ilvl="2"/>
    <w:lvlOverride w:ilvl="3"/>
    <w:lvlOverride w:ilvl="4"/>
    <w:lvlOverride w:ilvl="5"/>
    <w:lvlOverride w:ilvl="6"/>
    <w:lvlOverride w:ilvl="7"/>
    <w:lvlOverride w:ilvl="8"/>
  </w:num>
  <w:num w:numId="4" w16cid:durableId="813638085">
    <w:abstractNumId w:val="5"/>
    <w:lvlOverride w:ilvl="0"/>
    <w:lvlOverride w:ilvl="1"/>
    <w:lvlOverride w:ilvl="2"/>
    <w:lvlOverride w:ilvl="3"/>
    <w:lvlOverride w:ilvl="4"/>
    <w:lvlOverride w:ilvl="5"/>
    <w:lvlOverride w:ilvl="6"/>
    <w:lvlOverride w:ilvl="7"/>
    <w:lvlOverride w:ilvl="8"/>
  </w:num>
  <w:num w:numId="5" w16cid:durableId="857885378">
    <w:abstractNumId w:val="6"/>
    <w:lvlOverride w:ilvl="0"/>
    <w:lvlOverride w:ilvl="1"/>
    <w:lvlOverride w:ilvl="2"/>
    <w:lvlOverride w:ilvl="3"/>
    <w:lvlOverride w:ilvl="4"/>
    <w:lvlOverride w:ilvl="5"/>
    <w:lvlOverride w:ilvl="6"/>
    <w:lvlOverride w:ilvl="7"/>
    <w:lvlOverride w:ilvl="8"/>
  </w:num>
  <w:num w:numId="6" w16cid:durableId="1012757445">
    <w:abstractNumId w:val="3"/>
    <w:lvlOverride w:ilvl="0"/>
    <w:lvlOverride w:ilvl="1"/>
    <w:lvlOverride w:ilvl="2"/>
    <w:lvlOverride w:ilvl="3"/>
    <w:lvlOverride w:ilvl="4"/>
    <w:lvlOverride w:ilvl="5"/>
    <w:lvlOverride w:ilvl="6"/>
    <w:lvlOverride w:ilvl="7"/>
    <w:lvlOverride w:ilvl="8"/>
  </w:num>
  <w:num w:numId="7" w16cid:durableId="178357201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B0C1C"/>
    <w:rsid w:val="00012197"/>
    <w:rsid w:val="00197E74"/>
    <w:rsid w:val="002976C4"/>
    <w:rsid w:val="00317051"/>
    <w:rsid w:val="00453F38"/>
    <w:rsid w:val="005C5939"/>
    <w:rsid w:val="00634514"/>
    <w:rsid w:val="006857E1"/>
    <w:rsid w:val="008B0C1C"/>
    <w:rsid w:val="00BE138E"/>
    <w:rsid w:val="00FE0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7E26F"/>
  <w15:chartTrackingRefBased/>
  <w15:docId w15:val="{FB5720F9-B651-47CD-8124-2C4163BDA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C1C"/>
    <w:pPr>
      <w:spacing w:after="160" w:line="256" w:lineRule="auto"/>
    </w:pPr>
    <w:rPr>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0C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6377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17</Pages>
  <Words>3056</Words>
  <Characters>17727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7</cp:revision>
  <dcterms:created xsi:type="dcterms:W3CDTF">2024-05-31T21:11:00Z</dcterms:created>
  <dcterms:modified xsi:type="dcterms:W3CDTF">2024-05-31T21:25:00Z</dcterms:modified>
</cp:coreProperties>
</file>