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063CE0" w14:textId="2A8C81CB" w:rsidR="00155960" w:rsidRDefault="005E02BA">
      <w:pPr>
        <w:spacing w:after="160" w:line="278" w:lineRule="auto"/>
        <w:jc w:val="left"/>
        <w:rPr>
          <w:b/>
          <w:bCs/>
          <w:sz w:val="48"/>
          <w:szCs w:val="48"/>
        </w:rPr>
      </w:pPr>
      <w:r>
        <w:rPr>
          <w:noProof/>
          <w14:ligatures w14:val="standardContextual"/>
        </w:rPr>
        <w:drawing>
          <wp:inline distT="0" distB="0" distL="0" distR="0" wp14:anchorId="774D3A4B" wp14:editId="68C233DF">
            <wp:extent cx="2028825" cy="800100"/>
            <wp:effectExtent l="0" t="0" r="9525" b="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srcRect/>
                    <a:stretch/>
                  </pic:blipFill>
                  <pic:spPr>
                    <a:xfrm>
                      <a:off x="0" y="0"/>
                      <a:ext cx="2028825" cy="800100"/>
                    </a:xfrm>
                    <a:prstGeom prst="rect">
                      <a:avLst/>
                    </a:prstGeom>
                  </pic:spPr>
                </pic:pic>
              </a:graphicData>
            </a:graphic>
          </wp:inline>
        </w:drawing>
      </w:r>
    </w:p>
    <w:p w14:paraId="0C5A45FA" w14:textId="77777777" w:rsidR="00155960" w:rsidRDefault="00155960">
      <w:pPr>
        <w:spacing w:after="160" w:line="278" w:lineRule="auto"/>
        <w:jc w:val="left"/>
        <w:rPr>
          <w:b/>
          <w:bCs/>
          <w:sz w:val="48"/>
          <w:szCs w:val="48"/>
        </w:rPr>
      </w:pPr>
    </w:p>
    <w:p w14:paraId="7E3B512C" w14:textId="77777777" w:rsidR="00155960" w:rsidRDefault="005E02BA">
      <w:pPr>
        <w:spacing w:after="160" w:line="278" w:lineRule="auto"/>
        <w:jc w:val="left"/>
        <w:rPr>
          <w:b/>
          <w:bCs/>
          <w:sz w:val="48"/>
          <w:szCs w:val="48"/>
        </w:rPr>
      </w:pPr>
      <w:r>
        <w:rPr>
          <w:b/>
          <w:bCs/>
          <w:sz w:val="48"/>
          <w:szCs w:val="48"/>
        </w:rPr>
        <w:t>Learning Development e-Portfolio: Academic Skills, Teamwork and Digital Referencing</w:t>
      </w:r>
    </w:p>
    <w:p w14:paraId="44A5FE85" w14:textId="77777777" w:rsidR="00155960" w:rsidRDefault="00155960">
      <w:pPr>
        <w:spacing w:after="160" w:line="278" w:lineRule="auto"/>
        <w:jc w:val="left"/>
        <w:rPr>
          <w:b/>
          <w:bCs/>
          <w:sz w:val="48"/>
          <w:szCs w:val="48"/>
        </w:rPr>
      </w:pPr>
    </w:p>
    <w:p w14:paraId="2F21FF9F" w14:textId="77777777" w:rsidR="00155960" w:rsidRDefault="00155960">
      <w:pPr>
        <w:spacing w:after="160" w:line="278" w:lineRule="auto"/>
        <w:jc w:val="left"/>
        <w:rPr>
          <w:b/>
          <w:bCs/>
          <w:sz w:val="48"/>
          <w:szCs w:val="48"/>
        </w:rPr>
      </w:pPr>
    </w:p>
    <w:p w14:paraId="46583F4B" w14:textId="77777777" w:rsidR="00155960" w:rsidRDefault="00155960">
      <w:pPr>
        <w:spacing w:after="160" w:line="278" w:lineRule="auto"/>
        <w:jc w:val="left"/>
        <w:rPr>
          <w:b/>
          <w:bCs/>
          <w:sz w:val="48"/>
          <w:szCs w:val="48"/>
        </w:rPr>
      </w:pPr>
    </w:p>
    <w:tbl>
      <w:tblPr>
        <w:tblStyle w:val="TableGrid"/>
        <w:tblW w:w="0" w:type="auto"/>
        <w:tblLook w:val="04A0" w:firstRow="1" w:lastRow="0" w:firstColumn="1" w:lastColumn="0" w:noHBand="0" w:noVBand="1"/>
      </w:tblPr>
      <w:tblGrid>
        <w:gridCol w:w="1861"/>
        <w:gridCol w:w="7342"/>
      </w:tblGrid>
      <w:tr w:rsidR="00155960" w14:paraId="61F0BFC4" w14:textId="77777777" w:rsidTr="005E02BA">
        <w:tc>
          <w:tcPr>
            <w:tcW w:w="0" w:type="auto"/>
            <w:hideMark/>
          </w:tcPr>
          <w:p w14:paraId="4280F37E" w14:textId="77777777" w:rsidR="00155960" w:rsidRDefault="005E02BA">
            <w:pPr>
              <w:spacing w:after="160" w:line="278" w:lineRule="auto"/>
              <w:jc w:val="left"/>
              <w:rPr>
                <w:b/>
                <w:bCs/>
              </w:rPr>
            </w:pPr>
            <w:r>
              <w:rPr>
                <w:b/>
                <w:bCs/>
              </w:rPr>
              <w:t>University</w:t>
            </w:r>
          </w:p>
        </w:tc>
        <w:tc>
          <w:tcPr>
            <w:tcW w:w="0" w:type="auto"/>
            <w:hideMark/>
          </w:tcPr>
          <w:p w14:paraId="6809FB0B" w14:textId="77777777" w:rsidR="00155960" w:rsidRDefault="005E02BA">
            <w:pPr>
              <w:spacing w:after="160" w:line="278" w:lineRule="auto"/>
              <w:jc w:val="left"/>
            </w:pPr>
            <w:r>
              <w:t>University of Wales Trinity Saint David (UWTSD)</w:t>
            </w:r>
          </w:p>
        </w:tc>
      </w:tr>
      <w:tr w:rsidR="00155960" w14:paraId="5438A3AE" w14:textId="77777777" w:rsidTr="005E02BA">
        <w:tc>
          <w:tcPr>
            <w:tcW w:w="0" w:type="auto"/>
            <w:hideMark/>
          </w:tcPr>
          <w:p w14:paraId="6BF9BC2F" w14:textId="77777777" w:rsidR="00155960" w:rsidRDefault="005E02BA">
            <w:pPr>
              <w:spacing w:after="160" w:line="278" w:lineRule="auto"/>
              <w:jc w:val="left"/>
              <w:rPr>
                <w:b/>
                <w:bCs/>
              </w:rPr>
            </w:pPr>
            <w:r>
              <w:rPr>
                <w:b/>
                <w:bCs/>
              </w:rPr>
              <w:t>Module</w:t>
            </w:r>
          </w:p>
        </w:tc>
        <w:tc>
          <w:tcPr>
            <w:tcW w:w="0" w:type="auto"/>
            <w:hideMark/>
          </w:tcPr>
          <w:p w14:paraId="66B54C2F" w14:textId="77777777" w:rsidR="00155960" w:rsidRDefault="005E02BA">
            <w:pPr>
              <w:spacing w:after="160" w:line="278" w:lineRule="auto"/>
              <w:jc w:val="left"/>
            </w:pPr>
            <w:r>
              <w:t>Learning Development (Level 4)</w:t>
            </w:r>
          </w:p>
        </w:tc>
      </w:tr>
      <w:tr w:rsidR="00155960" w14:paraId="532DEE41" w14:textId="77777777" w:rsidTr="005E02BA">
        <w:tc>
          <w:tcPr>
            <w:tcW w:w="0" w:type="auto"/>
            <w:hideMark/>
          </w:tcPr>
          <w:p w14:paraId="1BEC26AD" w14:textId="77777777" w:rsidR="00155960" w:rsidRDefault="005E02BA">
            <w:pPr>
              <w:spacing w:after="160" w:line="278" w:lineRule="auto"/>
              <w:jc w:val="left"/>
              <w:rPr>
                <w:b/>
                <w:bCs/>
              </w:rPr>
            </w:pPr>
            <w:r>
              <w:rPr>
                <w:b/>
                <w:bCs/>
              </w:rPr>
              <w:t>Assignment</w:t>
            </w:r>
          </w:p>
        </w:tc>
        <w:tc>
          <w:tcPr>
            <w:tcW w:w="0" w:type="auto"/>
            <w:hideMark/>
          </w:tcPr>
          <w:p w14:paraId="4D9473DE" w14:textId="77777777" w:rsidR="00155960" w:rsidRDefault="005E02BA">
            <w:pPr>
              <w:spacing w:after="160" w:line="278" w:lineRule="auto"/>
              <w:jc w:val="left"/>
            </w:pPr>
            <w:r>
              <w:t>Assignment 1 – Learning Development e-Portfolio</w:t>
            </w:r>
          </w:p>
        </w:tc>
      </w:tr>
      <w:tr w:rsidR="00155960" w14:paraId="554406C4" w14:textId="77777777" w:rsidTr="005E02BA">
        <w:tc>
          <w:tcPr>
            <w:tcW w:w="0" w:type="auto"/>
            <w:hideMark/>
          </w:tcPr>
          <w:p w14:paraId="241A0EF4" w14:textId="77777777" w:rsidR="00155960" w:rsidRDefault="005E02BA">
            <w:pPr>
              <w:spacing w:after="160" w:line="278" w:lineRule="auto"/>
              <w:jc w:val="left"/>
              <w:rPr>
                <w:b/>
                <w:bCs/>
              </w:rPr>
            </w:pPr>
            <w:r>
              <w:rPr>
                <w:b/>
                <w:bCs/>
              </w:rPr>
              <w:t>Title</w:t>
            </w:r>
          </w:p>
        </w:tc>
        <w:tc>
          <w:tcPr>
            <w:tcW w:w="0" w:type="auto"/>
            <w:hideMark/>
          </w:tcPr>
          <w:p w14:paraId="16BC6A3B" w14:textId="77777777" w:rsidR="00155960" w:rsidRDefault="005E02BA">
            <w:pPr>
              <w:spacing w:after="160" w:line="278" w:lineRule="auto"/>
              <w:jc w:val="left"/>
            </w:pPr>
            <w:r>
              <w:t>Learning Development e-Portfolio: Academic Skills, Teamwork and Digital Referencing</w:t>
            </w:r>
          </w:p>
        </w:tc>
      </w:tr>
      <w:tr w:rsidR="00155960" w14:paraId="2C30D387" w14:textId="77777777" w:rsidTr="005E02BA">
        <w:tc>
          <w:tcPr>
            <w:tcW w:w="0" w:type="auto"/>
            <w:hideMark/>
          </w:tcPr>
          <w:p w14:paraId="2DC462EC" w14:textId="77777777" w:rsidR="00155960" w:rsidRDefault="005E02BA">
            <w:pPr>
              <w:spacing w:after="160" w:line="278" w:lineRule="auto"/>
              <w:jc w:val="left"/>
              <w:rPr>
                <w:b/>
                <w:bCs/>
              </w:rPr>
            </w:pPr>
            <w:r>
              <w:rPr>
                <w:b/>
                <w:bCs/>
              </w:rPr>
              <w:t>Student Name</w:t>
            </w:r>
          </w:p>
        </w:tc>
        <w:tc>
          <w:tcPr>
            <w:tcW w:w="0" w:type="auto"/>
            <w:hideMark/>
          </w:tcPr>
          <w:p w14:paraId="6213C9C7" w14:textId="77777777" w:rsidR="00155960" w:rsidRDefault="005E02BA">
            <w:pPr>
              <w:spacing w:after="160" w:line="278" w:lineRule="auto"/>
              <w:jc w:val="left"/>
            </w:pPr>
            <w:r>
              <w:t>Tofayel Ahmed</w:t>
            </w:r>
          </w:p>
        </w:tc>
      </w:tr>
      <w:tr w:rsidR="00155960" w14:paraId="3E5D0E56" w14:textId="77777777" w:rsidTr="005E02BA">
        <w:tc>
          <w:tcPr>
            <w:tcW w:w="0" w:type="auto"/>
            <w:hideMark/>
          </w:tcPr>
          <w:p w14:paraId="682F9BA9" w14:textId="77777777" w:rsidR="00155960" w:rsidRDefault="005E02BA">
            <w:pPr>
              <w:spacing w:after="160" w:line="278" w:lineRule="auto"/>
              <w:jc w:val="left"/>
              <w:rPr>
                <w:b/>
                <w:bCs/>
              </w:rPr>
            </w:pPr>
            <w:r>
              <w:rPr>
                <w:b/>
                <w:bCs/>
              </w:rPr>
              <w:t>Student Number</w:t>
            </w:r>
          </w:p>
        </w:tc>
        <w:tc>
          <w:tcPr>
            <w:tcW w:w="0" w:type="auto"/>
            <w:hideMark/>
          </w:tcPr>
          <w:p w14:paraId="05739663" w14:textId="77777777" w:rsidR="00155960" w:rsidRDefault="005E02BA">
            <w:pPr>
              <w:spacing w:after="160" w:line="278" w:lineRule="auto"/>
              <w:jc w:val="left"/>
            </w:pPr>
            <w:r>
              <w:t>2428115</w:t>
            </w:r>
          </w:p>
        </w:tc>
      </w:tr>
      <w:tr w:rsidR="00155960" w14:paraId="595E7B76" w14:textId="77777777" w:rsidTr="005E02BA">
        <w:tc>
          <w:tcPr>
            <w:tcW w:w="0" w:type="auto"/>
            <w:hideMark/>
          </w:tcPr>
          <w:p w14:paraId="12FBBFD4" w14:textId="77777777" w:rsidR="00155960" w:rsidRDefault="005E02BA">
            <w:pPr>
              <w:spacing w:after="160" w:line="278" w:lineRule="auto"/>
              <w:jc w:val="left"/>
              <w:rPr>
                <w:b/>
                <w:bCs/>
              </w:rPr>
            </w:pPr>
            <w:r>
              <w:rPr>
                <w:b/>
                <w:bCs/>
              </w:rPr>
              <w:t>Course Title</w:t>
            </w:r>
          </w:p>
        </w:tc>
        <w:tc>
          <w:tcPr>
            <w:tcW w:w="0" w:type="auto"/>
            <w:hideMark/>
          </w:tcPr>
          <w:p w14:paraId="53C79B82" w14:textId="77777777" w:rsidR="00D1153F" w:rsidRDefault="00D1153F">
            <w:pPr>
              <w:pStyle w:val="p1"/>
            </w:pPr>
            <w:r>
              <w:rPr>
                <w:rStyle w:val="s1"/>
              </w:rPr>
              <w:t>CertHE Computing Skills for Workplace</w:t>
            </w:r>
          </w:p>
          <w:p w14:paraId="5EFADF89" w14:textId="15D81381" w:rsidR="00155960" w:rsidRDefault="00155960">
            <w:pPr>
              <w:spacing w:after="160" w:line="278" w:lineRule="auto"/>
              <w:jc w:val="left"/>
            </w:pPr>
          </w:p>
        </w:tc>
      </w:tr>
      <w:tr w:rsidR="00155960" w14:paraId="7E1EA07D" w14:textId="77777777" w:rsidTr="005E02BA">
        <w:tc>
          <w:tcPr>
            <w:tcW w:w="0" w:type="auto"/>
            <w:hideMark/>
          </w:tcPr>
          <w:p w14:paraId="18B33EE7" w14:textId="77777777" w:rsidR="00155960" w:rsidRDefault="005E02BA">
            <w:pPr>
              <w:spacing w:after="160" w:line="278" w:lineRule="auto"/>
              <w:jc w:val="left"/>
              <w:rPr>
                <w:b/>
                <w:bCs/>
              </w:rPr>
            </w:pPr>
            <w:r>
              <w:rPr>
                <w:b/>
                <w:bCs/>
              </w:rPr>
              <w:t>Tutor Name</w:t>
            </w:r>
          </w:p>
        </w:tc>
        <w:tc>
          <w:tcPr>
            <w:tcW w:w="0" w:type="auto"/>
            <w:hideMark/>
          </w:tcPr>
          <w:p w14:paraId="414C9A8C" w14:textId="77777777" w:rsidR="005E02BA" w:rsidRDefault="005E02BA">
            <w:pPr>
              <w:pStyle w:val="p1"/>
            </w:pPr>
            <w:r>
              <w:rPr>
                <w:rStyle w:val="s1"/>
              </w:rPr>
              <w:t xml:space="preserve">Fahad, </w:t>
            </w:r>
            <w:proofErr w:type="spellStart"/>
            <w:r>
              <w:rPr>
                <w:rStyle w:val="s1"/>
              </w:rPr>
              <w:t>Koushik</w:t>
            </w:r>
            <w:proofErr w:type="spellEnd"/>
            <w:r>
              <w:rPr>
                <w:rStyle w:val="apple-converted-space"/>
                <w:rFonts w:ascii="Arial-BoldMT" w:hAnsi="Arial-BoldMT"/>
                <w:b/>
                <w:bCs/>
              </w:rPr>
              <w:t> </w:t>
            </w:r>
          </w:p>
          <w:p w14:paraId="2F80E003" w14:textId="77777777" w:rsidR="00155960" w:rsidRDefault="00155960">
            <w:pPr>
              <w:spacing w:after="160" w:line="278" w:lineRule="auto"/>
              <w:jc w:val="left"/>
            </w:pPr>
          </w:p>
        </w:tc>
      </w:tr>
      <w:tr w:rsidR="00155960" w14:paraId="508E8AAA" w14:textId="77777777" w:rsidTr="005E02BA">
        <w:tc>
          <w:tcPr>
            <w:tcW w:w="0" w:type="auto"/>
            <w:hideMark/>
          </w:tcPr>
          <w:p w14:paraId="77FFCD99" w14:textId="77777777" w:rsidR="00155960" w:rsidRDefault="005E02BA">
            <w:pPr>
              <w:spacing w:after="160" w:line="278" w:lineRule="auto"/>
              <w:jc w:val="left"/>
              <w:rPr>
                <w:b/>
                <w:bCs/>
              </w:rPr>
            </w:pPr>
            <w:r>
              <w:rPr>
                <w:b/>
                <w:bCs/>
              </w:rPr>
              <w:t>Date of Submission</w:t>
            </w:r>
          </w:p>
        </w:tc>
        <w:tc>
          <w:tcPr>
            <w:tcW w:w="0" w:type="auto"/>
            <w:hideMark/>
          </w:tcPr>
          <w:p w14:paraId="2B7F5FE4" w14:textId="77777777" w:rsidR="00155960" w:rsidRDefault="00155960">
            <w:pPr>
              <w:spacing w:after="160" w:line="278" w:lineRule="auto"/>
              <w:jc w:val="left"/>
            </w:pPr>
          </w:p>
        </w:tc>
      </w:tr>
    </w:tbl>
    <w:p w14:paraId="076A77A0" w14:textId="77777777" w:rsidR="00155960" w:rsidRDefault="005E02BA">
      <w:pPr>
        <w:spacing w:after="160" w:line="278" w:lineRule="auto"/>
        <w:jc w:val="left"/>
      </w:pPr>
      <w:r>
        <w:br w:type="page"/>
      </w:r>
    </w:p>
    <w:p w14:paraId="1A7BDCC4" w14:textId="77777777" w:rsidR="00155960" w:rsidRDefault="005E02BA">
      <w:pPr>
        <w:pStyle w:val="Heading1"/>
        <w:sectPr w:rsidR="00155960">
          <w:footerReference w:type="default" r:id="rId9"/>
          <w:pgSz w:w="12240" w:h="15840"/>
          <w:pgMar w:top="1440" w:right="1440" w:bottom="1440" w:left="1440" w:header="720" w:footer="720" w:gutter="0"/>
          <w:cols w:space="720"/>
          <w:titlePg/>
          <w:docGrid w:linePitch="360"/>
        </w:sectPr>
      </w:pPr>
      <w:r>
        <w:t>Task 1 – Essential Skills for Study and Employment</w:t>
      </w:r>
    </w:p>
    <w:p w14:paraId="1CD1020E" w14:textId="77777777" w:rsidR="00155960" w:rsidRDefault="005E02BA">
      <w:pPr>
        <w:pStyle w:val="Heading2"/>
      </w:pPr>
      <w:r>
        <w:t>I. Summary</w:t>
      </w:r>
    </w:p>
    <w:p w14:paraId="19488511" w14:textId="77777777" w:rsidR="00155960" w:rsidRDefault="005E02BA">
      <w:r>
        <w:t xml:space="preserve">The valuable transferable skills are required in both the labor market and the high school education because they are integrated in the learning process, performance in the employment and future development of career in the long-run [1]. The intelligent skills are the critical thinking, research and good written communication skills that allow the students to deconstruct facts, analyze and evaluate evidence and provide thoughts in a coherent manner comprehensible in a way. Such skills are the ones that are </w:t>
      </w:r>
      <w:r>
        <w:t>needed in order to complete the missions and sift through the academic materials and get test scores on assessment tests</w:t>
      </w:r>
      <w:r>
        <w:t>.</w:t>
      </w:r>
    </w:p>
    <w:p w14:paraId="0E259693" w14:textId="77777777" w:rsidR="00155960" w:rsidRDefault="005E02BA">
      <w:pPr>
        <w:jc w:val="center"/>
      </w:pPr>
      <w:r>
        <w:rPr>
          <w:noProof/>
        </w:rPr>
        <w:drawing>
          <wp:inline distT="0" distB="0" distL="0" distR="0" wp14:anchorId="7D4CF01D" wp14:editId="0BA47D47">
            <wp:extent cx="2447925" cy="881253"/>
            <wp:effectExtent l="76200" t="76200" r="123825" b="128905"/>
            <wp:docPr id="1027" name="Picture 1" descr="Digital Communications Teamwork: Over 108,451 Royalty-Free Licensable Stock  Illustrations &amp; Drawings | Shutterstock"/>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srcRect/>
                    <a:stretch/>
                  </pic:blipFill>
                  <pic:spPr>
                    <a:xfrm>
                      <a:off x="0" y="0"/>
                      <a:ext cx="2447925" cy="881253"/>
                    </a:xfrm>
                    <a:prstGeom prst="rect">
                      <a:avLst/>
                    </a:prstGeom>
                    <a:ln w="38100" cap="sq" cmpd="sng">
                      <a:solidFill>
                        <a:srgbClr val="000000"/>
                      </a:solidFill>
                      <a:prstDash val="solid"/>
                      <a:miter/>
                      <a:headEnd/>
                      <a:tailEnd/>
                    </a:ln>
                    <a:effectLst>
                      <a:outerShdw blurRad="50800" dist="38100" dir="2700000" algn="tl" rotWithShape="0">
                        <a:srgbClr val="000000">
                          <a:alpha val="43000"/>
                        </a:srgbClr>
                      </a:outerShdw>
                    </a:effectLst>
                  </pic:spPr>
                </pic:pic>
              </a:graphicData>
            </a:graphic>
          </wp:inline>
        </w:drawing>
      </w:r>
    </w:p>
    <w:p w14:paraId="530E3E1F" w14:textId="77777777" w:rsidR="00155960" w:rsidRDefault="005E02BA">
      <w:pPr>
        <w:jc w:val="center"/>
        <w:rPr>
          <w:i/>
          <w:iCs/>
          <w:sz w:val="16"/>
          <w:szCs w:val="16"/>
        </w:rPr>
      </w:pPr>
      <w:r>
        <w:rPr>
          <w:i/>
          <w:iCs/>
          <w:sz w:val="16"/>
          <w:szCs w:val="16"/>
        </w:rPr>
        <w:t>Fig.1. Essential Skills</w:t>
      </w:r>
    </w:p>
    <w:p w14:paraId="6472185B" w14:textId="77777777" w:rsidR="00155960" w:rsidRDefault="005E02BA">
      <w:r>
        <w:t>Beyond the education preparedness, the job preparedness is based on the competencies of the employability [2]. Maybe the key to being productive and working under the stressful conditions is time management and organisation since one can be focused on the things that matter, work at the appropriate moment and be productive in the workplace. The digital literacy also gains a greater significance, the education, as well as the workforce, becomes anchored in the Internet and in the information networks, in the</w:t>
      </w:r>
      <w:r>
        <w:t xml:space="preserve"> virtual collaborative networks. The validity of the digital technology use promotes the agility and swiftness of various professions and sectors.</w:t>
      </w:r>
    </w:p>
    <w:p w14:paraId="081D46E2" w14:textId="77777777" w:rsidR="00155960" w:rsidRDefault="005E02BA">
      <w:r>
        <w:t>The other forms of skills that may enable one to become successful in academic and professional orientation should include such skills as the ability to communicate and work as a team [3]. The communication might enable one to exchange ideas, solve issues and have fun with other peers, work mates and buyers. The team work competencies include becoming a member of a team, being subject to the judgment of the other group members and share responsibilities in performing a familiar task.</w:t>
      </w:r>
    </w:p>
    <w:p w14:paraId="66350E30" w14:textId="77777777" w:rsidR="00155960" w:rsidRDefault="005E02BA">
      <w:r>
        <w:t>These are the skills required in a selected field of business and communication with the customers and make a person a professional. Communication will help to establish improved satisfaction among the customers, critical thinking will facilitate informed decision to be made, and service delivery can be enhanced using digital competence [4]. Integration of these skills and the respective organisation and team-work to produce confidence brings in the working environment which is competitive, employability an</w:t>
      </w:r>
      <w:r>
        <w:t>d lifetime career development. These skills are the ones that are learnt at a tender age up to the level of playing the role of life long learning, career resilience, ethical behaviour and change adaptability in dynamic academic experience and work experience.</w:t>
      </w:r>
    </w:p>
    <w:p w14:paraId="1C6E2939" w14:textId="77777777" w:rsidR="00155960" w:rsidRDefault="005E02BA">
      <w:pPr>
        <w:pStyle w:val="Heading2"/>
      </w:pPr>
      <w:r>
        <w:t>II. Turnitin reflection</w:t>
      </w:r>
    </w:p>
    <w:p w14:paraId="493024C2" w14:textId="77777777" w:rsidR="00155960" w:rsidRDefault="005E02BA">
      <w:pPr>
        <w:rPr>
          <w:color w:val="000000"/>
        </w:rPr>
      </w:pPr>
      <w:r>
        <w:rPr>
          <w:color w:val="000000"/>
        </w:rPr>
        <w:t>Turnitin acknowledged that similarity rate was 6 percent that was mainly caused by the similarity of the phrases of academic source and the long short identifiable phrases too. This paraphrasing will not be so colloquial, the citations will become more aggressively synthesised, the attribution will become more prominent and the number of drafts will be rewritten before that will eliminate the copying of the future which may not be necessarily the intended one. It has been demonstrated by the AI detector tha</w:t>
      </w:r>
      <w:r>
        <w:rPr>
          <w:color w:val="000000"/>
        </w:rPr>
        <w:t>t it is not 0, so, we can state that the writing in question can be rewritten to a more natural form, still, the one that might provide personal examples of skills implementation, as well as, concentrate on its editing, which would enable personalizing it. The rating based on the Generic Assessment Criteria (72%) is also appropriate because the both articles are of high channeled and topical the citation is adequate, but will also need further sophistication and the presentation.</w:t>
      </w:r>
    </w:p>
    <w:p w14:paraId="56FEF107" w14:textId="77777777" w:rsidR="00155960" w:rsidRDefault="00155960"/>
    <w:p w14:paraId="0D718F7C" w14:textId="77777777" w:rsidR="00155960" w:rsidRDefault="00155960">
      <w:pPr>
        <w:spacing w:after="160" w:line="278" w:lineRule="auto"/>
        <w:jc w:val="left"/>
        <w:sectPr w:rsidR="00155960">
          <w:type w:val="continuous"/>
          <w:pgSz w:w="12240" w:h="15840"/>
          <w:pgMar w:top="1440" w:right="1440" w:bottom="1440" w:left="1440" w:header="720" w:footer="720" w:gutter="0"/>
          <w:cols w:num="2" w:space="720"/>
          <w:titlePg/>
          <w:docGrid w:linePitch="360"/>
        </w:sectPr>
      </w:pPr>
    </w:p>
    <w:p w14:paraId="589A37C6" w14:textId="77777777" w:rsidR="00155960" w:rsidRDefault="005E02BA">
      <w:pPr>
        <w:pStyle w:val="Heading2"/>
      </w:pPr>
      <w:r>
        <w:t>References</w:t>
      </w:r>
    </w:p>
    <w:p w14:paraId="2F5A9BD2" w14:textId="77777777" w:rsidR="00155960" w:rsidRDefault="00155960">
      <w:pPr>
        <w:rPr>
          <w:sz w:val="18"/>
          <w:szCs w:val="18"/>
        </w:rPr>
        <w:sectPr w:rsidR="00155960">
          <w:type w:val="continuous"/>
          <w:pgSz w:w="12240" w:h="15840"/>
          <w:pgMar w:top="1440" w:right="1440" w:bottom="1440" w:left="1440" w:header="720" w:footer="720" w:gutter="0"/>
          <w:cols w:num="2" w:space="720"/>
          <w:titlePg/>
          <w:docGrid w:linePitch="360"/>
        </w:sectPr>
      </w:pPr>
    </w:p>
    <w:p w14:paraId="4218888D" w14:textId="77777777" w:rsidR="00155960" w:rsidRDefault="005E02BA">
      <w:pPr>
        <w:pStyle w:val="ListParagraph"/>
        <w:numPr>
          <w:ilvl w:val="0"/>
          <w:numId w:val="1"/>
        </w:numPr>
        <w:rPr>
          <w:sz w:val="18"/>
          <w:szCs w:val="18"/>
        </w:rPr>
      </w:pPr>
      <w:r>
        <w:rPr>
          <w:sz w:val="18"/>
          <w:szCs w:val="18"/>
        </w:rPr>
        <w:t>Fatmasari, R., Baharun, H., Windiyani, T. and Putri, D.F., 2025, July. Artificial Intelligence as a Tool to Improve the Quality of Job-Ready Graduate Skills in Higher Education. In </w:t>
      </w:r>
      <w:r>
        <w:rPr>
          <w:i/>
          <w:iCs/>
          <w:sz w:val="18"/>
          <w:szCs w:val="18"/>
        </w:rPr>
        <w:t>2025 IEEE International Conference on Industry 4.0, Artificial Intelligence, and Communications Technology (IAICT)</w:t>
      </w:r>
      <w:r>
        <w:rPr>
          <w:sz w:val="18"/>
          <w:szCs w:val="18"/>
        </w:rPr>
        <w:t> (pp. 129-136). IEEE.</w:t>
      </w:r>
    </w:p>
    <w:p w14:paraId="423B6B14" w14:textId="77777777" w:rsidR="00155960" w:rsidRDefault="005E02BA">
      <w:pPr>
        <w:pStyle w:val="ListParagraph"/>
        <w:numPr>
          <w:ilvl w:val="0"/>
          <w:numId w:val="1"/>
        </w:numPr>
        <w:rPr>
          <w:sz w:val="18"/>
          <w:szCs w:val="18"/>
        </w:rPr>
      </w:pPr>
      <w:r>
        <w:rPr>
          <w:sz w:val="18"/>
          <w:szCs w:val="18"/>
        </w:rPr>
        <w:t>Jiranantanagorn, P., 2023, December. Enhancing Career Readiness: An Online Platform for Competency Assessment and Workplace Selection in Cooperative and Work-Integrated Education for Thai University Students. In </w:t>
      </w:r>
      <w:r>
        <w:rPr>
          <w:i/>
          <w:iCs/>
          <w:sz w:val="18"/>
          <w:szCs w:val="18"/>
        </w:rPr>
        <w:t>2023 IEEE Asia-Pacific Conference on Computer Science and Data Engineering (CSDE)</w:t>
      </w:r>
      <w:r>
        <w:rPr>
          <w:sz w:val="18"/>
          <w:szCs w:val="18"/>
        </w:rPr>
        <w:t> (pp. 1-6). IEEE.</w:t>
      </w:r>
    </w:p>
    <w:p w14:paraId="7C87C0A5" w14:textId="77777777" w:rsidR="00155960" w:rsidRDefault="00155960">
      <w:pPr>
        <w:pStyle w:val="ListParagraph"/>
        <w:numPr>
          <w:ilvl w:val="0"/>
          <w:numId w:val="1"/>
        </w:numPr>
        <w:rPr>
          <w:sz w:val="18"/>
          <w:szCs w:val="18"/>
        </w:rPr>
        <w:sectPr w:rsidR="00155960">
          <w:footerReference w:type="default" r:id="rId11"/>
          <w:type w:val="continuous"/>
          <w:pgSz w:w="12240" w:h="15840"/>
          <w:pgMar w:top="1440" w:right="1440" w:bottom="1440" w:left="1440" w:header="720" w:footer="720" w:gutter="0"/>
          <w:cols w:num="2" w:space="720"/>
          <w:titlePg/>
          <w:docGrid w:linePitch="360"/>
        </w:sectPr>
      </w:pPr>
    </w:p>
    <w:p w14:paraId="7EF666BC" w14:textId="77777777" w:rsidR="00155960" w:rsidRDefault="005E02BA">
      <w:pPr>
        <w:pStyle w:val="ListParagraph"/>
        <w:numPr>
          <w:ilvl w:val="0"/>
          <w:numId w:val="1"/>
        </w:numPr>
        <w:rPr>
          <w:sz w:val="18"/>
          <w:szCs w:val="18"/>
        </w:rPr>
      </w:pPr>
      <w:r>
        <w:rPr>
          <w:sz w:val="18"/>
          <w:szCs w:val="18"/>
        </w:rPr>
        <w:t>Mele, G., Sansone, G., Secundo, G. and Paolucci, E., 2022. Speeding up student entrepreneurship: The roleof university business idea incubators. </w:t>
      </w:r>
      <w:r>
        <w:rPr>
          <w:i/>
          <w:iCs/>
          <w:sz w:val="18"/>
          <w:szCs w:val="18"/>
        </w:rPr>
        <w:t>IEEE Transactions on Engineering Management</w:t>
      </w:r>
      <w:r>
        <w:rPr>
          <w:sz w:val="18"/>
          <w:szCs w:val="18"/>
        </w:rPr>
        <w:t>, </w:t>
      </w:r>
      <w:r>
        <w:rPr>
          <w:i/>
          <w:iCs/>
          <w:sz w:val="18"/>
          <w:szCs w:val="18"/>
        </w:rPr>
        <w:t>71</w:t>
      </w:r>
      <w:r>
        <w:rPr>
          <w:sz w:val="18"/>
          <w:szCs w:val="18"/>
        </w:rPr>
        <w:t>, pp.2364-2378.</w:t>
      </w:r>
    </w:p>
    <w:p w14:paraId="4DD0309C" w14:textId="77777777" w:rsidR="00155960" w:rsidRDefault="005E02BA">
      <w:pPr>
        <w:pStyle w:val="ListParagraph"/>
        <w:numPr>
          <w:ilvl w:val="0"/>
          <w:numId w:val="1"/>
        </w:numPr>
        <w:rPr>
          <w:sz w:val="18"/>
          <w:szCs w:val="18"/>
        </w:rPr>
      </w:pPr>
      <w:r>
        <w:rPr>
          <w:sz w:val="18"/>
          <w:szCs w:val="18"/>
        </w:rPr>
        <w:t>Shafiq, D.A., Marjani, M., Habeeb, R.A.A. and Asirvatham, D., 2022. Student retention using educational data mining and predictive analytics: a systematic literature review. IEEE Access, 10, pp.72480-72503.</w:t>
      </w:r>
    </w:p>
    <w:p w14:paraId="46E5A351" w14:textId="77777777" w:rsidR="00155960" w:rsidRDefault="005E02BA">
      <w:pPr>
        <w:spacing w:after="160" w:line="278" w:lineRule="auto"/>
        <w:jc w:val="left"/>
        <w:rPr>
          <w:sz w:val="18"/>
          <w:szCs w:val="18"/>
        </w:rPr>
      </w:pPr>
      <w:r>
        <w:rPr>
          <w:sz w:val="18"/>
          <w:szCs w:val="18"/>
        </w:rPr>
        <w:br w:type="page"/>
      </w:r>
    </w:p>
    <w:p w14:paraId="72B741AD" w14:textId="77777777" w:rsidR="00155960" w:rsidRDefault="005E02BA">
      <w:pPr>
        <w:pStyle w:val="Heading1"/>
        <w:sectPr w:rsidR="00155960">
          <w:type w:val="continuous"/>
          <w:pgSz w:w="12240" w:h="15840"/>
          <w:pgMar w:top="1440" w:right="1440" w:bottom="1440" w:left="1440" w:header="720" w:footer="720" w:gutter="0"/>
          <w:cols w:space="720"/>
          <w:titlePg/>
          <w:docGrid w:linePitch="360"/>
        </w:sectPr>
      </w:pPr>
      <w:r>
        <w:t>Task-2: Life is a Team Sport: The Role of Teamwork</w:t>
      </w:r>
    </w:p>
    <w:p w14:paraId="7B5F6F39" w14:textId="77777777" w:rsidR="00155960" w:rsidRDefault="005E02BA">
      <w:pPr>
        <w:rPr>
          <w:sz w:val="18"/>
          <w:szCs w:val="18"/>
        </w:rPr>
      </w:pPr>
      <w:r>
        <w:rPr>
          <w:noProof/>
        </w:rPr>
        <w:drawing>
          <wp:inline distT="0" distB="0" distL="0" distR="0" wp14:anchorId="4066C01F" wp14:editId="40E528FF">
            <wp:extent cx="5911702" cy="7882269"/>
            <wp:effectExtent l="0" t="0" r="0" b="4445"/>
            <wp:docPr id="102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2" cstate="print"/>
                    <a:srcRect/>
                    <a:stretch/>
                  </pic:blipFill>
                  <pic:spPr>
                    <a:xfrm>
                      <a:off x="0" y="0"/>
                      <a:ext cx="5911702" cy="7882269"/>
                    </a:xfrm>
                    <a:prstGeom prst="rect">
                      <a:avLst/>
                    </a:prstGeom>
                    <a:ln>
                      <a:noFill/>
                    </a:ln>
                  </pic:spPr>
                </pic:pic>
              </a:graphicData>
            </a:graphic>
          </wp:inline>
        </w:drawing>
      </w:r>
    </w:p>
    <w:p w14:paraId="173AD4C5" w14:textId="77777777" w:rsidR="00155960" w:rsidRDefault="005E02BA">
      <w:pPr>
        <w:pStyle w:val="Heading2"/>
      </w:pPr>
      <w:r>
        <w:t>MindMap</w:t>
      </w:r>
    </w:p>
    <w:p w14:paraId="4701552B" w14:textId="77777777" w:rsidR="00155960" w:rsidRDefault="005E02BA">
      <w:pPr>
        <w:spacing w:after="160" w:line="278" w:lineRule="auto"/>
        <w:jc w:val="left"/>
        <w:rPr>
          <w:sz w:val="18"/>
          <w:szCs w:val="18"/>
        </w:rPr>
      </w:pPr>
      <w:r>
        <w:rPr>
          <w:noProof/>
          <w14:ligatures w14:val="standardContextual"/>
        </w:rPr>
        <w:drawing>
          <wp:inline distT="0" distB="0" distL="0" distR="0" wp14:anchorId="3262A045" wp14:editId="0CAB448C">
            <wp:extent cx="5943600" cy="2444115"/>
            <wp:effectExtent l="0" t="0" r="0" b="0"/>
            <wp:docPr id="1029"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13" cstate="print"/>
                    <a:srcRect/>
                    <a:stretch/>
                  </pic:blipFill>
                  <pic:spPr>
                    <a:xfrm>
                      <a:off x="0" y="0"/>
                      <a:ext cx="5943600" cy="2444115"/>
                    </a:xfrm>
                    <a:prstGeom prst="rect">
                      <a:avLst/>
                    </a:prstGeom>
                  </pic:spPr>
                </pic:pic>
              </a:graphicData>
            </a:graphic>
          </wp:inline>
        </w:drawing>
      </w:r>
      <w:r>
        <w:rPr>
          <w:sz w:val="18"/>
          <w:szCs w:val="18"/>
        </w:rPr>
        <w:br w:type="page"/>
      </w:r>
    </w:p>
    <w:p w14:paraId="192D3707" w14:textId="77777777" w:rsidR="00155960" w:rsidRDefault="005E02BA">
      <w:pPr>
        <w:pStyle w:val="Heading1"/>
      </w:pPr>
      <w:r>
        <w:t>Task-3_Forming a Team in Virtual Collaboration</w:t>
      </w:r>
    </w:p>
    <w:p w14:paraId="76A4CA4D" w14:textId="77777777" w:rsidR="00155960" w:rsidRDefault="00155960">
      <w:pPr>
        <w:spacing w:after="160"/>
        <w:jc w:val="left"/>
        <w:sectPr w:rsidR="00155960">
          <w:type w:val="continuous"/>
          <w:pgSz w:w="12240" w:h="15840"/>
          <w:pgMar w:top="1440" w:right="1440" w:bottom="1440" w:left="1440" w:header="720" w:footer="720" w:gutter="0"/>
          <w:cols w:space="720"/>
          <w:titlePg/>
          <w:docGrid w:linePitch="360"/>
        </w:sectPr>
      </w:pPr>
    </w:p>
    <w:p w14:paraId="2AF1E61B" w14:textId="77777777" w:rsidR="00155960" w:rsidRDefault="005E02BA">
      <w:pPr>
        <w:pStyle w:val="Heading2"/>
      </w:pPr>
      <w:r>
        <w:t>Summary</w:t>
      </w:r>
    </w:p>
    <w:p w14:paraId="1D15767F" w14:textId="77777777" w:rsidR="00155960" w:rsidRDefault="005E02BA">
      <w:r>
        <w:t>Virtual teams have become increasingly common as organisations and educational institutions adopt digital technologies and flexible working practices. A virtual team consists of individuals who collaborate across geographical locations using online communication and collaboration tools. These teams rely on digital platforms rather than physical proximity, making them a central feature of modern academic group work and professional environments.</w:t>
      </w:r>
    </w:p>
    <w:p w14:paraId="5B6FB410" w14:textId="77777777" w:rsidR="00155960" w:rsidRDefault="005E02BA">
      <w:pPr>
        <w:jc w:val="center"/>
      </w:pPr>
      <w:r>
        <w:rPr>
          <w:noProof/>
        </w:rPr>
        <w:drawing>
          <wp:inline distT="0" distB="0" distL="0" distR="0" wp14:anchorId="21715B4B" wp14:editId="14C81B13">
            <wp:extent cx="2016539" cy="1342075"/>
            <wp:effectExtent l="76200" t="76200" r="136525" b="125094"/>
            <wp:docPr id="1030" name="Picture 4" descr="Leading Virtual Teams: How to Build Trust and Enhance Performance Flowste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cstate="print"/>
                    <a:srcRect l="-911" t="-6849" r="912" b="6850"/>
                    <a:stretch/>
                  </pic:blipFill>
                  <pic:spPr>
                    <a:xfrm>
                      <a:off x="0" y="0"/>
                      <a:ext cx="2016539" cy="1342075"/>
                    </a:xfrm>
                    <a:prstGeom prst="rect">
                      <a:avLst/>
                    </a:prstGeom>
                    <a:ln w="38100" cap="sq" cmpd="sng">
                      <a:solidFill>
                        <a:srgbClr val="000000"/>
                      </a:solidFill>
                      <a:prstDash val="solid"/>
                      <a:miter/>
                      <a:headEnd/>
                      <a:tailEnd/>
                    </a:ln>
                    <a:effectLst>
                      <a:outerShdw blurRad="50800" dist="38100" dir="2700000" algn="tl" rotWithShape="0">
                        <a:srgbClr val="000000">
                          <a:alpha val="43000"/>
                        </a:srgbClr>
                      </a:outerShdw>
                    </a:effectLst>
                  </pic:spPr>
                </pic:pic>
              </a:graphicData>
            </a:graphic>
          </wp:inline>
        </w:drawing>
      </w:r>
    </w:p>
    <w:p w14:paraId="675BA00E" w14:textId="77777777" w:rsidR="00155960" w:rsidRDefault="005E02BA">
      <w:pPr>
        <w:jc w:val="center"/>
        <w:rPr>
          <w:sz w:val="16"/>
          <w:szCs w:val="16"/>
        </w:rPr>
      </w:pPr>
      <w:r>
        <w:rPr>
          <w:sz w:val="16"/>
          <w:szCs w:val="16"/>
        </w:rPr>
        <w:t>Fig.1. Leading Virtual Teams to Build Trust and Enhance Performance</w:t>
      </w:r>
    </w:p>
    <w:p w14:paraId="4118158C" w14:textId="77777777" w:rsidR="00155960" w:rsidRDefault="005E02BA">
      <w:r>
        <w:t>Forming effective virtual teams is essential for achieving shared goals and maintaining performance. Well structured teams support coordination, accountability, and engagement, ensuring that individual contributions align with collective objectives. Effective team formation promotes trust and clarity from the outset, which is particularly important when members may never meet in person. Strong virtual teams enhance productivity, decision making, and overall outcomes in both academic projects and workplace t</w:t>
      </w:r>
      <w:r>
        <w:t>asks.</w:t>
      </w:r>
    </w:p>
    <w:p w14:paraId="53FF7B3E" w14:textId="77777777" w:rsidR="00155960" w:rsidRDefault="005E02BA">
      <w:r>
        <w:t>Successful virtual teamwork requires a specific set of skills. Clear written and verbal communication is critical to avoid misunderstandings in online interactions. Digital literacy enables team members to use collaboration tools efficiently and confidently. Self management skills such as organisation, time management, and reliability are also vital, as virtual teams depend heavily on individual responsibility. Cultural awareness and adaptability further support cooperation within diverse and geographically</w:t>
      </w:r>
      <w:r>
        <w:t xml:space="preserve"> dispersed teams.</w:t>
      </w:r>
    </w:p>
    <w:p w14:paraId="0B27DC22" w14:textId="77777777" w:rsidR="00155960" w:rsidRDefault="005E02BA">
      <w:r>
        <w:t>Virtual teams differ significantly from face to face teams. Interaction is often asynchronous, requiring greater planning and clarity. Non verbal cues are limited, which can affect relationship building and conflict resolution. Trust must be developed through consistent communication and task completion rather than physical presence. These differences require intentional strategies to maintain connection and shared understanding.</w:t>
      </w:r>
    </w:p>
    <w:p w14:paraId="1334B954" w14:textId="77777777" w:rsidR="00155960" w:rsidRDefault="005E02BA">
      <w:r>
        <w:t>Despite their advantages, virtual teams face several challenges. Common issues include communication delays, reduced engagement, and difficulties in building trust. These challenges can be addressed through clear role allocation, regular virtual meetings, agreed communication norms, and the use of collaborative technologies that support transparency. When managed effectively, virtual teams can be as successful as traditional teams while offering flexibility and broader collaboration opportunities.</w:t>
      </w:r>
    </w:p>
    <w:p w14:paraId="68B68F19" w14:textId="77777777" w:rsidR="00155960" w:rsidRDefault="005E02BA">
      <w:pPr>
        <w:sectPr w:rsidR="00155960">
          <w:type w:val="continuous"/>
          <w:pgSz w:w="12240" w:h="15840"/>
          <w:pgMar w:top="1440" w:right="1440" w:bottom="1440" w:left="1440" w:header="720" w:footer="720" w:gutter="0"/>
          <w:cols w:num="2" w:space="720"/>
          <w:titlePg/>
          <w:docGrid w:linePitch="360"/>
        </w:sectPr>
      </w:pPr>
      <w:r>
        <w:t>Overall, forming effective virtual teams is a critical capability in contemporary education and employment, supporting collaboration across boundaries while preparing individuals for evolving professional environments that increasingly value flexibility, digital competence, and collective responsibility in global contexts today.</w:t>
      </w:r>
      <w:r>
        <w:br/>
      </w:r>
    </w:p>
    <w:p w14:paraId="3E9CAC24" w14:textId="77777777" w:rsidR="00155960" w:rsidRDefault="005E02BA">
      <w:pPr>
        <w:pStyle w:val="Heading2"/>
      </w:pPr>
      <w:r>
        <w:t>References</w:t>
      </w:r>
    </w:p>
    <w:p w14:paraId="1B84B6CC" w14:textId="77777777" w:rsidR="00155960" w:rsidRDefault="00155960">
      <w:pPr>
        <w:rPr>
          <w:sz w:val="18"/>
          <w:szCs w:val="18"/>
        </w:rPr>
        <w:sectPr w:rsidR="00155960">
          <w:type w:val="continuous"/>
          <w:pgSz w:w="12240" w:h="15840"/>
          <w:pgMar w:top="1440" w:right="1440" w:bottom="1440" w:left="1440" w:header="720" w:footer="720" w:gutter="0"/>
          <w:cols w:num="2" w:space="720"/>
          <w:titlePg/>
          <w:docGrid w:linePitch="360"/>
        </w:sectPr>
      </w:pPr>
    </w:p>
    <w:p w14:paraId="4D658228" w14:textId="77777777" w:rsidR="00155960" w:rsidRDefault="005E02BA">
      <w:pPr>
        <w:pStyle w:val="ListParagraph"/>
        <w:numPr>
          <w:ilvl w:val="0"/>
          <w:numId w:val="1"/>
        </w:numPr>
        <w:rPr>
          <w:sz w:val="18"/>
          <w:szCs w:val="18"/>
        </w:rPr>
      </w:pPr>
      <w:r>
        <w:rPr>
          <w:sz w:val="18"/>
          <w:szCs w:val="18"/>
        </w:rPr>
        <w:t>Jackson, V., van der Hoek, A., Prikladnicki, R. and Ebert, C., 2022. Collaboration tools for developers. </w:t>
      </w:r>
      <w:r>
        <w:rPr>
          <w:i/>
          <w:iCs/>
          <w:sz w:val="18"/>
          <w:szCs w:val="18"/>
        </w:rPr>
        <w:t>IEEE software</w:t>
      </w:r>
      <w:r>
        <w:rPr>
          <w:sz w:val="18"/>
          <w:szCs w:val="18"/>
        </w:rPr>
        <w:t>, </w:t>
      </w:r>
      <w:r>
        <w:rPr>
          <w:i/>
          <w:iCs/>
          <w:sz w:val="18"/>
          <w:szCs w:val="18"/>
        </w:rPr>
        <w:t>39</w:t>
      </w:r>
      <w:r>
        <w:rPr>
          <w:sz w:val="18"/>
          <w:szCs w:val="18"/>
        </w:rPr>
        <w:t>(2), pp.7-15.</w:t>
      </w:r>
    </w:p>
    <w:p w14:paraId="4A3F0E66" w14:textId="77777777" w:rsidR="00155960" w:rsidRDefault="005E02BA">
      <w:pPr>
        <w:pStyle w:val="ListParagraph"/>
        <w:numPr>
          <w:ilvl w:val="0"/>
          <w:numId w:val="1"/>
        </w:numPr>
        <w:rPr>
          <w:sz w:val="18"/>
          <w:szCs w:val="18"/>
        </w:rPr>
      </w:pPr>
      <w:r>
        <w:rPr>
          <w:sz w:val="18"/>
          <w:szCs w:val="18"/>
        </w:rPr>
        <w:t>Pu, Z., Pan, Y., Wang, S., Liu, B., Chen, M., Ma, H. and Cui, Y., 2024. Orientation and decision-making for soccer based on sports analytics and AI: A systematic review. </w:t>
      </w:r>
      <w:r>
        <w:rPr>
          <w:i/>
          <w:iCs/>
          <w:sz w:val="18"/>
          <w:szCs w:val="18"/>
        </w:rPr>
        <w:t>IEEE/CAA Journal of Automatica Sinica</w:t>
      </w:r>
      <w:r>
        <w:rPr>
          <w:sz w:val="18"/>
          <w:szCs w:val="18"/>
        </w:rPr>
        <w:t>, </w:t>
      </w:r>
      <w:r>
        <w:rPr>
          <w:i/>
          <w:iCs/>
          <w:sz w:val="18"/>
          <w:szCs w:val="18"/>
        </w:rPr>
        <w:t>11</w:t>
      </w:r>
      <w:r>
        <w:rPr>
          <w:sz w:val="18"/>
          <w:szCs w:val="18"/>
        </w:rPr>
        <w:t>(1), pp.37-57.</w:t>
      </w:r>
    </w:p>
    <w:p w14:paraId="70183F09" w14:textId="77777777" w:rsidR="00155960" w:rsidRDefault="005E02BA">
      <w:pPr>
        <w:pStyle w:val="ListParagraph"/>
        <w:numPr>
          <w:ilvl w:val="0"/>
          <w:numId w:val="1"/>
        </w:numPr>
        <w:rPr>
          <w:sz w:val="18"/>
          <w:szCs w:val="18"/>
        </w:rPr>
      </w:pPr>
      <w:r>
        <w:rPr>
          <w:sz w:val="18"/>
          <w:szCs w:val="18"/>
        </w:rPr>
        <w:t>Smite, D., Christensen, E.L., Tell, P. and Russo, D., 2022. The future workplace: Characterizing the spectrum of hybrid work arrangements for software teams. </w:t>
      </w:r>
      <w:r>
        <w:rPr>
          <w:i/>
          <w:iCs/>
          <w:sz w:val="18"/>
          <w:szCs w:val="18"/>
        </w:rPr>
        <w:t>IEEE software</w:t>
      </w:r>
      <w:r>
        <w:rPr>
          <w:sz w:val="18"/>
          <w:szCs w:val="18"/>
        </w:rPr>
        <w:t>, </w:t>
      </w:r>
      <w:r>
        <w:rPr>
          <w:i/>
          <w:iCs/>
          <w:sz w:val="18"/>
          <w:szCs w:val="18"/>
        </w:rPr>
        <w:t>40</w:t>
      </w:r>
      <w:r>
        <w:rPr>
          <w:sz w:val="18"/>
          <w:szCs w:val="18"/>
        </w:rPr>
        <w:t>(2), pp.34-41.</w:t>
      </w:r>
    </w:p>
    <w:p w14:paraId="6D373042" w14:textId="77777777" w:rsidR="00155960" w:rsidRDefault="005E02BA">
      <w:pPr>
        <w:pStyle w:val="ListParagraph"/>
        <w:numPr>
          <w:ilvl w:val="0"/>
          <w:numId w:val="1"/>
        </w:numPr>
        <w:rPr>
          <w:sz w:val="18"/>
          <w:szCs w:val="18"/>
        </w:rPr>
      </w:pPr>
      <w:r>
        <w:rPr>
          <w:sz w:val="18"/>
          <w:szCs w:val="18"/>
        </w:rPr>
        <w:t>Song, F., Ma, Y., You, I. and Zhang, H., 2022. Smart collaborative evolvement for virtual group creation in customized industrial IoT. </w:t>
      </w:r>
      <w:r>
        <w:rPr>
          <w:i/>
          <w:iCs/>
          <w:sz w:val="18"/>
          <w:szCs w:val="18"/>
        </w:rPr>
        <w:t>IEEE Transactions on Network Science and Engineering</w:t>
      </w:r>
      <w:r>
        <w:rPr>
          <w:sz w:val="18"/>
          <w:szCs w:val="18"/>
        </w:rPr>
        <w:t>, </w:t>
      </w:r>
      <w:r>
        <w:rPr>
          <w:i/>
          <w:iCs/>
          <w:sz w:val="18"/>
          <w:szCs w:val="18"/>
        </w:rPr>
        <w:t>10</w:t>
      </w:r>
      <w:r>
        <w:rPr>
          <w:sz w:val="18"/>
          <w:szCs w:val="18"/>
        </w:rPr>
        <w:t>(5), pp.2514-2524.</w:t>
      </w:r>
    </w:p>
    <w:p w14:paraId="794334B5" w14:textId="77777777" w:rsidR="00155960" w:rsidRDefault="005E02BA">
      <w:pPr>
        <w:pStyle w:val="ListParagraph"/>
        <w:numPr>
          <w:ilvl w:val="0"/>
          <w:numId w:val="1"/>
        </w:numPr>
        <w:rPr>
          <w:sz w:val="18"/>
          <w:szCs w:val="18"/>
        </w:rPr>
      </w:pPr>
      <w:r>
        <w:rPr>
          <w:sz w:val="18"/>
          <w:szCs w:val="18"/>
        </w:rPr>
        <w:t>Wang, Y., Lee, L.H., Braud, T. and Hui, P., 2022, July. Re-shaping Post-COVID-19 teaching and learning: A blueprint of virtual-physical blended classrooms in the metaverse era. In </w:t>
      </w:r>
      <w:r>
        <w:rPr>
          <w:i/>
          <w:iCs/>
          <w:sz w:val="18"/>
          <w:szCs w:val="18"/>
        </w:rPr>
        <w:t>2022 IEEE 42nd international conference on distributed computing systems workshops (ICDCSW)</w:t>
      </w:r>
      <w:r>
        <w:rPr>
          <w:sz w:val="18"/>
          <w:szCs w:val="18"/>
        </w:rPr>
        <w:t> (pp. 241-247). IEEE.</w:t>
      </w:r>
    </w:p>
    <w:p w14:paraId="2249F0C7" w14:textId="77777777" w:rsidR="00155960" w:rsidRDefault="00155960">
      <w:pPr>
        <w:pStyle w:val="Heading1"/>
        <w:sectPr w:rsidR="00155960">
          <w:type w:val="continuous"/>
          <w:pgSz w:w="12240" w:h="15840"/>
          <w:pgMar w:top="1440" w:right="1440" w:bottom="1440" w:left="1440" w:header="720" w:footer="720" w:gutter="0"/>
          <w:cols w:num="2" w:space="720"/>
          <w:titlePg/>
          <w:docGrid w:linePitch="360"/>
        </w:sectPr>
      </w:pPr>
    </w:p>
    <w:p w14:paraId="09A6C0DD" w14:textId="77777777" w:rsidR="00155960" w:rsidRDefault="005E02BA">
      <w:pPr>
        <w:pStyle w:val="Heading2"/>
      </w:pPr>
      <w:r>
        <w:t>Evedences</w:t>
      </w:r>
    </w:p>
    <w:p w14:paraId="5D418519" w14:textId="77777777" w:rsidR="00155960" w:rsidRDefault="005E02BA">
      <w:r>
        <w:t>The screenshots demonstrate the practical use of an automatic referencing management tool. The first screenshot shows the creation of a dedicated folder for Task 3, used to organise sources related to virtual team formation. The second screenshot illustrates the successful import of academic sources into RefWorks from online databases. The third screenshot confirms that the citation style was correctly set to IEEE. The fourth screenshot provides evidence of inserting in-text citations directly into the writ</w:t>
      </w:r>
      <w:r>
        <w:t>ten summary using the RefWorks citation manager. The final screenshot displays the automatically generated IEEE reference list, confirming accurate and efficient reference management.</w:t>
      </w:r>
    </w:p>
    <w:p w14:paraId="359BED5E" w14:textId="77777777" w:rsidR="00155960" w:rsidRDefault="005E02BA">
      <w:pPr>
        <w:spacing w:after="160" w:line="278" w:lineRule="auto"/>
        <w:jc w:val="left"/>
      </w:pPr>
      <w:r>
        <w:rPr>
          <w:noProof/>
          <w14:ligatures w14:val="standardContextual"/>
        </w:rPr>
        <w:drawing>
          <wp:inline distT="0" distB="0" distL="0" distR="0" wp14:anchorId="5BC35EAC" wp14:editId="7113E438">
            <wp:extent cx="2743200" cy="1430802"/>
            <wp:effectExtent l="76200" t="76200" r="133350" b="131445"/>
            <wp:docPr id="103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1"/>
                    <pic:cNvPicPr/>
                  </pic:nvPicPr>
                  <pic:blipFill>
                    <a:blip r:embed="rId15" cstate="print"/>
                    <a:srcRect/>
                    <a:stretch/>
                  </pic:blipFill>
                  <pic:spPr>
                    <a:xfrm>
                      <a:off x="0" y="0"/>
                      <a:ext cx="2743200" cy="1430802"/>
                    </a:xfrm>
                    <a:prstGeom prst="rect">
                      <a:avLst/>
                    </a:prstGeom>
                    <a:ln w="38100" cap="sq" cmpd="sng">
                      <a:solidFill>
                        <a:srgbClr val="000000"/>
                      </a:solidFill>
                      <a:prstDash val="solid"/>
                      <a:miter/>
                      <a:headEnd/>
                      <a:tailEnd/>
                    </a:ln>
                    <a:effectLst>
                      <a:outerShdw blurRad="50800" dist="38100" dir="2700000" algn="tl" rotWithShape="0">
                        <a:srgbClr val="000000">
                          <a:alpha val="43000"/>
                        </a:srgbClr>
                      </a:outerShdw>
                    </a:effectLst>
                  </pic:spPr>
                </pic:pic>
              </a:graphicData>
            </a:graphic>
          </wp:inline>
        </w:drawing>
      </w:r>
    </w:p>
    <w:p w14:paraId="39EE0E75" w14:textId="77777777" w:rsidR="00155960" w:rsidRDefault="005E02BA">
      <w:pPr>
        <w:spacing w:after="160" w:line="278" w:lineRule="auto"/>
        <w:jc w:val="left"/>
      </w:pPr>
      <w:r>
        <w:rPr>
          <w:noProof/>
          <w14:ligatures w14:val="standardContextual"/>
        </w:rPr>
        <w:drawing>
          <wp:inline distT="0" distB="0" distL="0" distR="0" wp14:anchorId="23271C3A" wp14:editId="2E72957E">
            <wp:extent cx="2743200" cy="3949794"/>
            <wp:effectExtent l="76200" t="76200" r="133350" b="127000"/>
            <wp:docPr id="103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1"/>
                    <pic:cNvPicPr/>
                  </pic:nvPicPr>
                  <pic:blipFill>
                    <a:blip r:embed="rId16" cstate="print"/>
                    <a:srcRect/>
                    <a:stretch/>
                  </pic:blipFill>
                  <pic:spPr>
                    <a:xfrm>
                      <a:off x="0" y="0"/>
                      <a:ext cx="2743200" cy="3949794"/>
                    </a:xfrm>
                    <a:prstGeom prst="rect">
                      <a:avLst/>
                    </a:prstGeom>
                    <a:ln w="38100" cap="sq" cmpd="sng">
                      <a:solidFill>
                        <a:srgbClr val="000000"/>
                      </a:solidFill>
                      <a:prstDash val="solid"/>
                      <a:miter/>
                      <a:headEnd/>
                      <a:tailEnd/>
                    </a:ln>
                    <a:effectLst>
                      <a:outerShdw blurRad="50800" dist="38100" dir="2700000" algn="tl" rotWithShape="0">
                        <a:srgbClr val="000000">
                          <a:alpha val="43000"/>
                        </a:srgbClr>
                      </a:outerShdw>
                    </a:effectLst>
                  </pic:spPr>
                </pic:pic>
              </a:graphicData>
            </a:graphic>
          </wp:inline>
        </w:drawing>
      </w:r>
    </w:p>
    <w:p w14:paraId="7CAD7A23" w14:textId="77777777" w:rsidR="00155960" w:rsidRDefault="005E02BA">
      <w:pPr>
        <w:spacing w:after="160" w:line="278" w:lineRule="auto"/>
        <w:jc w:val="left"/>
      </w:pPr>
      <w:r>
        <w:br w:type="page"/>
      </w:r>
    </w:p>
    <w:p w14:paraId="2633968A" w14:textId="77777777" w:rsidR="00155960" w:rsidRDefault="005E02BA">
      <w:pPr>
        <w:pStyle w:val="Heading1"/>
      </w:pPr>
      <w:r>
        <w:t>Appendices</w:t>
      </w:r>
    </w:p>
    <w:p w14:paraId="2422EF58" w14:textId="77777777" w:rsidR="00155960" w:rsidRDefault="005E02BA">
      <w:r>
        <w:t>ONEDRIVE LINK FOR POSTER:</w:t>
      </w:r>
    </w:p>
    <w:p w14:paraId="6B44DA2F" w14:textId="77777777" w:rsidR="00155960" w:rsidRDefault="005E02BA">
      <w:hyperlink r:id="rId17" w:history="1">
        <w:r>
          <w:rPr>
            <w:rStyle w:val="Hyperlink"/>
          </w:rPr>
          <w:t>https://1drv.ms/p/c/421F46EC72490D97/IQDNdE4mXracQqrq22cL4r2KAQPBK4zrlZCxlp5EX1WjKEE?e=0EoZPo</w:t>
        </w:r>
      </w:hyperlink>
      <w:r>
        <w:t xml:space="preserve"> </w:t>
      </w:r>
    </w:p>
    <w:p w14:paraId="4B732766" w14:textId="77777777" w:rsidR="00155960" w:rsidRDefault="005E02BA">
      <w:r>
        <w:t xml:space="preserve">WIXS LINK: </w:t>
      </w:r>
      <w:hyperlink r:id="rId18" w:history="1">
        <w:r>
          <w:rPr>
            <w:rStyle w:val="Hyperlink"/>
          </w:rPr>
          <w:t>https://24281153.wixsite.com/tofayelahmed</w:t>
        </w:r>
      </w:hyperlink>
      <w:r>
        <w:t xml:space="preserve"> </w:t>
      </w:r>
    </w:p>
    <w:p w14:paraId="1BBB444E" w14:textId="77777777" w:rsidR="00155960" w:rsidRDefault="00155960"/>
    <w:p w14:paraId="7A382C6A" w14:textId="77777777" w:rsidR="00155960" w:rsidRDefault="00155960"/>
    <w:p w14:paraId="580CD4AB" w14:textId="77777777" w:rsidR="00155960" w:rsidRDefault="005E02BA">
      <w:pPr>
        <w:pStyle w:val="Heading1"/>
      </w:pPr>
      <w:r>
        <w:br w:type="page"/>
      </w:r>
    </w:p>
    <w:p w14:paraId="7F478F31" w14:textId="77777777" w:rsidR="00155960" w:rsidRDefault="00155960"/>
    <w:sectPr w:rsidR="00155960">
      <w:type w:val="continuous"/>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D6C051" w14:textId="77777777" w:rsidR="005E02BA" w:rsidRDefault="005E02BA">
      <w:pPr>
        <w:spacing w:after="0"/>
      </w:pPr>
      <w:r>
        <w:separator/>
      </w:r>
    </w:p>
  </w:endnote>
  <w:endnote w:type="continuationSeparator" w:id="0">
    <w:p w14:paraId="13134E0A" w14:textId="77777777" w:rsidR="005E02BA" w:rsidRDefault="005E02B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BoldMT">
    <w:altName w:val="Arial"/>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421795" w14:textId="77777777" w:rsidR="00155960" w:rsidRDefault="005E02BA">
    <w:pPr>
      <w:pStyle w:val="Footer"/>
      <w:jc w:val="right"/>
      <w:rPr>
        <w:szCs w:val="20"/>
      </w:rPr>
    </w:pPr>
    <w:r>
      <w:rPr>
        <w:szCs w:val="20"/>
      </w:rPr>
      <w:fldChar w:fldCharType="begin"/>
    </w:r>
    <w:r>
      <w:rPr>
        <w:szCs w:val="20"/>
      </w:rPr>
      <w:instrText xml:space="preserve"> PAGE   \* MERGEFORMAT </w:instrText>
    </w:r>
    <w:r>
      <w:rPr>
        <w:szCs w:val="20"/>
      </w:rPr>
      <w:fldChar w:fldCharType="separate"/>
    </w:r>
    <w:r>
      <w:rPr>
        <w:noProof/>
        <w:szCs w:val="20"/>
      </w:rPr>
      <w:t>2</w:t>
    </w:r>
    <w:r>
      <w:rPr>
        <w:noProof/>
        <w:szCs w:val="20"/>
      </w:rPr>
      <w:fldChar w:fldCharType="end"/>
    </w:r>
  </w:p>
  <w:p w14:paraId="608FB852" w14:textId="77777777" w:rsidR="00155960" w:rsidRDefault="001559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867A5C" w14:textId="77777777" w:rsidR="00155960" w:rsidRDefault="005E02BA">
    <w:pPr>
      <w:pStyle w:val="Footer"/>
      <w:jc w:val="right"/>
      <w:rPr>
        <w:szCs w:val="20"/>
      </w:rPr>
    </w:pPr>
    <w:r>
      <w:rPr>
        <w:szCs w:val="20"/>
      </w:rPr>
      <w:fldChar w:fldCharType="begin"/>
    </w:r>
    <w:r>
      <w:rPr>
        <w:szCs w:val="20"/>
      </w:rPr>
      <w:instrText xml:space="preserve"> PAGE   \* MERGEFORMAT </w:instrText>
    </w:r>
    <w:r>
      <w:rPr>
        <w:szCs w:val="20"/>
      </w:rPr>
      <w:fldChar w:fldCharType="separate"/>
    </w:r>
    <w:r>
      <w:rPr>
        <w:noProof/>
        <w:szCs w:val="20"/>
      </w:rPr>
      <w:t>2</w:t>
    </w:r>
    <w:r>
      <w:rPr>
        <w:noProof/>
        <w:szCs w:val="20"/>
      </w:rPr>
      <w:fldChar w:fldCharType="end"/>
    </w:r>
  </w:p>
  <w:p w14:paraId="7311127B" w14:textId="77777777" w:rsidR="00155960" w:rsidRDefault="001559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1AB394" w14:textId="77777777" w:rsidR="005E02BA" w:rsidRDefault="005E02BA">
      <w:pPr>
        <w:spacing w:after="0"/>
      </w:pPr>
      <w:r>
        <w:separator/>
      </w:r>
    </w:p>
  </w:footnote>
  <w:footnote w:type="continuationSeparator" w:id="0">
    <w:p w14:paraId="50FF0B38" w14:textId="77777777" w:rsidR="005E02BA" w:rsidRDefault="005E02B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multilevel"/>
    <w:tmpl w:val="C944E8A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000001"/>
    <w:multiLevelType w:val="multilevel"/>
    <w:tmpl w:val="A2C6332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2"/>
    <w:multiLevelType w:val="hybridMultilevel"/>
    <w:tmpl w:val="4B324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0000003"/>
    <w:multiLevelType w:val="multilevel"/>
    <w:tmpl w:val="1B56F11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00000004"/>
    <w:multiLevelType w:val="hybridMultilevel"/>
    <w:tmpl w:val="9162EB3E"/>
    <w:lvl w:ilvl="0" w:tplc="8B12B412">
      <w:start w:val="1"/>
      <w:numFmt w:val="bullet"/>
      <w:lvlText w:val="•"/>
      <w:lvlJc w:val="left"/>
      <w:pPr>
        <w:ind w:left="1080" w:hanging="72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0000005"/>
    <w:multiLevelType w:val="multilevel"/>
    <w:tmpl w:val="D278F5C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00000006"/>
    <w:multiLevelType w:val="multilevel"/>
    <w:tmpl w:val="ACC23FC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00000007"/>
    <w:multiLevelType w:val="hybridMultilevel"/>
    <w:tmpl w:val="7778C3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0000008"/>
    <w:multiLevelType w:val="multilevel"/>
    <w:tmpl w:val="72D017F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9" w15:restartNumberingAfterBreak="0">
    <w:nsid w:val="00000009"/>
    <w:multiLevelType w:val="multilevel"/>
    <w:tmpl w:val="909C2D2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0000000A"/>
    <w:multiLevelType w:val="multilevel"/>
    <w:tmpl w:val="644C1CF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1" w15:restartNumberingAfterBreak="0">
    <w:nsid w:val="0000000B"/>
    <w:multiLevelType w:val="hybridMultilevel"/>
    <w:tmpl w:val="08D2C1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000000C"/>
    <w:multiLevelType w:val="multilevel"/>
    <w:tmpl w:val="170C731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3" w15:restartNumberingAfterBreak="0">
    <w:nsid w:val="0000000D"/>
    <w:multiLevelType w:val="multilevel"/>
    <w:tmpl w:val="8490E8D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4" w15:restartNumberingAfterBreak="0">
    <w:nsid w:val="0000000E"/>
    <w:multiLevelType w:val="multilevel"/>
    <w:tmpl w:val="E0F842DC"/>
    <w:lvl w:ilvl="0">
      <w:start w:val="1"/>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5" w15:restartNumberingAfterBreak="0">
    <w:nsid w:val="0000000F"/>
    <w:multiLevelType w:val="multilevel"/>
    <w:tmpl w:val="D218592E"/>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6" w15:restartNumberingAfterBreak="0">
    <w:nsid w:val="00000010"/>
    <w:multiLevelType w:val="hybridMultilevel"/>
    <w:tmpl w:val="D6DC3F84"/>
    <w:lvl w:ilvl="0" w:tplc="04F0C5CE">
      <w:start w:val="1"/>
      <w:numFmt w:val="decimal"/>
      <w:lvlText w:val="[%1]"/>
      <w:lvlJc w:val="left"/>
      <w:pPr>
        <w:ind w:left="360" w:hanging="360"/>
      </w:pPr>
      <w:rPr>
        <w:rFonts w:hint="default"/>
      </w:rPr>
    </w:lvl>
    <w:lvl w:ilvl="1" w:tplc="2482F7B4" w:tentative="1">
      <w:start w:val="1"/>
      <w:numFmt w:val="lowerLetter"/>
      <w:lvlText w:val="%2."/>
      <w:lvlJc w:val="left"/>
      <w:pPr>
        <w:ind w:left="1080" w:hanging="360"/>
      </w:pPr>
    </w:lvl>
    <w:lvl w:ilvl="2" w:tplc="59488AC8" w:tentative="1">
      <w:start w:val="1"/>
      <w:numFmt w:val="lowerRoman"/>
      <w:lvlText w:val="%3."/>
      <w:lvlJc w:val="right"/>
      <w:pPr>
        <w:ind w:left="1800" w:hanging="180"/>
      </w:pPr>
    </w:lvl>
    <w:lvl w:ilvl="3" w:tplc="8AD0F7B8" w:tentative="1">
      <w:start w:val="1"/>
      <w:numFmt w:val="decimal"/>
      <w:lvlText w:val="%4."/>
      <w:lvlJc w:val="left"/>
      <w:pPr>
        <w:ind w:left="2520" w:hanging="360"/>
      </w:pPr>
    </w:lvl>
    <w:lvl w:ilvl="4" w:tplc="0AA6EBF8" w:tentative="1">
      <w:start w:val="1"/>
      <w:numFmt w:val="lowerLetter"/>
      <w:lvlText w:val="%5."/>
      <w:lvlJc w:val="left"/>
      <w:pPr>
        <w:ind w:left="3240" w:hanging="360"/>
      </w:pPr>
    </w:lvl>
    <w:lvl w:ilvl="5" w:tplc="1C88E592" w:tentative="1">
      <w:start w:val="1"/>
      <w:numFmt w:val="lowerRoman"/>
      <w:lvlText w:val="%6."/>
      <w:lvlJc w:val="right"/>
      <w:pPr>
        <w:ind w:left="3960" w:hanging="180"/>
      </w:pPr>
    </w:lvl>
    <w:lvl w:ilvl="6" w:tplc="BBA2B2EC" w:tentative="1">
      <w:start w:val="1"/>
      <w:numFmt w:val="decimal"/>
      <w:lvlText w:val="%7."/>
      <w:lvlJc w:val="left"/>
      <w:pPr>
        <w:ind w:left="4680" w:hanging="360"/>
      </w:pPr>
    </w:lvl>
    <w:lvl w:ilvl="7" w:tplc="B11ABB46" w:tentative="1">
      <w:start w:val="1"/>
      <w:numFmt w:val="lowerLetter"/>
      <w:lvlText w:val="%8."/>
      <w:lvlJc w:val="left"/>
      <w:pPr>
        <w:ind w:left="5400" w:hanging="360"/>
      </w:pPr>
    </w:lvl>
    <w:lvl w:ilvl="8" w:tplc="F2761BB6" w:tentative="1">
      <w:start w:val="1"/>
      <w:numFmt w:val="lowerRoman"/>
      <w:lvlText w:val="%9."/>
      <w:lvlJc w:val="right"/>
      <w:pPr>
        <w:ind w:left="6120" w:hanging="180"/>
      </w:pPr>
    </w:lvl>
  </w:abstractNum>
  <w:abstractNum w:abstractNumId="17" w15:restartNumberingAfterBreak="0">
    <w:nsid w:val="00000011"/>
    <w:multiLevelType w:val="multilevel"/>
    <w:tmpl w:val="66A6729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8" w15:restartNumberingAfterBreak="0">
    <w:nsid w:val="00000012"/>
    <w:multiLevelType w:val="multilevel"/>
    <w:tmpl w:val="A60CB57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9" w15:restartNumberingAfterBreak="0">
    <w:nsid w:val="00000013"/>
    <w:multiLevelType w:val="multilevel"/>
    <w:tmpl w:val="8FE8584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0" w15:restartNumberingAfterBreak="0">
    <w:nsid w:val="00000014"/>
    <w:multiLevelType w:val="multilevel"/>
    <w:tmpl w:val="435C8D1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1" w15:restartNumberingAfterBreak="0">
    <w:nsid w:val="00000015"/>
    <w:multiLevelType w:val="hybridMultilevel"/>
    <w:tmpl w:val="765C4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00000016"/>
    <w:multiLevelType w:val="multilevel"/>
    <w:tmpl w:val="0DDAE13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3" w15:restartNumberingAfterBreak="0">
    <w:nsid w:val="00000017"/>
    <w:multiLevelType w:val="multilevel"/>
    <w:tmpl w:val="F440C7E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4" w15:restartNumberingAfterBreak="0">
    <w:nsid w:val="00000018"/>
    <w:multiLevelType w:val="multilevel"/>
    <w:tmpl w:val="575E17E0"/>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5" w15:restartNumberingAfterBreak="0">
    <w:nsid w:val="00000019"/>
    <w:multiLevelType w:val="hybridMultilevel"/>
    <w:tmpl w:val="5FE2E0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0000001A"/>
    <w:multiLevelType w:val="hybridMultilevel"/>
    <w:tmpl w:val="9A0A13D4"/>
    <w:lvl w:ilvl="0" w:tplc="8B12B412">
      <w:start w:val="1"/>
      <w:numFmt w:val="bullet"/>
      <w:lvlText w:val="•"/>
      <w:lvlJc w:val="left"/>
      <w:pPr>
        <w:ind w:left="1080" w:hanging="72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0000001B"/>
    <w:multiLevelType w:val="multilevel"/>
    <w:tmpl w:val="AE78E25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8" w15:restartNumberingAfterBreak="0">
    <w:nsid w:val="0000001C"/>
    <w:multiLevelType w:val="multilevel"/>
    <w:tmpl w:val="3372218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9" w15:restartNumberingAfterBreak="0">
    <w:nsid w:val="0000001D"/>
    <w:multiLevelType w:val="hybridMultilevel"/>
    <w:tmpl w:val="C13812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0000001E"/>
    <w:multiLevelType w:val="multilevel"/>
    <w:tmpl w:val="5042685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1" w15:restartNumberingAfterBreak="0">
    <w:nsid w:val="0000001F"/>
    <w:multiLevelType w:val="multilevel"/>
    <w:tmpl w:val="A4AE519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16cid:durableId="541524125">
    <w:abstractNumId w:val="16"/>
  </w:num>
  <w:num w:numId="2" w16cid:durableId="1732775744">
    <w:abstractNumId w:val="18"/>
  </w:num>
  <w:num w:numId="3" w16cid:durableId="166988066">
    <w:abstractNumId w:val="19"/>
  </w:num>
  <w:num w:numId="4" w16cid:durableId="534199845">
    <w:abstractNumId w:val="14"/>
  </w:num>
  <w:num w:numId="5" w16cid:durableId="920410620">
    <w:abstractNumId w:val="8"/>
  </w:num>
  <w:num w:numId="6" w16cid:durableId="223107676">
    <w:abstractNumId w:val="5"/>
  </w:num>
  <w:num w:numId="7" w16cid:durableId="1889997990">
    <w:abstractNumId w:val="17"/>
  </w:num>
  <w:num w:numId="8" w16cid:durableId="1597254360">
    <w:abstractNumId w:val="0"/>
  </w:num>
  <w:num w:numId="9" w16cid:durableId="1344212070">
    <w:abstractNumId w:val="28"/>
  </w:num>
  <w:num w:numId="10" w16cid:durableId="1124351995">
    <w:abstractNumId w:val="22"/>
  </w:num>
  <w:num w:numId="11" w16cid:durableId="736900924">
    <w:abstractNumId w:val="29"/>
  </w:num>
  <w:num w:numId="12" w16cid:durableId="1804275627">
    <w:abstractNumId w:val="11"/>
  </w:num>
  <w:num w:numId="13" w16cid:durableId="94785283">
    <w:abstractNumId w:val="2"/>
  </w:num>
  <w:num w:numId="14" w16cid:durableId="2045247691">
    <w:abstractNumId w:val="21"/>
  </w:num>
  <w:num w:numId="15" w16cid:durableId="1865972575">
    <w:abstractNumId w:val="7"/>
  </w:num>
  <w:num w:numId="16" w16cid:durableId="1669749095">
    <w:abstractNumId w:val="4"/>
  </w:num>
  <w:num w:numId="17" w16cid:durableId="931668689">
    <w:abstractNumId w:val="26"/>
  </w:num>
  <w:num w:numId="18" w16cid:durableId="116267735">
    <w:abstractNumId w:val="10"/>
  </w:num>
  <w:num w:numId="19" w16cid:durableId="1442070091">
    <w:abstractNumId w:val="3"/>
  </w:num>
  <w:num w:numId="20" w16cid:durableId="901478614">
    <w:abstractNumId w:val="27"/>
  </w:num>
  <w:num w:numId="21" w16cid:durableId="893737009">
    <w:abstractNumId w:val="13"/>
  </w:num>
  <w:num w:numId="22" w16cid:durableId="916744027">
    <w:abstractNumId w:val="9"/>
  </w:num>
  <w:num w:numId="23" w16cid:durableId="619845760">
    <w:abstractNumId w:val="12"/>
  </w:num>
  <w:num w:numId="24" w16cid:durableId="2056394118">
    <w:abstractNumId w:val="30"/>
  </w:num>
  <w:num w:numId="25" w16cid:durableId="2127960744">
    <w:abstractNumId w:val="1"/>
  </w:num>
  <w:num w:numId="26" w16cid:durableId="273027451">
    <w:abstractNumId w:val="31"/>
  </w:num>
  <w:num w:numId="27" w16cid:durableId="131873270">
    <w:abstractNumId w:val="24"/>
  </w:num>
  <w:num w:numId="28" w16cid:durableId="522281744">
    <w:abstractNumId w:val="23"/>
  </w:num>
  <w:num w:numId="29" w16cid:durableId="1902786115">
    <w:abstractNumId w:val="15"/>
  </w:num>
  <w:num w:numId="30" w16cid:durableId="705451714">
    <w:abstractNumId w:val="6"/>
  </w:num>
  <w:num w:numId="31" w16cid:durableId="755707596">
    <w:abstractNumId w:val="20"/>
  </w:num>
  <w:num w:numId="32" w16cid:durableId="166004036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960"/>
    <w:rsid w:val="00155960"/>
    <w:rsid w:val="003C31E9"/>
    <w:rsid w:val="005C4C9B"/>
    <w:rsid w:val="005E02BA"/>
    <w:rsid w:val="00D115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EC57941"/>
  <w15:docId w15:val="{B72CCC46-6A27-DB40-BA49-F921ACAB2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SimSun"/>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40" w:lineRule="auto"/>
      <w:jc w:val="both"/>
    </w:pPr>
    <w:rPr>
      <w:rFonts w:ascii="Times New Roman" w:hAnsi="Times New Roman"/>
      <w:kern w:val="0"/>
      <w:sz w:val="20"/>
      <w14:ligatures w14:val="none"/>
    </w:rPr>
  </w:style>
  <w:style w:type="paragraph" w:styleId="Heading1">
    <w:name w:val="heading 1"/>
    <w:basedOn w:val="Normal"/>
    <w:next w:val="Normal"/>
    <w:link w:val="Heading1Char"/>
    <w:uiPriority w:val="9"/>
    <w:qFormat/>
    <w:pPr>
      <w:keepNext/>
      <w:keepLines/>
      <w:spacing w:before="360" w:after="80"/>
      <w:jc w:val="center"/>
      <w:outlineLvl w:val="0"/>
    </w:pPr>
    <w:rPr>
      <w:rFonts w:eastAsia="SimSun"/>
      <w:b/>
      <w:sz w:val="24"/>
      <w:szCs w:val="20"/>
    </w:rPr>
  </w:style>
  <w:style w:type="paragraph" w:styleId="Heading2">
    <w:name w:val="heading 2"/>
    <w:basedOn w:val="Normal"/>
    <w:next w:val="Normal"/>
    <w:link w:val="Heading2Char"/>
    <w:uiPriority w:val="9"/>
    <w:unhideWhenUsed/>
    <w:qFormat/>
    <w:pPr>
      <w:keepNext/>
      <w:keepLines/>
      <w:spacing w:before="160" w:after="80"/>
      <w:outlineLvl w:val="1"/>
    </w:pPr>
    <w:rPr>
      <w:rFonts w:eastAsia="SimSun"/>
      <w:b/>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SimSun"/>
      <w:b/>
      <w:szCs w:val="28"/>
    </w:rPr>
  </w:style>
  <w:style w:type="paragraph" w:styleId="Heading4">
    <w:name w:val="heading 4"/>
    <w:basedOn w:val="Normal"/>
    <w:next w:val="Normal"/>
    <w:link w:val="Heading4Char"/>
    <w:uiPriority w:val="9"/>
    <w:semiHidden/>
    <w:unhideWhenUsed/>
    <w:qFormat/>
    <w:pPr>
      <w:keepNext/>
      <w:keepLines/>
      <w:spacing w:before="80" w:after="40"/>
      <w:jc w:val="center"/>
      <w:outlineLvl w:val="3"/>
    </w:pPr>
    <w:rPr>
      <w:rFonts w:eastAsia="SimSun"/>
      <w:b/>
      <w:iCs/>
      <w:szCs w:val="22"/>
    </w:rPr>
  </w:style>
  <w:style w:type="paragraph" w:styleId="Heading5">
    <w:name w:val="heading 5"/>
    <w:basedOn w:val="Normal"/>
    <w:next w:val="Normal"/>
    <w:link w:val="Heading5Char"/>
    <w:uiPriority w:val="9"/>
    <w:semiHidden/>
    <w:unhideWhenUsed/>
    <w:qFormat/>
    <w:pPr>
      <w:keepNext/>
      <w:keepLines/>
      <w:spacing w:before="80" w:after="40"/>
      <w:jc w:val="center"/>
      <w:outlineLvl w:val="4"/>
    </w:pPr>
    <w:rPr>
      <w:rFonts w:eastAsia="SimSun"/>
      <w:b/>
      <w:szCs w:val="22"/>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SimSun"/>
      <w:i/>
      <w:iCs/>
      <w:color w:val="595959"/>
    </w:rPr>
  </w:style>
  <w:style w:type="paragraph" w:styleId="Heading7">
    <w:name w:val="heading 7"/>
    <w:basedOn w:val="Normal"/>
    <w:next w:val="Normal"/>
    <w:link w:val="Heading7Char"/>
    <w:uiPriority w:val="9"/>
    <w:qFormat/>
    <w:pPr>
      <w:keepNext/>
      <w:keepLines/>
      <w:spacing w:before="40" w:after="0"/>
      <w:outlineLvl w:val="6"/>
    </w:pPr>
    <w:rPr>
      <w:rFonts w:eastAsia="SimSun"/>
      <w:color w:val="595959"/>
    </w:rPr>
  </w:style>
  <w:style w:type="paragraph" w:styleId="Heading8">
    <w:name w:val="heading 8"/>
    <w:basedOn w:val="Normal"/>
    <w:next w:val="Normal"/>
    <w:link w:val="Heading8Char"/>
    <w:uiPriority w:val="9"/>
    <w:qFormat/>
    <w:pPr>
      <w:keepNext/>
      <w:keepLines/>
      <w:spacing w:after="0"/>
      <w:outlineLvl w:val="7"/>
    </w:pPr>
    <w:rPr>
      <w:rFonts w:eastAsia="SimSun"/>
      <w:i/>
      <w:iCs/>
      <w:color w:val="272727"/>
    </w:rPr>
  </w:style>
  <w:style w:type="paragraph" w:styleId="Heading9">
    <w:name w:val="heading 9"/>
    <w:basedOn w:val="Normal"/>
    <w:next w:val="Normal"/>
    <w:link w:val="Heading9Char"/>
    <w:uiPriority w:val="9"/>
    <w:qFormat/>
    <w:pPr>
      <w:keepNext/>
      <w:keepLines/>
      <w:spacing w:after="0"/>
      <w:outlineLvl w:val="8"/>
    </w:pPr>
    <w:rPr>
      <w:rFonts w:eastAsia="SimSu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9"/>
    <w:qFormat/>
    <w:rPr>
      <w:rFonts w:ascii="Times New Roman" w:eastAsia="SimSun" w:hAnsi="Times New Roman" w:cs="SimSun"/>
      <w:b/>
      <w:kern w:val="0"/>
      <w:szCs w:val="20"/>
      <w14:ligatures w14:val="none"/>
    </w:rPr>
  </w:style>
  <w:style w:type="character" w:customStyle="1" w:styleId="Heading2Char">
    <w:name w:val="Heading 2 Char"/>
    <w:basedOn w:val="DefaultParagraphFont"/>
    <w:link w:val="Heading2"/>
    <w:uiPriority w:val="9"/>
    <w:rPr>
      <w:rFonts w:ascii="Times New Roman" w:eastAsia="SimSun" w:hAnsi="Times New Roman" w:cs="SimSun"/>
      <w:b/>
      <w:szCs w:val="32"/>
    </w:rPr>
  </w:style>
  <w:style w:type="character" w:customStyle="1" w:styleId="Heading3Char">
    <w:name w:val="Heading 3 Char"/>
    <w:basedOn w:val="DefaultParagraphFont"/>
    <w:link w:val="Heading3"/>
    <w:uiPriority w:val="9"/>
    <w:rPr>
      <w:rFonts w:ascii="Times New Roman" w:eastAsia="SimSun" w:hAnsi="Times New Roman" w:cs="SimSun"/>
      <w:b/>
      <w:kern w:val="0"/>
      <w:szCs w:val="28"/>
      <w14:ligatures w14:val="none"/>
    </w:rPr>
  </w:style>
  <w:style w:type="character" w:customStyle="1" w:styleId="Heading4Char">
    <w:name w:val="Heading 4 Char"/>
    <w:basedOn w:val="DefaultParagraphFont"/>
    <w:link w:val="Heading4"/>
    <w:uiPriority w:val="9"/>
    <w:rPr>
      <w:rFonts w:ascii="Times New Roman" w:eastAsia="SimSun" w:hAnsi="Times New Roman" w:cs="SimSun"/>
      <w:b/>
      <w:iCs/>
      <w:kern w:val="0"/>
      <w:szCs w:val="22"/>
      <w14:ligatures w14:val="none"/>
    </w:rPr>
  </w:style>
  <w:style w:type="character" w:customStyle="1" w:styleId="Heading5Char">
    <w:name w:val="Heading 5 Char"/>
    <w:basedOn w:val="DefaultParagraphFont"/>
    <w:link w:val="Heading5"/>
    <w:uiPriority w:val="9"/>
    <w:rPr>
      <w:rFonts w:ascii="Times New Roman" w:eastAsia="SimSun" w:hAnsi="Times New Roman" w:cs="SimSun"/>
      <w:b/>
      <w:kern w:val="0"/>
      <w:szCs w:val="22"/>
      <w14:ligatures w14:val="none"/>
    </w:rPr>
  </w:style>
  <w:style w:type="character" w:customStyle="1" w:styleId="Heading6Char">
    <w:name w:val="Heading 6 Char"/>
    <w:basedOn w:val="DefaultParagraphFont"/>
    <w:link w:val="Heading6"/>
    <w:uiPriority w:val="9"/>
    <w:rPr>
      <w:rFonts w:eastAsia="SimSun" w:cs="SimSun"/>
      <w:i/>
      <w:iCs/>
      <w:color w:val="595959"/>
    </w:rPr>
  </w:style>
  <w:style w:type="character" w:customStyle="1" w:styleId="Heading7Char">
    <w:name w:val="Heading 7 Char"/>
    <w:basedOn w:val="DefaultParagraphFont"/>
    <w:link w:val="Heading7"/>
    <w:uiPriority w:val="9"/>
    <w:rPr>
      <w:rFonts w:eastAsia="SimSun" w:cs="SimSun"/>
      <w:color w:val="595959"/>
    </w:rPr>
  </w:style>
  <w:style w:type="character" w:customStyle="1" w:styleId="Heading8Char">
    <w:name w:val="Heading 8 Char"/>
    <w:basedOn w:val="DefaultParagraphFont"/>
    <w:link w:val="Heading8"/>
    <w:uiPriority w:val="9"/>
    <w:rPr>
      <w:rFonts w:eastAsia="SimSun" w:cs="SimSun"/>
      <w:i/>
      <w:iCs/>
      <w:color w:val="272727"/>
    </w:rPr>
  </w:style>
  <w:style w:type="character" w:customStyle="1" w:styleId="Heading9Char">
    <w:name w:val="Heading 9 Char"/>
    <w:basedOn w:val="DefaultParagraphFont"/>
    <w:link w:val="Heading9"/>
    <w:uiPriority w:val="9"/>
    <w:rPr>
      <w:rFonts w:eastAsia="SimSun" w:cs="SimSun"/>
      <w:color w:val="272727"/>
    </w:rPr>
  </w:style>
  <w:style w:type="paragraph" w:styleId="Title">
    <w:name w:val="Title"/>
    <w:basedOn w:val="Normal"/>
    <w:next w:val="Normal"/>
    <w:link w:val="TitleChar"/>
    <w:uiPriority w:val="10"/>
    <w:qFormat/>
    <w:pPr>
      <w:spacing w:after="80"/>
      <w:contextualSpacing/>
    </w:pPr>
    <w:rPr>
      <w:rFonts w:ascii="Calibri Light" w:eastAsia="SimSun" w:hAnsi="Calibri Light"/>
      <w:spacing w:val="-10"/>
      <w:kern w:val="28"/>
      <w:sz w:val="56"/>
      <w:szCs w:val="56"/>
    </w:rPr>
  </w:style>
  <w:style w:type="character" w:customStyle="1" w:styleId="TitleChar">
    <w:name w:val="Title Char"/>
    <w:basedOn w:val="DefaultParagraphFont"/>
    <w:link w:val="Title"/>
    <w:uiPriority w:val="10"/>
    <w:rPr>
      <w:rFonts w:ascii="Calibri Light" w:eastAsia="SimSun" w:hAnsi="Calibri Light" w:cs="SimSun"/>
      <w:spacing w:val="-10"/>
      <w:kern w:val="28"/>
      <w:sz w:val="56"/>
      <w:szCs w:val="56"/>
    </w:rPr>
  </w:style>
  <w:style w:type="paragraph" w:styleId="Subtitle">
    <w:name w:val="Subtitle"/>
    <w:basedOn w:val="Normal"/>
    <w:next w:val="Normal"/>
    <w:link w:val="SubtitleChar"/>
    <w:uiPriority w:val="11"/>
    <w:qFormat/>
    <w:pPr>
      <w:numPr>
        <w:ilvl w:val="1"/>
      </w:numPr>
    </w:pPr>
    <w:rPr>
      <w:rFonts w:eastAsia="SimSun"/>
      <w:color w:val="595959"/>
      <w:spacing w:val="15"/>
      <w:sz w:val="28"/>
      <w:szCs w:val="28"/>
    </w:rPr>
  </w:style>
  <w:style w:type="character" w:customStyle="1" w:styleId="SubtitleChar">
    <w:name w:val="Subtitle Char"/>
    <w:basedOn w:val="DefaultParagraphFont"/>
    <w:link w:val="Subtitle"/>
    <w:uiPriority w:val="11"/>
    <w:rPr>
      <w:rFonts w:eastAsia="SimSun" w:cs="SimSun"/>
      <w:color w:val="595959"/>
      <w:spacing w:val="15"/>
      <w:sz w:val="28"/>
      <w:szCs w:val="28"/>
    </w:rPr>
  </w:style>
  <w:style w:type="paragraph" w:styleId="Quote">
    <w:name w:val="Quote"/>
    <w:basedOn w:val="Normal"/>
    <w:next w:val="Normal"/>
    <w:link w:val="QuoteChar"/>
    <w:uiPriority w:val="29"/>
    <w:qFormat/>
    <w:pPr>
      <w:spacing w:before="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2F5496"/>
    </w:rPr>
  </w:style>
  <w:style w:type="paragraph" w:styleId="IntenseQuote">
    <w:name w:val="Intense Quote"/>
    <w:basedOn w:val="Normal"/>
    <w:next w:val="Normal"/>
    <w:link w:val="IntenseQuoteChar"/>
    <w:uiPriority w:val="30"/>
    <w:qFormat/>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link w:val="IntenseQuote"/>
    <w:uiPriority w:val="30"/>
    <w:rPr>
      <w:i/>
      <w:iCs/>
      <w:color w:val="2F5496"/>
    </w:rPr>
  </w:style>
  <w:style w:type="character" w:styleId="IntenseReference">
    <w:name w:val="Intense Reference"/>
    <w:basedOn w:val="DefaultParagraphFont"/>
    <w:uiPriority w:val="32"/>
    <w:qFormat/>
    <w:rPr>
      <w:b/>
      <w:bCs/>
      <w:smallCaps/>
      <w:color w:val="2F5496"/>
      <w:spacing w:val="5"/>
    </w:rPr>
  </w:style>
  <w:style w:type="paragraph" w:styleId="Footer">
    <w:name w:val="footer"/>
    <w:basedOn w:val="Normal"/>
    <w:link w:val="FooterChar"/>
    <w:uiPriority w:val="99"/>
    <w:pPr>
      <w:tabs>
        <w:tab w:val="center" w:pos="4680"/>
        <w:tab w:val="right" w:pos="9360"/>
      </w:tabs>
      <w:spacing w:after="0"/>
    </w:pPr>
  </w:style>
  <w:style w:type="character" w:customStyle="1" w:styleId="FooterChar">
    <w:name w:val="Footer Char"/>
    <w:basedOn w:val="DefaultParagraphFont"/>
    <w:link w:val="Footer"/>
    <w:uiPriority w:val="99"/>
    <w:rPr>
      <w:rFonts w:ascii="Times New Roman" w:hAnsi="Times New Roman"/>
      <w:kern w:val="0"/>
      <w14:ligatures w14:val="none"/>
    </w:rPr>
  </w:style>
  <w:style w:type="paragraph" w:styleId="TOCHeading">
    <w:name w:val="TOC Heading"/>
    <w:basedOn w:val="Heading1"/>
    <w:next w:val="Normal"/>
    <w:uiPriority w:val="39"/>
    <w:qFormat/>
    <w:pPr>
      <w:spacing w:before="240" w:after="0" w:line="259" w:lineRule="auto"/>
      <w:jc w:val="left"/>
      <w:outlineLvl w:val="9"/>
    </w:pPr>
    <w:rPr>
      <w:rFonts w:ascii="Calibri Light" w:hAnsi="Calibri Light"/>
      <w:b w:val="0"/>
      <w:bCs/>
      <w:color w:val="2F5496"/>
      <w:sz w:val="32"/>
      <w:szCs w:val="32"/>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563C1"/>
      <w:u w:val="single"/>
    </w:rPr>
  </w:style>
  <w:style w:type="paragraph" w:styleId="Header">
    <w:name w:val="header"/>
    <w:basedOn w:val="Normal"/>
    <w:link w:val="HeaderChar"/>
    <w:uiPriority w:val="99"/>
    <w:pPr>
      <w:tabs>
        <w:tab w:val="center" w:pos="4680"/>
        <w:tab w:val="right" w:pos="9360"/>
      </w:tabs>
      <w:spacing w:after="0"/>
    </w:pPr>
  </w:style>
  <w:style w:type="character" w:customStyle="1" w:styleId="HeaderChar">
    <w:name w:val="Header Char"/>
    <w:basedOn w:val="DefaultParagraphFont"/>
    <w:link w:val="Header"/>
    <w:uiPriority w:val="99"/>
    <w:rPr>
      <w:rFonts w:ascii="Times New Roman" w:hAnsi="Times New Roman"/>
      <w:kern w:val="0"/>
      <w14:ligatures w14:val="none"/>
    </w:rPr>
  </w:style>
  <w:style w:type="paragraph" w:styleId="NormalWeb">
    <w:name w:val="Normal (Web)"/>
    <w:basedOn w:val="Normal"/>
    <w:uiPriority w:val="99"/>
    <w:rPr>
      <w:rFonts w:cs="Times New Roman"/>
    </w:rPr>
  </w:style>
  <w:style w:type="paragraph" w:styleId="TOC2">
    <w:name w:val="toc 2"/>
    <w:basedOn w:val="Normal"/>
    <w:next w:val="Normal"/>
    <w:uiPriority w:val="39"/>
    <w:pPr>
      <w:spacing w:after="100"/>
      <w:ind w:left="240"/>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Light1">
    <w:name w:val="Table Grid Light1"/>
    <w:basedOn w:val="TableNormal"/>
    <w:uiPriority w:val="40"/>
    <w:pPr>
      <w:spacing w:after="0" w:line="240" w:lineRule="auto"/>
    </w:p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character" w:customStyle="1" w:styleId="UnresolvedMention1">
    <w:name w:val="Unresolved Mention1"/>
    <w:basedOn w:val="DefaultParagraphFont"/>
    <w:uiPriority w:val="99"/>
    <w:rPr>
      <w:color w:val="605E5C"/>
      <w:shd w:val="clear" w:color="auto" w:fill="E1DFDD"/>
    </w:rPr>
  </w:style>
  <w:style w:type="character" w:styleId="FollowedHyperlink">
    <w:name w:val="FollowedHyperlink"/>
    <w:basedOn w:val="DefaultParagraphFont"/>
    <w:uiPriority w:val="99"/>
    <w:rPr>
      <w:color w:val="954F72"/>
      <w:u w:val="single"/>
    </w:rPr>
  </w:style>
  <w:style w:type="paragraph" w:customStyle="1" w:styleId="p1">
    <w:name w:val="p1"/>
    <w:basedOn w:val="Normal"/>
    <w:rsid w:val="00D1153F"/>
    <w:pPr>
      <w:spacing w:after="0"/>
      <w:jc w:val="left"/>
    </w:pPr>
    <w:rPr>
      <w:rFonts w:ascii="Arial" w:eastAsiaTheme="minorEastAsia" w:hAnsi="Arial" w:cs="Arial"/>
      <w:color w:val="000000"/>
      <w:sz w:val="17"/>
      <w:szCs w:val="17"/>
      <w:lang w:val="en-GB" w:eastAsia="en-GB"/>
    </w:rPr>
  </w:style>
  <w:style w:type="character" w:customStyle="1" w:styleId="s1">
    <w:name w:val="s1"/>
    <w:basedOn w:val="DefaultParagraphFont"/>
    <w:rsid w:val="00D1153F"/>
    <w:rPr>
      <w:rFonts w:ascii="Arial-BoldMT" w:hAnsi="Arial-BoldMT" w:hint="default"/>
      <w:b/>
      <w:bCs/>
      <w:i w:val="0"/>
      <w:iCs w:val="0"/>
      <w:sz w:val="17"/>
      <w:szCs w:val="17"/>
    </w:rPr>
  </w:style>
  <w:style w:type="character" w:customStyle="1" w:styleId="apple-converted-space">
    <w:name w:val="apple-converted-space"/>
    <w:basedOn w:val="DefaultParagraphFont"/>
    <w:rsid w:val="005E02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24281153.wixsite.com/tofayelahme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1drv.ms/p/c/421F46EC72490D97/IQDNdE4mXracQqrq22cL4r2KAQPBK4zrlZCxlp5EX1WjKEE?e=0EoZPo"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1AFE1B-4E6A-4005-867D-269A6A51893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1540</Words>
  <Characters>8778</Characters>
  <Application>Microsoft Office Word</Application>
  <DocSecurity>0</DocSecurity>
  <Lines>73</Lines>
  <Paragraphs>20</Paragraphs>
  <ScaleCrop>false</ScaleCrop>
  <Company/>
  <LinksUpToDate>false</LinksUpToDate>
  <CharactersWithSpaces>10298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Tofayel Ahmed (2428115)</cp:lastModifiedBy>
  <cp:revision>6</cp:revision>
  <dcterms:created xsi:type="dcterms:W3CDTF">2026-01-05T12:06:00Z</dcterms:created>
  <dcterms:modified xsi:type="dcterms:W3CDTF">2026-01-05T12:14:00Z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f97a7bf2-dab8-4fda-86be-202032dd3d52</vt:lpwstr>
  </property>
  <property fmtid="{D5CDD505-2E9C-101B-9397-08002B2CF9AE}" pid="3" name="ICV">
    <vt:lpwstr>8202d479881e48eea6de18f68fb37d01</vt:lpwstr>
  </property>
</Properties>
</file>