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87199" w14:textId="77777777" w:rsidR="0026672F" w:rsidRDefault="0026672F" w:rsidP="0026672F">
      <w:pPr>
        <w:spacing w:line="360" w:lineRule="auto"/>
        <w:ind w:left="720"/>
        <w:jc w:val="center"/>
        <w:rPr>
          <w:rFonts w:ascii="Arial" w:hAnsi="Arial" w:cs="Arial"/>
          <w:b/>
          <w:bCs/>
          <w:color w:val="000000" w:themeColor="text1"/>
          <w:sz w:val="42"/>
          <w:szCs w:val="42"/>
        </w:rPr>
      </w:pPr>
    </w:p>
    <w:p w14:paraId="2C8D2D33" w14:textId="77777777" w:rsidR="0026672F" w:rsidRDefault="0026672F" w:rsidP="0026672F">
      <w:pPr>
        <w:spacing w:line="360" w:lineRule="auto"/>
        <w:ind w:left="720"/>
        <w:jc w:val="center"/>
        <w:rPr>
          <w:rFonts w:ascii="Arial" w:hAnsi="Arial" w:cs="Arial"/>
          <w:b/>
          <w:bCs/>
          <w:color w:val="000000" w:themeColor="text1"/>
          <w:sz w:val="42"/>
          <w:szCs w:val="42"/>
        </w:rPr>
      </w:pPr>
    </w:p>
    <w:p w14:paraId="4488A05D" w14:textId="77777777" w:rsidR="0026672F" w:rsidRDefault="0026672F" w:rsidP="0026672F">
      <w:pPr>
        <w:spacing w:line="360" w:lineRule="auto"/>
        <w:ind w:left="720"/>
        <w:jc w:val="center"/>
        <w:rPr>
          <w:rFonts w:ascii="Arial" w:hAnsi="Arial" w:cs="Arial"/>
          <w:b/>
          <w:bCs/>
          <w:color w:val="000000" w:themeColor="text1"/>
          <w:sz w:val="42"/>
          <w:szCs w:val="42"/>
        </w:rPr>
      </w:pPr>
    </w:p>
    <w:p w14:paraId="7ACDD449" w14:textId="77777777" w:rsidR="0026672F" w:rsidRDefault="0026672F" w:rsidP="0026672F">
      <w:pPr>
        <w:spacing w:line="360" w:lineRule="auto"/>
        <w:ind w:left="720"/>
        <w:jc w:val="center"/>
        <w:rPr>
          <w:rFonts w:ascii="Arial" w:hAnsi="Arial" w:cs="Arial"/>
          <w:b/>
          <w:bCs/>
          <w:color w:val="000000" w:themeColor="text1"/>
          <w:sz w:val="42"/>
          <w:szCs w:val="42"/>
        </w:rPr>
      </w:pPr>
    </w:p>
    <w:p w14:paraId="0CF65641" w14:textId="77777777" w:rsidR="0026672F" w:rsidRDefault="0026672F" w:rsidP="0026672F">
      <w:pPr>
        <w:spacing w:line="360" w:lineRule="auto"/>
        <w:ind w:left="720"/>
        <w:jc w:val="center"/>
        <w:rPr>
          <w:rFonts w:ascii="Arial" w:hAnsi="Arial" w:cs="Arial"/>
          <w:b/>
          <w:bCs/>
          <w:color w:val="000000" w:themeColor="text1"/>
          <w:sz w:val="42"/>
          <w:szCs w:val="42"/>
        </w:rPr>
      </w:pPr>
    </w:p>
    <w:p w14:paraId="1198FBF8" w14:textId="4555F073" w:rsidR="00F4749E" w:rsidRPr="00523D15" w:rsidRDefault="0073381F" w:rsidP="0026672F">
      <w:pPr>
        <w:spacing w:line="360" w:lineRule="auto"/>
        <w:ind w:left="720"/>
        <w:jc w:val="center"/>
        <w:rPr>
          <w:rFonts w:ascii="Arial" w:hAnsi="Arial" w:cs="Arial"/>
          <w:b/>
          <w:bCs/>
          <w:color w:val="000000" w:themeColor="text1"/>
          <w:sz w:val="42"/>
          <w:szCs w:val="42"/>
        </w:rPr>
      </w:pPr>
      <w:r w:rsidRPr="00523D15">
        <w:rPr>
          <w:rFonts w:ascii="Arial" w:hAnsi="Arial" w:cs="Arial"/>
          <w:b/>
          <w:bCs/>
          <w:color w:val="000000" w:themeColor="text1"/>
          <w:sz w:val="42"/>
          <w:szCs w:val="42"/>
        </w:rPr>
        <w:t xml:space="preserve">Adult </w:t>
      </w:r>
      <w:r w:rsidR="00F4749E" w:rsidRPr="00523D15">
        <w:rPr>
          <w:rFonts w:ascii="Arial" w:hAnsi="Arial" w:cs="Arial"/>
          <w:b/>
          <w:bCs/>
          <w:color w:val="000000" w:themeColor="text1"/>
          <w:sz w:val="42"/>
          <w:szCs w:val="42"/>
        </w:rPr>
        <w:t>Development and Wellbeing in Health and Social Care</w:t>
      </w:r>
    </w:p>
    <w:p w14:paraId="350708E6" w14:textId="77777777" w:rsidR="00F4749E" w:rsidRPr="00523D15" w:rsidRDefault="00F4749E" w:rsidP="0026672F">
      <w:pPr>
        <w:spacing w:line="360" w:lineRule="auto"/>
        <w:ind w:left="720"/>
        <w:jc w:val="center"/>
        <w:rPr>
          <w:rFonts w:ascii="Arial" w:hAnsi="Arial" w:cs="Arial"/>
          <w:b/>
          <w:bCs/>
          <w:color w:val="000000" w:themeColor="text1"/>
          <w:sz w:val="42"/>
          <w:szCs w:val="42"/>
        </w:rPr>
      </w:pPr>
    </w:p>
    <w:p w14:paraId="6A27EBC4" w14:textId="77777777" w:rsidR="00523D15" w:rsidRPr="00523D15" w:rsidRDefault="00523D15" w:rsidP="0026672F">
      <w:pPr>
        <w:spacing w:line="360" w:lineRule="auto"/>
        <w:ind w:left="720"/>
        <w:jc w:val="center"/>
        <w:rPr>
          <w:rFonts w:ascii="Arial" w:hAnsi="Arial" w:cs="Arial"/>
          <w:color w:val="000000" w:themeColor="text1"/>
          <w:sz w:val="42"/>
          <w:szCs w:val="42"/>
        </w:rPr>
      </w:pPr>
    </w:p>
    <w:p w14:paraId="73FD9EB6" w14:textId="77777777" w:rsidR="00523D15" w:rsidRDefault="00523D15" w:rsidP="00F15D46">
      <w:pPr>
        <w:spacing w:line="360" w:lineRule="auto"/>
        <w:ind w:left="720"/>
        <w:jc w:val="right"/>
        <w:rPr>
          <w:rFonts w:ascii="Arial" w:hAnsi="Arial" w:cs="Arial"/>
          <w:color w:val="000000" w:themeColor="text1"/>
          <w:sz w:val="22"/>
          <w:szCs w:val="22"/>
        </w:rPr>
      </w:pPr>
    </w:p>
    <w:p w14:paraId="22B510AE" w14:textId="77777777" w:rsidR="00523D15" w:rsidRDefault="00523D15" w:rsidP="00F15D46">
      <w:pPr>
        <w:spacing w:line="360" w:lineRule="auto"/>
        <w:ind w:left="720"/>
        <w:jc w:val="right"/>
        <w:rPr>
          <w:rFonts w:ascii="Arial" w:hAnsi="Arial" w:cs="Arial"/>
          <w:color w:val="000000" w:themeColor="text1"/>
          <w:sz w:val="22"/>
          <w:szCs w:val="22"/>
        </w:rPr>
      </w:pPr>
    </w:p>
    <w:p w14:paraId="1BFB91AA" w14:textId="77777777" w:rsidR="00523D15" w:rsidRDefault="00523D15" w:rsidP="00F15D46">
      <w:pPr>
        <w:spacing w:line="360" w:lineRule="auto"/>
        <w:ind w:left="720"/>
        <w:jc w:val="right"/>
        <w:rPr>
          <w:rFonts w:ascii="Arial" w:hAnsi="Arial" w:cs="Arial"/>
          <w:color w:val="000000" w:themeColor="text1"/>
          <w:sz w:val="22"/>
          <w:szCs w:val="22"/>
        </w:rPr>
      </w:pPr>
    </w:p>
    <w:p w14:paraId="69ED350C" w14:textId="174DBA95" w:rsidR="00F4749E" w:rsidRPr="00F15D46" w:rsidRDefault="00F4749E" w:rsidP="00F15D46">
      <w:pPr>
        <w:spacing w:line="360" w:lineRule="auto"/>
        <w:ind w:left="720"/>
        <w:jc w:val="right"/>
        <w:rPr>
          <w:rFonts w:ascii="Arial" w:hAnsi="Arial" w:cs="Arial"/>
          <w:color w:val="000000" w:themeColor="text1"/>
          <w:sz w:val="22"/>
          <w:szCs w:val="22"/>
        </w:rPr>
      </w:pPr>
      <w:r w:rsidRPr="00F15D46">
        <w:rPr>
          <w:rFonts w:ascii="Arial" w:hAnsi="Arial" w:cs="Arial"/>
          <w:color w:val="000000" w:themeColor="text1"/>
          <w:sz w:val="22"/>
          <w:szCs w:val="22"/>
        </w:rPr>
        <w:t>Name: Mihaela Valkova</w:t>
      </w:r>
    </w:p>
    <w:p w14:paraId="4C18F0DD" w14:textId="77777777" w:rsidR="00F4749E" w:rsidRPr="00F15D46" w:rsidRDefault="00F4749E" w:rsidP="00F15D46">
      <w:pPr>
        <w:spacing w:line="360" w:lineRule="auto"/>
        <w:ind w:left="720"/>
        <w:jc w:val="right"/>
        <w:rPr>
          <w:rFonts w:ascii="Arial" w:hAnsi="Arial" w:cs="Arial"/>
          <w:color w:val="000000" w:themeColor="text1"/>
          <w:sz w:val="22"/>
          <w:szCs w:val="22"/>
        </w:rPr>
      </w:pPr>
      <w:r w:rsidRPr="00F15D46">
        <w:rPr>
          <w:rFonts w:ascii="Arial" w:hAnsi="Arial" w:cs="Arial"/>
          <w:color w:val="000000" w:themeColor="text1"/>
          <w:sz w:val="22"/>
          <w:szCs w:val="22"/>
        </w:rPr>
        <w:t>Student Number: 2243479</w:t>
      </w:r>
    </w:p>
    <w:p w14:paraId="73DD3083" w14:textId="77777777" w:rsidR="00F4749E" w:rsidRPr="00F15D46" w:rsidRDefault="00F4749E" w:rsidP="00F15D46">
      <w:pPr>
        <w:spacing w:line="360" w:lineRule="auto"/>
        <w:ind w:left="720"/>
        <w:jc w:val="right"/>
        <w:rPr>
          <w:rFonts w:ascii="Arial" w:hAnsi="Arial" w:cs="Arial"/>
          <w:color w:val="000000" w:themeColor="text1"/>
          <w:sz w:val="22"/>
          <w:szCs w:val="22"/>
        </w:rPr>
      </w:pPr>
      <w:r w:rsidRPr="00F15D46">
        <w:rPr>
          <w:rFonts w:ascii="Arial" w:hAnsi="Arial" w:cs="Arial"/>
          <w:color w:val="000000" w:themeColor="text1"/>
          <w:sz w:val="22"/>
          <w:szCs w:val="22"/>
        </w:rPr>
        <w:t>Module Code: LCHS4010</w:t>
      </w:r>
    </w:p>
    <w:p w14:paraId="079B16D1" w14:textId="77777777" w:rsidR="00F4749E" w:rsidRPr="00F15D46" w:rsidRDefault="00F4749E" w:rsidP="00F15D46">
      <w:pPr>
        <w:spacing w:line="360" w:lineRule="auto"/>
        <w:ind w:left="720"/>
        <w:jc w:val="right"/>
        <w:rPr>
          <w:rFonts w:ascii="Arial" w:hAnsi="Arial" w:cs="Arial"/>
          <w:color w:val="000000" w:themeColor="text1"/>
          <w:sz w:val="22"/>
          <w:szCs w:val="22"/>
        </w:rPr>
      </w:pPr>
      <w:r w:rsidRPr="00F15D46">
        <w:rPr>
          <w:rFonts w:ascii="Arial" w:hAnsi="Arial" w:cs="Arial"/>
          <w:color w:val="000000" w:themeColor="text1"/>
          <w:sz w:val="22"/>
          <w:szCs w:val="22"/>
        </w:rPr>
        <w:t>Module Title: Psychology in Health and Social Care</w:t>
      </w:r>
    </w:p>
    <w:p w14:paraId="63C701C0" w14:textId="77777777" w:rsidR="00F4749E" w:rsidRPr="00F15D46" w:rsidRDefault="00F4749E" w:rsidP="00F15D46">
      <w:pPr>
        <w:spacing w:line="360" w:lineRule="auto"/>
        <w:ind w:left="720"/>
        <w:jc w:val="right"/>
        <w:rPr>
          <w:rFonts w:ascii="Arial" w:hAnsi="Arial" w:cs="Arial"/>
          <w:color w:val="000000" w:themeColor="text1"/>
          <w:sz w:val="22"/>
          <w:szCs w:val="22"/>
        </w:rPr>
      </w:pPr>
      <w:r w:rsidRPr="00F15D46">
        <w:rPr>
          <w:rFonts w:ascii="Arial" w:hAnsi="Arial" w:cs="Arial"/>
          <w:color w:val="000000" w:themeColor="text1"/>
          <w:sz w:val="22"/>
          <w:szCs w:val="22"/>
        </w:rPr>
        <w:t xml:space="preserve">Lecturer: Dr </w:t>
      </w:r>
      <w:proofErr w:type="spellStart"/>
      <w:r w:rsidRPr="00F15D46">
        <w:rPr>
          <w:rFonts w:ascii="Arial" w:hAnsi="Arial" w:cs="Arial"/>
          <w:color w:val="000000" w:themeColor="text1"/>
          <w:sz w:val="22"/>
          <w:szCs w:val="22"/>
        </w:rPr>
        <w:t>Rizwan</w:t>
      </w:r>
      <w:proofErr w:type="spellEnd"/>
      <w:r w:rsidRPr="00F15D46">
        <w:rPr>
          <w:rFonts w:ascii="Arial" w:hAnsi="Arial" w:cs="Arial"/>
          <w:color w:val="000000" w:themeColor="text1"/>
          <w:sz w:val="22"/>
          <w:szCs w:val="22"/>
        </w:rPr>
        <w:t xml:space="preserve"> </w:t>
      </w:r>
      <w:proofErr w:type="spellStart"/>
      <w:r w:rsidRPr="00F15D46">
        <w:rPr>
          <w:rFonts w:ascii="Arial" w:hAnsi="Arial" w:cs="Arial"/>
          <w:color w:val="000000" w:themeColor="text1"/>
          <w:sz w:val="22"/>
          <w:szCs w:val="22"/>
        </w:rPr>
        <w:t>Nadim</w:t>
      </w:r>
      <w:proofErr w:type="spellEnd"/>
    </w:p>
    <w:p w14:paraId="649B1AEF" w14:textId="77777777" w:rsidR="00F4749E" w:rsidRPr="00F15D46" w:rsidRDefault="00F4749E" w:rsidP="00F15D46">
      <w:pPr>
        <w:spacing w:line="360" w:lineRule="auto"/>
        <w:ind w:left="720"/>
        <w:jc w:val="right"/>
        <w:rPr>
          <w:rFonts w:ascii="Arial" w:hAnsi="Arial" w:cs="Arial"/>
          <w:color w:val="000000" w:themeColor="text1"/>
          <w:sz w:val="22"/>
          <w:szCs w:val="22"/>
        </w:rPr>
      </w:pPr>
      <w:r w:rsidRPr="00F15D46">
        <w:rPr>
          <w:rFonts w:ascii="Arial" w:hAnsi="Arial" w:cs="Arial"/>
          <w:color w:val="000000" w:themeColor="text1"/>
          <w:sz w:val="22"/>
          <w:szCs w:val="22"/>
        </w:rPr>
        <w:t>Assignment Title: Annotated Bibliography and Short Report</w:t>
      </w:r>
    </w:p>
    <w:p w14:paraId="065F2EEC" w14:textId="77777777" w:rsidR="00F4749E" w:rsidRPr="00F15D46" w:rsidRDefault="00F4749E" w:rsidP="00F15D46">
      <w:pPr>
        <w:spacing w:line="360" w:lineRule="auto"/>
        <w:ind w:left="720"/>
        <w:jc w:val="right"/>
        <w:rPr>
          <w:rFonts w:ascii="Arial" w:hAnsi="Arial" w:cs="Arial"/>
          <w:color w:val="000000" w:themeColor="text1"/>
          <w:sz w:val="22"/>
          <w:szCs w:val="22"/>
        </w:rPr>
      </w:pPr>
    </w:p>
    <w:p w14:paraId="1D0EE027" w14:textId="5DA07A9B" w:rsidR="00F4749E" w:rsidRDefault="00F4749E" w:rsidP="0026672F">
      <w:pPr>
        <w:spacing w:line="360" w:lineRule="auto"/>
        <w:rPr>
          <w:rFonts w:ascii="Arial" w:hAnsi="Arial" w:cs="Arial"/>
          <w:color w:val="000000" w:themeColor="text1"/>
          <w:sz w:val="22"/>
          <w:szCs w:val="22"/>
        </w:rPr>
      </w:pPr>
    </w:p>
    <w:p w14:paraId="1F194C39" w14:textId="77777777" w:rsidR="00D7672E" w:rsidRPr="00F15D46" w:rsidRDefault="00D7672E" w:rsidP="0026672F">
      <w:pPr>
        <w:spacing w:line="360" w:lineRule="auto"/>
        <w:rPr>
          <w:rFonts w:ascii="Arial" w:hAnsi="Arial" w:cs="Arial"/>
          <w:color w:val="000000" w:themeColor="text1"/>
          <w:sz w:val="22"/>
          <w:szCs w:val="22"/>
        </w:rPr>
      </w:pPr>
    </w:p>
    <w:p w14:paraId="06B5EA1D" w14:textId="77777777" w:rsidR="00D7672E" w:rsidRPr="00823F17" w:rsidRDefault="00D7672E">
      <w:pPr>
        <w:pStyle w:val="p1"/>
        <w:rPr>
          <w:rFonts w:ascii="Arial" w:hAnsi="Arial" w:cs="Arial"/>
          <w:b/>
          <w:bCs/>
          <w:sz w:val="22"/>
          <w:szCs w:val="22"/>
        </w:rPr>
      </w:pPr>
      <w:r w:rsidRPr="00823F17">
        <w:rPr>
          <w:rStyle w:val="s1"/>
          <w:rFonts w:ascii="Arial" w:hAnsi="Arial" w:cs="Arial"/>
          <w:b/>
          <w:bCs/>
          <w:sz w:val="22"/>
          <w:szCs w:val="22"/>
        </w:rPr>
        <w:t>Annotated Bibliography</w:t>
      </w:r>
    </w:p>
    <w:p w14:paraId="67C98E48" w14:textId="77777777" w:rsidR="00D7672E" w:rsidRDefault="00D7672E" w:rsidP="00823F17">
      <w:pPr>
        <w:spacing w:line="360" w:lineRule="auto"/>
        <w:jc w:val="both"/>
        <w:rPr>
          <w:rFonts w:ascii="Arial" w:hAnsi="Arial" w:cs="Arial"/>
          <w:color w:val="000000" w:themeColor="text1"/>
          <w:sz w:val="22"/>
          <w:szCs w:val="22"/>
        </w:rPr>
      </w:pPr>
    </w:p>
    <w:p w14:paraId="0AF5D778" w14:textId="77777777" w:rsidR="003E16B5" w:rsidRDefault="003E16B5" w:rsidP="00823F17">
      <w:pPr>
        <w:spacing w:line="360" w:lineRule="auto"/>
        <w:jc w:val="both"/>
        <w:rPr>
          <w:rFonts w:ascii="Arial" w:hAnsi="Arial" w:cs="Arial"/>
          <w:color w:val="000000" w:themeColor="text1"/>
          <w:sz w:val="22"/>
          <w:szCs w:val="22"/>
        </w:rPr>
      </w:pPr>
    </w:p>
    <w:p w14:paraId="2151FF6C" w14:textId="0865E907" w:rsidR="00F4749E" w:rsidRDefault="00F4749E" w:rsidP="00022AA0">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 xml:space="preserve"> </w:t>
      </w:r>
      <w:proofErr w:type="spellStart"/>
      <w:r w:rsidR="00EF7B6E">
        <w:rPr>
          <w:rFonts w:ascii="Arial" w:hAnsi="Arial" w:cs="Arial"/>
          <w:color w:val="000000" w:themeColor="text1"/>
          <w:sz w:val="22"/>
          <w:szCs w:val="22"/>
        </w:rPr>
        <w:t>1.</w:t>
      </w:r>
      <w:r w:rsidRPr="00F15D46">
        <w:rPr>
          <w:rFonts w:ascii="Arial" w:hAnsi="Arial" w:cs="Arial"/>
          <w:color w:val="000000" w:themeColor="text1"/>
          <w:sz w:val="22"/>
          <w:szCs w:val="22"/>
        </w:rPr>
        <w:t>Erikson’s</w:t>
      </w:r>
      <w:proofErr w:type="spellEnd"/>
      <w:r w:rsidRPr="00F15D46">
        <w:rPr>
          <w:rFonts w:ascii="Arial" w:hAnsi="Arial" w:cs="Arial"/>
          <w:color w:val="000000" w:themeColor="text1"/>
          <w:sz w:val="22"/>
          <w:szCs w:val="22"/>
        </w:rPr>
        <w:t xml:space="preserve"> Psychosocial Theory</w:t>
      </w:r>
    </w:p>
    <w:p w14:paraId="28E610A7" w14:textId="3C4B0EBB" w:rsidR="00F4749E" w:rsidRPr="00F15D46" w:rsidRDefault="00F4749E" w:rsidP="00022AA0">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Reference:</w:t>
      </w:r>
      <w:r w:rsidR="00563A6A">
        <w:rPr>
          <w:rFonts w:ascii="Arial" w:hAnsi="Arial" w:cs="Arial"/>
          <w:color w:val="000000" w:themeColor="text1"/>
          <w:sz w:val="22"/>
          <w:szCs w:val="22"/>
        </w:rPr>
        <w:t xml:space="preserve"> </w:t>
      </w:r>
      <w:proofErr w:type="spellStart"/>
      <w:r w:rsidRPr="00F15D46">
        <w:rPr>
          <w:rFonts w:ascii="Arial" w:hAnsi="Arial" w:cs="Arial"/>
          <w:color w:val="000000" w:themeColor="text1"/>
          <w:sz w:val="22"/>
          <w:szCs w:val="22"/>
        </w:rPr>
        <w:t>Erikson</w:t>
      </w:r>
      <w:proofErr w:type="spellEnd"/>
      <w:r w:rsidRPr="00F15D46">
        <w:rPr>
          <w:rFonts w:ascii="Arial" w:hAnsi="Arial" w:cs="Arial"/>
          <w:color w:val="000000" w:themeColor="text1"/>
          <w:sz w:val="22"/>
          <w:szCs w:val="22"/>
        </w:rPr>
        <w:t>, E.H. (1982) The life cycle completed. New York: W.W. Norton.</w:t>
      </w:r>
    </w:p>
    <w:p w14:paraId="793CCEF2" w14:textId="28774A6C" w:rsidR="00F4749E" w:rsidRDefault="00F4749E" w:rsidP="00022AA0">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Xu, L. et al. (2023) ‘Effects of reminiscence therapy on psychological outcomes in older adults’, Frontiers in Psychiatry, 14.</w:t>
      </w:r>
    </w:p>
    <w:p w14:paraId="1ECB394D" w14:textId="77777777" w:rsidR="00B83115" w:rsidRPr="00F15D46" w:rsidRDefault="00B83115" w:rsidP="00022AA0">
      <w:pPr>
        <w:spacing w:line="360" w:lineRule="auto"/>
        <w:jc w:val="both"/>
        <w:rPr>
          <w:rFonts w:ascii="Arial" w:hAnsi="Arial" w:cs="Arial"/>
          <w:color w:val="000000" w:themeColor="text1"/>
          <w:sz w:val="22"/>
          <w:szCs w:val="22"/>
        </w:rPr>
      </w:pPr>
    </w:p>
    <w:p w14:paraId="346C2308" w14:textId="6200C42B" w:rsidR="00F4749E" w:rsidRPr="00F15D46" w:rsidRDefault="00F4749E" w:rsidP="00022AA0">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Summary:</w:t>
      </w:r>
      <w:r w:rsidR="00B44404">
        <w:rPr>
          <w:rFonts w:ascii="Arial" w:hAnsi="Arial" w:cs="Arial"/>
          <w:color w:val="000000" w:themeColor="text1"/>
          <w:sz w:val="22"/>
          <w:szCs w:val="22"/>
        </w:rPr>
        <w:t xml:space="preserve"> </w:t>
      </w:r>
      <w:proofErr w:type="spellStart"/>
      <w:r w:rsidRPr="00F15D46">
        <w:rPr>
          <w:rFonts w:ascii="Arial" w:hAnsi="Arial" w:cs="Arial"/>
          <w:color w:val="000000" w:themeColor="text1"/>
          <w:sz w:val="22"/>
          <w:szCs w:val="22"/>
        </w:rPr>
        <w:t>Erikson’s</w:t>
      </w:r>
      <w:proofErr w:type="spellEnd"/>
      <w:r w:rsidRPr="00F15D46">
        <w:rPr>
          <w:rFonts w:ascii="Arial" w:hAnsi="Arial" w:cs="Arial"/>
          <w:color w:val="000000" w:themeColor="text1"/>
          <w:sz w:val="22"/>
          <w:szCs w:val="22"/>
        </w:rPr>
        <w:t xml:space="preserve"> psychosocial theory conceptualises human development as a lifelong process consisting of eight stages, each characterised by a psychosocial crisis (</w:t>
      </w:r>
      <w:proofErr w:type="spellStart"/>
      <w:r w:rsidRPr="00F15D46">
        <w:rPr>
          <w:rFonts w:ascii="Arial" w:hAnsi="Arial" w:cs="Arial"/>
          <w:color w:val="000000" w:themeColor="text1"/>
          <w:sz w:val="22"/>
          <w:szCs w:val="22"/>
        </w:rPr>
        <w:t>Erikson</w:t>
      </w:r>
      <w:proofErr w:type="spellEnd"/>
      <w:r w:rsidRPr="00F15D46">
        <w:rPr>
          <w:rFonts w:ascii="Arial" w:hAnsi="Arial" w:cs="Arial"/>
          <w:color w:val="000000" w:themeColor="text1"/>
          <w:sz w:val="22"/>
          <w:szCs w:val="22"/>
        </w:rPr>
        <w:t xml:space="preserve">, 1982). In older adulthood, the key stage is ego integrity versus despair, where individuals reflect on their life experiences to achieve a sense of meaning, coherence, and acceptance. Successful resolution results in feelings of fulfilment and psychological stability, while failure may lead to regret, dissatisfaction, and emotional distress. </w:t>
      </w:r>
    </w:p>
    <w:p w14:paraId="44D15CD4" w14:textId="41EEC08A" w:rsidR="00F4749E" w:rsidRDefault="00F4749E" w:rsidP="00022AA0">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 xml:space="preserve">Recent research supports the relevance of this theory, demonstrating that reminiscence-based interventions significantly improve life satisfaction and reduce depressive symptoms among older adults (Xu et al., 2023). </w:t>
      </w:r>
    </w:p>
    <w:p w14:paraId="02351FEB" w14:textId="77777777" w:rsidR="00B83115" w:rsidRPr="00F15D46" w:rsidRDefault="00B83115" w:rsidP="00022AA0">
      <w:pPr>
        <w:spacing w:line="360" w:lineRule="auto"/>
        <w:jc w:val="both"/>
        <w:rPr>
          <w:rFonts w:ascii="Arial" w:hAnsi="Arial" w:cs="Arial"/>
          <w:color w:val="000000" w:themeColor="text1"/>
          <w:sz w:val="22"/>
          <w:szCs w:val="22"/>
        </w:rPr>
      </w:pPr>
    </w:p>
    <w:p w14:paraId="5846982B" w14:textId="0DACD260" w:rsidR="00F4749E" w:rsidRPr="00F15D46" w:rsidRDefault="00F4749E" w:rsidP="00022AA0">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Critical comment:</w:t>
      </w:r>
    </w:p>
    <w:p w14:paraId="70A0EC1A" w14:textId="68EFE53C" w:rsidR="00B83115" w:rsidRDefault="00F4749E" w:rsidP="00022AA0">
      <w:pPr>
        <w:spacing w:line="360" w:lineRule="auto"/>
        <w:jc w:val="both"/>
        <w:rPr>
          <w:rFonts w:ascii="Arial" w:hAnsi="Arial" w:cs="Arial"/>
          <w:color w:val="000000" w:themeColor="text1"/>
          <w:sz w:val="22"/>
          <w:szCs w:val="22"/>
        </w:rPr>
      </w:pPr>
      <w:proofErr w:type="spellStart"/>
      <w:r w:rsidRPr="00F15D46">
        <w:rPr>
          <w:rFonts w:ascii="Arial" w:hAnsi="Arial" w:cs="Arial"/>
          <w:color w:val="000000" w:themeColor="text1"/>
          <w:sz w:val="22"/>
          <w:szCs w:val="22"/>
        </w:rPr>
        <w:t>Erikson’s</w:t>
      </w:r>
      <w:proofErr w:type="spellEnd"/>
      <w:r w:rsidRPr="00F15D46">
        <w:rPr>
          <w:rFonts w:ascii="Arial" w:hAnsi="Arial" w:cs="Arial"/>
          <w:color w:val="000000" w:themeColor="text1"/>
          <w:sz w:val="22"/>
          <w:szCs w:val="22"/>
        </w:rPr>
        <w:t xml:space="preserve"> theory remains highly valuable in health and social care as it provides a clear and practical framework for understanding emotional needs in later life. Interventions such as reminiscence therapy directly align with promoting ego integrity by encouraging individuals to reflect on meaningful life experiences. The inclusion of recent empirical evidence strengthens the theory’s applicability in contemporary care setting</w:t>
      </w:r>
      <w:r w:rsidR="00B44404">
        <w:rPr>
          <w:rFonts w:ascii="Arial" w:hAnsi="Arial" w:cs="Arial"/>
          <w:color w:val="000000" w:themeColor="text1"/>
          <w:sz w:val="22"/>
          <w:szCs w:val="22"/>
        </w:rPr>
        <w:t>s.</w:t>
      </w:r>
    </w:p>
    <w:p w14:paraId="3F193A4D" w14:textId="77777777" w:rsidR="00B83115" w:rsidRDefault="00B83115" w:rsidP="00022AA0">
      <w:pPr>
        <w:spacing w:line="360" w:lineRule="auto"/>
        <w:jc w:val="both"/>
        <w:rPr>
          <w:rFonts w:ascii="Arial" w:hAnsi="Arial" w:cs="Arial"/>
          <w:color w:val="000000" w:themeColor="text1"/>
          <w:sz w:val="22"/>
          <w:szCs w:val="22"/>
        </w:rPr>
      </w:pPr>
    </w:p>
    <w:p w14:paraId="63C709CF" w14:textId="31F2EB57" w:rsidR="00F4749E" w:rsidRDefault="00F4749E" w:rsidP="00022AA0">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2. Activity Theory (</w:t>
      </w:r>
      <w:proofErr w:type="spellStart"/>
      <w:r w:rsidRPr="00F15D46">
        <w:rPr>
          <w:rFonts w:ascii="Arial" w:hAnsi="Arial" w:cs="Arial"/>
          <w:color w:val="000000" w:themeColor="text1"/>
          <w:sz w:val="22"/>
          <w:szCs w:val="22"/>
        </w:rPr>
        <w:t>Havighurst</w:t>
      </w:r>
      <w:proofErr w:type="spellEnd"/>
      <w:r w:rsidRPr="00F15D46">
        <w:rPr>
          <w:rFonts w:ascii="Arial" w:hAnsi="Arial" w:cs="Arial"/>
          <w:color w:val="000000" w:themeColor="text1"/>
          <w:sz w:val="22"/>
          <w:szCs w:val="22"/>
        </w:rPr>
        <w:t xml:space="preserve"> with modern support)</w:t>
      </w:r>
    </w:p>
    <w:p w14:paraId="0840A274" w14:textId="782288F9" w:rsidR="003E16B5" w:rsidRPr="00F15D46" w:rsidRDefault="00F4749E" w:rsidP="00022AA0">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Reference:</w:t>
      </w:r>
      <w:r w:rsidR="00563A6A">
        <w:rPr>
          <w:rFonts w:ascii="Arial" w:hAnsi="Arial" w:cs="Arial"/>
          <w:color w:val="000000" w:themeColor="text1"/>
          <w:sz w:val="22"/>
          <w:szCs w:val="22"/>
        </w:rPr>
        <w:t xml:space="preserve"> </w:t>
      </w:r>
      <w:proofErr w:type="spellStart"/>
      <w:r w:rsidRPr="00F15D46">
        <w:rPr>
          <w:rFonts w:ascii="Arial" w:hAnsi="Arial" w:cs="Arial"/>
          <w:color w:val="000000" w:themeColor="text1"/>
          <w:sz w:val="22"/>
          <w:szCs w:val="22"/>
        </w:rPr>
        <w:t>Havighurst</w:t>
      </w:r>
      <w:proofErr w:type="spellEnd"/>
      <w:r w:rsidRPr="00F15D46">
        <w:rPr>
          <w:rFonts w:ascii="Arial" w:hAnsi="Arial" w:cs="Arial"/>
          <w:color w:val="000000" w:themeColor="text1"/>
          <w:sz w:val="22"/>
          <w:szCs w:val="22"/>
        </w:rPr>
        <w:t>, R.J. (1961) ‘Successful aging’, The Gerontologist, 1(1), pp. 8–13.</w:t>
      </w:r>
    </w:p>
    <w:p w14:paraId="5F697B2E" w14:textId="3B1CAD3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Summary:</w:t>
      </w:r>
      <w:r w:rsidR="00563A6A">
        <w:rPr>
          <w:rFonts w:ascii="Arial" w:hAnsi="Arial" w:cs="Arial"/>
          <w:color w:val="000000" w:themeColor="text1"/>
          <w:sz w:val="22"/>
          <w:szCs w:val="22"/>
        </w:rPr>
        <w:t xml:space="preserve"> </w:t>
      </w:r>
      <w:r w:rsidRPr="00F15D46">
        <w:rPr>
          <w:rFonts w:ascii="Arial" w:hAnsi="Arial" w:cs="Arial"/>
          <w:color w:val="000000" w:themeColor="text1"/>
          <w:sz w:val="22"/>
          <w:szCs w:val="22"/>
        </w:rPr>
        <w:t>Activity theory proposes that successful ageing is achieved through continued engagement in social, physical, and cognitive activities (</w:t>
      </w:r>
      <w:proofErr w:type="spellStart"/>
      <w:r w:rsidRPr="00F15D46">
        <w:rPr>
          <w:rFonts w:ascii="Arial" w:hAnsi="Arial" w:cs="Arial"/>
          <w:color w:val="000000" w:themeColor="text1"/>
          <w:sz w:val="22"/>
          <w:szCs w:val="22"/>
        </w:rPr>
        <w:t>Havighurst</w:t>
      </w:r>
      <w:proofErr w:type="spellEnd"/>
      <w:r w:rsidRPr="00F15D46">
        <w:rPr>
          <w:rFonts w:ascii="Arial" w:hAnsi="Arial" w:cs="Arial"/>
          <w:color w:val="000000" w:themeColor="text1"/>
          <w:sz w:val="22"/>
          <w:szCs w:val="22"/>
        </w:rPr>
        <w:t>, 1961).</w:t>
      </w:r>
      <w:r w:rsidR="00830812">
        <w:rPr>
          <w:rFonts w:ascii="Arial" w:hAnsi="Arial" w:cs="Arial"/>
          <w:color w:val="000000" w:themeColor="text1"/>
          <w:sz w:val="22"/>
          <w:szCs w:val="22"/>
        </w:rPr>
        <w:t xml:space="preserve">It </w:t>
      </w:r>
      <w:r w:rsidRPr="00F15D46">
        <w:rPr>
          <w:rFonts w:ascii="Arial" w:hAnsi="Arial" w:cs="Arial"/>
          <w:color w:val="000000" w:themeColor="text1"/>
          <w:sz w:val="22"/>
          <w:szCs w:val="22"/>
        </w:rPr>
        <w:t xml:space="preserve">challenges earlier </w:t>
      </w:r>
      <w:r w:rsidRPr="00F15D46">
        <w:rPr>
          <w:rFonts w:ascii="Arial" w:hAnsi="Arial" w:cs="Arial"/>
          <w:color w:val="000000" w:themeColor="text1"/>
          <w:sz w:val="22"/>
          <w:szCs w:val="22"/>
        </w:rPr>
        <w:lastRenderedPageBreak/>
        <w:t>perspectives that viewed ageing as a process of withdrawal, instead emphasising the importance of staying active and socially connected.</w:t>
      </w:r>
    </w:p>
    <w:p w14:paraId="6CA76F7F" w14:textId="57C6A950"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Engagement in activities such as social groups, exercise programmes, and hobbies can support both mental and physical health, as well as reduce feelings of isolation and loneliness.</w:t>
      </w:r>
    </w:p>
    <w:p w14:paraId="6E6D4888"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71846ABC" w14:textId="7777777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Critical comment:</w:t>
      </w:r>
    </w:p>
    <w:p w14:paraId="745201F1" w14:textId="457F4C5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Activity theory is highly relevant in residential care settings, where opportunities for engagement can significantly influence residents’ quality of life. It supports the implementation of activity-based interventions that encourage social interaction and independence.</w:t>
      </w:r>
    </w:p>
    <w:p w14:paraId="09216900" w14:textId="16CF704F"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 xml:space="preserve">However, the theory has notable limitations. It assumes that all individuals </w:t>
      </w:r>
      <w:r w:rsidR="00DD1C9E" w:rsidRPr="00F15D46">
        <w:rPr>
          <w:rFonts w:ascii="Arial" w:hAnsi="Arial" w:cs="Arial"/>
          <w:color w:val="000000" w:themeColor="text1"/>
          <w:sz w:val="22"/>
          <w:szCs w:val="22"/>
        </w:rPr>
        <w:t>can remain</w:t>
      </w:r>
      <w:r w:rsidRPr="00F15D46">
        <w:rPr>
          <w:rFonts w:ascii="Arial" w:hAnsi="Arial" w:cs="Arial"/>
          <w:color w:val="000000" w:themeColor="text1"/>
          <w:sz w:val="22"/>
          <w:szCs w:val="22"/>
        </w:rPr>
        <w:t xml:space="preserve"> active, which may not be realistic for those with physical frailty, chronic illness, or cognitive impairment. In practice, some residents may be unable or unwilling to </w:t>
      </w:r>
      <w:r w:rsidR="00DD1C9E" w:rsidRPr="00F15D46">
        <w:rPr>
          <w:rFonts w:ascii="Arial" w:hAnsi="Arial" w:cs="Arial"/>
          <w:color w:val="000000" w:themeColor="text1"/>
          <w:sz w:val="22"/>
          <w:szCs w:val="22"/>
        </w:rPr>
        <w:t>take part</w:t>
      </w:r>
      <w:r w:rsidRPr="00F15D46">
        <w:rPr>
          <w:rFonts w:ascii="Arial" w:hAnsi="Arial" w:cs="Arial"/>
          <w:color w:val="000000" w:themeColor="text1"/>
          <w:sz w:val="22"/>
          <w:szCs w:val="22"/>
        </w:rPr>
        <w:t xml:space="preserve"> in structured activities. A flexible and personalised approach is essential to ensure inclusivity and effectiveness in care settings</w:t>
      </w:r>
      <w:r w:rsidR="0017060C" w:rsidRPr="00F15D46">
        <w:rPr>
          <w:rFonts w:ascii="Arial" w:hAnsi="Arial" w:cs="Arial"/>
          <w:color w:val="000000" w:themeColor="text1"/>
          <w:sz w:val="22"/>
          <w:szCs w:val="22"/>
        </w:rPr>
        <w:t>.</w:t>
      </w:r>
    </w:p>
    <w:p w14:paraId="6CAF13CC" w14:textId="4FF25C01" w:rsidR="00C05F5B" w:rsidRPr="00F15D46" w:rsidRDefault="00C05F5B" w:rsidP="00022AA0">
      <w:pPr>
        <w:spacing w:line="360" w:lineRule="auto"/>
        <w:jc w:val="both"/>
        <w:rPr>
          <w:rFonts w:ascii="Arial" w:hAnsi="Arial" w:cs="Arial"/>
          <w:color w:val="000000" w:themeColor="text1"/>
          <w:sz w:val="22"/>
          <w:szCs w:val="22"/>
        </w:rPr>
      </w:pPr>
    </w:p>
    <w:p w14:paraId="57282950" w14:textId="540E3EA5"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 xml:space="preserve">3. </w:t>
      </w:r>
      <w:proofErr w:type="spellStart"/>
      <w:r w:rsidRPr="00F15D46">
        <w:rPr>
          <w:rFonts w:ascii="Arial" w:hAnsi="Arial" w:cs="Arial"/>
          <w:color w:val="000000" w:themeColor="text1"/>
          <w:sz w:val="22"/>
          <w:szCs w:val="22"/>
        </w:rPr>
        <w:t>Bowlby’s</w:t>
      </w:r>
      <w:proofErr w:type="spellEnd"/>
      <w:r w:rsidRPr="00F15D46">
        <w:rPr>
          <w:rFonts w:ascii="Arial" w:hAnsi="Arial" w:cs="Arial"/>
          <w:color w:val="000000" w:themeColor="text1"/>
          <w:sz w:val="22"/>
          <w:szCs w:val="22"/>
        </w:rPr>
        <w:t xml:space="preserve"> Attachment Theory</w:t>
      </w:r>
    </w:p>
    <w:p w14:paraId="3DDA07AA" w14:textId="630CA372"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Reference:</w:t>
      </w:r>
      <w:r w:rsidR="005469B1">
        <w:rPr>
          <w:rFonts w:ascii="Arial" w:hAnsi="Arial" w:cs="Arial"/>
          <w:color w:val="000000" w:themeColor="text1"/>
          <w:sz w:val="22"/>
          <w:szCs w:val="22"/>
        </w:rPr>
        <w:t xml:space="preserve"> </w:t>
      </w:r>
      <w:proofErr w:type="spellStart"/>
      <w:r w:rsidRPr="00F15D46">
        <w:rPr>
          <w:rFonts w:ascii="Arial" w:hAnsi="Arial" w:cs="Arial"/>
          <w:color w:val="000000" w:themeColor="text1"/>
          <w:sz w:val="22"/>
          <w:szCs w:val="22"/>
        </w:rPr>
        <w:t>Bowlby</w:t>
      </w:r>
      <w:proofErr w:type="spellEnd"/>
      <w:r w:rsidRPr="00F15D46">
        <w:rPr>
          <w:rFonts w:ascii="Arial" w:hAnsi="Arial" w:cs="Arial"/>
          <w:color w:val="000000" w:themeColor="text1"/>
          <w:sz w:val="22"/>
          <w:szCs w:val="22"/>
        </w:rPr>
        <w:t xml:space="preserve">, J. (1988) A secure base: Parent-child attachment and healthy human development. London: </w:t>
      </w:r>
      <w:proofErr w:type="spellStart"/>
      <w:r w:rsidRPr="00F15D46">
        <w:rPr>
          <w:rFonts w:ascii="Arial" w:hAnsi="Arial" w:cs="Arial"/>
          <w:color w:val="000000" w:themeColor="text1"/>
          <w:sz w:val="22"/>
          <w:szCs w:val="22"/>
        </w:rPr>
        <w:t>Routledge</w:t>
      </w:r>
      <w:proofErr w:type="spellEnd"/>
      <w:r w:rsidRPr="00F15D46">
        <w:rPr>
          <w:rFonts w:ascii="Arial" w:hAnsi="Arial" w:cs="Arial"/>
          <w:color w:val="000000" w:themeColor="text1"/>
          <w:sz w:val="22"/>
          <w:szCs w:val="22"/>
        </w:rPr>
        <w:t>.</w:t>
      </w:r>
    </w:p>
    <w:p w14:paraId="6D0730B1" w14:textId="2EB4F0BD"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Summary:</w:t>
      </w:r>
      <w:r w:rsidR="00B44404">
        <w:rPr>
          <w:rFonts w:ascii="Arial" w:hAnsi="Arial" w:cs="Arial"/>
          <w:color w:val="000000" w:themeColor="text1"/>
          <w:sz w:val="22"/>
          <w:szCs w:val="22"/>
        </w:rPr>
        <w:t xml:space="preserve"> </w:t>
      </w:r>
      <w:r w:rsidRPr="00F15D46">
        <w:rPr>
          <w:rFonts w:ascii="Arial" w:hAnsi="Arial" w:cs="Arial"/>
          <w:color w:val="000000" w:themeColor="text1"/>
          <w:sz w:val="22"/>
          <w:szCs w:val="22"/>
        </w:rPr>
        <w:t>Attachment theory emphasises the importance of secure emotional relationships in promoting psychological stability and resilience across the lifespan (</w:t>
      </w:r>
      <w:proofErr w:type="spellStart"/>
      <w:r w:rsidRPr="00F15D46">
        <w:rPr>
          <w:rFonts w:ascii="Arial" w:hAnsi="Arial" w:cs="Arial"/>
          <w:color w:val="000000" w:themeColor="text1"/>
          <w:sz w:val="22"/>
          <w:szCs w:val="22"/>
        </w:rPr>
        <w:t>Bowlby</w:t>
      </w:r>
      <w:proofErr w:type="spellEnd"/>
      <w:r w:rsidRPr="00F15D46">
        <w:rPr>
          <w:rFonts w:ascii="Arial" w:hAnsi="Arial" w:cs="Arial"/>
          <w:color w:val="000000" w:themeColor="text1"/>
          <w:sz w:val="22"/>
          <w:szCs w:val="22"/>
        </w:rPr>
        <w:t xml:space="preserve">, 1988). According to </w:t>
      </w:r>
      <w:proofErr w:type="spellStart"/>
      <w:r w:rsidRPr="00F15D46">
        <w:rPr>
          <w:rFonts w:ascii="Arial" w:hAnsi="Arial" w:cs="Arial"/>
          <w:color w:val="000000" w:themeColor="text1"/>
          <w:sz w:val="22"/>
          <w:szCs w:val="22"/>
        </w:rPr>
        <w:t>Bowlby</w:t>
      </w:r>
      <w:proofErr w:type="spellEnd"/>
      <w:r w:rsidRPr="00F15D46">
        <w:rPr>
          <w:rFonts w:ascii="Arial" w:hAnsi="Arial" w:cs="Arial"/>
          <w:color w:val="000000" w:themeColor="text1"/>
          <w:sz w:val="22"/>
          <w:szCs w:val="22"/>
        </w:rPr>
        <w:t>, early attachment experiences shape individuals’ ability to form relationships and cope with stress. In later life, attachment behaviours may re-emerge in response to vulnerability, particularly during periods of illness, loss, or transition into residential care.</w:t>
      </w:r>
    </w:p>
    <w:p w14:paraId="47E3F8FA"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0FD36045" w14:textId="7777777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For older adults, the need for emotional security and supportive relationships remains significant. The quality of interactions with caregivers and staff can influence feelings of safety, trust, and overall wellbeing. This highlights the ongoing relevance of attachment processes throughout adulthood and into old age.</w:t>
      </w:r>
    </w:p>
    <w:p w14:paraId="3B20FB8D"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2410AFF1" w14:textId="416673A5"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Critical comment:</w:t>
      </w:r>
      <w:r w:rsidR="009F54FB">
        <w:rPr>
          <w:rFonts w:ascii="Arial" w:hAnsi="Arial" w:cs="Arial"/>
          <w:color w:val="000000" w:themeColor="text1"/>
          <w:sz w:val="22"/>
          <w:szCs w:val="22"/>
        </w:rPr>
        <w:t xml:space="preserve"> </w:t>
      </w:r>
      <w:r w:rsidRPr="00F15D46">
        <w:rPr>
          <w:rFonts w:ascii="Arial" w:hAnsi="Arial" w:cs="Arial"/>
          <w:color w:val="000000" w:themeColor="text1"/>
          <w:sz w:val="22"/>
          <w:szCs w:val="22"/>
        </w:rPr>
        <w:t xml:space="preserve">Attachment theory is highly applicable in health and social care, particularly in residential settings where older adults may rely heavily on caregivers for both physical and </w:t>
      </w:r>
      <w:r w:rsidRPr="00F15D46">
        <w:rPr>
          <w:rFonts w:ascii="Arial" w:hAnsi="Arial" w:cs="Arial"/>
          <w:color w:val="000000" w:themeColor="text1"/>
          <w:sz w:val="22"/>
          <w:szCs w:val="22"/>
        </w:rPr>
        <w:lastRenderedPageBreak/>
        <w:t>emotional support. Developing consistent, trusting relationships between staff and residents can enhance emotional wellbeing and reduce anxiety. This is especially important for individuals experiencing loneliness or adjustment difficulties.</w:t>
      </w:r>
    </w:p>
    <w:p w14:paraId="723842E1" w14:textId="315BCC6E" w:rsidR="00F4749E"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Additionally, it does not adequately address broader structural factors, such as staffing levels, care quality, and organisational pressures, which can significantly influence relationship-building in care settings. Therefore, while valuable, the theory should be considered alongside other approaches</w:t>
      </w:r>
      <w:r w:rsidR="00E0143D">
        <w:rPr>
          <w:rFonts w:ascii="Arial" w:hAnsi="Arial" w:cs="Arial"/>
          <w:color w:val="000000" w:themeColor="text1"/>
          <w:sz w:val="22"/>
          <w:szCs w:val="22"/>
        </w:rPr>
        <w:t>.</w:t>
      </w:r>
    </w:p>
    <w:p w14:paraId="1BF4C56E" w14:textId="77777777" w:rsidR="00DC6C57" w:rsidRPr="00F15D46" w:rsidRDefault="00DC6C57" w:rsidP="00022AA0">
      <w:pPr>
        <w:spacing w:line="360" w:lineRule="auto"/>
        <w:ind w:left="720"/>
        <w:jc w:val="both"/>
        <w:rPr>
          <w:rFonts w:ascii="Arial" w:hAnsi="Arial" w:cs="Arial"/>
          <w:color w:val="000000" w:themeColor="text1"/>
          <w:sz w:val="22"/>
          <w:szCs w:val="22"/>
        </w:rPr>
      </w:pPr>
    </w:p>
    <w:p w14:paraId="44ABCC0C" w14:textId="77777777" w:rsidR="00E0143D"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4. Positive Psychology</w:t>
      </w:r>
    </w:p>
    <w:p w14:paraId="50E335F0" w14:textId="77777777" w:rsidR="00B44404" w:rsidRDefault="00B44404" w:rsidP="00FF0FCC">
      <w:pPr>
        <w:spacing w:line="360" w:lineRule="auto"/>
        <w:jc w:val="both"/>
        <w:rPr>
          <w:rFonts w:ascii="Arial" w:hAnsi="Arial" w:cs="Arial"/>
          <w:color w:val="000000" w:themeColor="text1"/>
          <w:sz w:val="22"/>
          <w:szCs w:val="22"/>
        </w:rPr>
      </w:pPr>
    </w:p>
    <w:p w14:paraId="53959269" w14:textId="5B116064"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Reference:</w:t>
      </w:r>
    </w:p>
    <w:p w14:paraId="2EACEF8E" w14:textId="77777777" w:rsidR="00F4749E" w:rsidRPr="00F15D46" w:rsidRDefault="00F4749E" w:rsidP="00FF0FCC">
      <w:pPr>
        <w:spacing w:line="360" w:lineRule="auto"/>
        <w:jc w:val="both"/>
        <w:rPr>
          <w:rFonts w:ascii="Arial" w:hAnsi="Arial" w:cs="Arial"/>
          <w:color w:val="000000" w:themeColor="text1"/>
          <w:sz w:val="22"/>
          <w:szCs w:val="22"/>
        </w:rPr>
      </w:pPr>
      <w:proofErr w:type="spellStart"/>
      <w:r w:rsidRPr="00F15D46">
        <w:rPr>
          <w:rFonts w:ascii="Arial" w:hAnsi="Arial" w:cs="Arial"/>
          <w:color w:val="000000" w:themeColor="text1"/>
          <w:sz w:val="22"/>
          <w:szCs w:val="22"/>
        </w:rPr>
        <w:t>Seligman</w:t>
      </w:r>
      <w:proofErr w:type="spellEnd"/>
      <w:r w:rsidRPr="00F15D46">
        <w:rPr>
          <w:rFonts w:ascii="Arial" w:hAnsi="Arial" w:cs="Arial"/>
          <w:color w:val="000000" w:themeColor="text1"/>
          <w:sz w:val="22"/>
          <w:szCs w:val="22"/>
        </w:rPr>
        <w:t xml:space="preserve">, M.E.P. and </w:t>
      </w:r>
      <w:proofErr w:type="spellStart"/>
      <w:r w:rsidRPr="00F15D46">
        <w:rPr>
          <w:rFonts w:ascii="Arial" w:hAnsi="Arial" w:cs="Arial"/>
          <w:color w:val="000000" w:themeColor="text1"/>
          <w:sz w:val="22"/>
          <w:szCs w:val="22"/>
        </w:rPr>
        <w:t>Csikszentmihalyi</w:t>
      </w:r>
      <w:proofErr w:type="spellEnd"/>
      <w:r w:rsidRPr="00F15D46">
        <w:rPr>
          <w:rFonts w:ascii="Arial" w:hAnsi="Arial" w:cs="Arial"/>
          <w:color w:val="000000" w:themeColor="text1"/>
          <w:sz w:val="22"/>
          <w:szCs w:val="22"/>
        </w:rPr>
        <w:t>, M. (2000) ‘Positive psychology: An introduction’, American Psychologist, 55(1), pp. 5–14.</w:t>
      </w:r>
    </w:p>
    <w:p w14:paraId="3B6EEC69" w14:textId="7777777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Zhong, Q. et al. (2023) ‘Effectiveness of life review interventions on wellbeing’, Behavioural Sciences, 13(10).</w:t>
      </w:r>
    </w:p>
    <w:p w14:paraId="0127B235" w14:textId="5175510F"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Summary:</w:t>
      </w:r>
      <w:r w:rsidR="00B44404">
        <w:rPr>
          <w:rFonts w:ascii="Arial" w:hAnsi="Arial" w:cs="Arial"/>
          <w:color w:val="000000" w:themeColor="text1"/>
          <w:sz w:val="22"/>
          <w:szCs w:val="22"/>
        </w:rPr>
        <w:t xml:space="preserve"> </w:t>
      </w:r>
      <w:r w:rsidRPr="00F15D46">
        <w:rPr>
          <w:rFonts w:ascii="Arial" w:hAnsi="Arial" w:cs="Arial"/>
          <w:color w:val="000000" w:themeColor="text1"/>
          <w:sz w:val="22"/>
          <w:szCs w:val="22"/>
        </w:rPr>
        <w:t>Positive psychology focuses on enhancing wellbeing by promoting strengths, positive emotions, and meaningful engagement (</w:t>
      </w:r>
      <w:proofErr w:type="spellStart"/>
      <w:r w:rsidRPr="00F15D46">
        <w:rPr>
          <w:rFonts w:ascii="Arial" w:hAnsi="Arial" w:cs="Arial"/>
          <w:color w:val="000000" w:themeColor="text1"/>
          <w:sz w:val="22"/>
          <w:szCs w:val="22"/>
        </w:rPr>
        <w:t>Seligman</w:t>
      </w:r>
      <w:proofErr w:type="spellEnd"/>
      <w:r w:rsidRPr="00F15D46">
        <w:rPr>
          <w:rFonts w:ascii="Arial" w:hAnsi="Arial" w:cs="Arial"/>
          <w:color w:val="000000" w:themeColor="text1"/>
          <w:sz w:val="22"/>
          <w:szCs w:val="22"/>
        </w:rPr>
        <w:t xml:space="preserve"> and </w:t>
      </w:r>
      <w:proofErr w:type="spellStart"/>
      <w:r w:rsidRPr="00F15D46">
        <w:rPr>
          <w:rFonts w:ascii="Arial" w:hAnsi="Arial" w:cs="Arial"/>
          <w:color w:val="000000" w:themeColor="text1"/>
          <w:sz w:val="22"/>
          <w:szCs w:val="22"/>
        </w:rPr>
        <w:t>Csikszentmihalyi</w:t>
      </w:r>
      <w:proofErr w:type="spellEnd"/>
      <w:r w:rsidRPr="00F15D46">
        <w:rPr>
          <w:rFonts w:ascii="Arial" w:hAnsi="Arial" w:cs="Arial"/>
          <w:color w:val="000000" w:themeColor="text1"/>
          <w:sz w:val="22"/>
          <w:szCs w:val="22"/>
        </w:rPr>
        <w:t>, 2000). The PERMA model identifies five key components of wellbeing: positive emotions, engagement, relationships, meaning, and accomplishment. This approach represents a shift from traditional deficit-focused models towards a strengths-based perspective.</w:t>
      </w:r>
    </w:p>
    <w:p w14:paraId="6AEC52EC"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0736265E" w14:textId="4D8EF84F"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 xml:space="preserve">Recent research supports the effectiveness of positive psychology interventions, particularly life review and reminiscence-based approaches, in improving quality of life and life satisfaction among older adults (Zhong et al., 2023). </w:t>
      </w:r>
    </w:p>
    <w:p w14:paraId="436AA21D"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0558A232" w14:textId="0DBFBB88"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Critical comment:</w:t>
      </w:r>
    </w:p>
    <w:p w14:paraId="71541FDA" w14:textId="0F8A1BB6"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Positive psychology is highly relevant in health and social care as it aligns with person-centred approaches and emphasises improving quality of life rather than focusing solely on illness. It provides practical strategies that can be implemented in care settings to enhance wellbeing, such as promoting social interaction and meaningful engagement.</w:t>
      </w:r>
    </w:p>
    <w:p w14:paraId="75333CC5" w14:textId="7F869124" w:rsidR="00F4749E"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lastRenderedPageBreak/>
        <w:t xml:space="preserve">However, the approach has been criticised for focusing primarily on individual-level factors while overlooking broader structural issues such as resource limitations, staffing shortages, and social inequalities. These factors can significantly </w:t>
      </w:r>
      <w:r w:rsidR="00DD0236">
        <w:rPr>
          <w:rFonts w:ascii="Arial" w:hAnsi="Arial" w:cs="Arial"/>
          <w:color w:val="000000" w:themeColor="text1"/>
          <w:sz w:val="22"/>
          <w:szCs w:val="22"/>
        </w:rPr>
        <w:t xml:space="preserve">impact </w:t>
      </w:r>
      <w:r w:rsidR="00DD0236" w:rsidRPr="00F15D46">
        <w:rPr>
          <w:rFonts w:ascii="Arial" w:hAnsi="Arial" w:cs="Arial"/>
          <w:color w:val="000000" w:themeColor="text1"/>
          <w:sz w:val="22"/>
          <w:szCs w:val="22"/>
        </w:rPr>
        <w:t>the</w:t>
      </w:r>
      <w:r w:rsidRPr="00F15D46">
        <w:rPr>
          <w:rFonts w:ascii="Arial" w:hAnsi="Arial" w:cs="Arial"/>
          <w:color w:val="000000" w:themeColor="text1"/>
          <w:sz w:val="22"/>
          <w:szCs w:val="22"/>
        </w:rPr>
        <w:t xml:space="preserve"> effectiveness of interventions in real-world care environments. </w:t>
      </w:r>
    </w:p>
    <w:p w14:paraId="4A4F942E" w14:textId="77777777" w:rsidR="004B1975" w:rsidRPr="00F15D46" w:rsidRDefault="004B1975" w:rsidP="00022AA0">
      <w:pPr>
        <w:spacing w:line="360" w:lineRule="auto"/>
        <w:ind w:left="720"/>
        <w:jc w:val="both"/>
        <w:rPr>
          <w:rFonts w:ascii="Arial" w:hAnsi="Arial" w:cs="Arial"/>
          <w:color w:val="000000" w:themeColor="text1"/>
          <w:sz w:val="22"/>
          <w:szCs w:val="22"/>
        </w:rPr>
      </w:pPr>
    </w:p>
    <w:p w14:paraId="49AF4601" w14:textId="77777777" w:rsidR="00F4749E" w:rsidRPr="00F15D46" w:rsidRDefault="00F4749E" w:rsidP="00FF0FCC">
      <w:pPr>
        <w:spacing w:line="360" w:lineRule="auto"/>
        <w:jc w:val="both"/>
        <w:rPr>
          <w:rFonts w:ascii="Arial" w:hAnsi="Arial" w:cs="Arial"/>
          <w:b/>
          <w:bCs/>
          <w:color w:val="000000" w:themeColor="text1"/>
          <w:sz w:val="22"/>
          <w:szCs w:val="22"/>
        </w:rPr>
      </w:pPr>
      <w:r w:rsidRPr="00F15D46">
        <w:rPr>
          <w:rFonts w:ascii="Arial" w:hAnsi="Arial" w:cs="Arial"/>
          <w:b/>
          <w:bCs/>
          <w:color w:val="000000" w:themeColor="text1"/>
          <w:sz w:val="22"/>
          <w:szCs w:val="22"/>
        </w:rPr>
        <w:t>Applying Positive Psychology to Improve Wellbeing in Residential Care</w:t>
      </w:r>
    </w:p>
    <w:p w14:paraId="641D788A"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59A640B7" w14:textId="7777777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 xml:space="preserve">Positive psychology provides a contemporary and evidence-based framework for enhancing psychological wellbeing among older adults in residential care. Drawing on professional experience as a care leader within a residential care setting, this report reflects both theoretical understanding and practical insight into supporting older adults. Unlike traditional medical models that primarily focus on illness and decline, positive psychology emphasises strengths, resilience, and meaningful engagement. </w:t>
      </w:r>
      <w:proofErr w:type="spellStart"/>
      <w:r w:rsidRPr="00F15D46">
        <w:rPr>
          <w:rFonts w:ascii="Arial" w:hAnsi="Arial" w:cs="Arial"/>
          <w:color w:val="000000" w:themeColor="text1"/>
          <w:sz w:val="22"/>
          <w:szCs w:val="22"/>
        </w:rPr>
        <w:t>Seligman’s</w:t>
      </w:r>
      <w:proofErr w:type="spellEnd"/>
      <w:r w:rsidRPr="00F15D46">
        <w:rPr>
          <w:rFonts w:ascii="Arial" w:hAnsi="Arial" w:cs="Arial"/>
          <w:color w:val="000000" w:themeColor="text1"/>
          <w:sz w:val="22"/>
          <w:szCs w:val="22"/>
        </w:rPr>
        <w:t xml:space="preserve"> PERMA model identifies five key components of wellbeing: positive emotions, engagement, relationships, meaning, and accomplishment (</w:t>
      </w:r>
      <w:proofErr w:type="spellStart"/>
      <w:r w:rsidRPr="00F15D46">
        <w:rPr>
          <w:rFonts w:ascii="Arial" w:hAnsi="Arial" w:cs="Arial"/>
          <w:color w:val="000000" w:themeColor="text1"/>
          <w:sz w:val="22"/>
          <w:szCs w:val="22"/>
        </w:rPr>
        <w:t>Seligman</w:t>
      </w:r>
      <w:proofErr w:type="spellEnd"/>
      <w:r w:rsidRPr="00F15D46">
        <w:rPr>
          <w:rFonts w:ascii="Arial" w:hAnsi="Arial" w:cs="Arial"/>
          <w:color w:val="000000" w:themeColor="text1"/>
          <w:sz w:val="22"/>
          <w:szCs w:val="22"/>
        </w:rPr>
        <w:t xml:space="preserve"> and </w:t>
      </w:r>
      <w:proofErr w:type="spellStart"/>
      <w:r w:rsidRPr="00F15D46">
        <w:rPr>
          <w:rFonts w:ascii="Arial" w:hAnsi="Arial" w:cs="Arial"/>
          <w:color w:val="000000" w:themeColor="text1"/>
          <w:sz w:val="22"/>
          <w:szCs w:val="22"/>
        </w:rPr>
        <w:t>Csikszentmihalyi</w:t>
      </w:r>
      <w:proofErr w:type="spellEnd"/>
      <w:r w:rsidRPr="00F15D46">
        <w:rPr>
          <w:rFonts w:ascii="Arial" w:hAnsi="Arial" w:cs="Arial"/>
          <w:color w:val="000000" w:themeColor="text1"/>
          <w:sz w:val="22"/>
          <w:szCs w:val="22"/>
        </w:rPr>
        <w:t>, 2000). This framework is particularly relevant in care homes, where residents often experience loneliness, loss of independence, and reduced sense of identity.</w:t>
      </w:r>
    </w:p>
    <w:p w14:paraId="5A0D8C9D"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54D83E99" w14:textId="7777777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The application of positive psychology in residential care is supported by recent research, which highlights the effectiveness of interventions that promote reflection, social interaction, and purpose. For example, life review and reminiscence-based approaches have been shown to significantly enhance life satisfaction and reduce depressive symptoms among older adults (Zhong et al., 2023). These findings demonstrate that encouraging individuals to reflect on meaningful life experiences can support emotional wellbeing and promote a sense of fulfilment. This aligns closely with the broader principles of positive psychology, which focus on enhancing quality of life rather than simply addressing deficits.</w:t>
      </w:r>
    </w:p>
    <w:p w14:paraId="06E64C13"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4C013C3C" w14:textId="7777777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 xml:space="preserve">In practice, applying positive psychology involves embedding wellbeing-focused interventions into everyday care routines. From professional experience, it is evident that residents benefit significantly from activities that promote social interaction, emotional connection, and a sense of purpose. Activities such as storytelling, creative arts, music sessions, and group discussions allow residents to engage meaningfully while reinforcing their identity and sense of accomplishment. Importantly, these interventions are not merely recreational but contribute to </w:t>
      </w:r>
      <w:r w:rsidRPr="00F15D46">
        <w:rPr>
          <w:rFonts w:ascii="Arial" w:hAnsi="Arial" w:cs="Arial"/>
          <w:color w:val="000000" w:themeColor="text1"/>
          <w:sz w:val="22"/>
          <w:szCs w:val="22"/>
        </w:rPr>
        <w:lastRenderedPageBreak/>
        <w:t>maintaining psychological resilience and emotional stability. Furthermore, developing positive relationships between residents and care staff is essential, as social connection is a key determinant of wellbeing and can reduce feelings of loneliness and isolation.</w:t>
      </w:r>
    </w:p>
    <w:p w14:paraId="6670A0A3"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09CF7B10" w14:textId="7777777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A practical example of this approach can be observed in a residential care home implementing a weekly life review programme. In this scenario, residents are encouraged to share personal memories, achievements, and significant life events in a supportive group environment. One resident, who was initially withdrawn and socially isolated, gradually became more engaged through participation in these sessions. Over time, noticeable improvements were observed in mood, communication, and social interaction, with the resident forming stronger relationships with both staff and peers. This example illustrates how positive psychology can be effectively applied to enhance emotional wellbeing and reduce social isolation within care settings.</w:t>
      </w:r>
    </w:p>
    <w:p w14:paraId="77B0D33A"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55A43DAC" w14:textId="7777777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However, the implementation of positive psychology in residential care is not without challenges. One of the main barriers is the limitation of resources, including staffing shortages and time constraints. Care staff are often required to prioritise physical care needs, which can reduce the time available for delivering structured psychological interventions. Additionally, some residents may have cognitive impairments, such as dementia, which can affect their ability to engage in group-based activities or recall past experiences.</w:t>
      </w:r>
    </w:p>
    <w:p w14:paraId="18DED504"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379EB2A6" w14:textId="77777777" w:rsidR="00F4749E" w:rsidRPr="00F15D46" w:rsidRDefault="00F4749E" w:rsidP="00FF0FCC">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To address these challenges, a person-centred approach is essential. This involves adapting interventions to meet the individual needs, preferences, and cognitive abilities of each resident. For example, residents with dementia may benefit more from one-to-one interactions, sensory-based activities, or simplified reminiscence sessions rather than structured group programmes. Research suggests that tailoring interventions in this way can improve engagement and overall outcomes, even in individuals experiencing cognitive decline (Xu et al., 2023). This highlights the importance of flexibility and adaptability in implementing psychological approaches within care settings.</w:t>
      </w:r>
    </w:p>
    <w:p w14:paraId="5E386CFC"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35B9E1DB" w14:textId="77777777" w:rsidR="00F4749E" w:rsidRPr="00F15D46" w:rsidRDefault="00F4749E" w:rsidP="00D1097F">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 xml:space="preserve">Furthermore, integrating positive psychology principles into daily care practices can help overcome time-related barriers. Rather than viewing wellbeing interventions as additional tasks, care staff can incorporate small but meaningful actions into routine interactions. For </w:t>
      </w:r>
      <w:r w:rsidRPr="00F15D46">
        <w:rPr>
          <w:rFonts w:ascii="Arial" w:hAnsi="Arial" w:cs="Arial"/>
          <w:color w:val="000000" w:themeColor="text1"/>
          <w:sz w:val="22"/>
          <w:szCs w:val="22"/>
        </w:rPr>
        <w:lastRenderedPageBreak/>
        <w:t>example, offering praise, encouraging conversation, and recognising residents’ personal achievements can promote positive emotions and enhance self-worth. These micro-level interventions are particularly valuable in busy care environments, as they require minimal additional resources while still having a meaningful impact on wellbeing.</w:t>
      </w:r>
    </w:p>
    <w:p w14:paraId="371A4E06"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07301041" w14:textId="77777777" w:rsidR="00F4749E" w:rsidRPr="00F15D46" w:rsidRDefault="00F4749E" w:rsidP="00D1097F">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Despite its strengths, positive psychology has been criticised for focusing primarily on individual-level factors while overlooking broader structural issues such as funding limitations, staffing pressures, and inequalities within care provision. These factors can significantly influence both the quality of care and residents’ overall wellbeing. Therefore, while positive psychology provides a useful and practical framework, it should be applied alongside an awareness of organisational and systemic constraints to ensure a more comprehensive approach to care.</w:t>
      </w:r>
    </w:p>
    <w:p w14:paraId="59EC3972"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5664AE38" w14:textId="77777777" w:rsidR="00F4749E" w:rsidRPr="00F15D46" w:rsidRDefault="00F4749E" w:rsidP="00D1097F">
      <w:pPr>
        <w:spacing w:line="360" w:lineRule="auto"/>
        <w:jc w:val="both"/>
        <w:rPr>
          <w:rFonts w:ascii="Arial" w:hAnsi="Arial" w:cs="Arial"/>
          <w:color w:val="000000" w:themeColor="text1"/>
          <w:sz w:val="22"/>
          <w:szCs w:val="22"/>
        </w:rPr>
      </w:pPr>
      <w:r w:rsidRPr="00F15D46">
        <w:rPr>
          <w:rFonts w:ascii="Arial" w:hAnsi="Arial" w:cs="Arial"/>
          <w:color w:val="000000" w:themeColor="text1"/>
          <w:sz w:val="22"/>
          <w:szCs w:val="22"/>
        </w:rPr>
        <w:t>In conclusion, positive psychology offers a highly relevant and effective framework for improving psychological wellbeing in residential care settings. By promoting strengths, meaningful engagement, and positive relationships, it addresses key challenges faced by older adults, including loneliness, loss of identity, and reduced sense of purpose. Although barriers such as limited resources and cognitive impairment exist, these can be mitigated through person-centred care and the integration of practical strategies into everyday routines. Ultimately, combining positive psychology with a holistic understanding of care environments enables professionals to deliver more compassionate, effective, and person-centred support for older adults.</w:t>
      </w:r>
    </w:p>
    <w:p w14:paraId="6F7C7215" w14:textId="77777777" w:rsidR="00F4749E" w:rsidRPr="00F15D46" w:rsidRDefault="00F4749E" w:rsidP="00022AA0">
      <w:pPr>
        <w:spacing w:line="360" w:lineRule="auto"/>
        <w:ind w:left="720"/>
        <w:jc w:val="both"/>
        <w:rPr>
          <w:rFonts w:ascii="Arial" w:hAnsi="Arial" w:cs="Arial"/>
          <w:color w:val="000000" w:themeColor="text1"/>
          <w:sz w:val="22"/>
          <w:szCs w:val="22"/>
        </w:rPr>
      </w:pPr>
    </w:p>
    <w:p w14:paraId="227BB55B" w14:textId="77777777" w:rsidR="0017060C" w:rsidRPr="00921860" w:rsidRDefault="0017060C" w:rsidP="00022AA0">
      <w:pPr>
        <w:spacing w:line="360" w:lineRule="auto"/>
        <w:ind w:left="720"/>
        <w:jc w:val="both"/>
        <w:rPr>
          <w:rFonts w:ascii="Arial" w:hAnsi="Arial" w:cs="Arial"/>
          <w:color w:val="000000" w:themeColor="text1"/>
          <w:sz w:val="20"/>
          <w:szCs w:val="20"/>
        </w:rPr>
      </w:pPr>
    </w:p>
    <w:p w14:paraId="5212D398" w14:textId="77777777" w:rsidR="0017060C" w:rsidRPr="00921860" w:rsidRDefault="0017060C" w:rsidP="00022AA0">
      <w:pPr>
        <w:spacing w:line="360" w:lineRule="auto"/>
        <w:ind w:left="720"/>
        <w:jc w:val="both"/>
        <w:rPr>
          <w:rFonts w:ascii="Arial" w:hAnsi="Arial" w:cs="Arial"/>
          <w:color w:val="000000" w:themeColor="text1"/>
          <w:sz w:val="20"/>
          <w:szCs w:val="20"/>
        </w:rPr>
      </w:pPr>
    </w:p>
    <w:p w14:paraId="2B61B64A" w14:textId="77777777" w:rsidR="00D1097F" w:rsidRDefault="00D1097F" w:rsidP="00D1097F">
      <w:pPr>
        <w:spacing w:line="360" w:lineRule="auto"/>
        <w:jc w:val="both"/>
        <w:rPr>
          <w:rFonts w:ascii="Arial" w:hAnsi="Arial" w:cs="Arial"/>
          <w:color w:val="000000" w:themeColor="text1"/>
          <w:sz w:val="20"/>
          <w:szCs w:val="20"/>
        </w:rPr>
      </w:pPr>
    </w:p>
    <w:p w14:paraId="1431845F" w14:textId="6C0F8B59" w:rsidR="00F4749E" w:rsidRPr="00921860" w:rsidRDefault="00F4749E" w:rsidP="00D1097F">
      <w:pPr>
        <w:spacing w:line="360" w:lineRule="auto"/>
        <w:jc w:val="both"/>
        <w:rPr>
          <w:rFonts w:ascii="Arial" w:hAnsi="Arial" w:cs="Arial"/>
          <w:b/>
          <w:bCs/>
          <w:color w:val="000000" w:themeColor="text1"/>
          <w:sz w:val="20"/>
          <w:szCs w:val="20"/>
        </w:rPr>
      </w:pPr>
      <w:r w:rsidRPr="00921860">
        <w:rPr>
          <w:rFonts w:ascii="Arial" w:hAnsi="Arial" w:cs="Arial"/>
          <w:b/>
          <w:bCs/>
          <w:color w:val="000000" w:themeColor="text1"/>
          <w:sz w:val="20"/>
          <w:szCs w:val="20"/>
        </w:rPr>
        <w:t>References</w:t>
      </w:r>
    </w:p>
    <w:p w14:paraId="4AAFE3D6" w14:textId="77777777" w:rsidR="00F4749E" w:rsidRPr="00921860" w:rsidRDefault="00F4749E" w:rsidP="00022AA0">
      <w:pPr>
        <w:spacing w:line="360" w:lineRule="auto"/>
        <w:ind w:left="720"/>
        <w:jc w:val="both"/>
        <w:rPr>
          <w:rFonts w:ascii="Arial" w:hAnsi="Arial" w:cs="Arial"/>
          <w:color w:val="000000" w:themeColor="text1"/>
          <w:sz w:val="20"/>
          <w:szCs w:val="20"/>
        </w:rPr>
      </w:pPr>
    </w:p>
    <w:p w14:paraId="58C472D7" w14:textId="77777777" w:rsidR="00F4749E" w:rsidRPr="00921860" w:rsidRDefault="00F4749E" w:rsidP="00D1097F">
      <w:pPr>
        <w:spacing w:line="360" w:lineRule="auto"/>
        <w:jc w:val="both"/>
        <w:rPr>
          <w:rFonts w:ascii="Arial" w:hAnsi="Arial" w:cs="Arial"/>
          <w:color w:val="000000" w:themeColor="text1"/>
          <w:sz w:val="20"/>
          <w:szCs w:val="20"/>
        </w:rPr>
      </w:pPr>
      <w:proofErr w:type="spellStart"/>
      <w:r w:rsidRPr="00921860">
        <w:rPr>
          <w:rFonts w:ascii="Arial" w:hAnsi="Arial" w:cs="Arial"/>
          <w:color w:val="000000" w:themeColor="text1"/>
          <w:sz w:val="20"/>
          <w:szCs w:val="20"/>
        </w:rPr>
        <w:t>Bowlby</w:t>
      </w:r>
      <w:proofErr w:type="spellEnd"/>
      <w:r w:rsidRPr="00921860">
        <w:rPr>
          <w:rFonts w:ascii="Arial" w:hAnsi="Arial" w:cs="Arial"/>
          <w:color w:val="000000" w:themeColor="text1"/>
          <w:sz w:val="20"/>
          <w:szCs w:val="20"/>
        </w:rPr>
        <w:t xml:space="preserve">, J. (1988) A secure base: Parent-child attachment and healthy human development. London: </w:t>
      </w:r>
      <w:proofErr w:type="spellStart"/>
      <w:r w:rsidRPr="00921860">
        <w:rPr>
          <w:rFonts w:ascii="Arial" w:hAnsi="Arial" w:cs="Arial"/>
          <w:color w:val="000000" w:themeColor="text1"/>
          <w:sz w:val="20"/>
          <w:szCs w:val="20"/>
        </w:rPr>
        <w:t>Routledge</w:t>
      </w:r>
      <w:proofErr w:type="spellEnd"/>
      <w:r w:rsidRPr="00921860">
        <w:rPr>
          <w:rFonts w:ascii="Arial" w:hAnsi="Arial" w:cs="Arial"/>
          <w:color w:val="000000" w:themeColor="text1"/>
          <w:sz w:val="20"/>
          <w:szCs w:val="20"/>
        </w:rPr>
        <w:t>.</w:t>
      </w:r>
    </w:p>
    <w:p w14:paraId="74A8B722" w14:textId="77777777" w:rsidR="00F4749E" w:rsidRPr="00921860" w:rsidRDefault="00F4749E" w:rsidP="00D1097F">
      <w:pPr>
        <w:spacing w:line="360" w:lineRule="auto"/>
        <w:jc w:val="both"/>
        <w:rPr>
          <w:rFonts w:ascii="Arial" w:hAnsi="Arial" w:cs="Arial"/>
          <w:color w:val="000000" w:themeColor="text1"/>
          <w:sz w:val="20"/>
          <w:szCs w:val="20"/>
        </w:rPr>
      </w:pPr>
      <w:proofErr w:type="spellStart"/>
      <w:r w:rsidRPr="00921860">
        <w:rPr>
          <w:rFonts w:ascii="Arial" w:hAnsi="Arial" w:cs="Arial"/>
          <w:color w:val="000000" w:themeColor="text1"/>
          <w:sz w:val="20"/>
          <w:szCs w:val="20"/>
        </w:rPr>
        <w:t>Erikson</w:t>
      </w:r>
      <w:proofErr w:type="spellEnd"/>
      <w:r w:rsidRPr="00921860">
        <w:rPr>
          <w:rFonts w:ascii="Arial" w:hAnsi="Arial" w:cs="Arial"/>
          <w:color w:val="000000" w:themeColor="text1"/>
          <w:sz w:val="20"/>
          <w:szCs w:val="20"/>
        </w:rPr>
        <w:t>, E.H. (1982) The life cycle completed. New York: W.W. Norton.</w:t>
      </w:r>
    </w:p>
    <w:p w14:paraId="4FC94C7D" w14:textId="77777777" w:rsidR="00F4749E" w:rsidRPr="00921860" w:rsidRDefault="00F4749E" w:rsidP="00D1097F">
      <w:pPr>
        <w:spacing w:line="360" w:lineRule="auto"/>
        <w:jc w:val="both"/>
        <w:rPr>
          <w:rFonts w:ascii="Arial" w:hAnsi="Arial" w:cs="Arial"/>
          <w:color w:val="000000" w:themeColor="text1"/>
          <w:sz w:val="20"/>
          <w:szCs w:val="20"/>
        </w:rPr>
      </w:pPr>
      <w:proofErr w:type="spellStart"/>
      <w:r w:rsidRPr="00921860">
        <w:rPr>
          <w:rFonts w:ascii="Arial" w:hAnsi="Arial" w:cs="Arial"/>
          <w:color w:val="000000" w:themeColor="text1"/>
          <w:sz w:val="20"/>
          <w:szCs w:val="20"/>
        </w:rPr>
        <w:t>Havighurst</w:t>
      </w:r>
      <w:proofErr w:type="spellEnd"/>
      <w:r w:rsidRPr="00921860">
        <w:rPr>
          <w:rFonts w:ascii="Arial" w:hAnsi="Arial" w:cs="Arial"/>
          <w:color w:val="000000" w:themeColor="text1"/>
          <w:sz w:val="20"/>
          <w:szCs w:val="20"/>
        </w:rPr>
        <w:t>, R.J. (1961) ‘Successful aging’, The Gerontologist, 1(1), pp. 8–13.</w:t>
      </w:r>
    </w:p>
    <w:p w14:paraId="1D600435" w14:textId="77777777" w:rsidR="00F4749E" w:rsidRPr="00921860" w:rsidRDefault="00F4749E" w:rsidP="00D1097F">
      <w:pPr>
        <w:spacing w:line="360" w:lineRule="auto"/>
        <w:jc w:val="both"/>
        <w:rPr>
          <w:rFonts w:ascii="Arial" w:hAnsi="Arial" w:cs="Arial"/>
          <w:color w:val="000000" w:themeColor="text1"/>
          <w:sz w:val="20"/>
          <w:szCs w:val="20"/>
        </w:rPr>
      </w:pPr>
      <w:proofErr w:type="spellStart"/>
      <w:r w:rsidRPr="00921860">
        <w:rPr>
          <w:rFonts w:ascii="Arial" w:hAnsi="Arial" w:cs="Arial"/>
          <w:color w:val="000000" w:themeColor="text1"/>
          <w:sz w:val="20"/>
          <w:szCs w:val="20"/>
        </w:rPr>
        <w:lastRenderedPageBreak/>
        <w:t>Seligman</w:t>
      </w:r>
      <w:proofErr w:type="spellEnd"/>
      <w:r w:rsidRPr="00921860">
        <w:rPr>
          <w:rFonts w:ascii="Arial" w:hAnsi="Arial" w:cs="Arial"/>
          <w:color w:val="000000" w:themeColor="text1"/>
          <w:sz w:val="20"/>
          <w:szCs w:val="20"/>
        </w:rPr>
        <w:t xml:space="preserve">, M.E.P. and </w:t>
      </w:r>
      <w:proofErr w:type="spellStart"/>
      <w:r w:rsidRPr="00921860">
        <w:rPr>
          <w:rFonts w:ascii="Arial" w:hAnsi="Arial" w:cs="Arial"/>
          <w:color w:val="000000" w:themeColor="text1"/>
          <w:sz w:val="20"/>
          <w:szCs w:val="20"/>
        </w:rPr>
        <w:t>Csikszentmihalyi</w:t>
      </w:r>
      <w:proofErr w:type="spellEnd"/>
      <w:r w:rsidRPr="00921860">
        <w:rPr>
          <w:rFonts w:ascii="Arial" w:hAnsi="Arial" w:cs="Arial"/>
          <w:color w:val="000000" w:themeColor="text1"/>
          <w:sz w:val="20"/>
          <w:szCs w:val="20"/>
        </w:rPr>
        <w:t>, M. (2000) ‘Positive psychology: An introduction’, American Psychologist, 55(1), pp. 5–14.</w:t>
      </w:r>
    </w:p>
    <w:p w14:paraId="72E9FD7F" w14:textId="77777777" w:rsidR="00F4749E" w:rsidRPr="00921860" w:rsidRDefault="00F4749E" w:rsidP="00D1097F">
      <w:pPr>
        <w:spacing w:line="360" w:lineRule="auto"/>
        <w:jc w:val="both"/>
        <w:rPr>
          <w:rFonts w:ascii="Arial" w:hAnsi="Arial" w:cs="Arial"/>
          <w:color w:val="000000" w:themeColor="text1"/>
          <w:sz w:val="20"/>
          <w:szCs w:val="20"/>
        </w:rPr>
      </w:pPr>
      <w:r w:rsidRPr="00921860">
        <w:rPr>
          <w:rFonts w:ascii="Arial" w:hAnsi="Arial" w:cs="Arial"/>
          <w:color w:val="000000" w:themeColor="text1"/>
          <w:sz w:val="20"/>
          <w:szCs w:val="20"/>
        </w:rPr>
        <w:t>Xu, L. et al. (2023) ‘Effects of reminiscence therapy on psychological outcomes in older adults’, Frontiers in Psychiatry, 14.</w:t>
      </w:r>
    </w:p>
    <w:p w14:paraId="1D79CDA2" w14:textId="7322ABB6" w:rsidR="00F4749E" w:rsidRPr="00921860" w:rsidRDefault="00F4749E" w:rsidP="00D1097F">
      <w:pPr>
        <w:spacing w:line="360" w:lineRule="auto"/>
        <w:jc w:val="both"/>
        <w:rPr>
          <w:rFonts w:ascii="Arial" w:hAnsi="Arial" w:cs="Arial"/>
          <w:color w:val="000000" w:themeColor="text1"/>
          <w:sz w:val="20"/>
          <w:szCs w:val="20"/>
        </w:rPr>
      </w:pPr>
      <w:r w:rsidRPr="00921860">
        <w:rPr>
          <w:rFonts w:ascii="Arial" w:hAnsi="Arial" w:cs="Arial"/>
          <w:color w:val="000000" w:themeColor="text1"/>
          <w:sz w:val="20"/>
          <w:szCs w:val="20"/>
        </w:rPr>
        <w:t>Zhong, Q. et al. (2023) ‘Effectiveness of life review interventions on wellbeing’, Behavioural Sciences, 13(10)</w:t>
      </w:r>
    </w:p>
    <w:sectPr w:rsidR="00F4749E" w:rsidRPr="00921860">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A5033" w14:textId="77777777" w:rsidR="0017060C" w:rsidRDefault="0017060C" w:rsidP="0017060C">
      <w:pPr>
        <w:spacing w:after="0" w:line="240" w:lineRule="auto"/>
      </w:pPr>
      <w:r>
        <w:separator/>
      </w:r>
    </w:p>
  </w:endnote>
  <w:endnote w:type="continuationSeparator" w:id="0">
    <w:p w14:paraId="62D436B2" w14:textId="77777777" w:rsidR="0017060C" w:rsidRDefault="0017060C" w:rsidP="00170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90220930"/>
      <w:docPartObj>
        <w:docPartGallery w:val="Page Numbers (Bottom of Page)"/>
        <w:docPartUnique/>
      </w:docPartObj>
    </w:sdtPr>
    <w:sdtEndPr>
      <w:rPr>
        <w:rStyle w:val="PageNumber"/>
      </w:rPr>
    </w:sdtEndPr>
    <w:sdtContent>
      <w:p w14:paraId="623BE98B" w14:textId="28FC8D05" w:rsidR="00A305E1" w:rsidRDefault="00A305E1" w:rsidP="00B31ED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01424F" w14:textId="77777777" w:rsidR="00A305E1" w:rsidRDefault="00A305E1" w:rsidP="00A305E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3071781"/>
      <w:docPartObj>
        <w:docPartGallery w:val="Page Numbers (Bottom of Page)"/>
        <w:docPartUnique/>
      </w:docPartObj>
    </w:sdtPr>
    <w:sdtEndPr>
      <w:rPr>
        <w:rStyle w:val="PageNumber"/>
      </w:rPr>
    </w:sdtEndPr>
    <w:sdtContent>
      <w:p w14:paraId="2662522C" w14:textId="3B0E317B" w:rsidR="00A305E1" w:rsidRDefault="00A305E1" w:rsidP="00B31ED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9D5897F" w14:textId="77777777" w:rsidR="00A305E1" w:rsidRDefault="00A305E1" w:rsidP="00A305E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0AA83" w14:textId="77777777" w:rsidR="0017060C" w:rsidRDefault="0017060C" w:rsidP="0017060C">
      <w:pPr>
        <w:spacing w:after="0" w:line="240" w:lineRule="auto"/>
      </w:pPr>
      <w:r>
        <w:separator/>
      </w:r>
    </w:p>
  </w:footnote>
  <w:footnote w:type="continuationSeparator" w:id="0">
    <w:p w14:paraId="307D99E7" w14:textId="77777777" w:rsidR="0017060C" w:rsidRDefault="0017060C" w:rsidP="001706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49E"/>
    <w:rsid w:val="00016F89"/>
    <w:rsid w:val="00022AA0"/>
    <w:rsid w:val="00064796"/>
    <w:rsid w:val="00125526"/>
    <w:rsid w:val="00135269"/>
    <w:rsid w:val="00147290"/>
    <w:rsid w:val="0017060C"/>
    <w:rsid w:val="002533D4"/>
    <w:rsid w:val="00257EE8"/>
    <w:rsid w:val="0026672F"/>
    <w:rsid w:val="00343975"/>
    <w:rsid w:val="003742B5"/>
    <w:rsid w:val="003E16B5"/>
    <w:rsid w:val="00402C63"/>
    <w:rsid w:val="00434BB3"/>
    <w:rsid w:val="00466465"/>
    <w:rsid w:val="004B1975"/>
    <w:rsid w:val="0051080A"/>
    <w:rsid w:val="00523D15"/>
    <w:rsid w:val="005469B1"/>
    <w:rsid w:val="00563A6A"/>
    <w:rsid w:val="005C3167"/>
    <w:rsid w:val="005D2073"/>
    <w:rsid w:val="005E7BAA"/>
    <w:rsid w:val="00630DB2"/>
    <w:rsid w:val="006F6E3F"/>
    <w:rsid w:val="0073381F"/>
    <w:rsid w:val="007E56C3"/>
    <w:rsid w:val="00823F17"/>
    <w:rsid w:val="00830812"/>
    <w:rsid w:val="008C29E3"/>
    <w:rsid w:val="00921860"/>
    <w:rsid w:val="009B6569"/>
    <w:rsid w:val="009C36EE"/>
    <w:rsid w:val="009F54FB"/>
    <w:rsid w:val="00A2647F"/>
    <w:rsid w:val="00A305E1"/>
    <w:rsid w:val="00A9136E"/>
    <w:rsid w:val="00AC21BB"/>
    <w:rsid w:val="00B32886"/>
    <w:rsid w:val="00B44404"/>
    <w:rsid w:val="00B7216E"/>
    <w:rsid w:val="00B83115"/>
    <w:rsid w:val="00BB132E"/>
    <w:rsid w:val="00C05F5B"/>
    <w:rsid w:val="00D1097F"/>
    <w:rsid w:val="00D57C95"/>
    <w:rsid w:val="00D7672E"/>
    <w:rsid w:val="00DC6C57"/>
    <w:rsid w:val="00DD0236"/>
    <w:rsid w:val="00DD1C9E"/>
    <w:rsid w:val="00E0143D"/>
    <w:rsid w:val="00EF7B6E"/>
    <w:rsid w:val="00F15D46"/>
    <w:rsid w:val="00F421E4"/>
    <w:rsid w:val="00F4749E"/>
    <w:rsid w:val="00FF0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64B4A6"/>
  <w15:chartTrackingRefBased/>
  <w15:docId w15:val="{B657E44F-606B-B84C-AA1C-70BCF4259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49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4749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74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74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74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74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74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74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74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4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474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74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749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74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74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74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74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749E"/>
    <w:rPr>
      <w:rFonts w:eastAsiaTheme="majorEastAsia" w:cstheme="majorBidi"/>
      <w:color w:val="272727" w:themeColor="text1" w:themeTint="D8"/>
    </w:rPr>
  </w:style>
  <w:style w:type="paragraph" w:styleId="Title">
    <w:name w:val="Title"/>
    <w:basedOn w:val="Normal"/>
    <w:next w:val="Normal"/>
    <w:link w:val="TitleChar"/>
    <w:uiPriority w:val="10"/>
    <w:qFormat/>
    <w:rsid w:val="00F474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74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4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74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749E"/>
    <w:pPr>
      <w:spacing w:before="160"/>
      <w:jc w:val="center"/>
    </w:pPr>
    <w:rPr>
      <w:i/>
      <w:iCs/>
      <w:color w:val="404040" w:themeColor="text1" w:themeTint="BF"/>
    </w:rPr>
  </w:style>
  <w:style w:type="character" w:customStyle="1" w:styleId="QuoteChar">
    <w:name w:val="Quote Char"/>
    <w:basedOn w:val="DefaultParagraphFont"/>
    <w:link w:val="Quote"/>
    <w:uiPriority w:val="29"/>
    <w:rsid w:val="00F4749E"/>
    <w:rPr>
      <w:i/>
      <w:iCs/>
      <w:color w:val="404040" w:themeColor="text1" w:themeTint="BF"/>
    </w:rPr>
  </w:style>
  <w:style w:type="paragraph" w:styleId="ListParagraph">
    <w:name w:val="List Paragraph"/>
    <w:basedOn w:val="Normal"/>
    <w:uiPriority w:val="34"/>
    <w:qFormat/>
    <w:rsid w:val="00F4749E"/>
    <w:pPr>
      <w:ind w:left="720"/>
      <w:contextualSpacing/>
    </w:pPr>
  </w:style>
  <w:style w:type="character" w:styleId="IntenseEmphasis">
    <w:name w:val="Intense Emphasis"/>
    <w:basedOn w:val="DefaultParagraphFont"/>
    <w:uiPriority w:val="21"/>
    <w:qFormat/>
    <w:rsid w:val="00F4749E"/>
    <w:rPr>
      <w:i/>
      <w:iCs/>
      <w:color w:val="2F5496" w:themeColor="accent1" w:themeShade="BF"/>
    </w:rPr>
  </w:style>
  <w:style w:type="paragraph" w:styleId="IntenseQuote">
    <w:name w:val="Intense Quote"/>
    <w:basedOn w:val="Normal"/>
    <w:next w:val="Normal"/>
    <w:link w:val="IntenseQuoteChar"/>
    <w:uiPriority w:val="30"/>
    <w:qFormat/>
    <w:rsid w:val="00F474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749E"/>
    <w:rPr>
      <w:i/>
      <w:iCs/>
      <w:color w:val="2F5496" w:themeColor="accent1" w:themeShade="BF"/>
    </w:rPr>
  </w:style>
  <w:style w:type="character" w:styleId="IntenseReference">
    <w:name w:val="Intense Reference"/>
    <w:basedOn w:val="DefaultParagraphFont"/>
    <w:uiPriority w:val="32"/>
    <w:qFormat/>
    <w:rsid w:val="00F4749E"/>
    <w:rPr>
      <w:b/>
      <w:bCs/>
      <w:smallCaps/>
      <w:color w:val="2F5496" w:themeColor="accent1" w:themeShade="BF"/>
      <w:spacing w:val="5"/>
    </w:rPr>
  </w:style>
  <w:style w:type="paragraph" w:styleId="Header">
    <w:name w:val="header"/>
    <w:basedOn w:val="Normal"/>
    <w:link w:val="HeaderChar"/>
    <w:uiPriority w:val="99"/>
    <w:unhideWhenUsed/>
    <w:rsid w:val="00170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60C"/>
  </w:style>
  <w:style w:type="paragraph" w:styleId="Footer">
    <w:name w:val="footer"/>
    <w:basedOn w:val="Normal"/>
    <w:link w:val="FooterChar"/>
    <w:uiPriority w:val="99"/>
    <w:unhideWhenUsed/>
    <w:rsid w:val="00170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60C"/>
  </w:style>
  <w:style w:type="character" w:styleId="PageNumber">
    <w:name w:val="page number"/>
    <w:basedOn w:val="DefaultParagraphFont"/>
    <w:uiPriority w:val="99"/>
    <w:semiHidden/>
    <w:unhideWhenUsed/>
    <w:rsid w:val="00A305E1"/>
  </w:style>
  <w:style w:type="paragraph" w:customStyle="1" w:styleId="p1">
    <w:name w:val="p1"/>
    <w:basedOn w:val="Normal"/>
    <w:rsid w:val="00D7672E"/>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D7672E"/>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1988</Words>
  <Characters>11335</Characters>
  <Application>Microsoft Office Word</Application>
  <DocSecurity>0</DocSecurity>
  <Lines>94</Lines>
  <Paragraphs>26</Paragraphs>
  <ScaleCrop>false</ScaleCrop>
  <Company/>
  <LinksUpToDate>false</LinksUpToDate>
  <CharactersWithSpaces>13297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Valkova (2243479)</dc:creator>
  <cp:keywords/>
  <dc:description/>
  <cp:lastModifiedBy>Mihaela Valkova (2243479)</cp:lastModifiedBy>
  <cp:revision>2</cp:revision>
  <dcterms:created xsi:type="dcterms:W3CDTF">2026-03-24T08:49:00Z</dcterms:created>
  <dcterms:modified xsi:type="dcterms:W3CDTF">2026-03-24T08:49:00Z</dcterms:modified>
</cp:coreProperties>
</file>