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b/>
          <w:sz w:val="24"/>
          <w:szCs w:val="24"/>
        </w:rPr>
      </w:pPr>
    </w:p>
    <w:p>
      <w:pPr>
        <w:widowControl/>
        <w:spacing w:after="0" w:line="240" w:lineRule="auto"/>
        <w:jc w:val="center"/>
        <w:rPr>
          <w:rFonts w:hint="default" w:ascii="Times New Roman" w:hAnsi="Times New Roman" w:cs="Times New Roman" w:eastAsiaTheme="minorEastAsia"/>
          <w:b/>
          <w:bCs/>
          <w:color w:val="FF0000"/>
          <w:kern w:val="2"/>
          <w:sz w:val="28"/>
          <w:szCs w:val="28"/>
          <w:lang w:val="en-US" w:eastAsia="zh-CN"/>
        </w:rPr>
      </w:pPr>
      <w:r>
        <w:rPr>
          <w:rFonts w:ascii="Times New Roman" w:hAnsi="Times New Roman" w:cs="Times New Roman" w:eastAsiaTheme="minorEastAsia"/>
          <w:b/>
          <w:bCs/>
          <w:color w:val="FF0000"/>
          <w:kern w:val="2"/>
          <w:sz w:val="28"/>
          <w:szCs w:val="28"/>
          <w:lang w:val="en" w:eastAsia="zh-CN"/>
        </w:rPr>
        <w:t xml:space="preserve">Development </w:t>
      </w:r>
      <w:r>
        <w:rPr>
          <w:rFonts w:hint="eastAsia" w:ascii="Times New Roman" w:hAnsi="Times New Roman" w:cs="Times New Roman" w:eastAsiaTheme="minorEastAsia"/>
          <w:b/>
          <w:bCs/>
          <w:color w:val="FF0000"/>
          <w:kern w:val="2"/>
          <w:sz w:val="28"/>
          <w:szCs w:val="28"/>
          <w:lang w:val="en-US" w:eastAsia="zh-CN"/>
        </w:rPr>
        <w:t>o</w:t>
      </w:r>
      <w:r>
        <w:rPr>
          <w:rFonts w:ascii="Times New Roman" w:hAnsi="Times New Roman" w:cs="Times New Roman" w:eastAsiaTheme="minorEastAsia"/>
          <w:b/>
          <w:bCs/>
          <w:color w:val="FF0000"/>
          <w:kern w:val="2"/>
          <w:sz w:val="28"/>
          <w:szCs w:val="28"/>
          <w:lang w:val="en" w:eastAsia="zh-CN"/>
        </w:rPr>
        <w:t xml:space="preserve">f Skills </w:t>
      </w:r>
      <w:r>
        <w:rPr>
          <w:rFonts w:hint="eastAsia" w:ascii="Times New Roman" w:hAnsi="Times New Roman" w:cs="Times New Roman" w:eastAsiaTheme="minorEastAsia"/>
          <w:b/>
          <w:bCs/>
          <w:color w:val="FF0000"/>
          <w:kern w:val="2"/>
          <w:sz w:val="28"/>
          <w:szCs w:val="28"/>
          <w:lang w:val="en-US" w:eastAsia="zh-CN"/>
        </w:rPr>
        <w:t>t</w:t>
      </w:r>
      <w:r>
        <w:rPr>
          <w:rFonts w:ascii="Times New Roman" w:hAnsi="Times New Roman" w:cs="Times New Roman" w:eastAsiaTheme="minorEastAsia"/>
          <w:b/>
          <w:bCs/>
          <w:color w:val="FF0000"/>
          <w:kern w:val="2"/>
          <w:sz w:val="28"/>
          <w:szCs w:val="28"/>
          <w:lang w:val="en" w:eastAsia="zh-CN"/>
        </w:rPr>
        <w:t>o Promote Employee Well-Being</w:t>
      </w:r>
      <w:r>
        <w:rPr>
          <w:rFonts w:hint="eastAsia" w:ascii="Times New Roman" w:hAnsi="Times New Roman" w:cs="Times New Roman" w:eastAsiaTheme="minorEastAsia"/>
          <w:b/>
          <w:bCs/>
          <w:color w:val="FF0000"/>
          <w:kern w:val="2"/>
          <w:sz w:val="28"/>
          <w:szCs w:val="28"/>
          <w:lang w:val="en-US" w:eastAsia="zh-CN"/>
        </w:rPr>
        <w:t xml:space="preserve"> at Apple Company</w:t>
      </w: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ascii="Times New Roman" w:hAnsi="Times New Roman" w:cs="Times New Roman"/>
          <w:b/>
          <w:sz w:val="24"/>
          <w:szCs w:val="24"/>
        </w:rPr>
      </w:pPr>
    </w:p>
    <w:p>
      <w:pPr>
        <w:widowControl/>
        <w:jc w:val="center"/>
        <w:rPr>
          <w:rFonts w:ascii="Times New Roman" w:hAnsi="Times New Roman" w:cs="Times New Roman"/>
          <w:b/>
          <w:bCs/>
          <w:sz w:val="28"/>
          <w:szCs w:val="28"/>
          <w:lang w:val="en"/>
        </w:rPr>
      </w:pPr>
      <w:r>
        <w:rPr>
          <w:rFonts w:ascii="Times New Roman" w:hAnsi="Times New Roman" w:cs="Times New Roman"/>
          <w:b/>
          <w:bCs/>
          <w:sz w:val="28"/>
          <w:szCs w:val="28"/>
          <w:lang w:val="en"/>
        </w:rPr>
        <w:drawing>
          <wp:inline distT="0" distB="0" distL="0" distR="0">
            <wp:extent cx="3720465" cy="4133850"/>
            <wp:effectExtent l="0" t="0" r="1333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727331" cy="4141479"/>
                    </a:xfrm>
                    <a:prstGeom prst="rect">
                      <a:avLst/>
                    </a:prstGeom>
                  </pic:spPr>
                </pic:pic>
              </a:graphicData>
            </a:graphic>
          </wp:inline>
        </w:drawing>
      </w:r>
    </w:p>
    <w:p>
      <w:pPr>
        <w:widowControl/>
        <w:spacing w:before="312" w:beforeLines="100"/>
        <w:jc w:val="center"/>
        <w:rPr>
          <w:rFonts w:ascii="Times New Roman" w:hAnsi="Times New Roman" w:cs="Times New Roman"/>
          <w:b/>
          <w:bCs/>
          <w:color w:val="FF0000"/>
          <w:sz w:val="28"/>
          <w:szCs w:val="28"/>
          <w:lang w:val="en"/>
        </w:rPr>
      </w:pPr>
      <w:r>
        <w:rPr>
          <w:rFonts w:ascii="Times New Roman" w:hAnsi="Times New Roman" w:cs="Times New Roman"/>
          <w:b/>
          <w:bCs/>
          <w:color w:val="FF0000"/>
          <w:sz w:val="28"/>
          <w:szCs w:val="28"/>
          <w:lang w:val="en"/>
        </w:rPr>
        <w:t>A</w:t>
      </w:r>
      <w:r>
        <w:rPr>
          <w:rFonts w:hint="eastAsia" w:ascii="Times New Roman" w:hAnsi="Times New Roman" w:cs="Times New Roman"/>
          <w:b/>
          <w:bCs/>
          <w:color w:val="FF0000"/>
          <w:sz w:val="28"/>
          <w:szCs w:val="28"/>
          <w:lang w:val="en"/>
        </w:rPr>
        <w:t>p</w:t>
      </w:r>
      <w:r>
        <w:rPr>
          <w:rFonts w:ascii="Times New Roman" w:hAnsi="Times New Roman" w:cs="Times New Roman"/>
          <w:b/>
          <w:bCs/>
          <w:color w:val="FF0000"/>
          <w:sz w:val="28"/>
          <w:szCs w:val="28"/>
          <w:lang w:val="en"/>
        </w:rPr>
        <w:t>ril 2023</w:t>
      </w:r>
    </w:p>
    <w:p>
      <w:pPr>
        <w:widowControl/>
        <w:rPr>
          <w:rFonts w:ascii="Times New Roman" w:hAnsi="Times New Roman" w:cs="Times New Roman"/>
          <w:b/>
          <w:bCs/>
          <w:sz w:val="28"/>
          <w:szCs w:val="28"/>
          <w:lang w:val="en"/>
        </w:rPr>
      </w:pPr>
    </w:p>
    <w:p>
      <w:pPr>
        <w:widowControl/>
        <w:rPr>
          <w:rFonts w:ascii="Times New Roman" w:hAnsi="Times New Roman" w:cs="Times New Roman"/>
          <w:b/>
          <w:bCs/>
          <w:sz w:val="28"/>
          <w:szCs w:val="28"/>
          <w:lang w:val="en"/>
        </w:rPr>
      </w:pPr>
    </w:p>
    <w:p>
      <w:pPr>
        <w:widowControl/>
        <w:rPr>
          <w:rFonts w:ascii="Times New Roman" w:hAnsi="Times New Roman" w:cs="Times New Roman"/>
          <w:b/>
          <w:bCs/>
          <w:sz w:val="28"/>
          <w:szCs w:val="28"/>
          <w:lang w:val="en"/>
        </w:rPr>
      </w:pPr>
    </w:p>
    <w:p>
      <w:pPr>
        <w:widowControl/>
        <w:rPr>
          <w:rFonts w:ascii="Times New Roman" w:hAnsi="Times New Roman" w:cs="Times New Roman"/>
          <w:b/>
          <w:bCs/>
          <w:color w:val="FF0000"/>
          <w:sz w:val="28"/>
          <w:szCs w:val="28"/>
          <w:lang w:val="en"/>
        </w:rPr>
      </w:pPr>
      <w:r>
        <w:rPr>
          <w:rFonts w:ascii="Times New Roman" w:hAnsi="Times New Roman" w:cs="Times New Roman"/>
          <w:b/>
          <w:bCs/>
          <w:sz w:val="28"/>
          <w:szCs w:val="28"/>
          <w:lang w:val="en"/>
        </w:rPr>
        <w:t>MODULE NAME</w:t>
      </w:r>
      <w:r>
        <w:rPr>
          <w:rFonts w:hint="eastAsia" w:ascii="Times New Roman" w:hAnsi="Times New Roman" w:cs="Times New Roman"/>
          <w:b/>
          <w:bCs/>
          <w:sz w:val="28"/>
          <w:szCs w:val="28"/>
          <w:lang w:val="en"/>
        </w:rPr>
        <w:t>：</w:t>
      </w:r>
      <w:r>
        <w:rPr>
          <w:rFonts w:ascii="Times New Roman" w:hAnsi="Times New Roman" w:cs="Times New Roman"/>
          <w:b/>
          <w:bCs/>
          <w:color w:val="FF0000"/>
          <w:sz w:val="28"/>
          <w:szCs w:val="28"/>
          <w:lang w:val="en"/>
        </w:rPr>
        <w:t>H</w:t>
      </w:r>
      <w:r>
        <w:rPr>
          <w:rFonts w:hint="eastAsia" w:ascii="Times New Roman" w:hAnsi="Times New Roman" w:cs="Times New Roman"/>
          <w:b/>
          <w:bCs/>
          <w:color w:val="FF0000"/>
          <w:sz w:val="28"/>
          <w:szCs w:val="28"/>
          <w:lang w:val="en"/>
        </w:rPr>
        <w:t>u</w:t>
      </w:r>
      <w:r>
        <w:rPr>
          <w:rFonts w:ascii="Times New Roman" w:hAnsi="Times New Roman" w:cs="Times New Roman"/>
          <w:b/>
          <w:bCs/>
          <w:color w:val="FF0000"/>
          <w:sz w:val="28"/>
          <w:szCs w:val="28"/>
          <w:lang w:val="en"/>
        </w:rPr>
        <w:t>man Resource Management (BMMB7007)</w:t>
      </w:r>
    </w:p>
    <w:p>
      <w:pPr>
        <w:widowControl/>
        <w:rPr>
          <w:rFonts w:hint="default" w:ascii="Times New Roman" w:hAnsi="Times New Roman" w:eastAsia="宋体" w:cs="Times New Roman"/>
          <w:b/>
          <w:bCs/>
          <w:color w:val="FF0000"/>
          <w:sz w:val="28"/>
          <w:szCs w:val="28"/>
          <w:lang w:val="en-US" w:eastAsia="zh-CN"/>
        </w:rPr>
      </w:pPr>
      <w:r>
        <w:rPr>
          <w:rFonts w:ascii="Times New Roman" w:hAnsi="Times New Roman" w:cs="Times New Roman"/>
          <w:b/>
          <w:bCs/>
          <w:sz w:val="28"/>
          <w:szCs w:val="28"/>
          <w:lang w:val="en"/>
        </w:rPr>
        <w:t>NAME</w:t>
      </w:r>
      <w:r>
        <w:rPr>
          <w:rFonts w:hint="eastAsia" w:ascii="Times New Roman" w:hAnsi="Times New Roman" w:cs="Times New Roman"/>
          <w:b/>
          <w:bCs/>
          <w:sz w:val="28"/>
          <w:szCs w:val="28"/>
          <w:lang w:val="en"/>
        </w:rPr>
        <w:t>：</w:t>
      </w:r>
      <w:r>
        <w:rPr>
          <w:rFonts w:hint="eastAsia" w:ascii="Times New Roman" w:hAnsi="Times New Roman" w:cs="Times New Roman"/>
          <w:b/>
          <w:bCs/>
          <w:color w:val="FF0000"/>
          <w:sz w:val="28"/>
          <w:szCs w:val="28"/>
          <w:lang w:val="en"/>
        </w:rPr>
        <w:t>Z</w:t>
      </w:r>
      <w:r>
        <w:rPr>
          <w:rFonts w:hint="eastAsia" w:ascii="Times New Roman" w:hAnsi="Times New Roman" w:eastAsia="宋体" w:cs="Times New Roman"/>
          <w:b/>
          <w:bCs/>
          <w:color w:val="FF0000"/>
          <w:sz w:val="28"/>
          <w:szCs w:val="28"/>
          <w:lang w:val="en-US" w:eastAsia="zh-CN"/>
        </w:rPr>
        <w:t>ilong Han</w:t>
      </w:r>
    </w:p>
    <w:p>
      <w:pPr>
        <w:widowControl/>
        <w:rPr>
          <w:rFonts w:hint="default" w:ascii="Times New Roman" w:hAnsi="Times New Roman" w:eastAsia="宋体" w:cs="Times New Roman"/>
          <w:b/>
          <w:bCs/>
          <w:color w:val="FF0000"/>
          <w:sz w:val="28"/>
          <w:szCs w:val="28"/>
          <w:lang w:val="en-US" w:eastAsia="zh-CN"/>
        </w:rPr>
      </w:pPr>
      <w:r>
        <w:rPr>
          <w:rFonts w:ascii="Times New Roman" w:hAnsi="Times New Roman" w:cs="Times New Roman"/>
          <w:b/>
          <w:bCs/>
          <w:sz w:val="28"/>
          <w:szCs w:val="28"/>
          <w:lang w:val="en"/>
        </w:rPr>
        <w:t>STUDENT NUMBER</w:t>
      </w:r>
      <w:r>
        <w:rPr>
          <w:rFonts w:hint="eastAsia" w:ascii="Times New Roman" w:hAnsi="Times New Roman" w:cs="Times New Roman"/>
          <w:b/>
          <w:bCs/>
          <w:sz w:val="28"/>
          <w:szCs w:val="28"/>
          <w:lang w:val="en"/>
        </w:rPr>
        <w:t>：</w:t>
      </w:r>
      <w:r>
        <w:rPr>
          <w:rFonts w:hint="eastAsia" w:ascii="Times New Roman" w:hAnsi="Times New Roman" w:cs="Times New Roman"/>
          <w:b/>
          <w:bCs/>
          <w:color w:val="FF0000"/>
          <w:sz w:val="28"/>
          <w:szCs w:val="28"/>
          <w:lang w:val="en"/>
        </w:rPr>
        <w:t>2</w:t>
      </w:r>
      <w:r>
        <w:rPr>
          <w:rFonts w:ascii="Times New Roman" w:hAnsi="Times New Roman" w:cs="Times New Roman"/>
          <w:b/>
          <w:bCs/>
          <w:color w:val="FF0000"/>
          <w:sz w:val="28"/>
          <w:szCs w:val="28"/>
          <w:lang w:val="en"/>
        </w:rPr>
        <w:t>2033</w:t>
      </w:r>
      <w:r>
        <w:rPr>
          <w:rFonts w:hint="eastAsia" w:ascii="Times New Roman" w:hAnsi="Times New Roman" w:eastAsia="宋体" w:cs="Times New Roman"/>
          <w:b/>
          <w:bCs/>
          <w:color w:val="FF0000"/>
          <w:sz w:val="28"/>
          <w:szCs w:val="28"/>
          <w:lang w:val="en-US" w:eastAsia="zh-CN"/>
        </w:rPr>
        <w:t>89</w:t>
      </w: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ascii="Times New Roman" w:hAnsi="Times New Roman" w:cs="Times New Roman"/>
          <w:b/>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ascii="Times New Roman" w:hAnsi="Times New Roman" w:cs="Times New Roman"/>
          <w:b/>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b/>
          <w:sz w:val="24"/>
          <w:szCs w:val="24"/>
        </w:rPr>
      </w:pPr>
    </w:p>
    <w:p>
      <w:pPr>
        <w:pStyle w:val="7"/>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ascii="Times New Roman" w:hAnsi="Times New Roman" w:cs="Times New Roman"/>
          <w:b/>
          <w:sz w:val="24"/>
          <w:szCs w:val="24"/>
        </w:rPr>
      </w:pPr>
      <w:r>
        <w:rPr>
          <w:rFonts w:hint="eastAsia" w:ascii="Times New Roman" w:hAnsi="Times New Roman" w:eastAsia="宋体" w:cs="Times New Roman"/>
          <w:b/>
          <w:sz w:val="24"/>
          <w:szCs w:val="24"/>
          <w:lang w:val="en-US" w:eastAsia="zh-CN"/>
        </w:rPr>
        <w:t xml:space="preserve">1. </w:t>
      </w:r>
      <w:r>
        <w:rPr>
          <w:rFonts w:ascii="Times New Roman" w:hAnsi="Times New Roman" w:cs="Times New Roman"/>
          <w:b/>
          <w:sz w:val="24"/>
          <w:szCs w:val="24"/>
        </w:rPr>
        <w:t>Introduction</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sz w:val="24"/>
          <w:szCs w:val="24"/>
        </w:rPr>
        <w:t>Human R</w:t>
      </w:r>
      <w:r>
        <w:rPr>
          <w:rFonts w:ascii="Times New Roman" w:hAnsi="Times New Roman" w:cs="Times New Roman"/>
          <w:color w:val="auto"/>
          <w:sz w:val="24"/>
          <w:szCs w:val="24"/>
        </w:rPr>
        <w:t>esource department plays a significant role in developing skills that assist in upholding different areas of a company. The employee well-being department in Apple Inc</w:t>
      </w:r>
      <w:r>
        <w:rPr>
          <w:rFonts w:hint="eastAsia" w:ascii="Times New Roman" w:hAnsi="Times New Roman" w:eastAsia="宋体" w:cs="Times New Roman"/>
          <w:color w:val="auto"/>
          <w:sz w:val="24"/>
          <w:szCs w:val="24"/>
          <w:lang w:val="en-US" w:eastAsia="zh-CN"/>
        </w:rPr>
        <w:t xml:space="preserve"> </w:t>
      </w:r>
      <w:r>
        <w:rPr>
          <w:rFonts w:ascii="Times New Roman" w:hAnsi="Times New Roman" w:cs="Times New Roman"/>
          <w:color w:val="auto"/>
          <w:sz w:val="24"/>
          <w:szCs w:val="24"/>
        </w:rPr>
        <w:t>is an important department as good health of employees determines their performance and productivity of the operations carried out. Once the skills to be developed are chosen, the HR department must ensure an effective action plan is formulated to make the skills a success. The analysis below explains different skills that HR department need to introduce to promote well-being among employees. An action plan will be formulated to expound on how the skills will be developed by the HR.</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pStyle w:val="7"/>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ascii="Times New Roman" w:hAnsi="Times New Roman" w:cs="Times New Roman"/>
          <w:b/>
          <w:color w:val="auto"/>
          <w:sz w:val="24"/>
          <w:szCs w:val="24"/>
        </w:rPr>
      </w:pPr>
      <w:r>
        <w:rPr>
          <w:rFonts w:hint="eastAsia" w:ascii="Times New Roman" w:hAnsi="Times New Roman" w:eastAsia="宋体" w:cs="Times New Roman"/>
          <w:b/>
          <w:color w:val="auto"/>
          <w:sz w:val="24"/>
          <w:szCs w:val="24"/>
          <w:lang w:val="en-US" w:eastAsia="zh-CN"/>
        </w:rPr>
        <w:t xml:space="preserve">2. </w:t>
      </w:r>
      <w:r>
        <w:rPr>
          <w:rFonts w:ascii="Times New Roman" w:hAnsi="Times New Roman" w:cs="Times New Roman"/>
          <w:b/>
          <w:color w:val="auto"/>
          <w:sz w:val="24"/>
          <w:szCs w:val="24"/>
        </w:rPr>
        <w:t>Skills for HR Department to develop for Employee Well-being</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Teamwork is one of the generic skills </w:t>
      </w:r>
      <w:r>
        <w:rPr>
          <w:rFonts w:hint="eastAsia" w:ascii="Times New Roman" w:hAnsi="Times New Roman" w:eastAsia="宋体" w:cs="Times New Roman"/>
          <w:color w:val="auto"/>
          <w:sz w:val="24"/>
          <w:szCs w:val="24"/>
          <w:lang w:val="en-US" w:eastAsia="zh-CN"/>
        </w:rPr>
        <w:t>in</w:t>
      </w:r>
      <w:r>
        <w:rPr>
          <w:rFonts w:ascii="Times New Roman" w:hAnsi="Times New Roman" w:cs="Times New Roman"/>
          <w:color w:val="auto"/>
          <w:sz w:val="24"/>
          <w:szCs w:val="24"/>
        </w:rPr>
        <w:t xml:space="preserve"> the HR department in Apple Inc. </w:t>
      </w:r>
      <w:r>
        <w:rPr>
          <w:rFonts w:hint="eastAsia" w:ascii="Times New Roman" w:hAnsi="Times New Roman" w:eastAsia="宋体" w:cs="Times New Roman"/>
          <w:color w:val="auto"/>
          <w:sz w:val="24"/>
          <w:szCs w:val="24"/>
          <w:lang w:val="en-US" w:eastAsia="zh-CN"/>
        </w:rPr>
        <w:t xml:space="preserve">It </w:t>
      </w:r>
      <w:r>
        <w:rPr>
          <w:rFonts w:ascii="Times New Roman" w:hAnsi="Times New Roman" w:cs="Times New Roman"/>
          <w:color w:val="auto"/>
          <w:sz w:val="24"/>
          <w:szCs w:val="24"/>
        </w:rPr>
        <w:t xml:space="preserve">can develop to promote the well-being and uphold their performance (Ogbonnaya, Tillman &amp; Gonzalez, 2018). A whole-person approach is one of the recommendations </w:t>
      </w:r>
      <w:r>
        <w:rPr>
          <w:rFonts w:hint="eastAsia" w:ascii="Times New Roman" w:hAnsi="Times New Roman" w:eastAsia="宋体" w:cs="Times New Roman"/>
          <w:color w:val="auto"/>
          <w:sz w:val="24"/>
          <w:szCs w:val="24"/>
          <w:lang w:val="en-US" w:eastAsia="zh-CN"/>
        </w:rPr>
        <w:t>in</w:t>
      </w:r>
      <w:r>
        <w:rPr>
          <w:rFonts w:ascii="Times New Roman" w:hAnsi="Times New Roman" w:cs="Times New Roman"/>
          <w:color w:val="auto"/>
          <w:sz w:val="24"/>
          <w:szCs w:val="24"/>
        </w:rPr>
        <w:t xml:space="preserve"> Apple Inc</w:t>
      </w:r>
      <w:r>
        <w:rPr>
          <w:rFonts w:hint="eastAsia" w:ascii="Times New Roman" w:hAnsi="Times New Roman" w:eastAsia="宋体" w:cs="Times New Roman"/>
          <w:color w:val="auto"/>
          <w:sz w:val="24"/>
          <w:szCs w:val="24"/>
          <w:lang w:val="en-US" w:eastAsia="zh-CN"/>
        </w:rPr>
        <w:t xml:space="preserve"> </w:t>
      </w:r>
      <w:r>
        <w:rPr>
          <w:rFonts w:ascii="Times New Roman" w:hAnsi="Times New Roman" w:cs="Times New Roman"/>
          <w:color w:val="auto"/>
          <w:sz w:val="24"/>
          <w:szCs w:val="24"/>
        </w:rPr>
        <w:t>and the HR department has been advised to</w:t>
      </w:r>
      <w:r>
        <w:rPr>
          <w:rFonts w:hint="eastAsia" w:ascii="Times New Roman" w:hAnsi="Times New Roman" w:eastAsia="宋体" w:cs="Times New Roman"/>
          <w:color w:val="auto"/>
          <w:sz w:val="24"/>
          <w:szCs w:val="24"/>
          <w:lang w:val="en-US" w:eastAsia="zh-CN"/>
        </w:rPr>
        <w:t xml:space="preserve"> </w:t>
      </w:r>
      <w:r>
        <w:rPr>
          <w:rFonts w:ascii="Times New Roman" w:hAnsi="Times New Roman" w:cs="Times New Roman"/>
          <w:color w:val="auto"/>
          <w:sz w:val="24"/>
          <w:szCs w:val="24"/>
        </w:rPr>
        <w:t>ensure the well-being of employ</w:t>
      </w:r>
      <w:r>
        <w:rPr>
          <w:rFonts w:hint="eastAsia" w:ascii="Times New Roman" w:hAnsi="Times New Roman" w:eastAsia="宋体" w:cs="Times New Roman"/>
          <w:color w:val="auto"/>
          <w:sz w:val="24"/>
          <w:szCs w:val="24"/>
          <w:lang w:val="en-US" w:eastAsia="zh-CN"/>
        </w:rPr>
        <w:t>e</w:t>
      </w:r>
      <w:r>
        <w:rPr>
          <w:rFonts w:ascii="Times New Roman" w:hAnsi="Times New Roman" w:cs="Times New Roman"/>
          <w:color w:val="auto"/>
          <w:sz w:val="24"/>
          <w:szCs w:val="24"/>
        </w:rPr>
        <w:t xml:space="preserve">e is attained. The approach not only ensures the physical well-being of employees but also their financial and mental health. Through team work skills, the HR department will ensure that every worker interacts with each other through weekly or monthly team-building programs and promote interaction with each other. Team work is significant as it sets the employees in a good pace to develop new ideas, designs, and share out new ideas with each other and increase employee engagement. </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Communication skills will also play a significant role in upholding the well-being of employees and change their view about the company positively (Alawamleh et al., 2020). Communication is key in developing a work environment in a positive manner as clear communications will ensure employees understand the policies and benefits of the HR department (Tankovic, Kapes &amp; Kraljic, 2021). Such skills can be developed through introduction of role-playing exercises that allows to practice how they communicate with each other, develop real-scenario events to accelerate the skills of employees in communication and ensure the action of feedback is upheld. Communication resources and tools will also serve employee communication skills and assist in developin</w:t>
      </w:r>
      <w:r>
        <w:rPr>
          <w:rFonts w:ascii="Times New Roman" w:hAnsi="Times New Roman" w:cs="Times New Roman"/>
          <w:color w:val="auto"/>
          <w:sz w:val="24"/>
          <w:szCs w:val="24"/>
        </w:rPr>
        <w:t>g their expertise to air out their needs and wants (Alawamleh et al., 2020). For example, online training courses and communication templates can be applied by the HR and result to employees feeling appreciated and valued as their feedbacks and views are considered. The programs will also help employees apply the skills to communicate with their leaders and senior managers about their needs and ideas in an effective way. By educating employees on effective communication skills, they will be able to express themselves on working on their own when given out tasks and it will show the confidence of workers towards the responsibilities given out.</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Problem-solving skills has been upheld by different companies as employees face issues that can be solved through effective policies and measures put across by the HR department (Furlan, Galeazzo &amp; Paggiaro, 2019). Burnout and stress are among the main issues that faces employees in different companies and lacking skills to solve such issues can lead to resignation or quitting among workers. Developing skills on solving such issues in the company can promote well-being as workers will be able to handle every task with ease and have no stress to complete their responsibilities. Initiatives for continuous improvement are some of the steps to apply and increase the rate at which employees can solve every issue independently. For instance, focus groups and suggestion boxes are initiatives that can be put in place for workers to collect different information and insights among each other and detect the areas to improve (Waltz et al., 2020). Simulations and case studies are activities that can also help employees develop ways in which problems can be solved. Simulations and case studies provide workers with real-time situations that allows them to stimulate their ideas and generate ideas to solve the identified issue. </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Emotional intelligence skills create a conducive environment for employees and leaders to understand each other emotions and ways to handle each individual (Chaudhary et al., 2022). A HR with a high emotional intelligence will ensure every suggestion or problem aired out by employees is well understood and handled at its best (Karimi et al., 2021). Emotional intelligence skills help employees are they are able to create relationships with each other and foster a conducive culture at workplace. Emotional intelligence skills can be developed through team-building interactions and mentorship programs to enable openness of employees with each other. </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pStyle w:val="7"/>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ascii="Times New Roman" w:hAnsi="Times New Roman" w:cs="Times New Roman"/>
          <w:b/>
          <w:color w:val="auto"/>
          <w:sz w:val="24"/>
          <w:szCs w:val="24"/>
        </w:rPr>
      </w:pPr>
      <w:r>
        <w:rPr>
          <w:rFonts w:hint="eastAsia" w:ascii="Times New Roman" w:hAnsi="Times New Roman" w:eastAsia="宋体" w:cs="Times New Roman"/>
          <w:b/>
          <w:color w:val="auto"/>
          <w:sz w:val="24"/>
          <w:szCs w:val="24"/>
          <w:lang w:val="en-US" w:eastAsia="zh-CN"/>
        </w:rPr>
        <w:t xml:space="preserve">3. </w:t>
      </w:r>
      <w:r>
        <w:rPr>
          <w:rFonts w:ascii="Times New Roman" w:hAnsi="Times New Roman" w:cs="Times New Roman"/>
          <w:b/>
          <w:color w:val="auto"/>
          <w:sz w:val="24"/>
          <w:szCs w:val="24"/>
        </w:rPr>
        <w:t>Action Plan</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eastAsia="宋体" w:cs="Times New Roman"/>
          <w:color w:val="auto"/>
          <w:sz w:val="24"/>
          <w:szCs w:val="24"/>
          <w:lang w:val="en-US" w:eastAsia="zh-CN"/>
        </w:rPr>
      </w:pPr>
      <w:r>
        <w:rPr>
          <w:rFonts w:ascii="Times New Roman" w:hAnsi="Times New Roman" w:cs="Times New Roman"/>
          <w:color w:val="auto"/>
          <w:sz w:val="24"/>
          <w:szCs w:val="24"/>
        </w:rPr>
        <w:t xml:space="preserve">Employee well-being as a prioritized area in a company attracts employee performance and engagement and developing an action plan for the skills to be put in place will result to great development in a company. The action plan offers a company a brief and well-detailed strategy to follow for each skill to be attained (Indeed Editorial Team, 2022). By including the timescale of each skill, the HR department is able to know when the skill must have been achieved for the company to perform smoothly. </w:t>
      </w:r>
      <w:r>
        <w:rPr>
          <w:rFonts w:hint="eastAsia" w:ascii="Times New Roman" w:hAnsi="Times New Roman" w:eastAsia="宋体" w:cs="Times New Roman"/>
          <w:color w:val="auto"/>
          <w:sz w:val="24"/>
          <w:szCs w:val="24"/>
          <w:lang w:val="en-US" w:eastAsia="zh-CN"/>
        </w:rPr>
        <w:t>The specific modes are shown in the following table.</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39"/>
        <w:gridCol w:w="3794"/>
        <w:gridCol w:w="31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39" w:type="dxa"/>
          </w:tcPr>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b/>
                <w:color w:val="auto"/>
                <w:sz w:val="24"/>
                <w:szCs w:val="24"/>
              </w:rPr>
            </w:pPr>
            <w:r>
              <w:rPr>
                <w:rFonts w:ascii="Times New Roman" w:hAnsi="Times New Roman" w:cs="Times New Roman"/>
                <w:b/>
                <w:color w:val="auto"/>
                <w:sz w:val="24"/>
                <w:szCs w:val="24"/>
              </w:rPr>
              <w:t>Skills to Develop</w:t>
            </w:r>
          </w:p>
        </w:tc>
        <w:tc>
          <w:tcPr>
            <w:tcW w:w="3794" w:type="dxa"/>
          </w:tcPr>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b/>
                <w:color w:val="auto"/>
                <w:sz w:val="24"/>
                <w:szCs w:val="24"/>
              </w:rPr>
            </w:pPr>
            <w:r>
              <w:rPr>
                <w:rFonts w:ascii="Times New Roman" w:hAnsi="Times New Roman" w:cs="Times New Roman"/>
                <w:b/>
                <w:color w:val="auto"/>
                <w:sz w:val="24"/>
                <w:szCs w:val="24"/>
              </w:rPr>
              <w:t>Methods Used</w:t>
            </w:r>
          </w:p>
        </w:tc>
        <w:tc>
          <w:tcPr>
            <w:tcW w:w="3117" w:type="dxa"/>
          </w:tcPr>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b/>
                <w:color w:val="auto"/>
                <w:sz w:val="24"/>
                <w:szCs w:val="24"/>
              </w:rPr>
            </w:pPr>
            <w:r>
              <w:rPr>
                <w:rFonts w:ascii="Times New Roman" w:hAnsi="Times New Roman" w:cs="Times New Roman"/>
                <w:b/>
                <w:color w:val="auto"/>
                <w:sz w:val="24"/>
                <w:szCs w:val="24"/>
              </w:rPr>
              <w:t>Timescale for Skills’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39" w:type="dxa"/>
          </w:tcPr>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Team work</w:t>
            </w:r>
          </w:p>
        </w:tc>
        <w:tc>
          <w:tcPr>
            <w:tcW w:w="3794" w:type="dxa"/>
          </w:tcPr>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Team building programs</w:t>
            </w:r>
          </w:p>
        </w:tc>
        <w:tc>
          <w:tcPr>
            <w:tcW w:w="3117" w:type="dxa"/>
          </w:tcPr>
          <w:p>
            <w:pPr>
              <w:pStyle w:val="7"/>
              <w:keepNext w:val="0"/>
              <w:keepLines w:val="0"/>
              <w:pageBreakBefore w:val="0"/>
              <w:widowControl/>
              <w:numPr>
                <w:ilvl w:val="0"/>
                <w:numId w:val="1"/>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1 month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39" w:type="dxa"/>
          </w:tcPr>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Communication skills</w:t>
            </w:r>
          </w:p>
        </w:tc>
        <w:tc>
          <w:tcPr>
            <w:tcW w:w="3794" w:type="dxa"/>
          </w:tcPr>
          <w:p>
            <w:pPr>
              <w:pStyle w:val="7"/>
              <w:keepNext w:val="0"/>
              <w:keepLines w:val="0"/>
              <w:pageBreakBefore w:val="0"/>
              <w:widowControl/>
              <w:numPr>
                <w:ilvl w:val="0"/>
                <w:numId w:val="2"/>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Role-play exercises. </w:t>
            </w:r>
          </w:p>
          <w:p>
            <w:pPr>
              <w:pStyle w:val="7"/>
              <w:keepNext w:val="0"/>
              <w:keepLines w:val="0"/>
              <w:pageBreakBefore w:val="0"/>
              <w:widowControl/>
              <w:numPr>
                <w:ilvl w:val="0"/>
                <w:numId w:val="2"/>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Communication resources and tools such as online training courses and communication templates</w:t>
            </w:r>
          </w:p>
        </w:tc>
        <w:tc>
          <w:tcPr>
            <w:tcW w:w="3117" w:type="dxa"/>
          </w:tcPr>
          <w:p>
            <w:pPr>
              <w:pStyle w:val="7"/>
              <w:keepNext w:val="0"/>
              <w:keepLines w:val="0"/>
              <w:pageBreakBefore w:val="0"/>
              <w:widowControl/>
              <w:numPr>
                <w:ilvl w:val="0"/>
                <w:numId w:val="2"/>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2 weeks</w:t>
            </w:r>
          </w:p>
          <w:p>
            <w:pPr>
              <w:pStyle w:val="7"/>
              <w:keepNext w:val="0"/>
              <w:keepLines w:val="0"/>
              <w:pageBreakBefore w:val="0"/>
              <w:widowControl/>
              <w:numPr>
                <w:ilvl w:val="0"/>
                <w:numId w:val="2"/>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3 weeks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39" w:type="dxa"/>
          </w:tcPr>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Problem-solving </w:t>
            </w:r>
          </w:p>
        </w:tc>
        <w:tc>
          <w:tcPr>
            <w:tcW w:w="3794" w:type="dxa"/>
          </w:tcPr>
          <w:p>
            <w:pPr>
              <w:pStyle w:val="7"/>
              <w:keepNext w:val="0"/>
              <w:keepLines w:val="0"/>
              <w:pageBreakBefore w:val="0"/>
              <w:widowControl/>
              <w:numPr>
                <w:ilvl w:val="0"/>
                <w:numId w:val="3"/>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Initiatives for communication improvement such as focus groups and suggestion boxes.</w:t>
            </w:r>
          </w:p>
          <w:p>
            <w:pPr>
              <w:pStyle w:val="7"/>
              <w:keepNext w:val="0"/>
              <w:keepLines w:val="0"/>
              <w:pageBreakBefore w:val="0"/>
              <w:widowControl/>
              <w:numPr>
                <w:ilvl w:val="0"/>
                <w:numId w:val="3"/>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Simulations and case studies</w:t>
            </w:r>
          </w:p>
        </w:tc>
        <w:tc>
          <w:tcPr>
            <w:tcW w:w="3117" w:type="dxa"/>
          </w:tcPr>
          <w:p>
            <w:pPr>
              <w:pStyle w:val="7"/>
              <w:keepNext w:val="0"/>
              <w:keepLines w:val="0"/>
              <w:pageBreakBefore w:val="0"/>
              <w:widowControl/>
              <w:numPr>
                <w:ilvl w:val="0"/>
                <w:numId w:val="3"/>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1 month and a week</w:t>
            </w:r>
          </w:p>
          <w:p>
            <w:pPr>
              <w:pStyle w:val="7"/>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pStyle w:val="7"/>
              <w:keepNext w:val="0"/>
              <w:keepLines w:val="0"/>
              <w:pageBreakBefore w:val="0"/>
              <w:widowControl/>
              <w:kinsoku/>
              <w:wordWrap/>
              <w:overflowPunct/>
              <w:topLinePunct w:val="0"/>
              <w:autoSpaceDE/>
              <w:autoSpaceDN/>
              <w:bidi w:val="0"/>
              <w:adjustRightInd/>
              <w:snapToGrid/>
              <w:spacing w:after="0" w:line="360" w:lineRule="auto"/>
              <w:ind w:left="0" w:leftChars="0" w:firstLine="0" w:firstLineChars="0"/>
              <w:jc w:val="both"/>
              <w:textAlignment w:val="auto"/>
              <w:rPr>
                <w:rFonts w:ascii="Times New Roman" w:hAnsi="Times New Roman" w:cs="Times New Roman"/>
                <w:color w:val="auto"/>
                <w:sz w:val="24"/>
                <w:szCs w:val="24"/>
              </w:rPr>
            </w:pPr>
          </w:p>
          <w:p>
            <w:pPr>
              <w:pStyle w:val="7"/>
              <w:keepNext w:val="0"/>
              <w:keepLines w:val="0"/>
              <w:pageBreakBefore w:val="0"/>
              <w:widowControl/>
              <w:numPr>
                <w:ilvl w:val="0"/>
                <w:numId w:val="3"/>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1 week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39" w:type="dxa"/>
          </w:tcPr>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Emotional Intelligence</w:t>
            </w:r>
          </w:p>
        </w:tc>
        <w:tc>
          <w:tcPr>
            <w:tcW w:w="3794" w:type="dxa"/>
          </w:tcPr>
          <w:p>
            <w:pPr>
              <w:pStyle w:val="7"/>
              <w:keepNext w:val="0"/>
              <w:keepLines w:val="0"/>
              <w:pageBreakBefore w:val="0"/>
              <w:widowControl/>
              <w:numPr>
                <w:ilvl w:val="0"/>
                <w:numId w:val="4"/>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Team-building interactions and mentorship programs</w:t>
            </w:r>
          </w:p>
        </w:tc>
        <w:tc>
          <w:tcPr>
            <w:tcW w:w="3117" w:type="dxa"/>
          </w:tcPr>
          <w:p>
            <w:pPr>
              <w:pStyle w:val="7"/>
              <w:keepNext w:val="0"/>
              <w:keepLines w:val="0"/>
              <w:pageBreakBefore w:val="0"/>
              <w:widowControl/>
              <w:numPr>
                <w:ilvl w:val="0"/>
                <w:numId w:val="4"/>
              </w:numPr>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1 month</w:t>
            </w:r>
          </w:p>
        </w:tc>
      </w:tr>
    </w:tbl>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b/>
          <w:color w:val="auto"/>
          <w:sz w:val="24"/>
          <w:szCs w:val="24"/>
        </w:rPr>
      </w:pPr>
    </w:p>
    <w:p>
      <w:pPr>
        <w:pStyle w:val="7"/>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ascii="Times New Roman" w:hAnsi="Times New Roman" w:cs="Times New Roman"/>
          <w:b/>
          <w:i/>
          <w:color w:val="auto"/>
          <w:sz w:val="24"/>
          <w:szCs w:val="24"/>
        </w:rPr>
      </w:pPr>
      <w:r>
        <w:rPr>
          <w:rFonts w:hint="eastAsia" w:ascii="Times New Roman" w:hAnsi="Times New Roman" w:eastAsia="宋体" w:cs="Times New Roman"/>
          <w:b/>
          <w:color w:val="auto"/>
          <w:sz w:val="24"/>
          <w:szCs w:val="24"/>
          <w:lang w:val="en-US" w:eastAsia="zh-CN"/>
        </w:rPr>
        <w:t xml:space="preserve">4. </w:t>
      </w:r>
      <w:r>
        <w:rPr>
          <w:rFonts w:ascii="Times New Roman" w:hAnsi="Times New Roman" w:cs="Times New Roman"/>
          <w:b/>
          <w:color w:val="auto"/>
          <w:sz w:val="24"/>
          <w:szCs w:val="24"/>
        </w:rPr>
        <w:t>Conclusion</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eastAsia="宋体" w:cs="Times New Roman"/>
          <w:color w:val="auto"/>
          <w:sz w:val="24"/>
          <w:szCs w:val="24"/>
          <w:lang w:val="en-US" w:eastAsia="zh-CN"/>
        </w:rPr>
      </w:pPr>
      <w:r>
        <w:rPr>
          <w:rFonts w:ascii="Times New Roman" w:hAnsi="Times New Roman" w:cs="Times New Roman"/>
          <w:color w:val="auto"/>
          <w:sz w:val="24"/>
          <w:szCs w:val="24"/>
        </w:rPr>
        <w:t>Employee well-being is an area that the human resource department must adhere to as employees play a significant role in company’s performance and productivity. Skills such as team work, communication, problem-solving and emotional intelligence can be developed by the HR department as a way of ensuring employees work in a positive environment. For example, problem-solving skills can be developed by the HR through simulations and case studies to provide employees with real-time events and ways in which they can handle the issues. For all the suggested skills to be developed, the HR department is advised to formulate an action plan that offer a well-detailed data on the methods to use to achieve the skills. More so, the timescale put for each skill</w:t>
      </w:r>
      <w:r>
        <w:rPr>
          <w:rFonts w:hint="eastAsia" w:ascii="Times New Roman" w:hAnsi="Times New Roman" w:eastAsia="宋体" w:cs="Times New Roman"/>
          <w:color w:val="auto"/>
          <w:sz w:val="24"/>
          <w:szCs w:val="24"/>
          <w:lang w:val="en-US" w:eastAsia="zh-CN"/>
        </w:rPr>
        <w:t>s</w:t>
      </w:r>
      <w:r>
        <w:rPr>
          <w:rFonts w:ascii="Times New Roman" w:hAnsi="Times New Roman" w:cs="Times New Roman"/>
          <w:color w:val="auto"/>
          <w:sz w:val="24"/>
          <w:szCs w:val="24"/>
        </w:rPr>
        <w:t xml:space="preserve"> will help the department stay on track and promote employee well-being. </w:t>
      </w:r>
      <w:r>
        <w:rPr>
          <w:rFonts w:hint="eastAsia" w:ascii="Times New Roman" w:hAnsi="Times New Roman" w:eastAsia="宋体" w:cs="Times New Roman"/>
          <w:color w:val="auto"/>
          <w:sz w:val="24"/>
          <w:szCs w:val="24"/>
          <w:lang w:val="en-US" w:eastAsia="zh-CN"/>
        </w:rPr>
        <w:t>Ok!That is all for my demo. Thank you for watching.</w:t>
      </w: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b/>
          <w:color w:val="auto"/>
          <w:sz w:val="24"/>
          <w:szCs w:val="24"/>
        </w:rPr>
      </w:pPr>
      <w:r>
        <w:rPr>
          <w:rFonts w:ascii="Times New Roman" w:hAnsi="Times New Roman" w:cs="Times New Roman"/>
          <w:b/>
          <w:color w:val="auto"/>
          <w:sz w:val="24"/>
          <w:szCs w:val="24"/>
        </w:rPr>
        <w:t>References</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Alawamleh, M., Al-Twait, L.M. and Al-Saht, G.R., 2020. The effect of online learning on communication between instructors and students during Covid-19 pandemic. </w:t>
      </w:r>
      <w:r>
        <w:rPr>
          <w:rFonts w:ascii="Times New Roman" w:hAnsi="Times New Roman" w:cs="Times New Roman"/>
          <w:i/>
          <w:iCs/>
          <w:color w:val="auto"/>
          <w:sz w:val="24"/>
          <w:szCs w:val="24"/>
          <w:shd w:val="clear" w:color="auto" w:fill="FFFFFF"/>
        </w:rPr>
        <w:t>Asian Education and Development Studies</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11</w:t>
      </w:r>
      <w:r>
        <w:rPr>
          <w:rFonts w:ascii="Times New Roman" w:hAnsi="Times New Roman" w:cs="Times New Roman"/>
          <w:color w:val="auto"/>
          <w:sz w:val="24"/>
          <w:szCs w:val="24"/>
          <w:shd w:val="clear" w:color="auto" w:fill="FFFFFF"/>
        </w:rPr>
        <w:t>(2), pp.380-400.</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Chaudhary, P., Rohtagi, M., Singh, R.K. and Arora, S., 2022. Impact of leader's e-competencies on employees' wellbeing in global virtual teams during COVID-19: the moderating role of emotional intelligence. </w:t>
      </w:r>
      <w:r>
        <w:rPr>
          <w:rFonts w:ascii="Times New Roman" w:hAnsi="Times New Roman" w:cs="Times New Roman"/>
          <w:i/>
          <w:iCs/>
          <w:color w:val="auto"/>
          <w:sz w:val="24"/>
          <w:szCs w:val="24"/>
          <w:shd w:val="clear" w:color="auto" w:fill="FFFFFF"/>
        </w:rPr>
        <w:t>Employee Relations: The International Journal</w:t>
      </w:r>
      <w:r>
        <w:rPr>
          <w:rFonts w:ascii="Times New Roman" w:hAnsi="Times New Roman" w:cs="Times New Roman"/>
          <w:color w:val="auto"/>
          <w:sz w:val="24"/>
          <w:szCs w:val="24"/>
          <w:shd w:val="clear" w:color="auto" w:fill="FFFFFF"/>
        </w:rPr>
        <w:t>.</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Furlan, A., Galeazzo, A. and Paggiaro, A., 2019. Organizational and perceived learning in the workplace: a multilevel perspective on employees’ problem solving. </w:t>
      </w:r>
      <w:r>
        <w:rPr>
          <w:rFonts w:ascii="Times New Roman" w:hAnsi="Times New Roman" w:cs="Times New Roman"/>
          <w:i/>
          <w:iCs/>
          <w:color w:val="auto"/>
          <w:sz w:val="24"/>
          <w:szCs w:val="24"/>
          <w:shd w:val="clear" w:color="auto" w:fill="FFFFFF"/>
        </w:rPr>
        <w:t>Organization Science</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30</w:t>
      </w:r>
      <w:r>
        <w:rPr>
          <w:rFonts w:ascii="Times New Roman" w:hAnsi="Times New Roman" w:cs="Times New Roman"/>
          <w:color w:val="auto"/>
          <w:sz w:val="24"/>
          <w:szCs w:val="24"/>
          <w:shd w:val="clear" w:color="auto" w:fill="FFFFFF"/>
        </w:rPr>
        <w:t>(2), pp.280-297.</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Indeed Editorial Team., 2022: What is an Action Plan? Definition and how to make yours. </w:t>
      </w:r>
      <w:r>
        <w:rPr>
          <w:color w:val="auto"/>
        </w:rPr>
        <w:fldChar w:fldCharType="begin"/>
      </w:r>
      <w:r>
        <w:rPr>
          <w:color w:val="auto"/>
        </w:rPr>
        <w:instrText xml:space="preserve"> HYPERLINK "https://sg.indeed.com/career-advice/career-development/what-is-action-plan" </w:instrText>
      </w:r>
      <w:r>
        <w:rPr>
          <w:color w:val="auto"/>
        </w:rPr>
        <w:fldChar w:fldCharType="separate"/>
      </w:r>
      <w:r>
        <w:rPr>
          <w:rStyle w:val="6"/>
          <w:rFonts w:ascii="Times New Roman" w:hAnsi="Times New Roman" w:cs="Times New Roman"/>
          <w:color w:val="auto"/>
          <w:sz w:val="24"/>
          <w:szCs w:val="24"/>
        </w:rPr>
        <w:t>https://sg.indeed.com/career-advice/career-development/what-is-action-plan</w:t>
      </w:r>
      <w:r>
        <w:rPr>
          <w:rStyle w:val="6"/>
          <w:rFonts w:ascii="Times New Roman" w:hAnsi="Times New Roman" w:cs="Times New Roman"/>
          <w:color w:val="auto"/>
          <w:sz w:val="24"/>
          <w:szCs w:val="24"/>
        </w:rPr>
        <w:fldChar w:fldCharType="end"/>
      </w:r>
      <w:r>
        <w:rPr>
          <w:rFonts w:ascii="Times New Roman" w:hAnsi="Times New Roman" w:cs="Times New Roman"/>
          <w:color w:val="auto"/>
          <w:sz w:val="24"/>
          <w:szCs w:val="24"/>
        </w:rPr>
        <w:t xml:space="preserve"> (Accessed 27/4/2023).</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Karimi, L., Leggat, S.G., Bartram, T., Afshari, L., Sarkeshik, S. and Verulava, T., 2021. Emotional intelligence: predictor of employees’ wellbeing, quality of patient care, and psychological empowerment. </w:t>
      </w:r>
      <w:r>
        <w:rPr>
          <w:rFonts w:ascii="Times New Roman" w:hAnsi="Times New Roman" w:cs="Times New Roman"/>
          <w:i/>
          <w:iCs/>
          <w:color w:val="auto"/>
          <w:sz w:val="24"/>
          <w:szCs w:val="24"/>
          <w:shd w:val="clear" w:color="auto" w:fill="FFFFFF"/>
        </w:rPr>
        <w:t>BMC psychology</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9</w:t>
      </w:r>
      <w:r>
        <w:rPr>
          <w:rFonts w:ascii="Times New Roman" w:hAnsi="Times New Roman" w:cs="Times New Roman"/>
          <w:color w:val="auto"/>
          <w:sz w:val="24"/>
          <w:szCs w:val="24"/>
          <w:shd w:val="clear" w:color="auto" w:fill="FFFFFF"/>
        </w:rPr>
        <w:t>(1), pp.1-7.</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shd w:val="clear" w:color="auto" w:fill="FFFFFF"/>
        </w:rPr>
        <w:t>Oddo, V.M., Zhuang, C.C., Andrea, S.B., Eisenberg-Guyot, J., Peckham, T., Jacoby, D. and Hajat, A., 2021. Changes in precarious employment in the United States: A longitudinal analysis. </w:t>
      </w:r>
      <w:r>
        <w:rPr>
          <w:rFonts w:ascii="Times New Roman" w:hAnsi="Times New Roman" w:cs="Times New Roman"/>
          <w:i/>
          <w:iCs/>
          <w:color w:val="auto"/>
          <w:sz w:val="24"/>
          <w:szCs w:val="24"/>
          <w:shd w:val="clear" w:color="auto" w:fill="FFFFFF"/>
        </w:rPr>
        <w:t>Scandinavian Journal of Work, Environment &amp; Health</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47</w:t>
      </w:r>
      <w:r>
        <w:rPr>
          <w:rFonts w:ascii="Times New Roman" w:hAnsi="Times New Roman" w:cs="Times New Roman"/>
          <w:color w:val="auto"/>
          <w:sz w:val="24"/>
          <w:szCs w:val="24"/>
          <w:shd w:val="clear" w:color="auto" w:fill="FFFFFF"/>
        </w:rPr>
        <w:t>(3), p.171.</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Ogbonnaya, C., Tillman, C.J. and Gonzalez, K., 2018. Perceived organizational support in health care: The importance of teamwork and training for employee well-being and patient satisfaction. </w:t>
      </w:r>
      <w:r>
        <w:rPr>
          <w:rFonts w:ascii="Times New Roman" w:hAnsi="Times New Roman" w:cs="Times New Roman"/>
          <w:i/>
          <w:iCs/>
          <w:color w:val="auto"/>
          <w:sz w:val="24"/>
          <w:szCs w:val="24"/>
          <w:shd w:val="clear" w:color="auto" w:fill="FFFFFF"/>
        </w:rPr>
        <w:t>Group &amp; Organization Management</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43</w:t>
      </w:r>
      <w:r>
        <w:rPr>
          <w:rFonts w:ascii="Times New Roman" w:hAnsi="Times New Roman" w:cs="Times New Roman"/>
          <w:color w:val="auto"/>
          <w:sz w:val="24"/>
          <w:szCs w:val="24"/>
          <w:shd w:val="clear" w:color="auto" w:fill="FFFFFF"/>
        </w:rPr>
        <w:t>(3), pp.475-503.</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Tanković, A.C., Kapeš, J. and Kraljić, V., 2021. Importance of soft skills and communication skills in tourism: Viewpoint from tourists and future tourism employees. </w:t>
      </w:r>
      <w:r>
        <w:rPr>
          <w:rFonts w:ascii="Times New Roman" w:hAnsi="Times New Roman" w:cs="Times New Roman"/>
          <w:i/>
          <w:iCs/>
          <w:color w:val="auto"/>
          <w:sz w:val="24"/>
          <w:szCs w:val="24"/>
          <w:shd w:val="clear" w:color="auto" w:fill="FFFFFF"/>
        </w:rPr>
        <w:t>Tourism in Southern and Eastern Europe...</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6</w:t>
      </w:r>
      <w:r>
        <w:rPr>
          <w:rFonts w:ascii="Times New Roman" w:hAnsi="Times New Roman" w:cs="Times New Roman"/>
          <w:color w:val="auto"/>
          <w:sz w:val="24"/>
          <w:szCs w:val="24"/>
          <w:shd w:val="clear" w:color="auto" w:fill="FFFFFF"/>
        </w:rPr>
        <w:t>, pp.167-185.</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Waltz, L.A., Munoz, L., Weber Johnson, H. and Rodriguez, T., 2020. Exploring job satisfaction and workplace engagement in millennial nurses. </w:t>
      </w:r>
      <w:r>
        <w:rPr>
          <w:rFonts w:ascii="Times New Roman" w:hAnsi="Times New Roman" w:cs="Times New Roman"/>
          <w:i/>
          <w:iCs/>
          <w:color w:val="auto"/>
          <w:sz w:val="24"/>
          <w:szCs w:val="24"/>
          <w:shd w:val="clear" w:color="auto" w:fill="FFFFFF"/>
        </w:rPr>
        <w:t>Journal of nursing management</w:t>
      </w:r>
      <w:r>
        <w:rPr>
          <w:rFonts w:ascii="Times New Roman" w:hAnsi="Times New Roman" w:cs="Times New Roman"/>
          <w:color w:val="auto"/>
          <w:sz w:val="24"/>
          <w:szCs w:val="24"/>
          <w:shd w:val="clear" w:color="auto" w:fill="FFFFFF"/>
        </w:rPr>
        <w:t>, </w:t>
      </w:r>
      <w:r>
        <w:rPr>
          <w:rFonts w:ascii="Times New Roman" w:hAnsi="Times New Roman" w:cs="Times New Roman"/>
          <w:i/>
          <w:iCs/>
          <w:color w:val="auto"/>
          <w:sz w:val="24"/>
          <w:szCs w:val="24"/>
          <w:shd w:val="clear" w:color="auto" w:fill="FFFFFF"/>
        </w:rPr>
        <w:t>28</w:t>
      </w:r>
      <w:r>
        <w:rPr>
          <w:rFonts w:ascii="Times New Roman" w:hAnsi="Times New Roman" w:cs="Times New Roman"/>
          <w:color w:val="auto"/>
          <w:sz w:val="24"/>
          <w:szCs w:val="24"/>
          <w:shd w:val="clear" w:color="auto" w:fill="FFFFFF"/>
        </w:rPr>
        <w:t>(3), pp.673-681.</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hint="default" w:ascii="Times New Roman" w:hAnsi="Times New Roman" w:cs="Times New Roman"/>
          <w:color w:val="auto"/>
          <w:sz w:val="24"/>
          <w:szCs w:val="24"/>
          <w:u w:val="none"/>
        </w:rPr>
      </w:pPr>
      <w:r>
        <w:rPr>
          <w:rFonts w:hint="default" w:ascii="Times New Roman" w:hAnsi="Times New Roman" w:cs="Times New Roman"/>
          <w:color w:val="auto"/>
          <w:sz w:val="24"/>
          <w:szCs w:val="24"/>
          <w:u w:val="none"/>
          <w:shd w:val="clear" w:color="auto" w:fill="FFFFFF"/>
        </w:rPr>
        <w:t xml:space="preserve">Pattnaik, L. and </w:t>
      </w:r>
      <w:bookmarkStart w:id="0" w:name="_GoBack"/>
      <w:bookmarkEnd w:id="0"/>
      <w:r>
        <w:rPr>
          <w:rFonts w:hint="default" w:ascii="Times New Roman" w:hAnsi="Times New Roman" w:cs="Times New Roman"/>
          <w:color w:val="auto"/>
          <w:sz w:val="24"/>
          <w:szCs w:val="24"/>
          <w:u w:val="none"/>
          <w:shd w:val="clear" w:color="auto" w:fill="FFFFFF"/>
        </w:rPr>
        <w:t>Jena, L.K., 2020. Mindfulness, remote engagement and employee morale: Conceptual analysis to address the “new normal”. </w:t>
      </w:r>
      <w:r>
        <w:rPr>
          <w:rFonts w:hint="default" w:ascii="Times New Roman" w:hAnsi="Times New Roman" w:cs="Times New Roman"/>
          <w:i/>
          <w:iCs/>
          <w:color w:val="auto"/>
          <w:sz w:val="24"/>
          <w:szCs w:val="24"/>
          <w:u w:val="none"/>
          <w:shd w:val="clear" w:color="auto" w:fill="FFFFFF"/>
        </w:rPr>
        <w:t>International Journal of Organizational Analysis</w:t>
      </w:r>
      <w:r>
        <w:rPr>
          <w:rFonts w:hint="default" w:ascii="Times New Roman" w:hAnsi="Times New Roman" w:cs="Times New Roman"/>
          <w:color w:val="auto"/>
          <w:sz w:val="24"/>
          <w:szCs w:val="24"/>
          <w:u w:val="none"/>
          <w:shd w:val="clear" w:color="auto" w:fill="FFFFFF"/>
        </w:rPr>
        <w:t>, </w:t>
      </w:r>
      <w:r>
        <w:rPr>
          <w:rFonts w:hint="default" w:ascii="Times New Roman" w:hAnsi="Times New Roman" w:cs="Times New Roman"/>
          <w:i/>
          <w:iCs/>
          <w:color w:val="auto"/>
          <w:sz w:val="24"/>
          <w:szCs w:val="24"/>
          <w:u w:val="none"/>
          <w:shd w:val="clear" w:color="auto" w:fill="FFFFFF"/>
        </w:rPr>
        <w:t>29</w:t>
      </w:r>
      <w:r>
        <w:rPr>
          <w:rFonts w:hint="default" w:ascii="Times New Roman" w:hAnsi="Times New Roman" w:cs="Times New Roman"/>
          <w:color w:val="auto"/>
          <w:sz w:val="24"/>
          <w:szCs w:val="24"/>
          <w:u w:val="none"/>
          <w:shd w:val="clear" w:color="auto" w:fill="FFFFFF"/>
        </w:rPr>
        <w:t>(4), pp.873-890.</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hint="default" w:ascii="Times New Roman" w:hAnsi="Times New Roman" w:cs="Times New Roman"/>
          <w:color w:val="auto"/>
          <w:sz w:val="24"/>
          <w:szCs w:val="24"/>
          <w:u w:val="none"/>
        </w:rPr>
      </w:pPr>
      <w:r>
        <w:rPr>
          <w:rFonts w:hint="default" w:ascii="Times New Roman" w:hAnsi="Times New Roman" w:cs="Times New Roman"/>
          <w:color w:val="auto"/>
          <w:sz w:val="24"/>
          <w:szCs w:val="24"/>
          <w:u w:val="none"/>
          <w:shd w:val="clear" w:color="auto" w:fill="FFFFFF"/>
        </w:rPr>
        <w:t>Pezaro, S., 2018. Theories of work-related stress. </w:t>
      </w:r>
      <w:r>
        <w:rPr>
          <w:rFonts w:hint="default" w:ascii="Times New Roman" w:hAnsi="Times New Roman" w:cs="Times New Roman"/>
          <w:i/>
          <w:iCs/>
          <w:color w:val="auto"/>
          <w:sz w:val="24"/>
          <w:szCs w:val="24"/>
          <w:u w:val="none"/>
          <w:shd w:val="clear" w:color="auto" w:fill="FFFFFF"/>
        </w:rPr>
        <w:t>Accessed on December</w:t>
      </w:r>
      <w:r>
        <w:rPr>
          <w:rFonts w:hint="default" w:ascii="Times New Roman" w:hAnsi="Times New Roman" w:cs="Times New Roman"/>
          <w:color w:val="auto"/>
          <w:sz w:val="24"/>
          <w:szCs w:val="24"/>
          <w:u w:val="none"/>
          <w:shd w:val="clear" w:color="auto" w:fill="FFFFFF"/>
        </w:rPr>
        <w:t>, </w:t>
      </w:r>
      <w:r>
        <w:rPr>
          <w:rFonts w:hint="default" w:ascii="Times New Roman" w:hAnsi="Times New Roman" w:cs="Times New Roman"/>
          <w:i/>
          <w:iCs/>
          <w:color w:val="auto"/>
          <w:sz w:val="24"/>
          <w:szCs w:val="24"/>
          <w:u w:val="none"/>
          <w:shd w:val="clear" w:color="auto" w:fill="FFFFFF"/>
        </w:rPr>
        <w:t>18</w:t>
      </w:r>
      <w:r>
        <w:rPr>
          <w:rFonts w:hint="default" w:ascii="Times New Roman" w:hAnsi="Times New Roman" w:cs="Times New Roman"/>
          <w:color w:val="auto"/>
          <w:sz w:val="24"/>
          <w:szCs w:val="24"/>
          <w:u w:val="none"/>
          <w:shd w:val="clear" w:color="auto" w:fill="FFFFFF"/>
        </w:rPr>
        <w:t>, p.2019.</w:t>
      </w:r>
    </w:p>
    <w:p>
      <w:pPr>
        <w:keepNext w:val="0"/>
        <w:keepLines w:val="0"/>
        <w:pageBreakBefore w:val="0"/>
        <w:widowControl/>
        <w:kinsoku/>
        <w:wordWrap/>
        <w:overflowPunct/>
        <w:topLinePunct w:val="0"/>
        <w:autoSpaceDE/>
        <w:autoSpaceDN/>
        <w:bidi w:val="0"/>
        <w:adjustRightInd/>
        <w:snapToGrid/>
        <w:spacing w:after="0" w:line="360" w:lineRule="auto"/>
        <w:ind w:left="720" w:hanging="720"/>
        <w:jc w:val="both"/>
        <w:textAlignment w:val="auto"/>
        <w:rPr>
          <w:rFonts w:ascii="Times New Roman" w:hAnsi="Times New Roman" w:cs="Times New Roman"/>
          <w:color w:val="auto"/>
          <w:sz w:val="24"/>
          <w:szCs w:val="24"/>
          <w:shd w:val="clear" w:color="auto" w:fill="FFFFFF"/>
        </w:rPr>
      </w:pPr>
    </w:p>
    <w:p>
      <w:pPr>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ascii="Times New Roman" w:hAnsi="Times New Roman" w:cs="Times New Roman"/>
          <w:color w:val="auto"/>
          <w:sz w:val="24"/>
          <w:szCs w:val="24"/>
        </w:rPr>
      </w:pPr>
      <w:r>
        <w:rPr>
          <w:rFonts w:ascii="Times New Roman" w:hAnsi="Times New Roman" w:cs="Times New Roman"/>
          <w:b/>
          <w:bCs/>
          <w:color w:val="auto"/>
          <w:sz w:val="24"/>
          <w:szCs w:val="24"/>
        </w:rPr>
        <w:t>Direct link to video：</w:t>
      </w:r>
      <w:r>
        <w:rPr>
          <w:rFonts w:hint="eastAsia" w:ascii="Times New Roman" w:hAnsi="Times New Roman" w:cs="Times New Roman"/>
          <w:color w:val="auto"/>
          <w:sz w:val="24"/>
          <w:szCs w:val="24"/>
        </w:rPr>
        <w:t>https://web.microsoftstream.com/video/ae619b9a-193a-4883-90c5-bb9f30fc8f82</w:t>
      </w: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E7512C"/>
    <w:multiLevelType w:val="multilevel"/>
    <w:tmpl w:val="03E7512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8E01AAD"/>
    <w:multiLevelType w:val="multilevel"/>
    <w:tmpl w:val="08E01AA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097C180F"/>
    <w:multiLevelType w:val="multilevel"/>
    <w:tmpl w:val="097C180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2B96C0B"/>
    <w:multiLevelType w:val="multilevel"/>
    <w:tmpl w:val="72B96C0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U0ODMyMGY1YWZjOTg1Nzk3YWIzOGRhNzgyZjRmZTQifQ=="/>
  </w:docVars>
  <w:rsids>
    <w:rsidRoot w:val="531C37EB"/>
    <w:rsid w:val="1A725422"/>
    <w:rsid w:val="2BEA293F"/>
    <w:rsid w:val="34DD1293"/>
    <w:rsid w:val="38E4201A"/>
    <w:rsid w:val="3E1E2D6D"/>
    <w:rsid w:val="4B105AC6"/>
    <w:rsid w:val="531C37EB"/>
    <w:rsid w:val="593B17C6"/>
    <w:rsid w:val="6BE566A3"/>
    <w:rsid w:val="7284413E"/>
    <w:rsid w:val="7FA51C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3"/>
    <w:basedOn w:val="1"/>
    <w:next w:val="1"/>
    <w:semiHidden/>
    <w:unhideWhenUsed/>
    <w:qFormat/>
    <w:uiPriority w:val="0"/>
    <w:pPr>
      <w:keepNext/>
      <w:keepLines/>
      <w:spacing w:before="260" w:beforeLines="0" w:beforeAutospacing="0" w:after="260" w:afterLines="0" w:afterAutospacing="0" w:line="413" w:lineRule="auto"/>
      <w:outlineLvl w:val="2"/>
    </w:pPr>
    <w:rPr>
      <w:rFonts w:ascii="Times New Roman" w:hAnsi="Times New Roman"/>
      <w:b/>
      <w:sz w:val="24"/>
    </w:rPr>
  </w:style>
  <w:style w:type="character" w:default="1" w:styleId="5">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 w:type="table" w:styleId="4">
    <w:name w:val="Table Grid"/>
    <w:basedOn w:val="3"/>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6">
    <w:name w:val="Hyperlink"/>
    <w:basedOn w:val="5"/>
    <w:semiHidden/>
    <w:unhideWhenUsed/>
    <w:qFormat/>
    <w:uiPriority w:val="99"/>
    <w:rPr>
      <w:color w:val="0000FF"/>
      <w:u w:val="single"/>
    </w:rPr>
  </w:style>
  <w:style w:type="paragraph" w:styleId="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1400</Words>
  <Characters>7989</Characters>
  <Lines>0</Lines>
  <Paragraphs>0</Paragraphs>
  <TotalTime>23</TotalTime>
  <ScaleCrop>false</ScaleCrop>
  <LinksUpToDate>false</LinksUpToDate>
  <CharactersWithSpaces>9338</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2023-04-28T00:17:00Z</dcterms:created>
  <dc:creator>WPS_1667956368</dc:creator>
  <cp:lastModifiedBy>尤他</cp:lastModifiedBy>
  <dcterms:modified xsi:type="dcterms:W3CDTF">2023-04-28T16:03:53Z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E1C6781D5601449A83910C966F48CC0E_13</vt:lpwstr>
  </property>
</Properties>
</file>