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EFE16" w14:textId="77777777" w:rsidR="00B501C2" w:rsidRPr="0054132D" w:rsidRDefault="00B501C2" w:rsidP="00B501C2">
      <w:pPr>
        <w:spacing w:line="360" w:lineRule="auto"/>
        <w:jc w:val="center"/>
        <w:rPr>
          <w:rFonts w:ascii="Arial" w:hAnsi="Arial" w:cs="Arial"/>
          <w:color w:val="000000" w:themeColor="text1"/>
        </w:rPr>
      </w:pPr>
      <w:r w:rsidRPr="0054132D">
        <w:rPr>
          <w:rFonts w:ascii="Arial" w:hAnsi="Arial" w:cs="Arial"/>
          <w:noProof/>
          <w:color w:val="000000" w:themeColor="text1"/>
          <w:lang w:eastAsia="en-GB"/>
        </w:rPr>
        <w:drawing>
          <wp:anchor distT="0" distB="0" distL="114300" distR="114300" simplePos="0" relativeHeight="251659264" behindDoc="0" locked="0" layoutInCell="1" allowOverlap="1" wp14:anchorId="6D37D3E4" wp14:editId="11C8B70F">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42C67A84" w14:textId="77777777" w:rsidR="00B501C2" w:rsidRPr="0054132D" w:rsidRDefault="00B501C2" w:rsidP="00B501C2">
      <w:pPr>
        <w:spacing w:line="360" w:lineRule="auto"/>
        <w:jc w:val="center"/>
        <w:rPr>
          <w:rFonts w:ascii="Arial" w:hAnsi="Arial" w:cs="Arial"/>
          <w:b/>
          <w:bCs/>
          <w:color w:val="000000" w:themeColor="text1"/>
          <w:sz w:val="52"/>
          <w:szCs w:val="52"/>
        </w:rPr>
      </w:pPr>
      <w:r w:rsidRPr="0054132D">
        <w:rPr>
          <w:rFonts w:ascii="Arial" w:hAnsi="Arial" w:cs="Arial"/>
          <w:b/>
          <w:bCs/>
          <w:color w:val="000000" w:themeColor="text1"/>
          <w:sz w:val="52"/>
          <w:szCs w:val="52"/>
        </w:rPr>
        <w:t>Master of Business Administration</w:t>
      </w:r>
    </w:p>
    <w:p w14:paraId="535702B4" w14:textId="62AF8E09" w:rsidR="00B501C2" w:rsidRPr="0033687D" w:rsidRDefault="00B501C2" w:rsidP="00B501C2">
      <w:pPr>
        <w:spacing w:line="360" w:lineRule="auto"/>
        <w:jc w:val="center"/>
        <w:rPr>
          <w:rFonts w:ascii="Arial" w:hAnsi="Arial" w:cs="Arial"/>
          <w:b/>
          <w:bCs/>
          <w:color w:val="000000" w:themeColor="text1"/>
          <w:sz w:val="28"/>
          <w:szCs w:val="28"/>
        </w:rPr>
      </w:pPr>
      <w:r w:rsidRPr="0033687D">
        <w:rPr>
          <w:rFonts w:ascii="Arial" w:hAnsi="Arial" w:cs="Arial"/>
          <w:b/>
          <w:bCs/>
          <w:color w:val="000000" w:themeColor="text1"/>
          <w:sz w:val="28"/>
          <w:szCs w:val="28"/>
        </w:rPr>
        <w:t xml:space="preserve">Student Name: </w:t>
      </w:r>
      <w:r w:rsidR="0033687D" w:rsidRPr="0033687D">
        <w:rPr>
          <w:rFonts w:ascii="Arial" w:hAnsi="Arial" w:cs="Arial"/>
          <w:b/>
          <w:bCs/>
          <w:color w:val="000000" w:themeColor="text1"/>
          <w:sz w:val="28"/>
          <w:szCs w:val="28"/>
        </w:rPr>
        <w:t>Tanvir Ahmed Tipu</w:t>
      </w:r>
      <w:bookmarkStart w:id="0" w:name="_GoBack"/>
      <w:bookmarkEnd w:id="0"/>
    </w:p>
    <w:p w14:paraId="4C0F8AAF" w14:textId="50796247" w:rsidR="00B501C2" w:rsidRPr="0033687D" w:rsidRDefault="00B501C2" w:rsidP="00B501C2">
      <w:pPr>
        <w:spacing w:line="360" w:lineRule="auto"/>
        <w:jc w:val="center"/>
        <w:rPr>
          <w:rFonts w:ascii="Arial" w:hAnsi="Arial" w:cs="Arial"/>
          <w:b/>
          <w:bCs/>
          <w:color w:val="000000" w:themeColor="text1"/>
          <w:sz w:val="28"/>
          <w:szCs w:val="28"/>
        </w:rPr>
      </w:pPr>
      <w:r w:rsidRPr="0033687D">
        <w:rPr>
          <w:rFonts w:ascii="Arial" w:hAnsi="Arial" w:cs="Arial"/>
          <w:b/>
          <w:bCs/>
          <w:color w:val="000000" w:themeColor="text1"/>
          <w:sz w:val="28"/>
          <w:szCs w:val="28"/>
        </w:rPr>
        <w:t>Student Number:</w:t>
      </w:r>
      <w:r w:rsidRPr="0033687D">
        <w:rPr>
          <w:rFonts w:ascii="Arial" w:hAnsi="Arial" w:cs="Arial"/>
          <w:color w:val="000000" w:themeColor="text1"/>
          <w:sz w:val="24"/>
          <w:szCs w:val="24"/>
        </w:rPr>
        <w:t xml:space="preserve"> </w:t>
      </w:r>
      <w:r w:rsidR="006E0AA8">
        <w:rPr>
          <w:rFonts w:ascii="Arial" w:hAnsi="Arial" w:cs="Arial"/>
          <w:color w:val="000000" w:themeColor="text1"/>
          <w:sz w:val="24"/>
          <w:szCs w:val="24"/>
        </w:rPr>
        <w:t>2504655</w:t>
      </w:r>
    </w:p>
    <w:p w14:paraId="0B482682" w14:textId="77777777" w:rsidR="00B501C2" w:rsidRPr="0033687D" w:rsidRDefault="00B501C2" w:rsidP="00B501C2">
      <w:pPr>
        <w:spacing w:line="360" w:lineRule="auto"/>
        <w:jc w:val="center"/>
        <w:rPr>
          <w:rFonts w:ascii="Arial" w:hAnsi="Arial" w:cs="Arial"/>
          <w:color w:val="000000" w:themeColor="text1"/>
          <w:sz w:val="28"/>
          <w:szCs w:val="28"/>
        </w:rPr>
      </w:pPr>
      <w:r w:rsidRPr="0033687D">
        <w:rPr>
          <w:rFonts w:ascii="Arial" w:hAnsi="Arial" w:cs="Arial"/>
          <w:b/>
          <w:bCs/>
          <w:color w:val="000000" w:themeColor="text1"/>
          <w:sz w:val="28"/>
          <w:szCs w:val="28"/>
        </w:rPr>
        <w:t>Course Name:</w:t>
      </w:r>
      <w:r w:rsidRPr="0033687D">
        <w:rPr>
          <w:rFonts w:ascii="Arial" w:hAnsi="Arial" w:cs="Arial"/>
          <w:color w:val="000000" w:themeColor="text1"/>
          <w:sz w:val="28"/>
          <w:szCs w:val="28"/>
        </w:rPr>
        <w:t xml:space="preserve"> Strategic Management</w:t>
      </w:r>
    </w:p>
    <w:p w14:paraId="69F9EEEA" w14:textId="77777777" w:rsidR="00B501C2" w:rsidRPr="0033687D" w:rsidRDefault="00B501C2" w:rsidP="00B501C2">
      <w:pPr>
        <w:spacing w:line="360" w:lineRule="auto"/>
        <w:jc w:val="center"/>
        <w:rPr>
          <w:rFonts w:ascii="Arial" w:hAnsi="Arial" w:cs="Arial"/>
          <w:color w:val="000000" w:themeColor="text1"/>
          <w:sz w:val="28"/>
          <w:szCs w:val="28"/>
        </w:rPr>
      </w:pPr>
      <w:r w:rsidRPr="0033687D">
        <w:rPr>
          <w:rFonts w:ascii="Arial" w:hAnsi="Arial" w:cs="Arial"/>
          <w:b/>
          <w:bCs/>
          <w:color w:val="000000" w:themeColor="text1"/>
          <w:sz w:val="28"/>
          <w:szCs w:val="28"/>
        </w:rPr>
        <w:t>Module code:</w:t>
      </w:r>
      <w:r w:rsidRPr="0033687D">
        <w:rPr>
          <w:rFonts w:ascii="Arial" w:hAnsi="Arial" w:cs="Arial"/>
          <w:color w:val="000000" w:themeColor="text1"/>
          <w:sz w:val="28"/>
          <w:szCs w:val="28"/>
        </w:rPr>
        <w:t xml:space="preserve"> LCMB7003</w:t>
      </w:r>
    </w:p>
    <w:p w14:paraId="344F6EDC" w14:textId="768D1072" w:rsidR="00B501C2" w:rsidRPr="0033687D" w:rsidRDefault="00B501C2" w:rsidP="00B501C2">
      <w:pPr>
        <w:spacing w:line="360" w:lineRule="auto"/>
        <w:jc w:val="center"/>
        <w:rPr>
          <w:rFonts w:ascii="Arial" w:hAnsi="Arial" w:cs="Arial"/>
          <w:color w:val="000000" w:themeColor="text1"/>
          <w:sz w:val="28"/>
          <w:szCs w:val="28"/>
        </w:rPr>
      </w:pPr>
      <w:r w:rsidRPr="0033687D">
        <w:rPr>
          <w:rFonts w:ascii="Arial" w:hAnsi="Arial" w:cs="Arial"/>
          <w:b/>
          <w:bCs/>
          <w:color w:val="000000" w:themeColor="text1"/>
          <w:sz w:val="28"/>
          <w:szCs w:val="28"/>
        </w:rPr>
        <w:t xml:space="preserve">Lecturer Name: </w:t>
      </w:r>
      <w:r w:rsidR="00043673" w:rsidRPr="0033687D">
        <w:rPr>
          <w:rFonts w:ascii="Arial" w:hAnsi="Arial" w:cs="Arial"/>
          <w:b/>
          <w:bCs/>
          <w:color w:val="000000" w:themeColor="text1"/>
          <w:sz w:val="28"/>
          <w:szCs w:val="28"/>
        </w:rPr>
        <w:t>Amare Desta</w:t>
      </w:r>
    </w:p>
    <w:p w14:paraId="665CBE51" w14:textId="6211E70D" w:rsidR="00B501C2" w:rsidRPr="0033687D" w:rsidRDefault="00B501C2" w:rsidP="00B501C2">
      <w:pPr>
        <w:spacing w:line="360" w:lineRule="auto"/>
        <w:jc w:val="center"/>
        <w:rPr>
          <w:rFonts w:ascii="Arial" w:hAnsi="Arial" w:cs="Arial"/>
          <w:b/>
          <w:bCs/>
          <w:i/>
          <w:iCs/>
          <w:color w:val="000000" w:themeColor="text1"/>
          <w:sz w:val="28"/>
          <w:szCs w:val="28"/>
        </w:rPr>
      </w:pPr>
      <w:r w:rsidRPr="0033687D">
        <w:rPr>
          <w:rFonts w:ascii="Arial" w:hAnsi="Arial" w:cs="Arial"/>
          <w:b/>
          <w:bCs/>
          <w:color w:val="000000" w:themeColor="text1"/>
          <w:sz w:val="28"/>
          <w:szCs w:val="28"/>
        </w:rPr>
        <w:t xml:space="preserve">Word count: </w:t>
      </w:r>
      <w:r w:rsidR="00423E3B" w:rsidRPr="0033687D">
        <w:rPr>
          <w:rFonts w:ascii="Arial" w:hAnsi="Arial" w:cs="Arial"/>
          <w:b/>
          <w:bCs/>
          <w:color w:val="000000" w:themeColor="text1"/>
          <w:sz w:val="28"/>
          <w:szCs w:val="28"/>
        </w:rPr>
        <w:t>5</w:t>
      </w:r>
      <w:r w:rsidR="003A0E0D" w:rsidRPr="0033687D">
        <w:rPr>
          <w:rFonts w:ascii="Arial" w:hAnsi="Arial" w:cs="Arial"/>
          <w:b/>
          <w:bCs/>
          <w:color w:val="000000" w:themeColor="text1"/>
          <w:sz w:val="28"/>
          <w:szCs w:val="28"/>
        </w:rPr>
        <w:t>355</w:t>
      </w:r>
    </w:p>
    <w:p w14:paraId="0EFE25CF" w14:textId="699E8EC5" w:rsidR="00B501C2" w:rsidRPr="0054132D" w:rsidRDefault="00B501C2" w:rsidP="00B501C2">
      <w:pPr>
        <w:spacing w:line="360" w:lineRule="auto"/>
        <w:jc w:val="center"/>
        <w:rPr>
          <w:rFonts w:ascii="Arial" w:hAnsi="Arial" w:cs="Arial"/>
          <w:color w:val="000000" w:themeColor="text1"/>
          <w:sz w:val="32"/>
          <w:szCs w:val="32"/>
        </w:rPr>
      </w:pPr>
      <w:r w:rsidRPr="0033687D">
        <w:rPr>
          <w:rFonts w:ascii="Arial" w:hAnsi="Arial" w:cs="Arial"/>
          <w:b/>
          <w:bCs/>
          <w:color w:val="000000" w:themeColor="text1"/>
          <w:sz w:val="28"/>
          <w:szCs w:val="28"/>
        </w:rPr>
        <w:t xml:space="preserve">Submission deadline: </w:t>
      </w:r>
      <w:r w:rsidR="005624CB" w:rsidRPr="0033687D">
        <w:rPr>
          <w:rFonts w:ascii="Arial" w:hAnsi="Arial" w:cs="Arial"/>
          <w:b/>
          <w:bCs/>
          <w:color w:val="000000" w:themeColor="text1"/>
          <w:sz w:val="28"/>
          <w:szCs w:val="28"/>
        </w:rPr>
        <w:t>01</w:t>
      </w:r>
      <w:r w:rsidR="005624CB" w:rsidRPr="0033687D">
        <w:rPr>
          <w:rFonts w:ascii="Arial" w:hAnsi="Arial" w:cs="Arial"/>
          <w:b/>
          <w:bCs/>
          <w:color w:val="000000" w:themeColor="text1"/>
          <w:sz w:val="28"/>
          <w:szCs w:val="28"/>
          <w:vertAlign w:val="superscript"/>
        </w:rPr>
        <w:t>st</w:t>
      </w:r>
      <w:r w:rsidR="005624CB" w:rsidRPr="0033687D">
        <w:rPr>
          <w:rFonts w:ascii="Arial" w:hAnsi="Arial" w:cs="Arial"/>
          <w:b/>
          <w:bCs/>
          <w:color w:val="000000" w:themeColor="text1"/>
          <w:sz w:val="28"/>
          <w:szCs w:val="28"/>
        </w:rPr>
        <w:t xml:space="preserve"> May 2026</w:t>
      </w:r>
      <w:r w:rsidR="006F488B" w:rsidRPr="0033687D">
        <w:rPr>
          <w:rFonts w:ascii="Arial" w:hAnsi="Arial" w:cs="Arial"/>
          <w:b/>
          <w:bCs/>
          <w:color w:val="000000" w:themeColor="text1"/>
          <w:sz w:val="28"/>
          <w:szCs w:val="28"/>
        </w:rPr>
        <w:t xml:space="preserve"> </w:t>
      </w:r>
      <w:r w:rsidRPr="0054132D">
        <w:rPr>
          <w:rFonts w:ascii="Arial" w:hAnsi="Arial" w:cs="Arial"/>
          <w:color w:val="000000" w:themeColor="text1"/>
          <w:sz w:val="32"/>
          <w:szCs w:val="32"/>
        </w:rPr>
        <w:br w:type="page"/>
      </w:r>
    </w:p>
    <w:sdt>
      <w:sdtPr>
        <w:rPr>
          <w:rFonts w:ascii="Arial" w:eastAsiaTheme="minorHAnsi" w:hAnsi="Arial" w:cs="Arial"/>
          <w:b w:val="0"/>
          <w:bCs w:val="0"/>
          <w:color w:val="000000" w:themeColor="text1"/>
          <w:sz w:val="22"/>
          <w:szCs w:val="22"/>
          <w:lang w:eastAsia="en-US"/>
        </w:rPr>
        <w:id w:val="-798766249"/>
        <w:docPartObj>
          <w:docPartGallery w:val="Table of Contents"/>
          <w:docPartUnique/>
        </w:docPartObj>
      </w:sdtPr>
      <w:sdtEndPr>
        <w:rPr>
          <w:noProof/>
        </w:rPr>
      </w:sdtEndPr>
      <w:sdtContent>
        <w:p w14:paraId="46FD3DC1" w14:textId="77777777" w:rsidR="00B501C2" w:rsidRPr="003A0E0D" w:rsidRDefault="00B501C2" w:rsidP="00B501C2">
          <w:pPr>
            <w:pStyle w:val="TOCHeading"/>
            <w:spacing w:line="360" w:lineRule="auto"/>
            <w:jc w:val="center"/>
            <w:rPr>
              <w:rFonts w:ascii="Arial" w:hAnsi="Arial" w:cs="Arial"/>
              <w:color w:val="000000" w:themeColor="text1"/>
              <w:szCs w:val="24"/>
              <w:u w:val="single"/>
            </w:rPr>
          </w:pPr>
          <w:r w:rsidRPr="003A0E0D">
            <w:rPr>
              <w:rFonts w:ascii="Arial" w:hAnsi="Arial" w:cs="Arial"/>
              <w:color w:val="000000" w:themeColor="text1"/>
              <w:szCs w:val="24"/>
              <w:u w:val="single"/>
            </w:rPr>
            <w:t>Table of Contents</w:t>
          </w:r>
        </w:p>
        <w:p w14:paraId="413E2AA7" w14:textId="101829A1" w:rsidR="003A0E0D" w:rsidRPr="003A0E0D" w:rsidRDefault="00B501C2">
          <w:pPr>
            <w:pStyle w:val="TOC1"/>
            <w:tabs>
              <w:tab w:val="right" w:leader="dot" w:pos="9016"/>
            </w:tabs>
            <w:rPr>
              <w:rFonts w:ascii="Arial" w:eastAsiaTheme="minorEastAsia" w:hAnsi="Arial" w:cs="Arial"/>
              <w:noProof/>
              <w:kern w:val="2"/>
              <w:sz w:val="24"/>
              <w:szCs w:val="24"/>
              <w:lang w:val="en-US"/>
              <w14:ligatures w14:val="standardContextual"/>
            </w:rPr>
          </w:pPr>
          <w:r w:rsidRPr="003A0E0D">
            <w:rPr>
              <w:rFonts w:ascii="Arial" w:hAnsi="Arial" w:cs="Arial"/>
              <w:b/>
              <w:bCs/>
              <w:noProof/>
              <w:color w:val="000000" w:themeColor="text1"/>
              <w:sz w:val="24"/>
              <w:szCs w:val="24"/>
            </w:rPr>
            <w:fldChar w:fldCharType="begin"/>
          </w:r>
          <w:r w:rsidRPr="003A0E0D">
            <w:rPr>
              <w:rFonts w:ascii="Arial" w:hAnsi="Arial" w:cs="Arial"/>
              <w:b/>
              <w:bCs/>
              <w:noProof/>
              <w:color w:val="000000" w:themeColor="text1"/>
              <w:sz w:val="24"/>
              <w:szCs w:val="24"/>
            </w:rPr>
            <w:instrText xml:space="preserve"> TOC \o "1-3" \h \z \u </w:instrText>
          </w:r>
          <w:r w:rsidRPr="003A0E0D">
            <w:rPr>
              <w:rFonts w:ascii="Arial" w:hAnsi="Arial" w:cs="Arial"/>
              <w:b/>
              <w:bCs/>
              <w:noProof/>
              <w:color w:val="000000" w:themeColor="text1"/>
              <w:sz w:val="24"/>
              <w:szCs w:val="24"/>
            </w:rPr>
            <w:fldChar w:fldCharType="separate"/>
          </w:r>
          <w:hyperlink w:anchor="_Toc226828956" w:history="1">
            <w:r w:rsidR="003A0E0D" w:rsidRPr="003A0E0D">
              <w:rPr>
                <w:rStyle w:val="Hyperlink"/>
                <w:rFonts w:ascii="Arial" w:hAnsi="Arial" w:cs="Arial"/>
                <w:noProof/>
              </w:rPr>
              <w:t>Section 1</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_Toc226828956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w:t>
            </w:r>
            <w:r w:rsidR="003A0E0D" w:rsidRPr="003A0E0D">
              <w:rPr>
                <w:rFonts w:ascii="Arial" w:hAnsi="Arial" w:cs="Arial"/>
                <w:noProof/>
                <w:webHidden/>
              </w:rPr>
              <w:fldChar w:fldCharType="end"/>
            </w:r>
          </w:hyperlink>
        </w:p>
        <w:p w14:paraId="08F72F79" w14:textId="02E781F4"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57" w:history="1">
            <w:r w:rsidR="003A0E0D" w:rsidRPr="003A0E0D">
              <w:rPr>
                <w:rStyle w:val="Hyperlink"/>
                <w:rFonts w:ascii="Arial" w:hAnsi="Arial" w:cs="Arial"/>
                <w:noProof/>
              </w:rPr>
              <w:t>1.0 Organisational Context and Overview</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_Toc226828957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w:t>
            </w:r>
            <w:r w:rsidR="003A0E0D" w:rsidRPr="003A0E0D">
              <w:rPr>
                <w:rFonts w:ascii="Arial" w:hAnsi="Arial" w:cs="Arial"/>
                <w:noProof/>
                <w:webHidden/>
              </w:rPr>
              <w:fldChar w:fldCharType="end"/>
            </w:r>
          </w:hyperlink>
        </w:p>
        <w:p w14:paraId="0DE4F087" w14:textId="3C75148F"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58" w:history="1">
            <w:r w:rsidR="003A0E0D" w:rsidRPr="003A0E0D">
              <w:rPr>
                <w:rStyle w:val="Hyperlink"/>
                <w:rFonts w:ascii="Arial" w:hAnsi="Arial" w:cs="Arial"/>
                <w:noProof/>
              </w:rPr>
              <w:t xml:space="preserve">1.1 </w:t>
            </w:r>
            <w:r w:rsidR="003A0E0D" w:rsidRPr="003A0E0D">
              <w:rPr>
                <w:rStyle w:val="Hyperlink"/>
                <w:rFonts w:ascii="Arial" w:hAnsi="Arial" w:cs="Arial"/>
                <w:noProof/>
                <w:lang w:val="en-US"/>
              </w:rPr>
              <w:t xml:space="preserve">Overview of </w:t>
            </w:r>
            <w:r w:rsidR="003A0E0D" w:rsidRPr="003A0E0D">
              <w:rPr>
                <w:rStyle w:val="Hyperlink"/>
                <w:rFonts w:ascii="Arial" w:hAnsi="Arial" w:cs="Arial"/>
                <w:noProof/>
              </w:rPr>
              <w:t>the</w:t>
            </w:r>
            <w:r w:rsidR="003A0E0D" w:rsidRPr="003A0E0D">
              <w:rPr>
                <w:rStyle w:val="Hyperlink"/>
                <w:rFonts w:ascii="Arial" w:hAnsi="Arial" w:cs="Arial"/>
                <w:noProof/>
                <w:lang w:val="en-US"/>
              </w:rPr>
              <w:t xml:space="preserve"> Organisation: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_Toc226828958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w:t>
            </w:r>
            <w:r w:rsidR="003A0E0D" w:rsidRPr="003A0E0D">
              <w:rPr>
                <w:rFonts w:ascii="Arial" w:hAnsi="Arial" w:cs="Arial"/>
                <w:noProof/>
                <w:webHidden/>
              </w:rPr>
              <w:fldChar w:fldCharType="end"/>
            </w:r>
          </w:hyperlink>
        </w:p>
        <w:p w14:paraId="22EC2E08" w14:textId="5D558285"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59" w:history="1">
            <w:r w:rsidR="003A0E0D" w:rsidRPr="003A0E0D">
              <w:rPr>
                <w:rStyle w:val="Hyperlink"/>
                <w:rFonts w:ascii="Arial" w:hAnsi="Arial" w:cs="Arial"/>
                <w:noProof/>
                <w:lang w:val="en-US"/>
              </w:rPr>
              <w:t>1.2 Mission, Vision, and Business Model:</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_Toc226828959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w:t>
            </w:r>
            <w:r w:rsidR="003A0E0D" w:rsidRPr="003A0E0D">
              <w:rPr>
                <w:rFonts w:ascii="Arial" w:hAnsi="Arial" w:cs="Arial"/>
                <w:noProof/>
                <w:webHidden/>
              </w:rPr>
              <w:fldChar w:fldCharType="end"/>
            </w:r>
          </w:hyperlink>
        </w:p>
        <w:p w14:paraId="59AEAB37" w14:textId="3DFEA537"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0" w:history="1">
            <w:r w:rsidR="003A0E0D" w:rsidRPr="003A0E0D">
              <w:rPr>
                <w:rStyle w:val="Hyperlink"/>
                <w:rFonts w:ascii="Arial" w:hAnsi="Arial" w:cs="Arial"/>
                <w:noProof/>
                <w:lang w:val="en-US"/>
              </w:rPr>
              <w:t>1.3 Industry Analysis, Competitors, and Market Position: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_Toc226828960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2</w:t>
            </w:r>
            <w:r w:rsidR="003A0E0D" w:rsidRPr="003A0E0D">
              <w:rPr>
                <w:rFonts w:ascii="Arial" w:hAnsi="Arial" w:cs="Arial"/>
                <w:noProof/>
                <w:webHidden/>
              </w:rPr>
              <w:fldChar w:fldCharType="end"/>
            </w:r>
          </w:hyperlink>
        </w:p>
        <w:p w14:paraId="1CEB53AB" w14:textId="5C87205F"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61" w:history="1">
            <w:r w:rsidR="003A0E0D" w:rsidRPr="003A0E0D">
              <w:rPr>
                <w:rStyle w:val="Hyperlink"/>
                <w:rFonts w:ascii="Arial" w:hAnsi="Arial" w:cs="Arial"/>
                <w:noProof/>
              </w:rPr>
              <w:t>2.0 External and Internal Environment Analysis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_Toc226828961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3</w:t>
            </w:r>
            <w:r w:rsidR="003A0E0D" w:rsidRPr="003A0E0D">
              <w:rPr>
                <w:rFonts w:ascii="Arial" w:hAnsi="Arial" w:cs="Arial"/>
                <w:noProof/>
                <w:webHidden/>
              </w:rPr>
              <w:fldChar w:fldCharType="end"/>
            </w:r>
          </w:hyperlink>
        </w:p>
        <w:p w14:paraId="0AF5962D" w14:textId="4420D305"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2" w:history="1">
            <w:r w:rsidR="003A0E0D" w:rsidRPr="003A0E0D">
              <w:rPr>
                <w:rStyle w:val="Hyperlink"/>
                <w:rFonts w:ascii="Arial" w:hAnsi="Arial" w:cs="Arial"/>
                <w:noProof/>
                <w:lang w:val="en-US"/>
              </w:rPr>
              <w:t>2.1 PESTEL Analysis and Strategic Implications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_Toc226828962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3</w:t>
            </w:r>
            <w:r w:rsidR="003A0E0D" w:rsidRPr="003A0E0D">
              <w:rPr>
                <w:rFonts w:ascii="Arial" w:hAnsi="Arial" w:cs="Arial"/>
                <w:noProof/>
                <w:webHidden/>
              </w:rPr>
              <w:fldChar w:fldCharType="end"/>
            </w:r>
          </w:hyperlink>
        </w:p>
        <w:p w14:paraId="0A8EE1AA" w14:textId="19F7831A"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3" w:history="1">
            <w:r w:rsidR="003A0E0D" w:rsidRPr="003A0E0D">
              <w:rPr>
                <w:rStyle w:val="Hyperlink"/>
                <w:rFonts w:ascii="Arial" w:hAnsi="Arial" w:cs="Arial"/>
                <w:noProof/>
                <w:lang w:val="en-US"/>
              </w:rPr>
              <w:t>2.2 Critical Success Factors and Strategic Challenges: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_Toc226828963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4</w:t>
            </w:r>
            <w:r w:rsidR="003A0E0D" w:rsidRPr="003A0E0D">
              <w:rPr>
                <w:rFonts w:ascii="Arial" w:hAnsi="Arial" w:cs="Arial"/>
                <w:noProof/>
                <w:webHidden/>
              </w:rPr>
              <w:fldChar w:fldCharType="end"/>
            </w:r>
          </w:hyperlink>
        </w:p>
        <w:p w14:paraId="2673FBC5" w14:textId="468317FD"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4" w:history="1">
            <w:r w:rsidR="003A0E0D" w:rsidRPr="003A0E0D">
              <w:rPr>
                <w:rStyle w:val="Hyperlink"/>
                <w:rFonts w:ascii="Arial" w:hAnsi="Arial" w:cs="Arial"/>
                <w:noProof/>
                <w:lang w:val="en-US"/>
              </w:rPr>
              <w:t>2.3 Internal Environment Analysis: Resources, Capabilities and Core Competencies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_Toc226828964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5</w:t>
            </w:r>
            <w:r w:rsidR="003A0E0D" w:rsidRPr="003A0E0D">
              <w:rPr>
                <w:rFonts w:ascii="Arial" w:hAnsi="Arial" w:cs="Arial"/>
                <w:noProof/>
                <w:webHidden/>
              </w:rPr>
              <w:fldChar w:fldCharType="end"/>
            </w:r>
          </w:hyperlink>
        </w:p>
        <w:p w14:paraId="4A8E7335" w14:textId="520A4DB7"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5" w:history="1">
            <w:r w:rsidR="003A0E0D" w:rsidRPr="003A0E0D">
              <w:rPr>
                <w:rStyle w:val="Hyperlink"/>
                <w:rFonts w:ascii="Arial" w:hAnsi="Arial" w:cs="Arial"/>
                <w:noProof/>
                <w:lang w:val="en-US"/>
              </w:rPr>
              <w:t>2.4 VRIO Analysis of Strategic Capabilities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_Toc226828965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6</w:t>
            </w:r>
            <w:r w:rsidR="003A0E0D" w:rsidRPr="003A0E0D">
              <w:rPr>
                <w:rFonts w:ascii="Arial" w:hAnsi="Arial" w:cs="Arial"/>
                <w:noProof/>
                <w:webHidden/>
              </w:rPr>
              <w:fldChar w:fldCharType="end"/>
            </w:r>
          </w:hyperlink>
        </w:p>
        <w:p w14:paraId="55E68C66" w14:textId="6E105BCD"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6" w:history="1">
            <w:r w:rsidR="003A0E0D" w:rsidRPr="003A0E0D">
              <w:rPr>
                <w:rStyle w:val="Hyperlink"/>
                <w:rFonts w:ascii="Arial" w:hAnsi="Arial" w:cs="Arial"/>
                <w:noProof/>
                <w:lang w:val="en-US"/>
              </w:rPr>
              <w:t>2.5 Cohesiveness and Competitiveness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_Toc226828966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8</w:t>
            </w:r>
            <w:r w:rsidR="003A0E0D" w:rsidRPr="003A0E0D">
              <w:rPr>
                <w:rFonts w:ascii="Arial" w:hAnsi="Arial" w:cs="Arial"/>
                <w:noProof/>
                <w:webHidden/>
              </w:rPr>
              <w:fldChar w:fldCharType="end"/>
            </w:r>
          </w:hyperlink>
        </w:p>
        <w:p w14:paraId="08A4FE39" w14:textId="55CA3E5C"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67" w:history="1">
            <w:r w:rsidR="003A0E0D" w:rsidRPr="003A0E0D">
              <w:rPr>
                <w:rStyle w:val="Hyperlink"/>
                <w:rFonts w:ascii="Arial" w:hAnsi="Arial" w:cs="Arial"/>
                <w:noProof/>
                <w:lang w:val="en-US"/>
              </w:rPr>
              <w:t>3.0 CSR and Sustainability Objectives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_Toc226828967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9</w:t>
            </w:r>
            <w:r w:rsidR="003A0E0D" w:rsidRPr="003A0E0D">
              <w:rPr>
                <w:rFonts w:ascii="Arial" w:hAnsi="Arial" w:cs="Arial"/>
                <w:noProof/>
                <w:webHidden/>
              </w:rPr>
              <w:fldChar w:fldCharType="end"/>
            </w:r>
          </w:hyperlink>
        </w:p>
        <w:p w14:paraId="3CB98A07" w14:textId="5583E124"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68" w:history="1">
            <w:r w:rsidR="003A0E0D" w:rsidRPr="003A0E0D">
              <w:rPr>
                <w:rStyle w:val="Hyperlink"/>
                <w:rFonts w:ascii="Arial" w:hAnsi="Arial" w:cs="Arial"/>
                <w:noProof/>
                <w:lang w:val="en-US"/>
              </w:rPr>
              <w:t>4.0 Comprehensive and Holistic View of the Organisation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_Toc226828968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10</w:t>
            </w:r>
            <w:r w:rsidR="003A0E0D" w:rsidRPr="003A0E0D">
              <w:rPr>
                <w:rFonts w:ascii="Arial" w:hAnsi="Arial" w:cs="Arial"/>
                <w:noProof/>
                <w:webHidden/>
              </w:rPr>
              <w:fldChar w:fldCharType="end"/>
            </w:r>
          </w:hyperlink>
        </w:p>
        <w:p w14:paraId="34F106A9" w14:textId="073A11B6"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69" w:history="1">
            <w:r w:rsidR="003A0E0D" w:rsidRPr="003A0E0D">
              <w:rPr>
                <w:rStyle w:val="Hyperlink"/>
                <w:rFonts w:ascii="Arial" w:hAnsi="Arial" w:cs="Arial"/>
                <w:noProof/>
                <w:lang w:val="en-US"/>
              </w:rPr>
              <w:t>4.1 Balanced Scorecard Analysis: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_Toc226828969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10</w:t>
            </w:r>
            <w:r w:rsidR="003A0E0D" w:rsidRPr="003A0E0D">
              <w:rPr>
                <w:rFonts w:ascii="Arial" w:hAnsi="Arial" w:cs="Arial"/>
                <w:noProof/>
                <w:webHidden/>
              </w:rPr>
              <w:fldChar w:fldCharType="end"/>
            </w:r>
          </w:hyperlink>
        </w:p>
        <w:p w14:paraId="1D994C40" w14:textId="202E1921"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70" w:history="1">
            <w:r w:rsidR="003A0E0D" w:rsidRPr="003A0E0D">
              <w:rPr>
                <w:rStyle w:val="Hyperlink"/>
                <w:rFonts w:ascii="Arial" w:hAnsi="Arial" w:cs="Arial"/>
                <w:noProof/>
                <w:lang w:val="en-US"/>
              </w:rPr>
              <w:t>4.2 Goals, Key Performance Indicators, Targets, and Strategic Initiatives: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_Toc226828970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12</w:t>
            </w:r>
            <w:r w:rsidR="003A0E0D" w:rsidRPr="003A0E0D">
              <w:rPr>
                <w:rFonts w:ascii="Arial" w:hAnsi="Arial" w:cs="Arial"/>
                <w:noProof/>
                <w:webHidden/>
              </w:rPr>
              <w:fldChar w:fldCharType="end"/>
            </w:r>
          </w:hyperlink>
        </w:p>
        <w:p w14:paraId="1D0EF856" w14:textId="03728FFC"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71" w:history="1">
            <w:r w:rsidR="003A0E0D" w:rsidRPr="003A0E0D">
              <w:rPr>
                <w:rStyle w:val="Hyperlink"/>
                <w:rFonts w:ascii="Arial" w:hAnsi="Arial" w:cs="Arial"/>
                <w:noProof/>
                <w:lang w:val="en-US"/>
              </w:rPr>
              <w:t>5.0 Strategic Choices and Implementation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_Toc226828971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12</w:t>
            </w:r>
            <w:r w:rsidR="003A0E0D" w:rsidRPr="003A0E0D">
              <w:rPr>
                <w:rFonts w:ascii="Arial" w:hAnsi="Arial" w:cs="Arial"/>
                <w:noProof/>
                <w:webHidden/>
              </w:rPr>
              <w:fldChar w:fldCharType="end"/>
            </w:r>
          </w:hyperlink>
        </w:p>
        <w:p w14:paraId="6259C0D9" w14:textId="712275EA"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72" w:history="1">
            <w:r w:rsidR="003A0E0D" w:rsidRPr="003A0E0D">
              <w:rPr>
                <w:rStyle w:val="Hyperlink"/>
                <w:rFonts w:ascii="Arial" w:hAnsi="Arial" w:cs="Arial"/>
                <w:noProof/>
                <w:lang w:val="en-US"/>
              </w:rPr>
              <w:t>5.1 Evaluation of Strategic Choices and Recommendations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_Toc226828972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12</w:t>
            </w:r>
            <w:r w:rsidR="003A0E0D" w:rsidRPr="003A0E0D">
              <w:rPr>
                <w:rFonts w:ascii="Arial" w:hAnsi="Arial" w:cs="Arial"/>
                <w:noProof/>
                <w:webHidden/>
              </w:rPr>
              <w:fldChar w:fldCharType="end"/>
            </w:r>
          </w:hyperlink>
        </w:p>
        <w:p w14:paraId="28483B38" w14:textId="297801B8"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73" w:history="1">
            <w:r w:rsidR="003A0E0D" w:rsidRPr="003A0E0D">
              <w:rPr>
                <w:rStyle w:val="Hyperlink"/>
                <w:rFonts w:ascii="Arial" w:hAnsi="Arial" w:cs="Arial"/>
                <w:noProof/>
                <w:lang w:val="en-US"/>
              </w:rPr>
              <w:t>5.2 Change Management and Strategic Implementation: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_Toc226828973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13</w:t>
            </w:r>
            <w:r w:rsidR="003A0E0D" w:rsidRPr="003A0E0D">
              <w:rPr>
                <w:rFonts w:ascii="Arial" w:hAnsi="Arial" w:cs="Arial"/>
                <w:noProof/>
                <w:webHidden/>
              </w:rPr>
              <w:fldChar w:fldCharType="end"/>
            </w:r>
          </w:hyperlink>
        </w:p>
        <w:p w14:paraId="7614ACE1" w14:textId="5D41CDDC"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74" w:history="1">
            <w:r w:rsidR="003A0E0D" w:rsidRPr="003A0E0D">
              <w:rPr>
                <w:rStyle w:val="Hyperlink"/>
                <w:rFonts w:ascii="Arial" w:hAnsi="Arial" w:cs="Arial"/>
                <w:noProof/>
                <w:lang w:val="en-US"/>
              </w:rPr>
              <w:t>6.0 Strategic Evaluation and Recommendations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_Toc226828974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14</w:t>
            </w:r>
            <w:r w:rsidR="003A0E0D" w:rsidRPr="003A0E0D">
              <w:rPr>
                <w:rFonts w:ascii="Arial" w:hAnsi="Arial" w:cs="Arial"/>
                <w:noProof/>
                <w:webHidden/>
              </w:rPr>
              <w:fldChar w:fldCharType="end"/>
            </w:r>
          </w:hyperlink>
        </w:p>
        <w:p w14:paraId="12393644" w14:textId="0B3C0575"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75" w:history="1">
            <w:r w:rsidR="003A0E0D" w:rsidRPr="003A0E0D">
              <w:rPr>
                <w:rStyle w:val="Hyperlink"/>
                <w:rFonts w:ascii="Arial" w:hAnsi="Arial" w:cs="Arial"/>
                <w:noProof/>
                <w:lang w:val="en-US"/>
              </w:rPr>
              <w:t>6.1 SWOT-</w:t>
            </w:r>
            <w:r w:rsidR="003A0E0D" w:rsidRPr="003A0E0D">
              <w:rPr>
                <w:rStyle w:val="Hyperlink"/>
                <w:rFonts w:ascii="Arial" w:hAnsi="Arial" w:cs="Arial"/>
                <w:noProof/>
              </w:rPr>
              <w:t>Based</w:t>
            </w:r>
            <w:r w:rsidR="003A0E0D" w:rsidRPr="003A0E0D">
              <w:rPr>
                <w:rStyle w:val="Hyperlink"/>
                <w:rFonts w:ascii="Arial" w:hAnsi="Arial" w:cs="Arial"/>
                <w:noProof/>
                <w:lang w:val="en-US"/>
              </w:rPr>
              <w:t xml:space="preserve"> Strategic Evaluation of Toyota Motor Corporation: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_Toc226828975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14</w:t>
            </w:r>
            <w:r w:rsidR="003A0E0D" w:rsidRPr="003A0E0D">
              <w:rPr>
                <w:rFonts w:ascii="Arial" w:hAnsi="Arial" w:cs="Arial"/>
                <w:noProof/>
                <w:webHidden/>
              </w:rPr>
              <w:fldChar w:fldCharType="end"/>
            </w:r>
          </w:hyperlink>
        </w:p>
        <w:p w14:paraId="37E3925D" w14:textId="51E5A6A5" w:rsidR="003A0E0D" w:rsidRPr="003A0E0D" w:rsidRDefault="003D5726">
          <w:pPr>
            <w:pStyle w:val="TOC2"/>
            <w:tabs>
              <w:tab w:val="right" w:leader="dot" w:pos="9016"/>
            </w:tabs>
            <w:rPr>
              <w:rFonts w:ascii="Arial" w:eastAsiaTheme="minorEastAsia" w:hAnsi="Arial" w:cs="Arial"/>
              <w:noProof/>
              <w:kern w:val="2"/>
              <w:sz w:val="24"/>
              <w:szCs w:val="24"/>
              <w:lang w:val="en-US"/>
              <w14:ligatures w14:val="standardContextual"/>
            </w:rPr>
          </w:pPr>
          <w:hyperlink w:anchor="_Toc226828976" w:history="1">
            <w:r w:rsidR="003A0E0D" w:rsidRPr="003A0E0D">
              <w:rPr>
                <w:rStyle w:val="Hyperlink"/>
                <w:rFonts w:ascii="Arial" w:hAnsi="Arial" w:cs="Arial"/>
                <w:noProof/>
                <w:lang w:val="en-US"/>
              </w:rPr>
              <w:t>6.2 Strategic Recommendations and Justification: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_Toc226828976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16</w:t>
            </w:r>
            <w:r w:rsidR="003A0E0D" w:rsidRPr="003A0E0D">
              <w:rPr>
                <w:rFonts w:ascii="Arial" w:hAnsi="Arial" w:cs="Arial"/>
                <w:noProof/>
                <w:webHidden/>
              </w:rPr>
              <w:fldChar w:fldCharType="end"/>
            </w:r>
          </w:hyperlink>
        </w:p>
        <w:p w14:paraId="3072D473" w14:textId="3DFC4D47"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77" w:history="1">
            <w:r w:rsidR="003A0E0D" w:rsidRPr="003A0E0D">
              <w:rPr>
                <w:rStyle w:val="Hyperlink"/>
                <w:rFonts w:ascii="Arial" w:hAnsi="Arial" w:cs="Arial"/>
                <w:noProof/>
              </w:rPr>
              <w:t>Section 2</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_Toc226828977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18</w:t>
            </w:r>
            <w:r w:rsidR="003A0E0D" w:rsidRPr="003A0E0D">
              <w:rPr>
                <w:rFonts w:ascii="Arial" w:hAnsi="Arial" w:cs="Arial"/>
                <w:noProof/>
                <w:webHidden/>
              </w:rPr>
              <w:fldChar w:fldCharType="end"/>
            </w:r>
          </w:hyperlink>
        </w:p>
        <w:p w14:paraId="404D1160" w14:textId="51C57B2E"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78" w:history="1">
            <w:r w:rsidR="003A0E0D" w:rsidRPr="003A0E0D">
              <w:rPr>
                <w:rStyle w:val="Hyperlink"/>
                <w:rFonts w:ascii="Arial" w:hAnsi="Arial" w:cs="Arial"/>
                <w:noProof/>
              </w:rPr>
              <w:t>Reflective Report of the Research and Analytical Process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_Toc226828978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18</w:t>
            </w:r>
            <w:r w:rsidR="003A0E0D" w:rsidRPr="003A0E0D">
              <w:rPr>
                <w:rFonts w:ascii="Arial" w:hAnsi="Arial" w:cs="Arial"/>
                <w:noProof/>
                <w:webHidden/>
              </w:rPr>
              <w:fldChar w:fldCharType="end"/>
            </w:r>
          </w:hyperlink>
        </w:p>
        <w:p w14:paraId="67A0624B" w14:textId="2389D577"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79" w:history="1">
            <w:r w:rsidR="003A0E0D" w:rsidRPr="003A0E0D">
              <w:rPr>
                <w:rStyle w:val="Hyperlink"/>
                <w:rFonts w:ascii="Arial" w:hAnsi="Arial" w:cs="Arial"/>
                <w:noProof/>
              </w:rPr>
              <w:t>Conclusion</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_Toc226828979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21</w:t>
            </w:r>
            <w:r w:rsidR="003A0E0D" w:rsidRPr="003A0E0D">
              <w:rPr>
                <w:rFonts w:ascii="Arial" w:hAnsi="Arial" w:cs="Arial"/>
                <w:noProof/>
                <w:webHidden/>
              </w:rPr>
              <w:fldChar w:fldCharType="end"/>
            </w:r>
          </w:hyperlink>
        </w:p>
        <w:p w14:paraId="0EE7CFF5" w14:textId="174C585A" w:rsidR="003A0E0D" w:rsidRPr="003A0E0D" w:rsidRDefault="003D5726">
          <w:pPr>
            <w:pStyle w:val="TOC1"/>
            <w:tabs>
              <w:tab w:val="right" w:leader="dot" w:pos="9016"/>
            </w:tabs>
            <w:rPr>
              <w:rFonts w:ascii="Arial" w:eastAsiaTheme="minorEastAsia" w:hAnsi="Arial" w:cs="Arial"/>
              <w:noProof/>
              <w:kern w:val="2"/>
              <w:sz w:val="24"/>
              <w:szCs w:val="24"/>
              <w:lang w:val="en-US"/>
              <w14:ligatures w14:val="standardContextual"/>
            </w:rPr>
          </w:pPr>
          <w:hyperlink w:anchor="_Toc226828980" w:history="1">
            <w:r w:rsidR="003A0E0D" w:rsidRPr="003A0E0D">
              <w:rPr>
                <w:rStyle w:val="Hyperlink"/>
                <w:rFonts w:ascii="Arial" w:hAnsi="Arial" w:cs="Arial"/>
                <w:noProof/>
              </w:rPr>
              <w:t>Reference</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_Toc226828980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22</w:t>
            </w:r>
            <w:r w:rsidR="003A0E0D" w:rsidRPr="003A0E0D">
              <w:rPr>
                <w:rFonts w:ascii="Arial" w:hAnsi="Arial" w:cs="Arial"/>
                <w:noProof/>
                <w:webHidden/>
              </w:rPr>
              <w:fldChar w:fldCharType="end"/>
            </w:r>
          </w:hyperlink>
        </w:p>
        <w:p w14:paraId="5DD5A00A" w14:textId="6E21B561" w:rsidR="00B501C2" w:rsidRPr="003A0E0D" w:rsidRDefault="00B501C2" w:rsidP="00B501C2">
          <w:pPr>
            <w:spacing w:line="360" w:lineRule="auto"/>
            <w:rPr>
              <w:rFonts w:ascii="Arial" w:hAnsi="Arial" w:cs="Arial"/>
              <w:color w:val="000000" w:themeColor="text1"/>
            </w:rPr>
          </w:pPr>
          <w:r w:rsidRPr="003A0E0D">
            <w:rPr>
              <w:rFonts w:ascii="Arial" w:hAnsi="Arial" w:cs="Arial"/>
              <w:b/>
              <w:bCs/>
              <w:noProof/>
              <w:color w:val="000000" w:themeColor="text1"/>
              <w:sz w:val="24"/>
              <w:szCs w:val="24"/>
            </w:rPr>
            <w:fldChar w:fldCharType="end"/>
          </w:r>
        </w:p>
      </w:sdtContent>
    </w:sdt>
    <w:p w14:paraId="67698502" w14:textId="77777777" w:rsidR="00B501C2" w:rsidRPr="003A0E0D" w:rsidRDefault="00B501C2" w:rsidP="00B501C2">
      <w:pPr>
        <w:pStyle w:val="TableofFigures"/>
        <w:tabs>
          <w:tab w:val="right" w:leader="dot" w:pos="9016"/>
        </w:tabs>
        <w:rPr>
          <w:rFonts w:ascii="Arial" w:hAnsi="Arial" w:cs="Arial"/>
          <w:color w:val="000000" w:themeColor="text1"/>
          <w:sz w:val="24"/>
          <w:szCs w:val="24"/>
        </w:rPr>
      </w:pPr>
    </w:p>
    <w:p w14:paraId="562094B6" w14:textId="77777777" w:rsidR="00B501C2" w:rsidRPr="003A0E0D" w:rsidRDefault="00B501C2" w:rsidP="00B501C2">
      <w:pPr>
        <w:rPr>
          <w:rFonts w:ascii="Arial" w:hAnsi="Arial" w:cs="Arial"/>
        </w:rPr>
      </w:pPr>
    </w:p>
    <w:p w14:paraId="3AF5F50A" w14:textId="77777777" w:rsidR="00B501C2" w:rsidRPr="003A0E0D" w:rsidRDefault="00B501C2" w:rsidP="00B501C2">
      <w:pPr>
        <w:pStyle w:val="TableofFigures"/>
        <w:tabs>
          <w:tab w:val="right" w:leader="dot" w:pos="9016"/>
        </w:tabs>
        <w:rPr>
          <w:rFonts w:ascii="Arial" w:hAnsi="Arial" w:cs="Arial"/>
          <w:color w:val="000000" w:themeColor="text1"/>
          <w:sz w:val="24"/>
          <w:szCs w:val="24"/>
        </w:rPr>
      </w:pPr>
    </w:p>
    <w:p w14:paraId="5E1B450C" w14:textId="77777777" w:rsidR="003D1DF7" w:rsidRPr="003A0E0D" w:rsidRDefault="003D1DF7" w:rsidP="003D1DF7">
      <w:pPr>
        <w:rPr>
          <w:rFonts w:ascii="Arial" w:hAnsi="Arial" w:cs="Arial"/>
        </w:rPr>
      </w:pPr>
    </w:p>
    <w:p w14:paraId="1D286868" w14:textId="77777777" w:rsidR="003D1DF7" w:rsidRPr="003A0E0D" w:rsidRDefault="003D1DF7" w:rsidP="003D1DF7">
      <w:pPr>
        <w:rPr>
          <w:rFonts w:ascii="Arial" w:hAnsi="Arial" w:cs="Arial"/>
        </w:rPr>
      </w:pPr>
    </w:p>
    <w:p w14:paraId="7CA2F562" w14:textId="77777777" w:rsidR="003D1DF7" w:rsidRPr="003A0E0D" w:rsidRDefault="003D1DF7" w:rsidP="003D1DF7">
      <w:pPr>
        <w:rPr>
          <w:rFonts w:ascii="Arial" w:hAnsi="Arial" w:cs="Arial"/>
        </w:rPr>
      </w:pPr>
    </w:p>
    <w:p w14:paraId="0286C8F0" w14:textId="77777777" w:rsidR="003D1DF7" w:rsidRPr="003A0E0D" w:rsidRDefault="003D1DF7" w:rsidP="003D1DF7">
      <w:pPr>
        <w:rPr>
          <w:rFonts w:ascii="Arial" w:hAnsi="Arial" w:cs="Arial"/>
        </w:rPr>
      </w:pPr>
    </w:p>
    <w:p w14:paraId="08C66231" w14:textId="77777777" w:rsidR="00B501C2" w:rsidRPr="003A0E0D" w:rsidRDefault="00B501C2" w:rsidP="00B501C2">
      <w:pPr>
        <w:pStyle w:val="TableofFigures"/>
        <w:tabs>
          <w:tab w:val="right" w:leader="dot" w:pos="9016"/>
        </w:tabs>
        <w:jc w:val="center"/>
        <w:rPr>
          <w:rFonts w:ascii="Arial" w:hAnsi="Arial" w:cs="Arial"/>
          <w:b/>
          <w:bCs/>
          <w:color w:val="000000" w:themeColor="text1"/>
          <w:sz w:val="24"/>
          <w:szCs w:val="24"/>
          <w:u w:val="single"/>
        </w:rPr>
      </w:pPr>
      <w:r w:rsidRPr="003A0E0D">
        <w:rPr>
          <w:rFonts w:ascii="Arial" w:hAnsi="Arial" w:cs="Arial"/>
          <w:b/>
          <w:bCs/>
          <w:color w:val="000000" w:themeColor="text1"/>
          <w:sz w:val="24"/>
          <w:szCs w:val="24"/>
          <w:u w:val="single"/>
        </w:rPr>
        <w:lastRenderedPageBreak/>
        <w:t xml:space="preserve">Contents of Table </w:t>
      </w:r>
    </w:p>
    <w:p w14:paraId="1152F453" w14:textId="57899760" w:rsidR="003A0E0D" w:rsidRPr="003A0E0D" w:rsidRDefault="00B501C2">
      <w:pPr>
        <w:pStyle w:val="TableofFigures"/>
        <w:tabs>
          <w:tab w:val="right" w:leader="dot" w:pos="9016"/>
        </w:tabs>
        <w:rPr>
          <w:rFonts w:ascii="Arial" w:eastAsiaTheme="minorEastAsia" w:hAnsi="Arial" w:cs="Arial"/>
          <w:noProof/>
          <w:kern w:val="2"/>
          <w:sz w:val="24"/>
          <w:szCs w:val="24"/>
          <w:lang w:val="en-US"/>
          <w14:ligatures w14:val="standardContextual"/>
        </w:rPr>
      </w:pPr>
      <w:r w:rsidRPr="003A0E0D">
        <w:rPr>
          <w:rFonts w:ascii="Arial" w:hAnsi="Arial" w:cs="Arial"/>
          <w:color w:val="000000" w:themeColor="text1"/>
          <w:sz w:val="24"/>
          <w:szCs w:val="24"/>
        </w:rPr>
        <w:fldChar w:fldCharType="begin"/>
      </w:r>
      <w:r w:rsidRPr="003A0E0D">
        <w:rPr>
          <w:rFonts w:ascii="Arial" w:hAnsi="Arial" w:cs="Arial"/>
          <w:color w:val="000000" w:themeColor="text1"/>
          <w:sz w:val="24"/>
          <w:szCs w:val="24"/>
        </w:rPr>
        <w:instrText xml:space="preserve"> TOC \h \z \c "Table" </w:instrText>
      </w:r>
      <w:r w:rsidRPr="003A0E0D">
        <w:rPr>
          <w:rFonts w:ascii="Arial" w:hAnsi="Arial" w:cs="Arial"/>
          <w:color w:val="000000" w:themeColor="text1"/>
          <w:sz w:val="24"/>
          <w:szCs w:val="24"/>
        </w:rPr>
        <w:fldChar w:fldCharType="separate"/>
      </w:r>
      <w:hyperlink w:anchor="_Toc226828953" w:history="1">
        <w:r w:rsidR="003A0E0D" w:rsidRPr="003A0E0D">
          <w:rPr>
            <w:rStyle w:val="Hyperlink"/>
            <w:rFonts w:ascii="Arial" w:hAnsi="Arial" w:cs="Arial"/>
            <w:noProof/>
          </w:rPr>
          <w:t>Table 1: PESTEL Analysis and Strategic Implications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_Toc226828953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4</w:t>
        </w:r>
        <w:r w:rsidR="003A0E0D" w:rsidRPr="003A0E0D">
          <w:rPr>
            <w:rFonts w:ascii="Arial" w:hAnsi="Arial" w:cs="Arial"/>
            <w:noProof/>
            <w:webHidden/>
          </w:rPr>
          <w:fldChar w:fldCharType="end"/>
        </w:r>
      </w:hyperlink>
    </w:p>
    <w:p w14:paraId="3673D51E" w14:textId="7A297A1C" w:rsidR="003A0E0D" w:rsidRPr="003A0E0D" w:rsidRDefault="003D572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6828954" w:history="1">
        <w:r w:rsidR="003A0E0D" w:rsidRPr="003A0E0D">
          <w:rPr>
            <w:rStyle w:val="Hyperlink"/>
            <w:rFonts w:ascii="Arial" w:hAnsi="Arial" w:cs="Arial"/>
            <w:noProof/>
          </w:rPr>
          <w:t>Table 2: VRIO Analysis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_Toc226828954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7</w:t>
        </w:r>
        <w:r w:rsidR="003A0E0D" w:rsidRPr="003A0E0D">
          <w:rPr>
            <w:rFonts w:ascii="Arial" w:hAnsi="Arial" w:cs="Arial"/>
            <w:noProof/>
            <w:webHidden/>
          </w:rPr>
          <w:fldChar w:fldCharType="end"/>
        </w:r>
      </w:hyperlink>
    </w:p>
    <w:p w14:paraId="14C3A5E2" w14:textId="0E99DAEB" w:rsidR="003A0E0D" w:rsidRPr="003A0E0D" w:rsidRDefault="003D572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6828955" w:history="1">
        <w:r w:rsidR="003A0E0D" w:rsidRPr="003A0E0D">
          <w:rPr>
            <w:rStyle w:val="Hyperlink"/>
            <w:rFonts w:ascii="Arial" w:hAnsi="Arial" w:cs="Arial"/>
            <w:noProof/>
          </w:rPr>
          <w:t>Table 3: Balanced Scorecard Analysis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_Toc226828955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11</w:t>
        </w:r>
        <w:r w:rsidR="003A0E0D" w:rsidRPr="003A0E0D">
          <w:rPr>
            <w:rFonts w:ascii="Arial" w:hAnsi="Arial" w:cs="Arial"/>
            <w:noProof/>
            <w:webHidden/>
          </w:rPr>
          <w:fldChar w:fldCharType="end"/>
        </w:r>
      </w:hyperlink>
    </w:p>
    <w:p w14:paraId="127CC985" w14:textId="30BF9B9B" w:rsidR="00B501C2" w:rsidRPr="003A0E0D" w:rsidRDefault="00B501C2" w:rsidP="00B501C2">
      <w:pPr>
        <w:spacing w:line="360" w:lineRule="auto"/>
        <w:jc w:val="both"/>
        <w:rPr>
          <w:rFonts w:ascii="Arial" w:hAnsi="Arial" w:cs="Arial"/>
          <w:color w:val="000000" w:themeColor="text1"/>
          <w:sz w:val="24"/>
          <w:szCs w:val="24"/>
        </w:rPr>
      </w:pPr>
      <w:r w:rsidRPr="003A0E0D">
        <w:rPr>
          <w:rFonts w:ascii="Arial" w:hAnsi="Arial" w:cs="Arial"/>
          <w:color w:val="000000" w:themeColor="text1"/>
          <w:sz w:val="24"/>
          <w:szCs w:val="24"/>
        </w:rPr>
        <w:fldChar w:fldCharType="end"/>
      </w:r>
    </w:p>
    <w:p w14:paraId="584BBA33" w14:textId="77777777" w:rsidR="00B501C2" w:rsidRPr="003A0E0D" w:rsidRDefault="00B501C2" w:rsidP="00B501C2">
      <w:pPr>
        <w:spacing w:line="360" w:lineRule="auto"/>
        <w:jc w:val="center"/>
        <w:rPr>
          <w:rFonts w:ascii="Arial" w:hAnsi="Arial" w:cs="Arial"/>
          <w:b/>
          <w:bCs/>
          <w:color w:val="000000" w:themeColor="text1"/>
          <w:sz w:val="24"/>
          <w:szCs w:val="24"/>
          <w:u w:val="single"/>
        </w:rPr>
      </w:pPr>
      <w:r w:rsidRPr="003A0E0D">
        <w:rPr>
          <w:rFonts w:ascii="Arial" w:hAnsi="Arial" w:cs="Arial"/>
          <w:b/>
          <w:bCs/>
          <w:color w:val="000000" w:themeColor="text1"/>
          <w:sz w:val="24"/>
          <w:szCs w:val="24"/>
          <w:u w:val="single"/>
        </w:rPr>
        <w:t>Contents of Figures</w:t>
      </w:r>
    </w:p>
    <w:p w14:paraId="27C7BABE" w14:textId="531A46B7" w:rsidR="003A0E0D" w:rsidRPr="003A0E0D" w:rsidRDefault="00B501C2">
      <w:pPr>
        <w:pStyle w:val="TableofFigures"/>
        <w:tabs>
          <w:tab w:val="right" w:leader="dot" w:pos="9016"/>
        </w:tabs>
        <w:rPr>
          <w:rFonts w:ascii="Arial" w:eastAsiaTheme="minorEastAsia" w:hAnsi="Arial" w:cs="Arial"/>
          <w:noProof/>
          <w:kern w:val="2"/>
          <w:sz w:val="24"/>
          <w:szCs w:val="24"/>
          <w:lang w:val="en-US"/>
          <w14:ligatures w14:val="standardContextual"/>
        </w:rPr>
      </w:pPr>
      <w:r w:rsidRPr="003A0E0D">
        <w:rPr>
          <w:rFonts w:ascii="Arial" w:hAnsi="Arial" w:cs="Arial"/>
          <w:color w:val="000000" w:themeColor="text1"/>
          <w:sz w:val="24"/>
          <w:szCs w:val="24"/>
        </w:rPr>
        <w:fldChar w:fldCharType="begin"/>
      </w:r>
      <w:r w:rsidRPr="003A0E0D">
        <w:rPr>
          <w:rFonts w:ascii="Arial" w:hAnsi="Arial" w:cs="Arial"/>
          <w:color w:val="000000" w:themeColor="text1"/>
          <w:sz w:val="24"/>
          <w:szCs w:val="24"/>
        </w:rPr>
        <w:instrText xml:space="preserve"> TOC \h \z \c "Figure" </w:instrText>
      </w:r>
      <w:r w:rsidRPr="003A0E0D">
        <w:rPr>
          <w:rFonts w:ascii="Arial" w:hAnsi="Arial" w:cs="Arial"/>
          <w:color w:val="000000" w:themeColor="text1"/>
          <w:sz w:val="24"/>
          <w:szCs w:val="24"/>
        </w:rPr>
        <w:fldChar w:fldCharType="separate"/>
      </w:r>
      <w:hyperlink w:anchor="_Toc226828950" w:history="1">
        <w:r w:rsidR="003A0E0D" w:rsidRPr="003A0E0D">
          <w:rPr>
            <w:rStyle w:val="Hyperlink"/>
            <w:rFonts w:ascii="Arial" w:hAnsi="Arial" w:cs="Arial"/>
            <w:noProof/>
          </w:rPr>
          <w:t>Figure 1: Toyota Canada Plants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_Toc226828950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w:t>
        </w:r>
        <w:r w:rsidR="003A0E0D" w:rsidRPr="003A0E0D">
          <w:rPr>
            <w:rFonts w:ascii="Arial" w:hAnsi="Arial" w:cs="Arial"/>
            <w:noProof/>
            <w:webHidden/>
          </w:rPr>
          <w:fldChar w:fldCharType="end"/>
        </w:r>
      </w:hyperlink>
    </w:p>
    <w:p w14:paraId="3453D6B4" w14:textId="56055613" w:rsidR="003A0E0D" w:rsidRPr="003A0E0D" w:rsidRDefault="003D572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6828951" w:history="1">
        <w:r w:rsidR="003A0E0D" w:rsidRPr="003A0E0D">
          <w:rPr>
            <w:rStyle w:val="Hyperlink"/>
            <w:rFonts w:ascii="Arial" w:hAnsi="Arial" w:cs="Arial"/>
            <w:noProof/>
          </w:rPr>
          <w:t>Figure 2: Balanced Scorecard</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_Toc226828951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10</w:t>
        </w:r>
        <w:r w:rsidR="003A0E0D" w:rsidRPr="003A0E0D">
          <w:rPr>
            <w:rFonts w:ascii="Arial" w:hAnsi="Arial" w:cs="Arial"/>
            <w:noProof/>
            <w:webHidden/>
          </w:rPr>
          <w:fldChar w:fldCharType="end"/>
        </w:r>
      </w:hyperlink>
    </w:p>
    <w:p w14:paraId="0F607C67" w14:textId="6C7E1216" w:rsidR="003A0E0D" w:rsidRPr="003A0E0D" w:rsidRDefault="003D5726">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6828952" w:history="1">
        <w:r w:rsidR="003A0E0D" w:rsidRPr="003A0E0D">
          <w:rPr>
            <w:rStyle w:val="Hyperlink"/>
            <w:rFonts w:ascii="Arial" w:hAnsi="Arial" w:cs="Arial"/>
            <w:noProof/>
          </w:rPr>
          <w:t>Figure 3: SWOT Analysis</w:t>
        </w:r>
        <w:r w:rsidR="003A0E0D" w:rsidRPr="003A0E0D">
          <w:rPr>
            <w:rFonts w:ascii="Arial" w:hAnsi="Arial" w:cs="Arial"/>
            <w:noProof/>
            <w:webHidden/>
          </w:rPr>
          <w:tab/>
        </w:r>
        <w:r w:rsidR="003A0E0D" w:rsidRPr="003A0E0D">
          <w:rPr>
            <w:rFonts w:ascii="Arial" w:hAnsi="Arial" w:cs="Arial"/>
            <w:noProof/>
            <w:webHidden/>
          </w:rPr>
          <w:fldChar w:fldCharType="begin"/>
        </w:r>
        <w:r w:rsidR="003A0E0D" w:rsidRPr="003A0E0D">
          <w:rPr>
            <w:rFonts w:ascii="Arial" w:hAnsi="Arial" w:cs="Arial"/>
            <w:noProof/>
            <w:webHidden/>
          </w:rPr>
          <w:instrText xml:space="preserve"> PAGEREF _Toc226828952 \h </w:instrText>
        </w:r>
        <w:r w:rsidR="003A0E0D" w:rsidRPr="003A0E0D">
          <w:rPr>
            <w:rFonts w:ascii="Arial" w:hAnsi="Arial" w:cs="Arial"/>
            <w:noProof/>
            <w:webHidden/>
          </w:rPr>
        </w:r>
        <w:r w:rsidR="003A0E0D" w:rsidRPr="003A0E0D">
          <w:rPr>
            <w:rFonts w:ascii="Arial" w:hAnsi="Arial" w:cs="Arial"/>
            <w:noProof/>
            <w:webHidden/>
          </w:rPr>
          <w:fldChar w:fldCharType="separate"/>
        </w:r>
        <w:r w:rsidR="003A0E0D" w:rsidRPr="003A0E0D">
          <w:rPr>
            <w:rFonts w:ascii="Arial" w:hAnsi="Arial" w:cs="Arial"/>
            <w:noProof/>
            <w:webHidden/>
          </w:rPr>
          <w:t>15</w:t>
        </w:r>
        <w:r w:rsidR="003A0E0D" w:rsidRPr="003A0E0D">
          <w:rPr>
            <w:rFonts w:ascii="Arial" w:hAnsi="Arial" w:cs="Arial"/>
            <w:noProof/>
            <w:webHidden/>
          </w:rPr>
          <w:fldChar w:fldCharType="end"/>
        </w:r>
      </w:hyperlink>
    </w:p>
    <w:p w14:paraId="7D7C3A14" w14:textId="03913A10" w:rsidR="00B501C2" w:rsidRPr="0054132D" w:rsidRDefault="00B501C2" w:rsidP="00B501C2">
      <w:pPr>
        <w:spacing w:line="360" w:lineRule="auto"/>
        <w:jc w:val="both"/>
        <w:rPr>
          <w:rFonts w:ascii="Arial" w:hAnsi="Arial" w:cs="Arial"/>
          <w:color w:val="000000" w:themeColor="text1"/>
          <w:sz w:val="24"/>
          <w:szCs w:val="24"/>
        </w:rPr>
        <w:sectPr w:rsidR="00B501C2" w:rsidRPr="0054132D" w:rsidSect="00B501C2">
          <w:pgSz w:w="11906" w:h="16838"/>
          <w:pgMar w:top="1440" w:right="1440" w:bottom="1440" w:left="1440" w:header="720" w:footer="720" w:gutter="0"/>
          <w:pgNumType w:start="0"/>
          <w:cols w:space="720"/>
          <w:titlePg/>
          <w:docGrid w:linePitch="299"/>
        </w:sectPr>
      </w:pPr>
      <w:r w:rsidRPr="003A0E0D">
        <w:rPr>
          <w:rFonts w:ascii="Arial" w:hAnsi="Arial" w:cs="Arial"/>
          <w:color w:val="000000" w:themeColor="text1"/>
          <w:sz w:val="24"/>
          <w:szCs w:val="24"/>
        </w:rPr>
        <w:fldChar w:fldCharType="end"/>
      </w:r>
    </w:p>
    <w:p w14:paraId="11814A8B" w14:textId="0BBA6DE7" w:rsidR="00C5463D" w:rsidRPr="0054132D" w:rsidRDefault="00F75A88" w:rsidP="00F75A88">
      <w:pPr>
        <w:pStyle w:val="Heading1"/>
        <w:jc w:val="center"/>
        <w:rPr>
          <w:u w:val="single"/>
        </w:rPr>
      </w:pPr>
      <w:bookmarkStart w:id="1" w:name="_Toc226828956"/>
      <w:r w:rsidRPr="0054132D">
        <w:rPr>
          <w:u w:val="single"/>
        </w:rPr>
        <w:lastRenderedPageBreak/>
        <w:t>Section 1</w:t>
      </w:r>
      <w:bookmarkEnd w:id="1"/>
    </w:p>
    <w:p w14:paraId="50B74F9E" w14:textId="5E2953BD" w:rsidR="00F116CD" w:rsidRPr="0054132D" w:rsidRDefault="00F116CD" w:rsidP="00F116CD">
      <w:pPr>
        <w:pStyle w:val="Heading1"/>
      </w:pPr>
      <w:bookmarkStart w:id="2" w:name="_Toc226828957"/>
      <w:r w:rsidRPr="0054132D">
        <w:t xml:space="preserve">1.0 </w:t>
      </w:r>
      <w:r w:rsidR="00382916" w:rsidRPr="00382916">
        <w:t>Organisational Context and Overview</w:t>
      </w:r>
      <w:bookmarkEnd w:id="2"/>
    </w:p>
    <w:p w14:paraId="15A12869" w14:textId="780338FD" w:rsidR="00382916" w:rsidRPr="00382916" w:rsidRDefault="00D52CA5" w:rsidP="00382916">
      <w:pPr>
        <w:pStyle w:val="Heading2"/>
        <w:rPr>
          <w:lang w:val="en-US"/>
        </w:rPr>
      </w:pPr>
      <w:bookmarkStart w:id="3" w:name="_Toc226828958"/>
      <w:r>
        <w:t xml:space="preserve">1.1 </w:t>
      </w:r>
      <w:r w:rsidR="00382916" w:rsidRPr="00382916">
        <w:rPr>
          <w:lang w:val="en-US"/>
        </w:rPr>
        <w:t xml:space="preserve">Overview of </w:t>
      </w:r>
      <w:r w:rsidR="00382916" w:rsidRPr="00382916">
        <w:t>the</w:t>
      </w:r>
      <w:r w:rsidR="00382916" w:rsidRPr="00382916">
        <w:rPr>
          <w:lang w:val="en-US"/>
        </w:rPr>
        <w:t xml:space="preserve"> </w:t>
      </w:r>
      <w:proofErr w:type="spellStart"/>
      <w:r w:rsidR="00382916" w:rsidRPr="00382916">
        <w:rPr>
          <w:lang w:val="en-US"/>
        </w:rPr>
        <w:t>Organisation</w:t>
      </w:r>
      <w:proofErr w:type="spellEnd"/>
      <w:r w:rsidR="00382916" w:rsidRPr="00382916">
        <w:rPr>
          <w:lang w:val="en-US"/>
        </w:rPr>
        <w:t>:</w:t>
      </w:r>
      <w:bookmarkEnd w:id="3"/>
    </w:p>
    <w:p w14:paraId="6297F67F" w14:textId="77777777" w:rsid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color w:val="000000" w:themeColor="text1"/>
          <w:sz w:val="24"/>
          <w:szCs w:val="24"/>
          <w:lang w:val="en-US"/>
        </w:rPr>
        <w:t>This report dwells on Toyota Motor Corporation and its activities in Canada. Since its establishment in 1937, Toyota has transformed into a global giant automobile manufacturer, which once was a domestic manufacturer in Japan. It started its operations in Canada in 1964 by distribution and in 1986 with the Toyota Motor Manufacturing Canada (TMMC). The firm has earned a great reputation for quality, reliability and innovation, especially in lean production systems. Nowadays, Toyota Canada is an important part of the national automotive industry that brings employment, exports, and technology development (Toyota, 2024).</w:t>
      </w:r>
    </w:p>
    <w:p w14:paraId="7741DF27" w14:textId="77777777" w:rsidR="008432B6" w:rsidRDefault="008432B6" w:rsidP="008432B6">
      <w:pPr>
        <w:keepNext/>
        <w:spacing w:after="240" w:line="360" w:lineRule="auto"/>
        <w:jc w:val="both"/>
      </w:pPr>
      <w:r>
        <w:rPr>
          <w:noProof/>
        </w:rPr>
        <w:drawing>
          <wp:inline distT="0" distB="0" distL="0" distR="0" wp14:anchorId="6428C324" wp14:editId="7089A7CA">
            <wp:extent cx="5731510" cy="2525395"/>
            <wp:effectExtent l="0" t="0" r="2540" b="8255"/>
            <wp:docPr id="2781801" name="Picture 1" descr="Toyota Canada Plants | TMMC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Canada Plants | TMMC Inc."/>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25395"/>
                    </a:xfrm>
                    <a:prstGeom prst="rect">
                      <a:avLst/>
                    </a:prstGeom>
                    <a:noFill/>
                    <a:ln>
                      <a:noFill/>
                    </a:ln>
                  </pic:spPr>
                </pic:pic>
              </a:graphicData>
            </a:graphic>
          </wp:inline>
        </w:drawing>
      </w:r>
    </w:p>
    <w:p w14:paraId="323E0890" w14:textId="431EBBEA" w:rsidR="008432B6" w:rsidRDefault="008432B6" w:rsidP="008432B6">
      <w:pPr>
        <w:pStyle w:val="Caption"/>
        <w:jc w:val="both"/>
      </w:pPr>
      <w:bookmarkStart w:id="4" w:name="_Toc226828950"/>
      <w:r>
        <w:t xml:space="preserve">Figure </w:t>
      </w:r>
      <w:r>
        <w:fldChar w:fldCharType="begin"/>
      </w:r>
      <w:r>
        <w:instrText xml:space="preserve"> SEQ Figure \* ARABIC </w:instrText>
      </w:r>
      <w:r>
        <w:fldChar w:fldCharType="separate"/>
      </w:r>
      <w:r w:rsidR="003A589C">
        <w:rPr>
          <w:noProof/>
        </w:rPr>
        <w:t>1</w:t>
      </w:r>
      <w:r>
        <w:fldChar w:fldCharType="end"/>
      </w:r>
      <w:r>
        <w:t xml:space="preserve">: </w:t>
      </w:r>
      <w:r w:rsidRPr="00A95EED">
        <w:t>Toyota Canada Plants</w:t>
      </w:r>
      <w:bookmarkEnd w:id="4"/>
    </w:p>
    <w:p w14:paraId="6042DC56" w14:textId="1745EC5F" w:rsidR="008432B6" w:rsidRPr="00382916" w:rsidRDefault="008432B6" w:rsidP="008432B6">
      <w:pPr>
        <w:rPr>
          <w:rFonts w:ascii="Arial" w:hAnsi="Arial" w:cs="Arial"/>
          <w:lang w:val="en-US"/>
        </w:rPr>
      </w:pPr>
      <w:r w:rsidRPr="008432B6">
        <w:rPr>
          <w:rFonts w:ascii="Arial" w:hAnsi="Arial" w:cs="Arial"/>
          <w:b/>
          <w:bCs/>
          <w:lang w:val="en-US"/>
        </w:rPr>
        <w:t>Source:</w:t>
      </w:r>
      <w:r w:rsidRPr="008432B6">
        <w:rPr>
          <w:rFonts w:ascii="Arial" w:hAnsi="Arial" w:cs="Arial"/>
          <w:lang w:val="en-US"/>
        </w:rPr>
        <w:t xml:space="preserve"> </w:t>
      </w:r>
      <w:hyperlink r:id="rId10" w:history="1">
        <w:r w:rsidRPr="008432B6">
          <w:rPr>
            <w:rStyle w:val="Hyperlink"/>
            <w:rFonts w:ascii="Arial" w:hAnsi="Arial" w:cs="Arial"/>
            <w:lang w:val="en-US"/>
          </w:rPr>
          <w:t>tmmc.ca</w:t>
        </w:r>
      </w:hyperlink>
    </w:p>
    <w:p w14:paraId="7AD8425F" w14:textId="21A1E037" w:rsidR="00382916" w:rsidRPr="00382916" w:rsidRDefault="00382916" w:rsidP="00382916">
      <w:pPr>
        <w:pStyle w:val="Heading2"/>
        <w:rPr>
          <w:lang w:val="en-US"/>
        </w:rPr>
      </w:pPr>
      <w:bookmarkStart w:id="5" w:name="_Toc226828959"/>
      <w:r>
        <w:rPr>
          <w:lang w:val="en-US"/>
        </w:rPr>
        <w:t xml:space="preserve">1.2 </w:t>
      </w:r>
      <w:r w:rsidRPr="00382916">
        <w:rPr>
          <w:lang w:val="en-US"/>
        </w:rPr>
        <w:t>Mission, Vision, and Business Model:</w:t>
      </w:r>
      <w:bookmarkEnd w:id="5"/>
    </w:p>
    <w:p w14:paraId="5577275A" w14:textId="77777777" w:rsidR="00382916" w:rsidRP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b/>
          <w:bCs/>
          <w:color w:val="000000" w:themeColor="text1"/>
          <w:sz w:val="24"/>
          <w:szCs w:val="24"/>
          <w:lang w:val="en-US"/>
        </w:rPr>
        <w:t>Mission:</w:t>
      </w:r>
      <w:r w:rsidRPr="00382916">
        <w:rPr>
          <w:rFonts w:ascii="Arial" w:hAnsi="Arial" w:cs="Arial"/>
          <w:color w:val="000000" w:themeColor="text1"/>
          <w:sz w:val="24"/>
          <w:szCs w:val="24"/>
          <w:lang w:val="en-US"/>
        </w:rPr>
        <w:t xml:space="preserve"> Toyota is dedicated to creating happiness for everyone by providing safe, sustainable and innovative mobility solutions (Toyota, 2023).</w:t>
      </w:r>
    </w:p>
    <w:p w14:paraId="572D96D0" w14:textId="77777777" w:rsidR="00382916" w:rsidRP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b/>
          <w:bCs/>
          <w:color w:val="000000" w:themeColor="text1"/>
          <w:sz w:val="24"/>
          <w:szCs w:val="24"/>
          <w:lang w:val="en-US"/>
        </w:rPr>
        <w:t>Vision:</w:t>
      </w:r>
      <w:r w:rsidRPr="00382916">
        <w:rPr>
          <w:rFonts w:ascii="Arial" w:hAnsi="Arial" w:cs="Arial"/>
          <w:color w:val="000000" w:themeColor="text1"/>
          <w:sz w:val="24"/>
          <w:szCs w:val="24"/>
          <w:lang w:val="en-US"/>
        </w:rPr>
        <w:t xml:space="preserve"> The company sees a mobile future that is eco-friendly and hi-tech, such as electrification and intelligent transport systems.</w:t>
      </w:r>
    </w:p>
    <w:p w14:paraId="0AFF91B7" w14:textId="77777777" w:rsidR="00382916" w:rsidRP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b/>
          <w:bCs/>
          <w:color w:val="000000" w:themeColor="text1"/>
          <w:sz w:val="24"/>
          <w:szCs w:val="24"/>
          <w:lang w:val="en-US"/>
        </w:rPr>
        <w:lastRenderedPageBreak/>
        <w:t>Business Model:</w:t>
      </w:r>
      <w:r w:rsidRPr="00382916">
        <w:rPr>
          <w:rFonts w:ascii="Arial" w:hAnsi="Arial" w:cs="Arial"/>
          <w:color w:val="000000" w:themeColor="text1"/>
          <w:sz w:val="24"/>
          <w:szCs w:val="24"/>
          <w:lang w:val="en-US"/>
        </w:rPr>
        <w:t xml:space="preserve"> Toyota has a hybrid business model that is a combination of mass production, continuous improvement (Kaizen) and lean manufacturing. Vehicle sales, financing services, as well as after-sales services generate revenue. The company also focuses a lot on hybrid and electric cars, which aligns with its sustainability mission throughout the world and the ever-changing consumer tastes (Financial Times, 2024).</w:t>
      </w:r>
    </w:p>
    <w:p w14:paraId="0985DF64" w14:textId="1B9EAAF0" w:rsidR="00382916" w:rsidRPr="00382916" w:rsidRDefault="00382916" w:rsidP="00382916">
      <w:pPr>
        <w:pStyle w:val="Heading2"/>
        <w:rPr>
          <w:lang w:val="en-US"/>
        </w:rPr>
      </w:pPr>
      <w:bookmarkStart w:id="6" w:name="_Toc226828960"/>
      <w:r>
        <w:rPr>
          <w:lang w:val="en-US"/>
        </w:rPr>
        <w:t xml:space="preserve">1.3 </w:t>
      </w:r>
      <w:r w:rsidRPr="00382916">
        <w:rPr>
          <w:lang w:val="en-US"/>
        </w:rPr>
        <w:t>Industry Analysis, Competitors, and Market Position:</w:t>
      </w:r>
      <w:bookmarkEnd w:id="6"/>
    </w:p>
    <w:p w14:paraId="6FD7C4DC" w14:textId="77777777" w:rsidR="00382916" w:rsidRP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color w:val="000000" w:themeColor="text1"/>
          <w:sz w:val="24"/>
          <w:szCs w:val="24"/>
          <w:lang w:val="en-US"/>
        </w:rPr>
        <w:t xml:space="preserve">The automotive sector in Canada is an essential part of the country's economy, as it has a great share in the GDP and employment. It is typified by intense </w:t>
      </w:r>
      <w:proofErr w:type="spellStart"/>
      <w:r w:rsidRPr="00382916">
        <w:rPr>
          <w:rFonts w:ascii="Arial" w:hAnsi="Arial" w:cs="Arial"/>
          <w:color w:val="000000" w:themeColor="text1"/>
          <w:sz w:val="24"/>
          <w:szCs w:val="24"/>
          <w:lang w:val="en-US"/>
        </w:rPr>
        <w:t>capitalisation</w:t>
      </w:r>
      <w:proofErr w:type="spellEnd"/>
      <w:r w:rsidRPr="00382916">
        <w:rPr>
          <w:rFonts w:ascii="Arial" w:hAnsi="Arial" w:cs="Arial"/>
          <w:color w:val="000000" w:themeColor="text1"/>
          <w:sz w:val="24"/>
          <w:szCs w:val="24"/>
          <w:lang w:val="en-US"/>
        </w:rPr>
        <w:t xml:space="preserve">, technological change, and stringent regulation, especially relating to emission and safety regulations (Government of Canada, 2023). The electrification, </w:t>
      </w:r>
      <w:proofErr w:type="spellStart"/>
      <w:r w:rsidRPr="00382916">
        <w:rPr>
          <w:rFonts w:ascii="Arial" w:hAnsi="Arial" w:cs="Arial"/>
          <w:color w:val="000000" w:themeColor="text1"/>
          <w:sz w:val="24"/>
          <w:szCs w:val="24"/>
          <w:lang w:val="en-US"/>
        </w:rPr>
        <w:t>digitalisation</w:t>
      </w:r>
      <w:proofErr w:type="spellEnd"/>
      <w:r w:rsidRPr="00382916">
        <w:rPr>
          <w:rFonts w:ascii="Arial" w:hAnsi="Arial" w:cs="Arial"/>
          <w:color w:val="000000" w:themeColor="text1"/>
          <w:sz w:val="24"/>
          <w:szCs w:val="24"/>
          <w:lang w:val="en-US"/>
        </w:rPr>
        <w:t>, and disruption of the supply chains are causing a rapid transformation in the industry.</w:t>
      </w:r>
    </w:p>
    <w:p w14:paraId="43A81B57" w14:textId="77777777" w:rsidR="00382916" w:rsidRP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color w:val="000000" w:themeColor="text1"/>
          <w:sz w:val="24"/>
          <w:szCs w:val="24"/>
          <w:lang w:val="en-US"/>
        </w:rPr>
        <w:t>Toyota is facing a highly competitive environment with Ford Motor Company, General Motors and Honda Motor Co. as the main players in the world. These are price, innovation, fuel efficiency and brand reputation competitors. As industry reports reveal, Toyota has been one of the best-selling automotive brands and has high customer satisfaction in Canada (Statista, 2024).</w:t>
      </w:r>
    </w:p>
    <w:p w14:paraId="232DB658" w14:textId="77777777" w:rsidR="00382916" w:rsidRPr="00382916" w:rsidRDefault="00382916" w:rsidP="00382916">
      <w:pPr>
        <w:spacing w:after="240" w:line="360" w:lineRule="auto"/>
        <w:jc w:val="both"/>
        <w:rPr>
          <w:rFonts w:ascii="Arial" w:hAnsi="Arial" w:cs="Arial"/>
          <w:color w:val="000000" w:themeColor="text1"/>
          <w:sz w:val="24"/>
          <w:szCs w:val="24"/>
          <w:lang w:val="en-US"/>
        </w:rPr>
      </w:pPr>
      <w:r w:rsidRPr="00382916">
        <w:rPr>
          <w:rFonts w:ascii="Arial" w:hAnsi="Arial" w:cs="Arial"/>
          <w:color w:val="000000" w:themeColor="text1"/>
          <w:sz w:val="24"/>
          <w:szCs w:val="24"/>
          <w:lang w:val="en-US"/>
        </w:rPr>
        <w:t>Toyota has a competitive edge in the high rate of brand equity, efficiency in its operations and dominance in hybrid technology. Its Toyota Production System (TPS) allows it to be cost-effective and quality-controlled, which helps it to cement its place in the market (Harvard Business Review, 2022). Moreover, the company has been at the forefront in ensuring that it invests in hybrid cars like the Prius, which further enhances the reputation of the company in sustainable mobility.</w:t>
      </w:r>
    </w:p>
    <w:p w14:paraId="14458AFB" w14:textId="65381A68" w:rsidR="00B501C2" w:rsidRPr="0034320D" w:rsidRDefault="00382916" w:rsidP="00F116CD">
      <w:pPr>
        <w:spacing w:after="240" w:line="360" w:lineRule="auto"/>
        <w:jc w:val="both"/>
        <w:rPr>
          <w:rFonts w:ascii="Arial" w:hAnsi="Arial" w:cs="Arial"/>
          <w:color w:val="000000" w:themeColor="text1"/>
          <w:sz w:val="24"/>
          <w:szCs w:val="24"/>
          <w:lang w:val="en-US"/>
        </w:rPr>
      </w:pPr>
      <w:r w:rsidRPr="00382916">
        <w:rPr>
          <w:rFonts w:ascii="Arial" w:hAnsi="Arial" w:cs="Arial"/>
          <w:color w:val="000000" w:themeColor="text1"/>
          <w:sz w:val="24"/>
          <w:szCs w:val="24"/>
          <w:lang w:val="en-US"/>
        </w:rPr>
        <w:t>On the whole, Toyota has a good market standing in Canada due to a solid reputation of a reliable and innovative company, but as the competition in electric vehicles grows, with companies such as Tesla entering the market, it poses a strategic challenge (The Economist, 2023).</w:t>
      </w:r>
    </w:p>
    <w:p w14:paraId="4AF18C0F" w14:textId="4C23F692" w:rsidR="00B501C2" w:rsidRPr="0054132D" w:rsidRDefault="00EE452F" w:rsidP="00B501C2">
      <w:pPr>
        <w:pStyle w:val="Heading1"/>
      </w:pPr>
      <w:bookmarkStart w:id="7" w:name="_Toc226828961"/>
      <w:r w:rsidRPr="0054132D">
        <w:lastRenderedPageBreak/>
        <w:t xml:space="preserve">2.0 </w:t>
      </w:r>
      <w:r w:rsidR="0054132D" w:rsidRPr="0054132D">
        <w:t>External and Internal Environment Analysis</w:t>
      </w:r>
      <w:bookmarkEnd w:id="7"/>
    </w:p>
    <w:p w14:paraId="2121F1B4" w14:textId="7C864617" w:rsidR="002C214F" w:rsidRPr="002C214F" w:rsidRDefault="002C214F" w:rsidP="002C214F">
      <w:pPr>
        <w:pStyle w:val="Heading2"/>
        <w:rPr>
          <w:lang w:val="en-US"/>
        </w:rPr>
      </w:pPr>
      <w:bookmarkStart w:id="8" w:name="_Toc226828962"/>
      <w:r>
        <w:rPr>
          <w:lang w:val="en-US"/>
        </w:rPr>
        <w:t xml:space="preserve">2.1 </w:t>
      </w:r>
      <w:r w:rsidR="005C26B9" w:rsidRPr="005C26B9">
        <w:rPr>
          <w:lang w:val="en-US"/>
        </w:rPr>
        <w:t>PESTEL Analysis and Strategic Implications</w:t>
      </w:r>
      <w:bookmarkEnd w:id="8"/>
    </w:p>
    <w:tbl>
      <w:tblPr>
        <w:tblStyle w:val="TableGrid"/>
        <w:tblW w:w="0" w:type="auto"/>
        <w:tblLook w:val="04A0" w:firstRow="1" w:lastRow="0" w:firstColumn="1" w:lastColumn="0" w:noHBand="0" w:noVBand="1"/>
      </w:tblPr>
      <w:tblGrid>
        <w:gridCol w:w="1883"/>
        <w:gridCol w:w="4064"/>
        <w:gridCol w:w="3069"/>
      </w:tblGrid>
      <w:tr w:rsidR="005C26B9" w:rsidRPr="005C26B9" w14:paraId="409BC4E3" w14:textId="77777777" w:rsidTr="005C26B9">
        <w:tc>
          <w:tcPr>
            <w:tcW w:w="0" w:type="auto"/>
            <w:hideMark/>
          </w:tcPr>
          <w:p w14:paraId="5D4A0D09" w14:textId="77777777" w:rsidR="005C26B9" w:rsidRPr="005C26B9" w:rsidRDefault="005C26B9" w:rsidP="005C26B9">
            <w:pPr>
              <w:spacing w:after="160" w:line="360" w:lineRule="auto"/>
              <w:jc w:val="both"/>
              <w:rPr>
                <w:rFonts w:ascii="Arial" w:hAnsi="Arial" w:cs="Arial"/>
                <w:b/>
                <w:bCs/>
                <w:color w:val="000000" w:themeColor="text1"/>
                <w:sz w:val="24"/>
                <w:szCs w:val="24"/>
                <w:lang w:val="en-US"/>
              </w:rPr>
            </w:pPr>
            <w:r w:rsidRPr="005C26B9">
              <w:rPr>
                <w:rFonts w:ascii="Arial" w:hAnsi="Arial" w:cs="Arial"/>
                <w:b/>
                <w:bCs/>
                <w:color w:val="000000" w:themeColor="text1"/>
                <w:sz w:val="24"/>
                <w:szCs w:val="24"/>
                <w:lang w:val="en-US"/>
              </w:rPr>
              <w:t>Factor</w:t>
            </w:r>
          </w:p>
        </w:tc>
        <w:tc>
          <w:tcPr>
            <w:tcW w:w="0" w:type="auto"/>
            <w:hideMark/>
          </w:tcPr>
          <w:p w14:paraId="7CE2F04D" w14:textId="77777777" w:rsidR="005C26B9" w:rsidRPr="005C26B9" w:rsidRDefault="005C26B9" w:rsidP="005C26B9">
            <w:pPr>
              <w:spacing w:after="160" w:line="360" w:lineRule="auto"/>
              <w:jc w:val="both"/>
              <w:rPr>
                <w:rFonts w:ascii="Arial" w:hAnsi="Arial" w:cs="Arial"/>
                <w:b/>
                <w:bCs/>
                <w:color w:val="000000" w:themeColor="text1"/>
                <w:sz w:val="24"/>
                <w:szCs w:val="24"/>
                <w:lang w:val="en-US"/>
              </w:rPr>
            </w:pPr>
            <w:r w:rsidRPr="005C26B9">
              <w:rPr>
                <w:rFonts w:ascii="Arial" w:hAnsi="Arial" w:cs="Arial"/>
                <w:b/>
                <w:bCs/>
                <w:color w:val="000000" w:themeColor="text1"/>
                <w:sz w:val="24"/>
                <w:szCs w:val="24"/>
                <w:lang w:val="en-US"/>
              </w:rPr>
              <w:t>Impact on Toyota Motor Corporation in Canada</w:t>
            </w:r>
          </w:p>
        </w:tc>
        <w:tc>
          <w:tcPr>
            <w:tcW w:w="0" w:type="auto"/>
            <w:hideMark/>
          </w:tcPr>
          <w:p w14:paraId="2929B89A" w14:textId="77777777" w:rsidR="005C26B9" w:rsidRPr="005C26B9" w:rsidRDefault="005C26B9" w:rsidP="005C26B9">
            <w:pPr>
              <w:spacing w:after="160" w:line="360" w:lineRule="auto"/>
              <w:jc w:val="both"/>
              <w:rPr>
                <w:rFonts w:ascii="Arial" w:hAnsi="Arial" w:cs="Arial"/>
                <w:b/>
                <w:bCs/>
                <w:color w:val="000000" w:themeColor="text1"/>
                <w:sz w:val="24"/>
                <w:szCs w:val="24"/>
                <w:lang w:val="en-US"/>
              </w:rPr>
            </w:pPr>
            <w:r w:rsidRPr="005C26B9">
              <w:rPr>
                <w:rFonts w:ascii="Arial" w:hAnsi="Arial" w:cs="Arial"/>
                <w:b/>
                <w:bCs/>
                <w:color w:val="000000" w:themeColor="text1"/>
                <w:sz w:val="24"/>
                <w:szCs w:val="24"/>
                <w:lang w:val="en-US"/>
              </w:rPr>
              <w:t>Strategic Implications</w:t>
            </w:r>
          </w:p>
        </w:tc>
      </w:tr>
      <w:tr w:rsidR="005C26B9" w:rsidRPr="005C26B9" w14:paraId="322A8E5E" w14:textId="77777777" w:rsidTr="005C26B9">
        <w:tc>
          <w:tcPr>
            <w:tcW w:w="0" w:type="auto"/>
            <w:hideMark/>
          </w:tcPr>
          <w:p w14:paraId="32DD033F"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b/>
                <w:bCs/>
                <w:color w:val="000000" w:themeColor="text1"/>
                <w:sz w:val="24"/>
                <w:szCs w:val="24"/>
                <w:lang w:val="en-US"/>
              </w:rPr>
              <w:t>Political</w:t>
            </w:r>
          </w:p>
        </w:tc>
        <w:tc>
          <w:tcPr>
            <w:tcW w:w="0" w:type="auto"/>
            <w:hideMark/>
          </w:tcPr>
          <w:p w14:paraId="63D24600" w14:textId="0FD8EDD0"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Canadian government policies, including Zero-Emission Vehicle (ZEV) mandates and trade agreements (e.g., USMCA), shape production and sales decisions. Toyota has publicly responded to federal EV regulations, highlighting policy pressure (Toyota Canada, 2023).</w:t>
            </w:r>
          </w:p>
        </w:tc>
        <w:tc>
          <w:tcPr>
            <w:tcW w:w="0" w:type="auto"/>
            <w:hideMark/>
          </w:tcPr>
          <w:p w14:paraId="14D45E18"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Toyota must align its strategy with regulatory frameworks by accelerating electrification while maintaining profitability, balancing hybrid and EV investments.</w:t>
            </w:r>
          </w:p>
        </w:tc>
      </w:tr>
      <w:tr w:rsidR="005C26B9" w:rsidRPr="005C26B9" w14:paraId="7469FA42" w14:textId="77777777" w:rsidTr="005C26B9">
        <w:tc>
          <w:tcPr>
            <w:tcW w:w="0" w:type="auto"/>
            <w:hideMark/>
          </w:tcPr>
          <w:p w14:paraId="25A48936"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b/>
                <w:bCs/>
                <w:color w:val="000000" w:themeColor="text1"/>
                <w:sz w:val="24"/>
                <w:szCs w:val="24"/>
                <w:lang w:val="en-US"/>
              </w:rPr>
              <w:t>Economic</w:t>
            </w:r>
          </w:p>
        </w:tc>
        <w:tc>
          <w:tcPr>
            <w:tcW w:w="0" w:type="auto"/>
            <w:hideMark/>
          </w:tcPr>
          <w:p w14:paraId="3430A706" w14:textId="75906590"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The automotive sector is highly sensitive to inflation, interest rates, and supply chain disruptions. Toyota experienced supply chain challenges but maintained strong sales performance in Canada (Toyota, 2023).</w:t>
            </w:r>
          </w:p>
        </w:tc>
        <w:tc>
          <w:tcPr>
            <w:tcW w:w="0" w:type="auto"/>
            <w:hideMark/>
          </w:tcPr>
          <w:p w14:paraId="498452D1"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Strategic focus on cost efficiency (lean production) and flexible supply chains ensures resilience against economic volatility.</w:t>
            </w:r>
          </w:p>
        </w:tc>
      </w:tr>
      <w:tr w:rsidR="005C26B9" w:rsidRPr="005C26B9" w14:paraId="31771DA3" w14:textId="77777777" w:rsidTr="005C26B9">
        <w:tc>
          <w:tcPr>
            <w:tcW w:w="0" w:type="auto"/>
            <w:hideMark/>
          </w:tcPr>
          <w:p w14:paraId="20B2AA1E"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b/>
                <w:bCs/>
                <w:color w:val="000000" w:themeColor="text1"/>
                <w:sz w:val="24"/>
                <w:szCs w:val="24"/>
                <w:lang w:val="en-US"/>
              </w:rPr>
              <w:t>Social</w:t>
            </w:r>
          </w:p>
        </w:tc>
        <w:tc>
          <w:tcPr>
            <w:tcW w:w="0" w:type="auto"/>
            <w:hideMark/>
          </w:tcPr>
          <w:p w14:paraId="0135095C" w14:textId="283A4EAF"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 xml:space="preserve">Increasing consumer awareness of sustainability and demand for fuel-efficient vehicles influence buying </w:t>
            </w:r>
            <w:proofErr w:type="spellStart"/>
            <w:r w:rsidRPr="005C26B9">
              <w:rPr>
                <w:rFonts w:ascii="Arial" w:hAnsi="Arial" w:cs="Arial"/>
                <w:color w:val="000000" w:themeColor="text1"/>
                <w:sz w:val="24"/>
                <w:szCs w:val="24"/>
                <w:lang w:val="en-US"/>
              </w:rPr>
              <w:t>behaviour</w:t>
            </w:r>
            <w:proofErr w:type="spellEnd"/>
            <w:r w:rsidRPr="005C26B9">
              <w:rPr>
                <w:rFonts w:ascii="Arial" w:hAnsi="Arial" w:cs="Arial"/>
                <w:color w:val="000000" w:themeColor="text1"/>
                <w:sz w:val="24"/>
                <w:szCs w:val="24"/>
                <w:lang w:val="en-US"/>
              </w:rPr>
              <w:t>. Toyota’s hybrid vehicles account for a significant share of electrified sales in Canada (Toyota, 2024).</w:t>
            </w:r>
          </w:p>
        </w:tc>
        <w:tc>
          <w:tcPr>
            <w:tcW w:w="0" w:type="auto"/>
            <w:hideMark/>
          </w:tcPr>
          <w:p w14:paraId="6AB4B455"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 xml:space="preserve">Toyota </w:t>
            </w:r>
            <w:proofErr w:type="spellStart"/>
            <w:r w:rsidRPr="005C26B9">
              <w:rPr>
                <w:rFonts w:ascii="Arial" w:hAnsi="Arial" w:cs="Arial"/>
                <w:color w:val="000000" w:themeColor="text1"/>
                <w:sz w:val="24"/>
                <w:szCs w:val="24"/>
                <w:lang w:val="en-US"/>
              </w:rPr>
              <w:t>emphasises</w:t>
            </w:r>
            <w:proofErr w:type="spellEnd"/>
            <w:r w:rsidRPr="005C26B9">
              <w:rPr>
                <w:rFonts w:ascii="Arial" w:hAnsi="Arial" w:cs="Arial"/>
                <w:color w:val="000000" w:themeColor="text1"/>
                <w:sz w:val="24"/>
                <w:szCs w:val="24"/>
                <w:lang w:val="en-US"/>
              </w:rPr>
              <w:t xml:space="preserve"> hybrid and eco-friendly vehicles to meet changing consumer preferences and maintain brand loyalty.</w:t>
            </w:r>
          </w:p>
        </w:tc>
      </w:tr>
      <w:tr w:rsidR="005C26B9" w:rsidRPr="005C26B9" w14:paraId="5DBAFFE4" w14:textId="77777777" w:rsidTr="005C26B9">
        <w:tc>
          <w:tcPr>
            <w:tcW w:w="0" w:type="auto"/>
            <w:hideMark/>
          </w:tcPr>
          <w:p w14:paraId="41B8C5B7"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b/>
                <w:bCs/>
                <w:color w:val="000000" w:themeColor="text1"/>
                <w:sz w:val="24"/>
                <w:szCs w:val="24"/>
                <w:lang w:val="en-US"/>
              </w:rPr>
              <w:t>Technological</w:t>
            </w:r>
          </w:p>
        </w:tc>
        <w:tc>
          <w:tcPr>
            <w:tcW w:w="0" w:type="auto"/>
            <w:hideMark/>
          </w:tcPr>
          <w:p w14:paraId="6885CC9A" w14:textId="60E69B63"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 xml:space="preserve">Rapid advancements in electric vehicles (EVs), AI, and connected mobility are transforming the industry. Toyota invests in multiple </w:t>
            </w:r>
            <w:r w:rsidRPr="005C26B9">
              <w:rPr>
                <w:rFonts w:ascii="Arial" w:hAnsi="Arial" w:cs="Arial"/>
                <w:color w:val="000000" w:themeColor="text1"/>
                <w:sz w:val="24"/>
                <w:szCs w:val="24"/>
                <w:lang w:val="en-US"/>
              </w:rPr>
              <w:lastRenderedPageBreak/>
              <w:t>electrification technologies (hybrid, battery, hydrogen).</w:t>
            </w:r>
          </w:p>
        </w:tc>
        <w:tc>
          <w:tcPr>
            <w:tcW w:w="0" w:type="auto"/>
            <w:hideMark/>
          </w:tcPr>
          <w:p w14:paraId="700728F4"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lastRenderedPageBreak/>
              <w:t xml:space="preserve">A multi-pathway innovation strategy allows Toyota to remain competitive while </w:t>
            </w:r>
            <w:r w:rsidRPr="005C26B9">
              <w:rPr>
                <w:rFonts w:ascii="Arial" w:hAnsi="Arial" w:cs="Arial"/>
                <w:color w:val="000000" w:themeColor="text1"/>
                <w:sz w:val="24"/>
                <w:szCs w:val="24"/>
                <w:lang w:val="en-US"/>
              </w:rPr>
              <w:lastRenderedPageBreak/>
              <w:t>mitigating risks associated with full EV transition.</w:t>
            </w:r>
          </w:p>
        </w:tc>
      </w:tr>
      <w:tr w:rsidR="005C26B9" w:rsidRPr="005C26B9" w14:paraId="1B72F993" w14:textId="77777777" w:rsidTr="005C26B9">
        <w:tc>
          <w:tcPr>
            <w:tcW w:w="0" w:type="auto"/>
            <w:hideMark/>
          </w:tcPr>
          <w:p w14:paraId="69F7B35B"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b/>
                <w:bCs/>
                <w:color w:val="000000" w:themeColor="text1"/>
                <w:sz w:val="24"/>
                <w:szCs w:val="24"/>
                <w:lang w:val="en-US"/>
              </w:rPr>
              <w:lastRenderedPageBreak/>
              <w:t>Environmental</w:t>
            </w:r>
          </w:p>
        </w:tc>
        <w:tc>
          <w:tcPr>
            <w:tcW w:w="0" w:type="auto"/>
            <w:hideMark/>
          </w:tcPr>
          <w:p w14:paraId="5EA8889E" w14:textId="49AC6C2B"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Strict emissions regulations and global sustainability goals (e.g., net-zero targets) drive operational changes. Toyota aims for carbon neutrality by 2050 and has reduced emissions across operations.</w:t>
            </w:r>
          </w:p>
        </w:tc>
        <w:tc>
          <w:tcPr>
            <w:tcW w:w="0" w:type="auto"/>
            <w:hideMark/>
          </w:tcPr>
          <w:p w14:paraId="028DF815"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Sustainability is embedded in corporate strategy, influencing product development, manufacturing, and supply chain practices.</w:t>
            </w:r>
          </w:p>
        </w:tc>
      </w:tr>
      <w:tr w:rsidR="005C26B9" w:rsidRPr="005C26B9" w14:paraId="2C7D0FDF" w14:textId="77777777" w:rsidTr="005C26B9">
        <w:tc>
          <w:tcPr>
            <w:tcW w:w="0" w:type="auto"/>
            <w:hideMark/>
          </w:tcPr>
          <w:p w14:paraId="24DD3BDF"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b/>
                <w:bCs/>
                <w:color w:val="000000" w:themeColor="text1"/>
                <w:sz w:val="24"/>
                <w:szCs w:val="24"/>
                <w:lang w:val="en-US"/>
              </w:rPr>
              <w:t>Legal</w:t>
            </w:r>
          </w:p>
        </w:tc>
        <w:tc>
          <w:tcPr>
            <w:tcW w:w="0" w:type="auto"/>
            <w:hideMark/>
          </w:tcPr>
          <w:p w14:paraId="564E9EB8" w14:textId="4D0AAAD2"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 xml:space="preserve">New legislation such as Canada’s Forced </w:t>
            </w:r>
            <w:proofErr w:type="spellStart"/>
            <w:r w:rsidRPr="005C26B9">
              <w:rPr>
                <w:rFonts w:ascii="Arial" w:hAnsi="Arial" w:cs="Arial"/>
                <w:color w:val="000000" w:themeColor="text1"/>
                <w:sz w:val="24"/>
                <w:szCs w:val="24"/>
                <w:lang w:val="en-US"/>
              </w:rPr>
              <w:t>Labour</w:t>
            </w:r>
            <w:proofErr w:type="spellEnd"/>
            <w:r w:rsidRPr="005C26B9">
              <w:rPr>
                <w:rFonts w:ascii="Arial" w:hAnsi="Arial" w:cs="Arial"/>
                <w:color w:val="000000" w:themeColor="text1"/>
                <w:sz w:val="24"/>
                <w:szCs w:val="24"/>
                <w:lang w:val="en-US"/>
              </w:rPr>
              <w:t xml:space="preserve"> and Child </w:t>
            </w:r>
            <w:proofErr w:type="spellStart"/>
            <w:r w:rsidRPr="005C26B9">
              <w:rPr>
                <w:rFonts w:ascii="Arial" w:hAnsi="Arial" w:cs="Arial"/>
                <w:color w:val="000000" w:themeColor="text1"/>
                <w:sz w:val="24"/>
                <w:szCs w:val="24"/>
                <w:lang w:val="en-US"/>
              </w:rPr>
              <w:t>Labour</w:t>
            </w:r>
            <w:proofErr w:type="spellEnd"/>
            <w:r w:rsidRPr="005C26B9">
              <w:rPr>
                <w:rFonts w:ascii="Arial" w:hAnsi="Arial" w:cs="Arial"/>
                <w:color w:val="000000" w:themeColor="text1"/>
                <w:sz w:val="24"/>
                <w:szCs w:val="24"/>
                <w:lang w:val="en-US"/>
              </w:rPr>
              <w:t xml:space="preserve"> in Supply Chains Act (2024) increases compliance requirements.</w:t>
            </w:r>
          </w:p>
        </w:tc>
        <w:tc>
          <w:tcPr>
            <w:tcW w:w="0" w:type="auto"/>
            <w:hideMark/>
          </w:tcPr>
          <w:p w14:paraId="212BE857" w14:textId="77777777" w:rsidR="005C26B9" w:rsidRPr="005C26B9" w:rsidRDefault="005C26B9" w:rsidP="005C26B9">
            <w:pPr>
              <w:keepNext/>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Toyota must strengthen governance and supply chain transparency to mitigate legal and reputational risks.</w:t>
            </w:r>
          </w:p>
        </w:tc>
      </w:tr>
    </w:tbl>
    <w:p w14:paraId="02705336" w14:textId="16F6BEDD" w:rsidR="005C26B9" w:rsidRDefault="005C26B9" w:rsidP="005C26B9">
      <w:pPr>
        <w:pStyle w:val="Caption"/>
        <w:rPr>
          <w:rFonts w:ascii="Arial" w:hAnsi="Arial" w:cs="Arial"/>
          <w:color w:val="000000" w:themeColor="text1"/>
          <w:sz w:val="24"/>
          <w:szCs w:val="24"/>
          <w:lang w:val="en-US"/>
        </w:rPr>
      </w:pPr>
      <w:bookmarkStart w:id="9" w:name="_Toc226828953"/>
      <w:r>
        <w:t xml:space="preserve">Table </w:t>
      </w:r>
      <w:r>
        <w:fldChar w:fldCharType="begin"/>
      </w:r>
      <w:r>
        <w:instrText xml:space="preserve"> SEQ Table \* ARABIC </w:instrText>
      </w:r>
      <w:r>
        <w:fldChar w:fldCharType="separate"/>
      </w:r>
      <w:r w:rsidR="007602F2">
        <w:rPr>
          <w:noProof/>
        </w:rPr>
        <w:t>1</w:t>
      </w:r>
      <w:r>
        <w:fldChar w:fldCharType="end"/>
      </w:r>
      <w:r>
        <w:t xml:space="preserve">: </w:t>
      </w:r>
      <w:r w:rsidRPr="00675AC5">
        <w:t>PESTEL Analysis and Strategic Implications</w:t>
      </w:r>
      <w:bookmarkEnd w:id="9"/>
    </w:p>
    <w:p w14:paraId="584BEE45" w14:textId="502E0AF2" w:rsidR="005C26B9" w:rsidRPr="005C26B9" w:rsidRDefault="005C26B9" w:rsidP="005C26B9">
      <w:pPr>
        <w:spacing w:after="160" w:line="360" w:lineRule="auto"/>
        <w:jc w:val="both"/>
        <w:rPr>
          <w:rFonts w:ascii="Arial" w:hAnsi="Arial" w:cs="Arial"/>
          <w:b/>
          <w:bCs/>
          <w:color w:val="000000" w:themeColor="text1"/>
          <w:sz w:val="24"/>
          <w:szCs w:val="24"/>
          <w:lang w:val="en-US"/>
        </w:rPr>
      </w:pPr>
      <w:r w:rsidRPr="005C26B9">
        <w:rPr>
          <w:rFonts w:ascii="Arial" w:hAnsi="Arial" w:cs="Arial"/>
          <w:b/>
          <w:bCs/>
          <w:color w:val="000000" w:themeColor="text1"/>
          <w:sz w:val="24"/>
          <w:szCs w:val="24"/>
          <w:lang w:val="en-US"/>
        </w:rPr>
        <w:t>Critical Insight:</w:t>
      </w:r>
    </w:p>
    <w:p w14:paraId="7400A09C"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The PESTEL analysis reveals that regulatory pressure, technological disruption and sustainability imperatives have significant impacts on the strategic decisions of Toyota. The hybrid-first strategy of the firm is an indication of a tentative and yet flexible reaction to the uncertainty in the environmental and political context, which is similar to strategic management theories like contingency theory and dynamic capabilities.</w:t>
      </w:r>
    </w:p>
    <w:p w14:paraId="571E6ED1" w14:textId="77777777" w:rsidR="005C26B9" w:rsidRPr="005C26B9" w:rsidRDefault="005C26B9" w:rsidP="005C26B9">
      <w:pPr>
        <w:pStyle w:val="Heading2"/>
        <w:rPr>
          <w:lang w:val="en-US"/>
        </w:rPr>
      </w:pPr>
      <w:bookmarkStart w:id="10" w:name="_Toc226828963"/>
      <w:r w:rsidRPr="005C26B9">
        <w:rPr>
          <w:lang w:val="en-US"/>
        </w:rPr>
        <w:t>2.2 Critical Success Factors and Strategic Challenges:</w:t>
      </w:r>
      <w:bookmarkEnd w:id="10"/>
    </w:p>
    <w:p w14:paraId="458E225D" w14:textId="6864CD52"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A number of critical success factors (CSFs) determine Toyota to be successful in the Canadian automotive industry. To begin with, cost leadership and high quality are made possible by an operational efficiency brought about by the Toyota Production System (TPS). This is in line with the value chain model created by Porter, in which the efficient functioning generates a competitive edge (Harvard Business Review, 2022). Secondly, Toyota has a first-mover advantage in the field of sustainable mobility due to technological leadership in hybrid vehicles. The company has sold more than 40</w:t>
      </w:r>
      <w:r w:rsidR="009D43C8">
        <w:rPr>
          <w:rFonts w:ascii="Arial" w:hAnsi="Arial" w:cs="Arial"/>
          <w:color w:val="000000" w:themeColor="text1"/>
          <w:sz w:val="24"/>
          <w:szCs w:val="24"/>
          <w:lang w:val="en-US"/>
        </w:rPr>
        <w:t>%</w:t>
      </w:r>
      <w:r w:rsidRPr="005C26B9">
        <w:rPr>
          <w:rFonts w:ascii="Arial" w:hAnsi="Arial" w:cs="Arial"/>
          <w:color w:val="000000" w:themeColor="text1"/>
          <w:sz w:val="24"/>
          <w:szCs w:val="24"/>
          <w:lang w:val="en-US"/>
        </w:rPr>
        <w:t xml:space="preserve"> of the electrified vehicles in Canada, according to its environmental reports, which boosts its position in the market (Toyota, 2024).</w:t>
      </w:r>
    </w:p>
    <w:p w14:paraId="78C92CD6"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lastRenderedPageBreak/>
        <w:t xml:space="preserve">Thirdly, the reputation and reliability of the brand are the factors of differentiation. The durability of cars and resale value are continually </w:t>
      </w:r>
      <w:proofErr w:type="spellStart"/>
      <w:r w:rsidRPr="005C26B9">
        <w:rPr>
          <w:rFonts w:ascii="Arial" w:hAnsi="Arial" w:cs="Arial"/>
          <w:color w:val="000000" w:themeColor="text1"/>
          <w:sz w:val="24"/>
          <w:szCs w:val="24"/>
          <w:lang w:val="en-US"/>
        </w:rPr>
        <w:t>recognised</w:t>
      </w:r>
      <w:proofErr w:type="spellEnd"/>
      <w:r w:rsidRPr="005C26B9">
        <w:rPr>
          <w:rFonts w:ascii="Arial" w:hAnsi="Arial" w:cs="Arial"/>
          <w:color w:val="000000" w:themeColor="text1"/>
          <w:sz w:val="24"/>
          <w:szCs w:val="24"/>
          <w:lang w:val="en-US"/>
        </w:rPr>
        <w:t xml:space="preserve"> by the industry in Toyota, which reinforces the customer trust and loyalty (Toyota Canada, 2023). Moreover, resilience is further improved by robust supply chain integration and long-term supplier relationships, which are particularly effective in the face of global disruptions like semiconductor shortages.</w:t>
      </w:r>
    </w:p>
    <w:p w14:paraId="58CA12E3"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Nonetheless, Toyota experiences a great strategic threat in the external environment. The most significant threat is the increasing shift towards complete electric vehicles (EVs). As rivals are quickly building EV portfolios, Toyota has faced criticism for moving at a slow pace when it comes to full electrification (The Economist, 2023). This poses a strategic dilemma between profitability in hybrids and investing a lot of money in EV infrastructure.</w:t>
      </w:r>
    </w:p>
    <w:p w14:paraId="5B438620"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The other issue is regulatory pressure, especially the strict emissions policy and EV mandates in Canada, which will need significant capital investment and a change in how the operation works. Moreover, there are risks in the supply chain, such as geopolitical tensions and shortage of raw materials, which threaten continuity in production.</w:t>
      </w:r>
    </w:p>
    <w:p w14:paraId="487D5689" w14:textId="77777777" w:rsidR="005C26B9" w:rsidRPr="005C26B9"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Lastly, the competitive pressure generated by the existing automakers as well as new competitors will put pressure on prices, innovation, and market share. Companies that move aggressively on EVs can eliminate the competitive edge of Toyota in case it does not move swiftly.</w:t>
      </w:r>
    </w:p>
    <w:p w14:paraId="0B6DA89A" w14:textId="77777777" w:rsidR="005C26B9" w:rsidRPr="005C26B9" w:rsidRDefault="005C26B9" w:rsidP="005C26B9">
      <w:pPr>
        <w:spacing w:after="160" w:line="360" w:lineRule="auto"/>
        <w:jc w:val="both"/>
        <w:rPr>
          <w:rFonts w:ascii="Arial" w:hAnsi="Arial" w:cs="Arial"/>
          <w:b/>
          <w:bCs/>
          <w:color w:val="000000" w:themeColor="text1"/>
          <w:sz w:val="24"/>
          <w:szCs w:val="24"/>
          <w:lang w:val="en-US"/>
        </w:rPr>
      </w:pPr>
      <w:r w:rsidRPr="005C26B9">
        <w:rPr>
          <w:rFonts w:ascii="Arial" w:hAnsi="Arial" w:cs="Arial"/>
          <w:b/>
          <w:bCs/>
          <w:color w:val="000000" w:themeColor="text1"/>
          <w:sz w:val="24"/>
          <w:szCs w:val="24"/>
          <w:lang w:val="en-US"/>
        </w:rPr>
        <w:t>Critical Evaluation:</w:t>
      </w:r>
    </w:p>
    <w:p w14:paraId="661F18E4" w14:textId="62902D7D" w:rsidR="002C214F" w:rsidRDefault="005C26B9" w:rsidP="005C26B9">
      <w:pPr>
        <w:spacing w:after="160" w:line="360" w:lineRule="auto"/>
        <w:jc w:val="both"/>
        <w:rPr>
          <w:rFonts w:ascii="Arial" w:hAnsi="Arial" w:cs="Arial"/>
          <w:color w:val="000000" w:themeColor="text1"/>
          <w:sz w:val="24"/>
          <w:szCs w:val="24"/>
          <w:lang w:val="en-US"/>
        </w:rPr>
      </w:pPr>
      <w:r w:rsidRPr="005C26B9">
        <w:rPr>
          <w:rFonts w:ascii="Arial" w:hAnsi="Arial" w:cs="Arial"/>
          <w:color w:val="000000" w:themeColor="text1"/>
          <w:sz w:val="24"/>
          <w:szCs w:val="24"/>
          <w:lang w:val="en-US"/>
        </w:rPr>
        <w:t>Strategically, Toyota will need to use its dynamic capabilities to enable it to adapt to the changing environment without losing its core competencies. The balancing between innovation and operational efficiency will be important in ensuring that the company enjoys a competitive advantage in the long run.</w:t>
      </w:r>
    </w:p>
    <w:p w14:paraId="2C3D3B3D" w14:textId="77777777" w:rsidR="007602F2" w:rsidRPr="007602F2" w:rsidRDefault="007602F2" w:rsidP="007602F2">
      <w:pPr>
        <w:pStyle w:val="Heading2"/>
        <w:rPr>
          <w:lang w:val="en-US"/>
        </w:rPr>
      </w:pPr>
      <w:bookmarkStart w:id="11" w:name="_Toc226828964"/>
      <w:r w:rsidRPr="007602F2">
        <w:rPr>
          <w:lang w:val="en-US"/>
        </w:rPr>
        <w:t>2.3 Internal Environment Analysis: Resources, Capabilities and Core Competencies</w:t>
      </w:r>
      <w:bookmarkEnd w:id="11"/>
    </w:p>
    <w:p w14:paraId="44165972"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 Toyota Motor Corporation internal environment is typified by a significant </w:t>
      </w:r>
      <w:proofErr w:type="spellStart"/>
      <w:r w:rsidRPr="007602F2">
        <w:rPr>
          <w:rFonts w:ascii="Arial" w:hAnsi="Arial" w:cs="Arial"/>
          <w:color w:val="000000" w:themeColor="text1"/>
          <w:sz w:val="24"/>
          <w:szCs w:val="24"/>
          <w:lang w:val="en-US"/>
        </w:rPr>
        <w:t>synergisation</w:t>
      </w:r>
      <w:proofErr w:type="spellEnd"/>
      <w:r w:rsidRPr="007602F2">
        <w:rPr>
          <w:rFonts w:ascii="Arial" w:hAnsi="Arial" w:cs="Arial"/>
          <w:color w:val="000000" w:themeColor="text1"/>
          <w:sz w:val="24"/>
          <w:szCs w:val="24"/>
          <w:lang w:val="en-US"/>
        </w:rPr>
        <w:t xml:space="preserve"> of both tangible and intangible resources that support its competitiveness in the long term in Canada. Physical resources comprise high-tech </w:t>
      </w:r>
      <w:r w:rsidRPr="007602F2">
        <w:rPr>
          <w:rFonts w:ascii="Arial" w:hAnsi="Arial" w:cs="Arial"/>
          <w:color w:val="000000" w:themeColor="text1"/>
          <w:sz w:val="24"/>
          <w:szCs w:val="24"/>
          <w:lang w:val="en-US"/>
        </w:rPr>
        <w:lastRenderedPageBreak/>
        <w:t>manufacturing plants like Toyota Motor Manufacturing Canada (TMMC), which is among the most productive plants in the company in the world, and it is a major contributor to exports and jobs locally (Toyota, 2024). The other important asset is financial strength, and Toyota has recorded strong revenues and liquidity and thus has been able to invest in research and development (R&amp;D).</w:t>
      </w:r>
    </w:p>
    <w:p w14:paraId="2872436E"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 strategic success of Toyota has a more vital role to play with intangible resources. The internationally established brand image of reliability, quality, and durability promotes loyalty among customers and their market positioning (Forbes, 2023). Also, the operational excellence is based on the </w:t>
      </w:r>
      <w:proofErr w:type="spellStart"/>
      <w:r w:rsidRPr="007602F2">
        <w:rPr>
          <w:rFonts w:ascii="Arial" w:hAnsi="Arial" w:cs="Arial"/>
          <w:color w:val="000000" w:themeColor="text1"/>
          <w:sz w:val="24"/>
          <w:szCs w:val="24"/>
          <w:lang w:val="en-US"/>
        </w:rPr>
        <w:t>organisational</w:t>
      </w:r>
      <w:proofErr w:type="spellEnd"/>
      <w:r w:rsidRPr="007602F2">
        <w:rPr>
          <w:rFonts w:ascii="Arial" w:hAnsi="Arial" w:cs="Arial"/>
          <w:color w:val="000000" w:themeColor="text1"/>
          <w:sz w:val="24"/>
          <w:szCs w:val="24"/>
          <w:lang w:val="en-US"/>
        </w:rPr>
        <w:t xml:space="preserve"> culture of Toyota, which is focused on continuous improvement (Kaizen) and respect towards people.</w:t>
      </w:r>
    </w:p>
    <w:p w14:paraId="4291A4B5"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The fundamental capabilities of Toyota are in its Toyota Production System (TPS), which focuses on lean manufacturing, reduction of waste, and just-in-time production. This allows improving efficiency and cost management without compromising the quality of products (Harvard Business Review, 2022). Moreover, the technological capabilities of the company in hybrid and hydrogen fuel technologies show that the company is willing to innovate and is committed to sustainability.</w:t>
      </w:r>
    </w:p>
    <w:p w14:paraId="6868941C"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Operational efficiency, electrification innovation and supply chain integration are core competencies. These competencies will help Toyota to react to the changes in the market and regulatory pressures. The Economist (2023) believes that Toyota is more diversified in its electrification strategy (hybrid, battery EV, hydrogen) than its competitors, who concentrate on battery EVs only, resulting in lower strategic risk.</w:t>
      </w:r>
    </w:p>
    <w:p w14:paraId="0F06E6A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On the whole, the internal environment at Toyota presents a high level of compatibility between the resources, capabilities, and strategic goals of the company, which allows it to keep the competitive advantage in the market where the automotive business rapidly develops.</w:t>
      </w:r>
    </w:p>
    <w:p w14:paraId="16CAEDB5" w14:textId="77777777" w:rsidR="007602F2" w:rsidRPr="007602F2" w:rsidRDefault="007602F2" w:rsidP="007602F2">
      <w:pPr>
        <w:pStyle w:val="Heading2"/>
        <w:rPr>
          <w:lang w:val="en-US"/>
        </w:rPr>
      </w:pPr>
      <w:bookmarkStart w:id="12" w:name="_Toc226828965"/>
      <w:r w:rsidRPr="007602F2">
        <w:rPr>
          <w:lang w:val="en-US"/>
        </w:rPr>
        <w:t>2.4 VRIO Analysis of Strategic Capabilities</w:t>
      </w:r>
      <w:bookmarkEnd w:id="12"/>
    </w:p>
    <w:tbl>
      <w:tblPr>
        <w:tblStyle w:val="TableGrid"/>
        <w:tblW w:w="0" w:type="auto"/>
        <w:tblLook w:val="04A0" w:firstRow="1" w:lastRow="0" w:firstColumn="1" w:lastColumn="0" w:noHBand="0" w:noVBand="1"/>
      </w:tblPr>
      <w:tblGrid>
        <w:gridCol w:w="2179"/>
        <w:gridCol w:w="1386"/>
        <w:gridCol w:w="1227"/>
        <w:gridCol w:w="1363"/>
        <w:gridCol w:w="1476"/>
        <w:gridCol w:w="1385"/>
      </w:tblGrid>
      <w:tr w:rsidR="007602F2" w:rsidRPr="007602F2" w14:paraId="0CE3CDF4" w14:textId="77777777" w:rsidTr="007602F2">
        <w:tc>
          <w:tcPr>
            <w:tcW w:w="0" w:type="auto"/>
            <w:hideMark/>
          </w:tcPr>
          <w:p w14:paraId="55C288FA" w14:textId="77777777" w:rsidR="007602F2" w:rsidRPr="007602F2" w:rsidRDefault="007602F2" w:rsidP="007602F2">
            <w:pPr>
              <w:spacing w:after="16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Resource/Capability</w:t>
            </w:r>
          </w:p>
        </w:tc>
        <w:tc>
          <w:tcPr>
            <w:tcW w:w="0" w:type="auto"/>
            <w:hideMark/>
          </w:tcPr>
          <w:p w14:paraId="230DBF7B" w14:textId="77777777" w:rsidR="007602F2" w:rsidRPr="007602F2" w:rsidRDefault="007602F2" w:rsidP="007602F2">
            <w:pPr>
              <w:spacing w:after="16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Value</w:t>
            </w:r>
          </w:p>
        </w:tc>
        <w:tc>
          <w:tcPr>
            <w:tcW w:w="0" w:type="auto"/>
            <w:hideMark/>
          </w:tcPr>
          <w:p w14:paraId="6177914C" w14:textId="77777777" w:rsidR="007602F2" w:rsidRPr="007602F2" w:rsidRDefault="007602F2" w:rsidP="007602F2">
            <w:pPr>
              <w:spacing w:after="16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Rarity</w:t>
            </w:r>
          </w:p>
        </w:tc>
        <w:tc>
          <w:tcPr>
            <w:tcW w:w="0" w:type="auto"/>
            <w:hideMark/>
          </w:tcPr>
          <w:p w14:paraId="430DF29E" w14:textId="77777777" w:rsidR="007602F2" w:rsidRPr="007602F2" w:rsidRDefault="007602F2" w:rsidP="007602F2">
            <w:pPr>
              <w:spacing w:after="16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Imitability</w:t>
            </w:r>
          </w:p>
        </w:tc>
        <w:tc>
          <w:tcPr>
            <w:tcW w:w="0" w:type="auto"/>
            <w:hideMark/>
          </w:tcPr>
          <w:p w14:paraId="0921615B" w14:textId="77777777" w:rsidR="007602F2" w:rsidRPr="007602F2" w:rsidRDefault="007602F2" w:rsidP="007602F2">
            <w:pPr>
              <w:spacing w:after="160" w:line="360" w:lineRule="auto"/>
              <w:jc w:val="both"/>
              <w:rPr>
                <w:rFonts w:ascii="Arial" w:hAnsi="Arial" w:cs="Arial"/>
                <w:b/>
                <w:bCs/>
                <w:color w:val="000000" w:themeColor="text1"/>
                <w:sz w:val="24"/>
                <w:szCs w:val="24"/>
                <w:lang w:val="en-US"/>
              </w:rPr>
            </w:pPr>
            <w:proofErr w:type="spellStart"/>
            <w:r w:rsidRPr="007602F2">
              <w:rPr>
                <w:rFonts w:ascii="Arial" w:hAnsi="Arial" w:cs="Arial"/>
                <w:b/>
                <w:bCs/>
                <w:color w:val="000000" w:themeColor="text1"/>
                <w:sz w:val="24"/>
                <w:szCs w:val="24"/>
                <w:lang w:val="en-US"/>
              </w:rPr>
              <w:t>Organisation</w:t>
            </w:r>
            <w:proofErr w:type="spellEnd"/>
          </w:p>
        </w:tc>
        <w:tc>
          <w:tcPr>
            <w:tcW w:w="0" w:type="auto"/>
            <w:hideMark/>
          </w:tcPr>
          <w:p w14:paraId="60A09E3F" w14:textId="77777777" w:rsidR="007602F2" w:rsidRPr="007602F2" w:rsidRDefault="007602F2" w:rsidP="007602F2">
            <w:pPr>
              <w:spacing w:after="16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Competitive Implication</w:t>
            </w:r>
          </w:p>
        </w:tc>
      </w:tr>
      <w:tr w:rsidR="007602F2" w:rsidRPr="007602F2" w14:paraId="2D0882AD" w14:textId="77777777" w:rsidTr="007602F2">
        <w:tc>
          <w:tcPr>
            <w:tcW w:w="0" w:type="auto"/>
            <w:hideMark/>
          </w:tcPr>
          <w:p w14:paraId="1A60AECF"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lastRenderedPageBreak/>
              <w:t>Toyota Production System (TPS)</w:t>
            </w:r>
          </w:p>
        </w:tc>
        <w:tc>
          <w:tcPr>
            <w:tcW w:w="0" w:type="auto"/>
            <w:hideMark/>
          </w:tcPr>
          <w:p w14:paraId="0A1EF246"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High – enhances efficiency and quality</w:t>
            </w:r>
          </w:p>
        </w:tc>
        <w:tc>
          <w:tcPr>
            <w:tcW w:w="0" w:type="auto"/>
            <w:hideMark/>
          </w:tcPr>
          <w:p w14:paraId="60412E4F"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Rare – few firms replicate fully</w:t>
            </w:r>
          </w:p>
        </w:tc>
        <w:tc>
          <w:tcPr>
            <w:tcW w:w="0" w:type="auto"/>
            <w:hideMark/>
          </w:tcPr>
          <w:p w14:paraId="3F9A8675"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Difficult – embedded culture</w:t>
            </w:r>
          </w:p>
        </w:tc>
        <w:tc>
          <w:tcPr>
            <w:tcW w:w="0" w:type="auto"/>
            <w:hideMark/>
          </w:tcPr>
          <w:p w14:paraId="262516B7"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Strong – deeply integrated</w:t>
            </w:r>
          </w:p>
        </w:tc>
        <w:tc>
          <w:tcPr>
            <w:tcW w:w="0" w:type="auto"/>
            <w:hideMark/>
          </w:tcPr>
          <w:p w14:paraId="77E526A5"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Sustained competitive advantage</w:t>
            </w:r>
          </w:p>
        </w:tc>
      </w:tr>
      <w:tr w:rsidR="007602F2" w:rsidRPr="007602F2" w14:paraId="3BD7F45D" w14:textId="77777777" w:rsidTr="007602F2">
        <w:tc>
          <w:tcPr>
            <w:tcW w:w="0" w:type="auto"/>
            <w:hideMark/>
          </w:tcPr>
          <w:p w14:paraId="3A89EEB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Brand Reputation</w:t>
            </w:r>
          </w:p>
        </w:tc>
        <w:tc>
          <w:tcPr>
            <w:tcW w:w="0" w:type="auto"/>
            <w:hideMark/>
          </w:tcPr>
          <w:p w14:paraId="589750A5"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High – drives customer loyalty</w:t>
            </w:r>
          </w:p>
        </w:tc>
        <w:tc>
          <w:tcPr>
            <w:tcW w:w="0" w:type="auto"/>
            <w:hideMark/>
          </w:tcPr>
          <w:p w14:paraId="3FFDC14D"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Rare – globally trusted brand</w:t>
            </w:r>
          </w:p>
        </w:tc>
        <w:tc>
          <w:tcPr>
            <w:tcW w:w="0" w:type="auto"/>
            <w:hideMark/>
          </w:tcPr>
          <w:p w14:paraId="04ED8E61"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Difficult – built over decades</w:t>
            </w:r>
          </w:p>
        </w:tc>
        <w:tc>
          <w:tcPr>
            <w:tcW w:w="0" w:type="auto"/>
            <w:hideMark/>
          </w:tcPr>
          <w:p w14:paraId="287BC5D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Strong – supported by marketing</w:t>
            </w:r>
          </w:p>
        </w:tc>
        <w:tc>
          <w:tcPr>
            <w:tcW w:w="0" w:type="auto"/>
            <w:hideMark/>
          </w:tcPr>
          <w:p w14:paraId="2F611E66"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Sustained competitive advantage</w:t>
            </w:r>
          </w:p>
        </w:tc>
      </w:tr>
      <w:tr w:rsidR="007602F2" w:rsidRPr="007602F2" w14:paraId="36207E43" w14:textId="77777777" w:rsidTr="007602F2">
        <w:tc>
          <w:tcPr>
            <w:tcW w:w="0" w:type="auto"/>
            <w:hideMark/>
          </w:tcPr>
          <w:p w14:paraId="66C66E4C"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Hybrid Technology Leadership</w:t>
            </w:r>
          </w:p>
        </w:tc>
        <w:tc>
          <w:tcPr>
            <w:tcW w:w="0" w:type="auto"/>
            <w:hideMark/>
          </w:tcPr>
          <w:p w14:paraId="658243A2"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High – meets sustainability demand</w:t>
            </w:r>
          </w:p>
        </w:tc>
        <w:tc>
          <w:tcPr>
            <w:tcW w:w="0" w:type="auto"/>
            <w:hideMark/>
          </w:tcPr>
          <w:p w14:paraId="5169788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Moderately rare</w:t>
            </w:r>
          </w:p>
        </w:tc>
        <w:tc>
          <w:tcPr>
            <w:tcW w:w="0" w:type="auto"/>
            <w:hideMark/>
          </w:tcPr>
          <w:p w14:paraId="5641318D"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Moderate – competitors catching up</w:t>
            </w:r>
          </w:p>
        </w:tc>
        <w:tc>
          <w:tcPr>
            <w:tcW w:w="0" w:type="auto"/>
            <w:hideMark/>
          </w:tcPr>
          <w:p w14:paraId="1E16C0A5"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Strong – continuous R&amp;D investment</w:t>
            </w:r>
          </w:p>
        </w:tc>
        <w:tc>
          <w:tcPr>
            <w:tcW w:w="0" w:type="auto"/>
            <w:hideMark/>
          </w:tcPr>
          <w:p w14:paraId="69E94C49"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Temporary to sustained advantage</w:t>
            </w:r>
          </w:p>
        </w:tc>
      </w:tr>
      <w:tr w:rsidR="007602F2" w:rsidRPr="007602F2" w14:paraId="19444535" w14:textId="77777777" w:rsidTr="007602F2">
        <w:tc>
          <w:tcPr>
            <w:tcW w:w="0" w:type="auto"/>
            <w:hideMark/>
          </w:tcPr>
          <w:p w14:paraId="17989FD7"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Supply Chain Integration</w:t>
            </w:r>
          </w:p>
        </w:tc>
        <w:tc>
          <w:tcPr>
            <w:tcW w:w="0" w:type="auto"/>
            <w:hideMark/>
          </w:tcPr>
          <w:p w14:paraId="5538CA3B"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High – ensures resilience</w:t>
            </w:r>
          </w:p>
        </w:tc>
        <w:tc>
          <w:tcPr>
            <w:tcW w:w="0" w:type="auto"/>
            <w:hideMark/>
          </w:tcPr>
          <w:p w14:paraId="7EB30C13"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Rare in complexity</w:t>
            </w:r>
          </w:p>
        </w:tc>
        <w:tc>
          <w:tcPr>
            <w:tcW w:w="0" w:type="auto"/>
            <w:hideMark/>
          </w:tcPr>
          <w:p w14:paraId="35E34285"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Difficult – requires long-term relationships</w:t>
            </w:r>
          </w:p>
        </w:tc>
        <w:tc>
          <w:tcPr>
            <w:tcW w:w="0" w:type="auto"/>
            <w:hideMark/>
          </w:tcPr>
          <w:p w14:paraId="6A7BA77B"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Strong – well-coordinated</w:t>
            </w:r>
          </w:p>
        </w:tc>
        <w:tc>
          <w:tcPr>
            <w:tcW w:w="0" w:type="auto"/>
            <w:hideMark/>
          </w:tcPr>
          <w:p w14:paraId="24D4F83F"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Sustained competitive advantage</w:t>
            </w:r>
          </w:p>
        </w:tc>
      </w:tr>
      <w:tr w:rsidR="007602F2" w:rsidRPr="007602F2" w14:paraId="2E846055" w14:textId="77777777" w:rsidTr="007602F2">
        <w:tc>
          <w:tcPr>
            <w:tcW w:w="0" w:type="auto"/>
            <w:hideMark/>
          </w:tcPr>
          <w:p w14:paraId="6B1FBE32"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Financial Resources</w:t>
            </w:r>
          </w:p>
        </w:tc>
        <w:tc>
          <w:tcPr>
            <w:tcW w:w="0" w:type="auto"/>
            <w:hideMark/>
          </w:tcPr>
          <w:p w14:paraId="3BD069FE"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High – supports innovation</w:t>
            </w:r>
          </w:p>
        </w:tc>
        <w:tc>
          <w:tcPr>
            <w:tcW w:w="0" w:type="auto"/>
            <w:hideMark/>
          </w:tcPr>
          <w:p w14:paraId="457F096B"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Not rare among large firms</w:t>
            </w:r>
          </w:p>
        </w:tc>
        <w:tc>
          <w:tcPr>
            <w:tcW w:w="0" w:type="auto"/>
            <w:hideMark/>
          </w:tcPr>
          <w:p w14:paraId="35992709"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Easy to imitate</w:t>
            </w:r>
          </w:p>
        </w:tc>
        <w:tc>
          <w:tcPr>
            <w:tcW w:w="0" w:type="auto"/>
            <w:hideMark/>
          </w:tcPr>
          <w:p w14:paraId="4F7B63F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Strong – effective allocation</w:t>
            </w:r>
          </w:p>
        </w:tc>
        <w:tc>
          <w:tcPr>
            <w:tcW w:w="0" w:type="auto"/>
            <w:hideMark/>
          </w:tcPr>
          <w:p w14:paraId="4BB65FC2" w14:textId="77777777" w:rsidR="007602F2" w:rsidRPr="007602F2" w:rsidRDefault="007602F2" w:rsidP="007602F2">
            <w:pPr>
              <w:keepNext/>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Competitive parity</w:t>
            </w:r>
          </w:p>
        </w:tc>
      </w:tr>
    </w:tbl>
    <w:p w14:paraId="49F0BB07" w14:textId="468B169D" w:rsidR="007602F2" w:rsidRDefault="007602F2" w:rsidP="007602F2">
      <w:pPr>
        <w:pStyle w:val="Caption"/>
        <w:rPr>
          <w:rFonts w:ascii="Arial" w:hAnsi="Arial" w:cs="Arial"/>
          <w:color w:val="000000" w:themeColor="text1"/>
          <w:sz w:val="24"/>
          <w:szCs w:val="24"/>
          <w:lang w:val="en-US"/>
        </w:rPr>
      </w:pPr>
      <w:bookmarkStart w:id="13" w:name="_Toc226828954"/>
      <w:r>
        <w:t xml:space="preserve">Table </w:t>
      </w:r>
      <w:r>
        <w:fldChar w:fldCharType="begin"/>
      </w:r>
      <w:r>
        <w:instrText xml:space="preserve"> SEQ Table \* ARABIC </w:instrText>
      </w:r>
      <w:r>
        <w:fldChar w:fldCharType="separate"/>
      </w:r>
      <w:r>
        <w:rPr>
          <w:noProof/>
        </w:rPr>
        <w:t>2</w:t>
      </w:r>
      <w:r>
        <w:fldChar w:fldCharType="end"/>
      </w:r>
      <w:r>
        <w:t xml:space="preserve">: </w:t>
      </w:r>
      <w:r w:rsidRPr="00630DCF">
        <w:t>VRIO Analysis</w:t>
      </w:r>
      <w:bookmarkEnd w:id="13"/>
    </w:p>
    <w:p w14:paraId="020E0137" w14:textId="097789DE"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According to the VRIO framework, it is the operational excellence and </w:t>
      </w:r>
      <w:proofErr w:type="spellStart"/>
      <w:r w:rsidRPr="007602F2">
        <w:rPr>
          <w:rFonts w:ascii="Arial" w:hAnsi="Arial" w:cs="Arial"/>
          <w:color w:val="000000" w:themeColor="text1"/>
          <w:sz w:val="24"/>
          <w:szCs w:val="24"/>
          <w:lang w:val="en-US"/>
        </w:rPr>
        <w:t>organisational</w:t>
      </w:r>
      <w:proofErr w:type="spellEnd"/>
      <w:r w:rsidRPr="007602F2">
        <w:rPr>
          <w:rFonts w:ascii="Arial" w:hAnsi="Arial" w:cs="Arial"/>
          <w:color w:val="000000" w:themeColor="text1"/>
          <w:sz w:val="24"/>
          <w:szCs w:val="24"/>
          <w:lang w:val="en-US"/>
        </w:rPr>
        <w:t xml:space="preserve"> culture that have provided Toyota with its most important strategic capabilities. The Toyota Production System (TPS) is especially helpful and hard to emulate because it is highly integrated into </w:t>
      </w:r>
      <w:proofErr w:type="spellStart"/>
      <w:r w:rsidRPr="007602F2">
        <w:rPr>
          <w:rFonts w:ascii="Arial" w:hAnsi="Arial" w:cs="Arial"/>
          <w:color w:val="000000" w:themeColor="text1"/>
          <w:sz w:val="24"/>
          <w:szCs w:val="24"/>
          <w:lang w:val="en-US"/>
        </w:rPr>
        <w:t>organisational</w:t>
      </w:r>
      <w:proofErr w:type="spellEnd"/>
      <w:r w:rsidRPr="007602F2">
        <w:rPr>
          <w:rFonts w:ascii="Arial" w:hAnsi="Arial" w:cs="Arial"/>
          <w:color w:val="000000" w:themeColor="text1"/>
          <w:sz w:val="24"/>
          <w:szCs w:val="24"/>
          <w:lang w:val="en-US"/>
        </w:rPr>
        <w:t xml:space="preserve"> practices and mindset among the employees (Harvard Business Review, 2022). This is in line with the resource-based view by Barney (1991), which puts a lot of focus on resources that are valuable, rare and hard to imitate as a source of sustainable competitive advantage.</w:t>
      </w:r>
    </w:p>
    <w:p w14:paraId="6E5140E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lastRenderedPageBreak/>
        <w:t>Likewise, the brand reputation and integration of the Toyota supply chain have long-term strategic advantages. Nonetheless, its leadership in the area of hybrid technology is also valuable, yet it is getting more competitive as its competitors speed up their electric vehicle plans (Financial Times, 2024). Financial resources, though needed, are only at a competitive level and not differentiating.</w:t>
      </w:r>
    </w:p>
    <w:p w14:paraId="3E336796"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Therefore, a long-term competitive advantage of Toyota is based more on intangible resources and </w:t>
      </w:r>
      <w:proofErr w:type="spellStart"/>
      <w:r w:rsidRPr="007602F2">
        <w:rPr>
          <w:rFonts w:ascii="Arial" w:hAnsi="Arial" w:cs="Arial"/>
          <w:color w:val="000000" w:themeColor="text1"/>
          <w:sz w:val="24"/>
          <w:szCs w:val="24"/>
          <w:lang w:val="en-US"/>
        </w:rPr>
        <w:t>organisational</w:t>
      </w:r>
      <w:proofErr w:type="spellEnd"/>
      <w:r w:rsidRPr="007602F2">
        <w:rPr>
          <w:rFonts w:ascii="Arial" w:hAnsi="Arial" w:cs="Arial"/>
          <w:color w:val="000000" w:themeColor="text1"/>
          <w:sz w:val="24"/>
          <w:szCs w:val="24"/>
          <w:lang w:val="en-US"/>
        </w:rPr>
        <w:t xml:space="preserve"> capabilities as opposed to financial or physical resources only.</w:t>
      </w:r>
    </w:p>
    <w:p w14:paraId="5519C087" w14:textId="77777777" w:rsidR="007602F2" w:rsidRPr="007602F2" w:rsidRDefault="007602F2" w:rsidP="007602F2">
      <w:pPr>
        <w:pStyle w:val="Heading2"/>
        <w:rPr>
          <w:lang w:val="en-US"/>
        </w:rPr>
      </w:pPr>
      <w:bookmarkStart w:id="14" w:name="_Toc226828966"/>
      <w:r w:rsidRPr="007602F2">
        <w:rPr>
          <w:lang w:val="en-US"/>
        </w:rPr>
        <w:t>2.5 Cohesiveness and Competitiveness</w:t>
      </w:r>
      <w:bookmarkEnd w:id="14"/>
    </w:p>
    <w:p w14:paraId="57FBEF7B"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 internal strength of Toyota is important in maintaining its competitive edge in the Canadian automotive industry. The Toyota Production System (TPS) has made it one of the most important strengths in the form of its operational efficiency. This mechanism </w:t>
      </w:r>
      <w:proofErr w:type="spellStart"/>
      <w:r w:rsidRPr="007602F2">
        <w:rPr>
          <w:rFonts w:ascii="Arial" w:hAnsi="Arial" w:cs="Arial"/>
          <w:color w:val="000000" w:themeColor="text1"/>
          <w:sz w:val="24"/>
          <w:szCs w:val="24"/>
          <w:lang w:val="en-US"/>
        </w:rPr>
        <w:t>minimises</w:t>
      </w:r>
      <w:proofErr w:type="spellEnd"/>
      <w:r w:rsidRPr="007602F2">
        <w:rPr>
          <w:rFonts w:ascii="Arial" w:hAnsi="Arial" w:cs="Arial"/>
          <w:color w:val="000000" w:themeColor="text1"/>
          <w:sz w:val="24"/>
          <w:szCs w:val="24"/>
          <w:lang w:val="en-US"/>
        </w:rPr>
        <w:t xml:space="preserve"> wastage, enhances efficiency, and guarantees uniform quality of products, allowing Toyota to attain leadership in costs and still supply high-quality products (Harvard Business Review, 2022). This is similar to the generic strategies proposed by Porter, in that differentiation that is combined with cost efficiency makes a formidable competitive stance.</w:t>
      </w:r>
    </w:p>
    <w:p w14:paraId="771F25DC"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 other major strength is the capability of Toyota to innovate, especially in the field of hybrid and alternative fuel. A company that has already invested in hybrid cars early has made it a leader in sustainable mobility, enabling it to </w:t>
      </w:r>
      <w:proofErr w:type="spellStart"/>
      <w:r w:rsidRPr="007602F2">
        <w:rPr>
          <w:rFonts w:ascii="Arial" w:hAnsi="Arial" w:cs="Arial"/>
          <w:color w:val="000000" w:themeColor="text1"/>
          <w:sz w:val="24"/>
          <w:szCs w:val="24"/>
          <w:lang w:val="en-US"/>
        </w:rPr>
        <w:t>capitalise</w:t>
      </w:r>
      <w:proofErr w:type="spellEnd"/>
      <w:r w:rsidRPr="007602F2">
        <w:rPr>
          <w:rFonts w:ascii="Arial" w:hAnsi="Arial" w:cs="Arial"/>
          <w:color w:val="000000" w:themeColor="text1"/>
          <w:sz w:val="24"/>
          <w:szCs w:val="24"/>
          <w:lang w:val="en-US"/>
        </w:rPr>
        <w:t xml:space="preserve"> on the increasing environmental awareness of consumers (Toyota, 2024). This forward-looking strategy helps to maintain competitiveness in an industry that will be electrified.</w:t>
      </w:r>
    </w:p>
    <w:p w14:paraId="00FC6382"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 brand equity of Toyota also enhances its competitive advantage. Reliability and durability are two concepts that are commonly linked to the brand, and they affect consumer buying </w:t>
      </w:r>
      <w:proofErr w:type="spellStart"/>
      <w:r w:rsidRPr="007602F2">
        <w:rPr>
          <w:rFonts w:ascii="Arial" w:hAnsi="Arial" w:cs="Arial"/>
          <w:color w:val="000000" w:themeColor="text1"/>
          <w:sz w:val="24"/>
          <w:szCs w:val="24"/>
          <w:lang w:val="en-US"/>
        </w:rPr>
        <w:t>behaviour</w:t>
      </w:r>
      <w:proofErr w:type="spellEnd"/>
      <w:r w:rsidRPr="007602F2">
        <w:rPr>
          <w:rFonts w:ascii="Arial" w:hAnsi="Arial" w:cs="Arial"/>
          <w:color w:val="000000" w:themeColor="text1"/>
          <w:sz w:val="24"/>
          <w:szCs w:val="24"/>
          <w:lang w:val="en-US"/>
        </w:rPr>
        <w:t xml:space="preserve"> and create loyalty. Toyota has always been one of the most valuable automotive brands in the world, and this aspect strengthens its position in the market, according to Forbes (2023).</w:t>
      </w:r>
    </w:p>
    <w:p w14:paraId="6D822BFE"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Moreover, Toyota has a strong supply chain that has increased its capability to cope with disruption. In the context of global semiconductor crunches, Toyota has out-competed most of its competitors because of its supplier relationship strategies and inventory management (Financial Times, 2024). This shows the relevance of dynamic capabilities in reacting to external shocks.</w:t>
      </w:r>
    </w:p>
    <w:p w14:paraId="35DEB134"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lastRenderedPageBreak/>
        <w:t xml:space="preserve">Once, these strengths have to be developed constantly in order to be relevant. The transition to full electric vehicles is a strategic issue, and Toyota has to change its capabilities and </w:t>
      </w:r>
      <w:proofErr w:type="spellStart"/>
      <w:r w:rsidRPr="007602F2">
        <w:rPr>
          <w:rFonts w:ascii="Arial" w:hAnsi="Arial" w:cs="Arial"/>
          <w:color w:val="000000" w:themeColor="text1"/>
          <w:sz w:val="24"/>
          <w:szCs w:val="24"/>
          <w:lang w:val="en-US"/>
        </w:rPr>
        <w:t>utilise</w:t>
      </w:r>
      <w:proofErr w:type="spellEnd"/>
      <w:r w:rsidRPr="007602F2">
        <w:rPr>
          <w:rFonts w:ascii="Arial" w:hAnsi="Arial" w:cs="Arial"/>
          <w:color w:val="000000" w:themeColor="text1"/>
          <w:sz w:val="24"/>
          <w:szCs w:val="24"/>
          <w:lang w:val="en-US"/>
        </w:rPr>
        <w:t xml:space="preserve"> its already existing strengths.</w:t>
      </w:r>
    </w:p>
    <w:p w14:paraId="0D6D7EE6" w14:textId="3EF7964C" w:rsidR="008279DE" w:rsidRPr="008279DE" w:rsidRDefault="007602F2" w:rsidP="008279DE">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In short, operational excellence, innovation, brand reputation, and supply chain resilience are internal strengths of Toyota, which all provide a competitive advantage in the long term. Their strength is that they are embedded in the </w:t>
      </w:r>
      <w:proofErr w:type="spellStart"/>
      <w:r w:rsidRPr="007602F2">
        <w:rPr>
          <w:rFonts w:ascii="Arial" w:hAnsi="Arial" w:cs="Arial"/>
          <w:color w:val="000000" w:themeColor="text1"/>
          <w:sz w:val="24"/>
          <w:szCs w:val="24"/>
          <w:lang w:val="en-US"/>
        </w:rPr>
        <w:t>organisation</w:t>
      </w:r>
      <w:proofErr w:type="spellEnd"/>
      <w:r w:rsidRPr="007602F2">
        <w:rPr>
          <w:rFonts w:ascii="Arial" w:hAnsi="Arial" w:cs="Arial"/>
          <w:color w:val="000000" w:themeColor="text1"/>
          <w:sz w:val="24"/>
          <w:szCs w:val="24"/>
          <w:lang w:val="en-US"/>
        </w:rPr>
        <w:t>, and thus they are hard to emulate by the competitors.</w:t>
      </w:r>
    </w:p>
    <w:p w14:paraId="10EF05CE" w14:textId="7F12B1ED" w:rsidR="00D37D8A" w:rsidRPr="00D37D8A" w:rsidRDefault="00D37D8A" w:rsidP="00D37D8A">
      <w:pPr>
        <w:pStyle w:val="Heading1"/>
        <w:rPr>
          <w:lang w:val="en-US"/>
        </w:rPr>
      </w:pPr>
      <w:bookmarkStart w:id="15" w:name="_Toc226828967"/>
      <w:r w:rsidRPr="00D37D8A">
        <w:rPr>
          <w:lang w:val="en-US"/>
        </w:rPr>
        <w:t>3.0 CSR and Sustainability Objectives</w:t>
      </w:r>
      <w:bookmarkEnd w:id="15"/>
    </w:p>
    <w:p w14:paraId="2318505F"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The Corporate Social Responsibility (CSR) strategy of the Toyota Motor Corporation is highly integrated into the business model of the company, as there is a high level of correlation between the sustainability goals and long-term strategic directions. The CSR philosophy of Toyota is based on its Sustainability Fundamental Policy and its Toyota Environmental Challenge 2050 aimed at becoming carbon neutral, ensuring resource efficiency, and supporting sustainable development in the world (Toyota, 2024).</w:t>
      </w:r>
    </w:p>
    <w:p w14:paraId="76D00E5F"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Environmental sustainability is one of the key pillars of the Toyota CSR strategy. The company has four main areas of priority: reducing carbon emissions, conserving water, circular economy, and protecting biodiversity (Toyota, 2024). To illustrate, Toyota has already reduced its operational greenhouse gas emissions by 14 per cent to 2019 levels and targets to achieve net-zero emissions by 2050 in manufacturing (Toyota, 2024). Such efforts show that it is aligned with international standards, including the United Nations Sustainable Development Goals (SDGs), which further support Toyota in its responsible corporate conduct (Toyota, 2024).</w:t>
      </w:r>
    </w:p>
    <w:p w14:paraId="26C445C1"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Strategically, the CSR activities of Toyota are closely coupled with the business objectives. The electrification of the company, in the form of hybrid, battery electric, and hydrogen, not only makes it less environmentally harmful but also helps in positioning the company in a highly dynamic car market (Toyota Canada, 2024). This is an indication of the idea of shared value by Porter and Kramer (2011), where companies create economic value but also solve societal problems.</w:t>
      </w:r>
    </w:p>
    <w:p w14:paraId="52B4BEAD"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In addition, the CSR policy of Toyota goes beyond the environmental issues to involve stakeholder involvement, ethical governance and development of the community. The </w:t>
      </w:r>
      <w:r w:rsidRPr="007602F2">
        <w:rPr>
          <w:rFonts w:ascii="Arial" w:hAnsi="Arial" w:cs="Arial"/>
          <w:color w:val="000000" w:themeColor="text1"/>
          <w:sz w:val="24"/>
          <w:szCs w:val="24"/>
          <w:lang w:val="en-US"/>
        </w:rPr>
        <w:lastRenderedPageBreak/>
        <w:t>company has a special focus on partnership with suppliers, dealers, and local communities to enhance the performance of sustainability through the value chain (Toyota, 2024).</w:t>
      </w:r>
    </w:p>
    <w:p w14:paraId="7B03CA36"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A critical assessment, however, indicates that the multi-pathway electrification strategy of Toyota, especially the fact that the company is still relying on hybrid technology, has been called into question by industry analysts, who believe that this could delay the adoption of fully electric vehicles. This brings a strategic conflict between the short-term profitability objectives and long-term sustainability objectives.</w:t>
      </w:r>
    </w:p>
    <w:p w14:paraId="5B7171E0" w14:textId="77777777" w:rsidR="007602F2" w:rsidRPr="007602F2" w:rsidRDefault="007602F2" w:rsidP="007602F2">
      <w:pPr>
        <w:spacing w:after="16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To sum up, the CSR strategy of Toyota is well-coordinated with its business goals and aims and incorporates sustainability into its innovation process, its operations and its interaction with stakeholders. The company has been a leader in terms of environmental responsibility; however, its ability to adapt to growing pressure to go fully electrified will determine its success in the long run.</w:t>
      </w:r>
    </w:p>
    <w:p w14:paraId="23E4DB8D" w14:textId="2D6073D7" w:rsidR="00D37D8A" w:rsidRPr="00D37D8A" w:rsidRDefault="00D37D8A" w:rsidP="00D37D8A">
      <w:pPr>
        <w:pStyle w:val="Heading1"/>
        <w:rPr>
          <w:lang w:val="en-US"/>
        </w:rPr>
      </w:pPr>
      <w:bookmarkStart w:id="16" w:name="_Toc226828968"/>
      <w:r w:rsidRPr="00D37D8A">
        <w:rPr>
          <w:lang w:val="en-US"/>
        </w:rPr>
        <w:t xml:space="preserve">4.0 </w:t>
      </w:r>
      <w:r w:rsidR="007602F2" w:rsidRPr="007602F2">
        <w:rPr>
          <w:lang w:val="en-US"/>
        </w:rPr>
        <w:t xml:space="preserve">Comprehensive and Holistic View of the </w:t>
      </w:r>
      <w:proofErr w:type="spellStart"/>
      <w:r w:rsidR="007602F2" w:rsidRPr="007602F2">
        <w:rPr>
          <w:lang w:val="en-US"/>
        </w:rPr>
        <w:t>Organisation</w:t>
      </w:r>
      <w:bookmarkEnd w:id="16"/>
      <w:proofErr w:type="spellEnd"/>
    </w:p>
    <w:p w14:paraId="1DC76340" w14:textId="3081E224" w:rsidR="00D37D8A" w:rsidRDefault="00D37D8A" w:rsidP="00D37D8A">
      <w:pPr>
        <w:pStyle w:val="Heading2"/>
        <w:rPr>
          <w:lang w:val="en-US"/>
        </w:rPr>
      </w:pPr>
      <w:bookmarkStart w:id="17" w:name="_Toc226828969"/>
      <w:r>
        <w:rPr>
          <w:lang w:val="en-US"/>
        </w:rPr>
        <w:t xml:space="preserve">4.1 </w:t>
      </w:r>
      <w:r w:rsidR="007602F2" w:rsidRPr="007602F2">
        <w:rPr>
          <w:lang w:val="en-US"/>
        </w:rPr>
        <w:t>Balanced Scorecard Analysis</w:t>
      </w:r>
      <w:r w:rsidR="007602F2">
        <w:rPr>
          <w:lang w:val="en-US"/>
        </w:rPr>
        <w:t>:</w:t>
      </w:r>
      <w:bookmarkEnd w:id="17"/>
    </w:p>
    <w:p w14:paraId="3309FDBE" w14:textId="21583472" w:rsidR="007602F2" w:rsidRPr="007602F2" w:rsidRDefault="007602F2" w:rsidP="007602F2">
      <w:pPr>
        <w:spacing w:line="360" w:lineRule="auto"/>
        <w:jc w:val="both"/>
        <w:rPr>
          <w:lang w:val="en-US"/>
        </w:rPr>
      </w:pPr>
      <w:r w:rsidRPr="007602F2">
        <w:rPr>
          <w:rFonts w:ascii="Arial" w:hAnsi="Arial" w:cs="Arial"/>
          <w:color w:val="000000" w:themeColor="text1"/>
          <w:sz w:val="24"/>
          <w:szCs w:val="24"/>
          <w:lang w:val="en-US"/>
        </w:rPr>
        <w:t>The Balanced Scorecard model by Kaplan and Norton (1992) offers a multidimensional model of assessing the strategic performance of Toyota Motor Corporation through financial and non-financial measurements.</w:t>
      </w:r>
    </w:p>
    <w:p w14:paraId="4754850E" w14:textId="77777777" w:rsidR="00D37D8A" w:rsidRDefault="00D37D8A" w:rsidP="00D37D8A">
      <w:pPr>
        <w:keepNext/>
        <w:spacing w:after="240" w:line="360" w:lineRule="auto"/>
        <w:jc w:val="center"/>
      </w:pPr>
      <w:r>
        <w:rPr>
          <w:rFonts w:ascii="Arial" w:hAnsi="Arial" w:cs="Arial"/>
          <w:noProof/>
          <w:color w:val="000000" w:themeColor="text1"/>
          <w:sz w:val="24"/>
          <w:szCs w:val="24"/>
          <w:lang w:val="en-US"/>
        </w:rPr>
        <w:drawing>
          <wp:inline distT="0" distB="0" distL="0" distR="0" wp14:anchorId="23692B86" wp14:editId="62352C11">
            <wp:extent cx="2320925" cy="2320925"/>
            <wp:effectExtent l="0" t="0" r="3175" b="3175"/>
            <wp:docPr id="1186650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0925" cy="2320925"/>
                    </a:xfrm>
                    <a:prstGeom prst="rect">
                      <a:avLst/>
                    </a:prstGeom>
                    <a:noFill/>
                  </pic:spPr>
                </pic:pic>
              </a:graphicData>
            </a:graphic>
          </wp:inline>
        </w:drawing>
      </w:r>
    </w:p>
    <w:p w14:paraId="346CF084" w14:textId="71FE723D" w:rsidR="00D37D8A" w:rsidRDefault="00D37D8A" w:rsidP="00D37D8A">
      <w:pPr>
        <w:pStyle w:val="Caption"/>
        <w:jc w:val="center"/>
        <w:rPr>
          <w:rFonts w:ascii="Arial" w:hAnsi="Arial" w:cs="Arial"/>
          <w:color w:val="000000" w:themeColor="text1"/>
          <w:sz w:val="24"/>
          <w:szCs w:val="24"/>
          <w:lang w:val="en-US"/>
        </w:rPr>
      </w:pPr>
      <w:bookmarkStart w:id="18" w:name="_Toc226828951"/>
      <w:r>
        <w:t xml:space="preserve">Figure </w:t>
      </w:r>
      <w:r>
        <w:fldChar w:fldCharType="begin"/>
      </w:r>
      <w:r>
        <w:instrText xml:space="preserve"> SEQ Figure \* ARABIC </w:instrText>
      </w:r>
      <w:r>
        <w:fldChar w:fldCharType="separate"/>
      </w:r>
      <w:r w:rsidR="003A589C">
        <w:rPr>
          <w:noProof/>
        </w:rPr>
        <w:t>2</w:t>
      </w:r>
      <w:r>
        <w:fldChar w:fldCharType="end"/>
      </w:r>
      <w:r>
        <w:t xml:space="preserve">: </w:t>
      </w:r>
      <w:r w:rsidRPr="004E1A29">
        <w:t>Balanced Scorecard</w:t>
      </w:r>
      <w:bookmarkEnd w:id="18"/>
    </w:p>
    <w:p w14:paraId="53E70837" w14:textId="50AB1904" w:rsidR="00D37D8A" w:rsidRDefault="00D37D8A" w:rsidP="00D37D8A">
      <w:pPr>
        <w:spacing w:after="240" w:line="360" w:lineRule="auto"/>
        <w:jc w:val="center"/>
        <w:rPr>
          <w:rFonts w:ascii="Arial" w:hAnsi="Arial" w:cs="Arial"/>
          <w:color w:val="000000" w:themeColor="text1"/>
          <w:sz w:val="24"/>
          <w:szCs w:val="24"/>
          <w:lang w:val="en-US"/>
        </w:rPr>
      </w:pPr>
      <w:r w:rsidRPr="003E33AC">
        <w:rPr>
          <w:rFonts w:ascii="Arial" w:hAnsi="Arial" w:cs="Arial"/>
          <w:b/>
          <w:bCs/>
          <w:color w:val="000000" w:themeColor="text1"/>
          <w:sz w:val="24"/>
          <w:szCs w:val="24"/>
          <w:lang w:val="en-US"/>
        </w:rPr>
        <w:t>Source:</w:t>
      </w:r>
      <w:r>
        <w:rPr>
          <w:rFonts w:ascii="Arial" w:hAnsi="Arial" w:cs="Arial"/>
          <w:color w:val="000000" w:themeColor="text1"/>
          <w:sz w:val="24"/>
          <w:szCs w:val="24"/>
          <w:lang w:val="en-US"/>
        </w:rPr>
        <w:t xml:space="preserve"> </w:t>
      </w:r>
      <w:hyperlink r:id="rId12" w:history="1">
        <w:r w:rsidRPr="00D37D8A">
          <w:rPr>
            <w:rStyle w:val="Hyperlink"/>
            <w:rFonts w:ascii="Arial" w:hAnsi="Arial" w:cs="Arial"/>
            <w:sz w:val="24"/>
            <w:szCs w:val="24"/>
            <w:lang w:val="en-US"/>
          </w:rPr>
          <w:t>(Shutterstock, n.d.)</w:t>
        </w:r>
      </w:hyperlink>
    </w:p>
    <w:tbl>
      <w:tblPr>
        <w:tblStyle w:val="TableGrid"/>
        <w:tblW w:w="0" w:type="auto"/>
        <w:tblLook w:val="04A0" w:firstRow="1" w:lastRow="0" w:firstColumn="1" w:lastColumn="0" w:noHBand="0" w:noVBand="1"/>
      </w:tblPr>
      <w:tblGrid>
        <w:gridCol w:w="1905"/>
        <w:gridCol w:w="7111"/>
      </w:tblGrid>
      <w:tr w:rsidR="007602F2" w:rsidRPr="007602F2" w14:paraId="4B8FBDC7" w14:textId="77777777" w:rsidTr="007602F2">
        <w:tc>
          <w:tcPr>
            <w:tcW w:w="0" w:type="auto"/>
            <w:hideMark/>
          </w:tcPr>
          <w:p w14:paraId="38F6D47E" w14:textId="77777777" w:rsidR="007602F2" w:rsidRPr="007602F2" w:rsidRDefault="007602F2" w:rsidP="007602F2">
            <w:pPr>
              <w:spacing w:after="24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lastRenderedPageBreak/>
              <w:t>Perspective</w:t>
            </w:r>
          </w:p>
        </w:tc>
        <w:tc>
          <w:tcPr>
            <w:tcW w:w="0" w:type="auto"/>
            <w:hideMark/>
          </w:tcPr>
          <w:p w14:paraId="7042BE69" w14:textId="77777777" w:rsidR="007602F2" w:rsidRPr="007602F2" w:rsidRDefault="007602F2" w:rsidP="007602F2">
            <w:pPr>
              <w:spacing w:after="24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Analysis of Performance</w:t>
            </w:r>
          </w:p>
        </w:tc>
      </w:tr>
      <w:tr w:rsidR="007602F2" w:rsidRPr="007602F2" w14:paraId="0E8A46C1" w14:textId="77777777" w:rsidTr="007602F2">
        <w:tc>
          <w:tcPr>
            <w:tcW w:w="0" w:type="auto"/>
            <w:hideMark/>
          </w:tcPr>
          <w:p w14:paraId="64704A0A"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b/>
                <w:bCs/>
                <w:color w:val="000000" w:themeColor="text1"/>
                <w:sz w:val="24"/>
                <w:szCs w:val="24"/>
                <w:lang w:val="en-US"/>
              </w:rPr>
              <w:t>Financial</w:t>
            </w:r>
          </w:p>
        </w:tc>
        <w:tc>
          <w:tcPr>
            <w:tcW w:w="0" w:type="auto"/>
            <w:hideMark/>
          </w:tcPr>
          <w:p w14:paraId="42D55E2A"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Toyota demonstrates strong financial performance, supported by consistent global revenues and profitability. According to its 2024 Annual Report, the company achieved significant operating income growth driven by strong vehicle demand and cost efficiencies (Toyota, 2024). This reflects effective financial management and strategic cost control through lean manufacturing.</w:t>
            </w:r>
          </w:p>
        </w:tc>
      </w:tr>
      <w:tr w:rsidR="007602F2" w:rsidRPr="007602F2" w14:paraId="7BDD0F53" w14:textId="77777777" w:rsidTr="007602F2">
        <w:tc>
          <w:tcPr>
            <w:tcW w:w="0" w:type="auto"/>
            <w:hideMark/>
          </w:tcPr>
          <w:p w14:paraId="69C91741"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b/>
                <w:bCs/>
                <w:color w:val="000000" w:themeColor="text1"/>
                <w:sz w:val="24"/>
                <w:szCs w:val="24"/>
                <w:lang w:val="en-US"/>
              </w:rPr>
              <w:t>Customer</w:t>
            </w:r>
          </w:p>
        </w:tc>
        <w:tc>
          <w:tcPr>
            <w:tcW w:w="0" w:type="auto"/>
            <w:hideMark/>
          </w:tcPr>
          <w:p w14:paraId="628DFAD8"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Toyota maintains high customer satisfaction due to its reputation for reliability, safety, and fuel efficiency. The company consistently ranks among top automotive brands in customer trust and resale value (Forbes, 2023). Its focus on hybrid vehicles aligns with increasing consumer demand for sustainable mobility.</w:t>
            </w:r>
          </w:p>
        </w:tc>
      </w:tr>
      <w:tr w:rsidR="007602F2" w:rsidRPr="007602F2" w14:paraId="01A5049A" w14:textId="77777777" w:rsidTr="007602F2">
        <w:tc>
          <w:tcPr>
            <w:tcW w:w="0" w:type="auto"/>
            <w:hideMark/>
          </w:tcPr>
          <w:p w14:paraId="6AA1E1B4"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b/>
                <w:bCs/>
                <w:color w:val="000000" w:themeColor="text1"/>
                <w:sz w:val="24"/>
                <w:szCs w:val="24"/>
                <w:lang w:val="en-US"/>
              </w:rPr>
              <w:t>Internal Business Processes</w:t>
            </w:r>
          </w:p>
        </w:tc>
        <w:tc>
          <w:tcPr>
            <w:tcW w:w="0" w:type="auto"/>
            <w:hideMark/>
          </w:tcPr>
          <w:p w14:paraId="5F5CAEA6"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The Toyota Production System (TPS) remains a benchmark for operational excellence, focusing on continuous improvement and waste reduction. This system enhances efficiency and product quality, allowing Toyota to maintain competitive advantage (Harvard Business Review, 2022). Additionally, digital transformation initiatives are improving manufacturing processes and supply chain visibility.</w:t>
            </w:r>
          </w:p>
        </w:tc>
      </w:tr>
      <w:tr w:rsidR="007602F2" w:rsidRPr="007602F2" w14:paraId="68E3672D" w14:textId="77777777" w:rsidTr="007602F2">
        <w:tc>
          <w:tcPr>
            <w:tcW w:w="0" w:type="auto"/>
            <w:hideMark/>
          </w:tcPr>
          <w:p w14:paraId="32AE49CF"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b/>
                <w:bCs/>
                <w:color w:val="000000" w:themeColor="text1"/>
                <w:sz w:val="24"/>
                <w:szCs w:val="24"/>
                <w:lang w:val="en-US"/>
              </w:rPr>
              <w:t>Learning and Growth</w:t>
            </w:r>
          </w:p>
        </w:tc>
        <w:tc>
          <w:tcPr>
            <w:tcW w:w="0" w:type="auto"/>
            <w:hideMark/>
          </w:tcPr>
          <w:p w14:paraId="63525713" w14:textId="77777777" w:rsidR="007602F2" w:rsidRPr="007602F2" w:rsidRDefault="007602F2" w:rsidP="007602F2">
            <w:pPr>
              <w:keepNext/>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Toyota invests heavily in employee development, innovation, and R&amp;D. The company promotes a culture of continuous learning through Kaizen and invests in future mobility technologies, including EVs and hydrogen fuel cells (Financial Times, 2024). This ensures long-term </w:t>
            </w:r>
            <w:proofErr w:type="spellStart"/>
            <w:r w:rsidRPr="007602F2">
              <w:rPr>
                <w:rFonts w:ascii="Arial" w:hAnsi="Arial" w:cs="Arial"/>
                <w:color w:val="000000" w:themeColor="text1"/>
                <w:sz w:val="24"/>
                <w:szCs w:val="24"/>
                <w:lang w:val="en-US"/>
              </w:rPr>
              <w:t>organisational</w:t>
            </w:r>
            <w:proofErr w:type="spellEnd"/>
            <w:r w:rsidRPr="007602F2">
              <w:rPr>
                <w:rFonts w:ascii="Arial" w:hAnsi="Arial" w:cs="Arial"/>
                <w:color w:val="000000" w:themeColor="text1"/>
                <w:sz w:val="24"/>
                <w:szCs w:val="24"/>
                <w:lang w:val="en-US"/>
              </w:rPr>
              <w:t xml:space="preserve"> adaptability and innovation capacity.</w:t>
            </w:r>
          </w:p>
        </w:tc>
      </w:tr>
    </w:tbl>
    <w:p w14:paraId="50E0DC6D" w14:textId="6FC44EA3" w:rsidR="007602F2" w:rsidRPr="007602F2" w:rsidRDefault="007602F2" w:rsidP="007602F2">
      <w:pPr>
        <w:pStyle w:val="Caption"/>
        <w:rPr>
          <w:rFonts w:ascii="Arial" w:hAnsi="Arial" w:cs="Arial"/>
          <w:color w:val="000000" w:themeColor="text1"/>
          <w:sz w:val="24"/>
          <w:szCs w:val="24"/>
          <w:lang w:val="en-US"/>
        </w:rPr>
      </w:pPr>
      <w:bookmarkStart w:id="19" w:name="_Toc226828955"/>
      <w:r>
        <w:t xml:space="preserve">Table </w:t>
      </w:r>
      <w:r>
        <w:fldChar w:fldCharType="begin"/>
      </w:r>
      <w:r>
        <w:instrText xml:space="preserve"> SEQ Table \* ARABIC </w:instrText>
      </w:r>
      <w:r>
        <w:fldChar w:fldCharType="separate"/>
      </w:r>
      <w:r>
        <w:rPr>
          <w:noProof/>
        </w:rPr>
        <w:t>3</w:t>
      </w:r>
      <w:r>
        <w:fldChar w:fldCharType="end"/>
      </w:r>
      <w:r>
        <w:t xml:space="preserve">: </w:t>
      </w:r>
      <w:r w:rsidRPr="00064A74">
        <w:t>Balanced Scorecard Analysis</w:t>
      </w:r>
      <w:bookmarkEnd w:id="19"/>
    </w:p>
    <w:p w14:paraId="5D75319D" w14:textId="77777777" w:rsidR="007602F2" w:rsidRPr="007602F2" w:rsidRDefault="007602F2" w:rsidP="007602F2">
      <w:pPr>
        <w:spacing w:after="240" w:line="360" w:lineRule="auto"/>
        <w:jc w:val="both"/>
        <w:rPr>
          <w:rFonts w:ascii="Arial" w:hAnsi="Arial" w:cs="Arial"/>
          <w:b/>
          <w:bCs/>
          <w:color w:val="000000" w:themeColor="text1"/>
          <w:sz w:val="24"/>
          <w:szCs w:val="24"/>
          <w:lang w:val="en-US"/>
        </w:rPr>
      </w:pPr>
      <w:r w:rsidRPr="007602F2">
        <w:rPr>
          <w:rFonts w:ascii="Arial" w:hAnsi="Arial" w:cs="Arial"/>
          <w:b/>
          <w:bCs/>
          <w:color w:val="000000" w:themeColor="text1"/>
          <w:sz w:val="24"/>
          <w:szCs w:val="24"/>
          <w:lang w:val="en-US"/>
        </w:rPr>
        <w:t>Critical Insight:</w:t>
      </w:r>
    </w:p>
    <w:p w14:paraId="73FD4313"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The Balanced Scorecard brings out the balance between financial success and customer satisfaction, operational efficiency and innovation at Toyota. This combined </w:t>
      </w:r>
      <w:r w:rsidRPr="007602F2">
        <w:rPr>
          <w:rFonts w:ascii="Arial" w:hAnsi="Arial" w:cs="Arial"/>
          <w:color w:val="000000" w:themeColor="text1"/>
          <w:sz w:val="24"/>
          <w:szCs w:val="24"/>
          <w:lang w:val="en-US"/>
        </w:rPr>
        <w:lastRenderedPageBreak/>
        <w:t>strategy helps in achieving sustainable competitive advantage and is in line with strategic management theory.</w:t>
      </w:r>
    </w:p>
    <w:p w14:paraId="56033772" w14:textId="5E5CA46D" w:rsidR="007602F2" w:rsidRPr="007602F2" w:rsidRDefault="007602F2" w:rsidP="007602F2">
      <w:pPr>
        <w:pStyle w:val="Heading2"/>
        <w:rPr>
          <w:lang w:val="en-US"/>
        </w:rPr>
      </w:pPr>
      <w:bookmarkStart w:id="20" w:name="_Toc226828970"/>
      <w:r>
        <w:rPr>
          <w:lang w:val="en-US"/>
        </w:rPr>
        <w:t xml:space="preserve">4.2 </w:t>
      </w:r>
      <w:r w:rsidRPr="007602F2">
        <w:rPr>
          <w:lang w:val="en-US"/>
        </w:rPr>
        <w:t>Goals, Key Performance Indicators, Targets, and Strategic Initiatives</w:t>
      </w:r>
      <w:r>
        <w:rPr>
          <w:lang w:val="en-US"/>
        </w:rPr>
        <w:t>:</w:t>
      </w:r>
      <w:bookmarkEnd w:id="20"/>
    </w:p>
    <w:p w14:paraId="547300E1"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The mission of Toyota, which is sustainable mobility and operational excellence, is closely linked with its strategic goals. Financially, the company will pursue profitability and growth in revenues, and KPIs will be operating margin and the payback period. Goals include maintaining a rise in sales globally and enhancing cost-efficiency with the help of TPS (Toyota, 2024).</w:t>
      </w:r>
    </w:p>
    <w:p w14:paraId="5AF5AA3A"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As a customer-orientated company, Toyota is concerned with customer satisfaction and loyalty. KPIs are customer satisfaction rates and market share of hybrid and electric cars. The company aims to achieve greater electrification of vehicles, which has been facilitated by the development of more hybrid and EV models (Forbes, 2023).</w:t>
      </w:r>
    </w:p>
    <w:p w14:paraId="1D9061E4"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 xml:space="preserve">On internal processes, Toyota is striving to </w:t>
      </w:r>
      <w:proofErr w:type="spellStart"/>
      <w:r w:rsidRPr="007602F2">
        <w:rPr>
          <w:rFonts w:ascii="Arial" w:hAnsi="Arial" w:cs="Arial"/>
          <w:color w:val="000000" w:themeColor="text1"/>
          <w:sz w:val="24"/>
          <w:szCs w:val="24"/>
          <w:lang w:val="en-US"/>
        </w:rPr>
        <w:t>maximise</w:t>
      </w:r>
      <w:proofErr w:type="spellEnd"/>
      <w:r w:rsidRPr="007602F2">
        <w:rPr>
          <w:rFonts w:ascii="Arial" w:hAnsi="Arial" w:cs="Arial"/>
          <w:color w:val="000000" w:themeColor="text1"/>
          <w:sz w:val="24"/>
          <w:szCs w:val="24"/>
          <w:lang w:val="en-US"/>
        </w:rPr>
        <w:t xml:space="preserve"> efficiency in manufacturing and supply chain resilience. The KPIs are the rates of production efficiency and reduction of defects. Some of the targets include quality improvement and cost reduction via </w:t>
      </w:r>
      <w:proofErr w:type="spellStart"/>
      <w:r w:rsidRPr="007602F2">
        <w:rPr>
          <w:rFonts w:ascii="Arial" w:hAnsi="Arial" w:cs="Arial"/>
          <w:color w:val="000000" w:themeColor="text1"/>
          <w:sz w:val="24"/>
          <w:szCs w:val="24"/>
          <w:lang w:val="en-US"/>
        </w:rPr>
        <w:t>digitalisation</w:t>
      </w:r>
      <w:proofErr w:type="spellEnd"/>
      <w:r w:rsidRPr="007602F2">
        <w:rPr>
          <w:rFonts w:ascii="Arial" w:hAnsi="Arial" w:cs="Arial"/>
          <w:color w:val="000000" w:themeColor="text1"/>
          <w:sz w:val="24"/>
          <w:szCs w:val="24"/>
          <w:lang w:val="en-US"/>
        </w:rPr>
        <w:t xml:space="preserve"> and automation (Harvard Business Review, 2022).</w:t>
      </w:r>
    </w:p>
    <w:p w14:paraId="4708341B" w14:textId="77777777" w:rsidR="007602F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Lastly, the learning and growth lens focuses on innovation and development of the workforce. KPIs involve the level of investment in research and development and the number of hours that the employees are under training. Toyota aims to be on the forefront of next-generation mobility technologies, which are backed by the investment in battery technology and AI-based mobility solutions (Financial Times, 2024).</w:t>
      </w:r>
    </w:p>
    <w:p w14:paraId="0D35A700" w14:textId="26A7D00F" w:rsidR="004F1A12" w:rsidRPr="007602F2" w:rsidRDefault="007602F2" w:rsidP="007602F2">
      <w:pPr>
        <w:spacing w:after="240" w:line="360" w:lineRule="auto"/>
        <w:jc w:val="both"/>
        <w:rPr>
          <w:rFonts w:ascii="Arial" w:hAnsi="Arial" w:cs="Arial"/>
          <w:color w:val="000000" w:themeColor="text1"/>
          <w:sz w:val="24"/>
          <w:szCs w:val="24"/>
          <w:lang w:val="en-US"/>
        </w:rPr>
      </w:pPr>
      <w:r w:rsidRPr="007602F2">
        <w:rPr>
          <w:rFonts w:ascii="Arial" w:hAnsi="Arial" w:cs="Arial"/>
          <w:color w:val="000000" w:themeColor="text1"/>
          <w:sz w:val="24"/>
          <w:szCs w:val="24"/>
          <w:lang w:val="en-US"/>
        </w:rPr>
        <w:t>In general, these goals and KPIs indicate that there is a good balance between the strategic vision and operational implementation at Toyota, and this guarantees its competitiveness in the long run.</w:t>
      </w:r>
    </w:p>
    <w:p w14:paraId="39EC64D9" w14:textId="681FCEB7" w:rsidR="00EF57CD" w:rsidRPr="00EF57CD" w:rsidRDefault="00EF57CD" w:rsidP="00EF57CD">
      <w:pPr>
        <w:pStyle w:val="Heading1"/>
        <w:rPr>
          <w:lang w:val="en-US"/>
        </w:rPr>
      </w:pPr>
      <w:bookmarkStart w:id="21" w:name="_Toc226828971"/>
      <w:r w:rsidRPr="00EF57CD">
        <w:rPr>
          <w:lang w:val="en-US"/>
        </w:rPr>
        <w:t xml:space="preserve">5.0 </w:t>
      </w:r>
      <w:r w:rsidR="00B15FC3" w:rsidRPr="00B15FC3">
        <w:rPr>
          <w:lang w:val="en-US"/>
        </w:rPr>
        <w:t>Strategic Choices and Implementation</w:t>
      </w:r>
      <w:bookmarkEnd w:id="21"/>
    </w:p>
    <w:p w14:paraId="3CE5B7B1" w14:textId="1DF76EB6" w:rsidR="00EF57CD" w:rsidRPr="00EF57CD" w:rsidRDefault="00EF57CD" w:rsidP="00EF57CD">
      <w:pPr>
        <w:pStyle w:val="Heading2"/>
        <w:rPr>
          <w:lang w:val="en-US"/>
        </w:rPr>
      </w:pPr>
      <w:bookmarkStart w:id="22" w:name="_Toc226828972"/>
      <w:r>
        <w:rPr>
          <w:lang w:val="en-US"/>
        </w:rPr>
        <w:t xml:space="preserve">5.1 </w:t>
      </w:r>
      <w:r w:rsidR="00B15FC3" w:rsidRPr="00B15FC3">
        <w:rPr>
          <w:lang w:val="en-US"/>
        </w:rPr>
        <w:t>Evaluation of Strategic Choices and Recommendations</w:t>
      </w:r>
      <w:bookmarkEnd w:id="22"/>
    </w:p>
    <w:p w14:paraId="179E3905"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 xml:space="preserve">On the business level, Toyota Motor Corporation has been using a hybrid approach which involves cost leadership and differentiation, which is in line with the generic </w:t>
      </w:r>
      <w:r w:rsidRPr="00B15FC3">
        <w:rPr>
          <w:rFonts w:ascii="Arial" w:hAnsi="Arial" w:cs="Arial"/>
          <w:color w:val="000000" w:themeColor="text1"/>
          <w:sz w:val="24"/>
          <w:szCs w:val="24"/>
          <w:lang w:val="en-US"/>
        </w:rPr>
        <w:lastRenderedPageBreak/>
        <w:t xml:space="preserve">strategies of Porter. The Toyota Production System (TPS) allows it to achieve cost leadership by </w:t>
      </w:r>
      <w:proofErr w:type="spellStart"/>
      <w:r w:rsidRPr="00B15FC3">
        <w:rPr>
          <w:rFonts w:ascii="Arial" w:hAnsi="Arial" w:cs="Arial"/>
          <w:color w:val="000000" w:themeColor="text1"/>
          <w:sz w:val="24"/>
          <w:szCs w:val="24"/>
          <w:lang w:val="en-US"/>
        </w:rPr>
        <w:t>minimising</w:t>
      </w:r>
      <w:proofErr w:type="spellEnd"/>
      <w:r w:rsidRPr="00B15FC3">
        <w:rPr>
          <w:rFonts w:ascii="Arial" w:hAnsi="Arial" w:cs="Arial"/>
          <w:color w:val="000000" w:themeColor="text1"/>
          <w:sz w:val="24"/>
          <w:szCs w:val="24"/>
          <w:lang w:val="en-US"/>
        </w:rPr>
        <w:t xml:space="preserve"> waste and </w:t>
      </w:r>
      <w:proofErr w:type="spellStart"/>
      <w:r w:rsidRPr="00B15FC3">
        <w:rPr>
          <w:rFonts w:ascii="Arial" w:hAnsi="Arial" w:cs="Arial"/>
          <w:color w:val="000000" w:themeColor="text1"/>
          <w:sz w:val="24"/>
          <w:szCs w:val="24"/>
          <w:lang w:val="en-US"/>
        </w:rPr>
        <w:t>maximising</w:t>
      </w:r>
      <w:proofErr w:type="spellEnd"/>
      <w:r w:rsidRPr="00B15FC3">
        <w:rPr>
          <w:rFonts w:ascii="Arial" w:hAnsi="Arial" w:cs="Arial"/>
          <w:color w:val="000000" w:themeColor="text1"/>
          <w:sz w:val="24"/>
          <w:szCs w:val="24"/>
          <w:lang w:val="en-US"/>
        </w:rPr>
        <w:t xml:space="preserve"> efficiency, thus allowing it to offer competitive prices (Harvard Business Review, 2022). At the same time, Toyota stands out with the quality of products, their reliability, and innovation, especially hybrid and hydrogen technologies (Toyota, 2024). This is a two-pronged approach enabling Toyota to attract a wide range of customers and still make profits.</w:t>
      </w:r>
    </w:p>
    <w:p w14:paraId="2BFE2AB1"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 xml:space="preserve">On the corporate level, Toyota has sought related diversification and </w:t>
      </w:r>
      <w:proofErr w:type="spellStart"/>
      <w:r w:rsidRPr="00B15FC3">
        <w:rPr>
          <w:rFonts w:ascii="Arial" w:hAnsi="Arial" w:cs="Arial"/>
          <w:color w:val="000000" w:themeColor="text1"/>
          <w:sz w:val="24"/>
          <w:szCs w:val="24"/>
          <w:lang w:val="en-US"/>
        </w:rPr>
        <w:t>internationalisation</w:t>
      </w:r>
      <w:proofErr w:type="spellEnd"/>
      <w:r w:rsidRPr="00B15FC3">
        <w:rPr>
          <w:rFonts w:ascii="Arial" w:hAnsi="Arial" w:cs="Arial"/>
          <w:color w:val="000000" w:themeColor="text1"/>
          <w:sz w:val="24"/>
          <w:szCs w:val="24"/>
          <w:lang w:val="en-US"/>
        </w:rPr>
        <w:t xml:space="preserve">. The company has expanded into financial services, mobility solutions, and other state-of-the-art technologies like autonomous driving and hydrogen energy (Financial Times, 2023). Its </w:t>
      </w:r>
      <w:proofErr w:type="spellStart"/>
      <w:r w:rsidRPr="00B15FC3">
        <w:rPr>
          <w:rFonts w:ascii="Arial" w:hAnsi="Arial" w:cs="Arial"/>
          <w:color w:val="000000" w:themeColor="text1"/>
          <w:sz w:val="24"/>
          <w:szCs w:val="24"/>
          <w:lang w:val="en-US"/>
        </w:rPr>
        <w:t>internationalisation</w:t>
      </w:r>
      <w:proofErr w:type="spellEnd"/>
      <w:r w:rsidRPr="00B15FC3">
        <w:rPr>
          <w:rFonts w:ascii="Arial" w:hAnsi="Arial" w:cs="Arial"/>
          <w:color w:val="000000" w:themeColor="text1"/>
          <w:sz w:val="24"/>
          <w:szCs w:val="24"/>
          <w:lang w:val="en-US"/>
        </w:rPr>
        <w:t xml:space="preserve"> strategy, which has seen it establish strong manufacturing facilities in Canada, indicates that it has a well-developed </w:t>
      </w:r>
      <w:proofErr w:type="spellStart"/>
      <w:r w:rsidRPr="00B15FC3">
        <w:rPr>
          <w:rFonts w:ascii="Arial" w:hAnsi="Arial" w:cs="Arial"/>
          <w:color w:val="000000" w:themeColor="text1"/>
          <w:sz w:val="24"/>
          <w:szCs w:val="24"/>
          <w:lang w:val="en-US"/>
        </w:rPr>
        <w:t>internationalisation</w:t>
      </w:r>
      <w:proofErr w:type="spellEnd"/>
      <w:r w:rsidRPr="00B15FC3">
        <w:rPr>
          <w:rFonts w:ascii="Arial" w:hAnsi="Arial" w:cs="Arial"/>
          <w:color w:val="000000" w:themeColor="text1"/>
          <w:sz w:val="24"/>
          <w:szCs w:val="24"/>
          <w:lang w:val="en-US"/>
        </w:rPr>
        <w:t xml:space="preserve"> strategy to penetrate and </w:t>
      </w:r>
      <w:proofErr w:type="spellStart"/>
      <w:r w:rsidRPr="00B15FC3">
        <w:rPr>
          <w:rFonts w:ascii="Arial" w:hAnsi="Arial" w:cs="Arial"/>
          <w:color w:val="000000" w:themeColor="text1"/>
          <w:sz w:val="24"/>
          <w:szCs w:val="24"/>
          <w:lang w:val="en-US"/>
        </w:rPr>
        <w:t>localise</w:t>
      </w:r>
      <w:proofErr w:type="spellEnd"/>
      <w:r w:rsidRPr="00B15FC3">
        <w:rPr>
          <w:rFonts w:ascii="Arial" w:hAnsi="Arial" w:cs="Arial"/>
          <w:color w:val="000000" w:themeColor="text1"/>
          <w:sz w:val="24"/>
          <w:szCs w:val="24"/>
          <w:lang w:val="en-US"/>
        </w:rPr>
        <w:t xml:space="preserve"> the market.</w:t>
      </w:r>
    </w:p>
    <w:p w14:paraId="50B892C7"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 xml:space="preserve">Nevertheless, Toyota has strategic options on the rate and path of electrification. Rivalry is investing fiercely in battery electric cars (BEVs), as Toyota remains in a multi-pathway approach (hybrids, hydrogen, and EVs). This will </w:t>
      </w:r>
      <w:proofErr w:type="spellStart"/>
      <w:r w:rsidRPr="00B15FC3">
        <w:rPr>
          <w:rFonts w:ascii="Arial" w:hAnsi="Arial" w:cs="Arial"/>
          <w:color w:val="000000" w:themeColor="text1"/>
          <w:sz w:val="24"/>
          <w:szCs w:val="24"/>
          <w:lang w:val="en-US"/>
        </w:rPr>
        <w:t>minimise</w:t>
      </w:r>
      <w:proofErr w:type="spellEnd"/>
      <w:r w:rsidRPr="00B15FC3">
        <w:rPr>
          <w:rFonts w:ascii="Arial" w:hAnsi="Arial" w:cs="Arial"/>
          <w:color w:val="000000" w:themeColor="text1"/>
          <w:sz w:val="24"/>
          <w:szCs w:val="24"/>
          <w:lang w:val="en-US"/>
        </w:rPr>
        <w:t xml:space="preserve"> risk but can also result in loss of focus in a fast-changing market (The Economist, 2023).</w:t>
      </w:r>
    </w:p>
    <w:p w14:paraId="53E3CB43" w14:textId="77777777" w:rsidR="00B15FC3" w:rsidRPr="00B15FC3" w:rsidRDefault="00B15FC3" w:rsidP="00B15FC3">
      <w:pPr>
        <w:spacing w:after="240" w:line="360" w:lineRule="auto"/>
        <w:jc w:val="both"/>
        <w:rPr>
          <w:rFonts w:ascii="Arial" w:hAnsi="Arial" w:cs="Arial"/>
          <w:b/>
          <w:bCs/>
          <w:color w:val="000000" w:themeColor="text1"/>
          <w:sz w:val="24"/>
          <w:szCs w:val="24"/>
          <w:lang w:val="en-US"/>
        </w:rPr>
      </w:pPr>
      <w:r w:rsidRPr="00B15FC3">
        <w:rPr>
          <w:rFonts w:ascii="Arial" w:hAnsi="Arial" w:cs="Arial"/>
          <w:b/>
          <w:bCs/>
          <w:color w:val="000000" w:themeColor="text1"/>
          <w:sz w:val="24"/>
          <w:szCs w:val="24"/>
          <w:lang w:val="en-US"/>
        </w:rPr>
        <w:t>Recommendation:</w:t>
      </w:r>
    </w:p>
    <w:p w14:paraId="64F9A38D"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 xml:space="preserve">It is suggested that Toyota should bolster its differentiation approach by speeding up EV innovation whilst preserving cost leadership via operational efficiency. Corporately, the company must focus on </w:t>
      </w:r>
      <w:proofErr w:type="spellStart"/>
      <w:r w:rsidRPr="00B15FC3">
        <w:rPr>
          <w:rFonts w:ascii="Arial" w:hAnsi="Arial" w:cs="Arial"/>
          <w:color w:val="000000" w:themeColor="text1"/>
          <w:sz w:val="24"/>
          <w:szCs w:val="24"/>
          <w:lang w:val="en-US"/>
        </w:rPr>
        <w:t>specialised</w:t>
      </w:r>
      <w:proofErr w:type="spellEnd"/>
      <w:r w:rsidRPr="00B15FC3">
        <w:rPr>
          <w:rFonts w:ascii="Arial" w:hAnsi="Arial" w:cs="Arial"/>
          <w:color w:val="000000" w:themeColor="text1"/>
          <w:sz w:val="24"/>
          <w:szCs w:val="24"/>
          <w:lang w:val="en-US"/>
        </w:rPr>
        <w:t xml:space="preserve"> differentiation into electrification and digital mobility instead of extending resources in numerous technologies. This is consistent with the dynamic capability theory, and Toyota has been able to react successfully to industry disruption and maintain a competitive edge.</w:t>
      </w:r>
    </w:p>
    <w:p w14:paraId="58044CBC" w14:textId="39B53EEF" w:rsidR="00B15FC3" w:rsidRPr="00B15FC3" w:rsidRDefault="00B15FC3" w:rsidP="00B15FC3">
      <w:pPr>
        <w:pStyle w:val="Heading2"/>
        <w:rPr>
          <w:lang w:val="en-US"/>
        </w:rPr>
      </w:pPr>
      <w:bookmarkStart w:id="23" w:name="_Toc226828973"/>
      <w:r w:rsidRPr="00B15FC3">
        <w:rPr>
          <w:lang w:val="en-US"/>
        </w:rPr>
        <w:t>5.2 Change Management and Strategic Implementation</w:t>
      </w:r>
      <w:r>
        <w:rPr>
          <w:lang w:val="en-US"/>
        </w:rPr>
        <w:t>:</w:t>
      </w:r>
      <w:bookmarkEnd w:id="23"/>
    </w:p>
    <w:p w14:paraId="3800B372"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 xml:space="preserve">Toyota has been able to demonstrate in the past a high level of </w:t>
      </w:r>
      <w:proofErr w:type="spellStart"/>
      <w:r w:rsidRPr="00B15FC3">
        <w:rPr>
          <w:rFonts w:ascii="Arial" w:hAnsi="Arial" w:cs="Arial"/>
          <w:color w:val="000000" w:themeColor="text1"/>
          <w:sz w:val="24"/>
          <w:szCs w:val="24"/>
          <w:lang w:val="en-US"/>
        </w:rPr>
        <w:t>organisational</w:t>
      </w:r>
      <w:proofErr w:type="spellEnd"/>
      <w:r w:rsidRPr="00B15FC3">
        <w:rPr>
          <w:rFonts w:ascii="Arial" w:hAnsi="Arial" w:cs="Arial"/>
          <w:color w:val="000000" w:themeColor="text1"/>
          <w:sz w:val="24"/>
          <w:szCs w:val="24"/>
          <w:lang w:val="en-US"/>
        </w:rPr>
        <w:t xml:space="preserve"> change management, especially with its culture of continuous improvement (Kaizen). Such culture promotes flexibility and gradual innovation, which allows the company to react efficiently to business issues (Harvard Business Review, 2022). Indicatively, Toyota was the only company to restore faster than others during supply chain disruptions around the world, which was aided by the proactive inventory approach and supplier relations (Financial Times, 2023).</w:t>
      </w:r>
    </w:p>
    <w:p w14:paraId="0DF0EC84"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lastRenderedPageBreak/>
        <w:t xml:space="preserve">The company has also made tremendous strategic change as a reaction to environmental and technological change. Its commitment to electrification, such as hybrid, battery electric and hydrogen technology, is an attempt to keep pace with world trends in sustainability (Toyota, 2024). Furthermore, Toyota has </w:t>
      </w:r>
      <w:proofErr w:type="spellStart"/>
      <w:r w:rsidRPr="00B15FC3">
        <w:rPr>
          <w:rFonts w:ascii="Arial" w:hAnsi="Arial" w:cs="Arial"/>
          <w:color w:val="000000" w:themeColor="text1"/>
          <w:sz w:val="24"/>
          <w:szCs w:val="24"/>
          <w:lang w:val="en-US"/>
        </w:rPr>
        <w:t>reorganised</w:t>
      </w:r>
      <w:proofErr w:type="spellEnd"/>
      <w:r w:rsidRPr="00B15FC3">
        <w:rPr>
          <w:rFonts w:ascii="Arial" w:hAnsi="Arial" w:cs="Arial"/>
          <w:color w:val="000000" w:themeColor="text1"/>
          <w:sz w:val="24"/>
          <w:szCs w:val="24"/>
          <w:lang w:val="en-US"/>
        </w:rPr>
        <w:t xml:space="preserve"> its </w:t>
      </w:r>
      <w:proofErr w:type="spellStart"/>
      <w:r w:rsidRPr="00B15FC3">
        <w:rPr>
          <w:rFonts w:ascii="Arial" w:hAnsi="Arial" w:cs="Arial"/>
          <w:color w:val="000000" w:themeColor="text1"/>
          <w:sz w:val="24"/>
          <w:szCs w:val="24"/>
          <w:lang w:val="en-US"/>
        </w:rPr>
        <w:t>organisational</w:t>
      </w:r>
      <w:proofErr w:type="spellEnd"/>
      <w:r w:rsidRPr="00B15FC3">
        <w:rPr>
          <w:rFonts w:ascii="Arial" w:hAnsi="Arial" w:cs="Arial"/>
          <w:color w:val="000000" w:themeColor="text1"/>
          <w:sz w:val="24"/>
          <w:szCs w:val="24"/>
          <w:lang w:val="en-US"/>
        </w:rPr>
        <w:t xml:space="preserve"> structure to facilitate innovation, such as developing a special unit in the development of advanced mobility and software.</w:t>
      </w:r>
    </w:p>
    <w:p w14:paraId="6EAE3E18"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Nevertheless, Toyota change management has not gone without criticism due to being incremental as opposed to radical. Although this lessens risk, it could slow down the ability of the company to compete in an EV sector that is rapidly changing, with competitors like Tesla having implemented more radical transformation policies (The Economist, 2023). This points to the possibility of lack of alignment of the rate of external change with internal adaptation at Toyota.</w:t>
      </w:r>
    </w:p>
    <w:p w14:paraId="2D911D20" w14:textId="77777777" w:rsidR="00B15FC3" w:rsidRPr="00B15FC3" w:rsidRDefault="00B15FC3" w:rsidP="00B15FC3">
      <w:pPr>
        <w:spacing w:after="240" w:line="360" w:lineRule="auto"/>
        <w:jc w:val="both"/>
        <w:rPr>
          <w:rFonts w:ascii="Arial" w:hAnsi="Arial" w:cs="Arial"/>
          <w:color w:val="000000" w:themeColor="text1"/>
          <w:sz w:val="24"/>
          <w:szCs w:val="24"/>
          <w:lang w:val="en-US"/>
        </w:rPr>
      </w:pPr>
      <w:r w:rsidRPr="00B15FC3">
        <w:rPr>
          <w:rFonts w:ascii="Arial" w:hAnsi="Arial" w:cs="Arial"/>
          <w:color w:val="000000" w:themeColor="text1"/>
          <w:sz w:val="24"/>
          <w:szCs w:val="24"/>
          <w:lang w:val="en-US"/>
        </w:rPr>
        <w:t xml:space="preserve">In terms of strategic implementation, Toyota has strong </w:t>
      </w:r>
      <w:proofErr w:type="spellStart"/>
      <w:r w:rsidRPr="00B15FC3">
        <w:rPr>
          <w:rFonts w:ascii="Arial" w:hAnsi="Arial" w:cs="Arial"/>
          <w:color w:val="000000" w:themeColor="text1"/>
          <w:sz w:val="24"/>
          <w:szCs w:val="24"/>
          <w:lang w:val="en-US"/>
        </w:rPr>
        <w:t>organisational</w:t>
      </w:r>
      <w:proofErr w:type="spellEnd"/>
      <w:r w:rsidRPr="00B15FC3">
        <w:rPr>
          <w:rFonts w:ascii="Arial" w:hAnsi="Arial" w:cs="Arial"/>
          <w:color w:val="000000" w:themeColor="text1"/>
          <w:sz w:val="24"/>
          <w:szCs w:val="24"/>
          <w:lang w:val="en-US"/>
        </w:rPr>
        <w:t xml:space="preserve"> culture, employee engagement and process discipline as its strengths, which help in the effective implementation of strategic initiatives. But the dilemma is how to be stable and innovative at the same time. Change management theory (Kotter, 1996) states that a successful change process should not be rushed and have strong leadership, which Toyota might have to improve.</w:t>
      </w:r>
    </w:p>
    <w:p w14:paraId="501DA2F7" w14:textId="7FDF2CDA" w:rsidR="00F82680" w:rsidRDefault="00B15FC3" w:rsidP="00B15FC3">
      <w:pPr>
        <w:spacing w:after="240" w:line="360" w:lineRule="auto"/>
        <w:jc w:val="both"/>
        <w:rPr>
          <w:rFonts w:ascii="Arial" w:eastAsiaTheme="majorEastAsia" w:hAnsi="Arial" w:cstheme="majorBidi"/>
          <w:b/>
          <w:color w:val="000000" w:themeColor="text1"/>
          <w:sz w:val="32"/>
          <w:szCs w:val="40"/>
          <w:lang w:val="en-US"/>
        </w:rPr>
      </w:pPr>
      <w:r w:rsidRPr="00B15FC3">
        <w:rPr>
          <w:rFonts w:ascii="Arial" w:hAnsi="Arial" w:cs="Arial"/>
          <w:color w:val="000000" w:themeColor="text1"/>
          <w:sz w:val="24"/>
          <w:szCs w:val="24"/>
          <w:lang w:val="en-US"/>
        </w:rPr>
        <w:t>Finally, Toyota has been successful in change management in the operational environment but fails to cope with strategic change. The company needs to be more agile and proactive towards change, especially electrification and digital transformation, to keep it in line with industry changes and long-range strategic objectives.</w:t>
      </w:r>
    </w:p>
    <w:p w14:paraId="2724F5BC" w14:textId="4C83FC07" w:rsidR="00F82680" w:rsidRPr="00F82680" w:rsidRDefault="00F82680" w:rsidP="00F82680">
      <w:pPr>
        <w:pStyle w:val="Heading1"/>
        <w:rPr>
          <w:lang w:val="en-US"/>
        </w:rPr>
      </w:pPr>
      <w:bookmarkStart w:id="24" w:name="_Toc226828974"/>
      <w:r w:rsidRPr="00F82680">
        <w:rPr>
          <w:lang w:val="en-US"/>
        </w:rPr>
        <w:t xml:space="preserve">6.0 </w:t>
      </w:r>
      <w:r w:rsidR="00B15FC3" w:rsidRPr="00B15FC3">
        <w:rPr>
          <w:lang w:val="en-US"/>
        </w:rPr>
        <w:t>Strategic Evaluation and Recommendations</w:t>
      </w:r>
      <w:bookmarkEnd w:id="24"/>
    </w:p>
    <w:p w14:paraId="25D71AE6" w14:textId="0F0F6AA7" w:rsidR="00E21928" w:rsidRPr="00E21928" w:rsidRDefault="00F82680" w:rsidP="00E21928">
      <w:pPr>
        <w:pStyle w:val="Heading2"/>
        <w:rPr>
          <w:lang w:val="en-US"/>
        </w:rPr>
      </w:pPr>
      <w:bookmarkStart w:id="25" w:name="_Toc226828975"/>
      <w:r>
        <w:rPr>
          <w:lang w:val="en-US"/>
        </w:rPr>
        <w:t xml:space="preserve">6.1 </w:t>
      </w:r>
      <w:r w:rsidR="00E21928" w:rsidRPr="00E21928">
        <w:rPr>
          <w:lang w:val="en-US"/>
        </w:rPr>
        <w:t>SWOT-</w:t>
      </w:r>
      <w:r w:rsidR="00E21928" w:rsidRPr="00E21928">
        <w:t>Based</w:t>
      </w:r>
      <w:r w:rsidR="00E21928" w:rsidRPr="00E21928">
        <w:rPr>
          <w:lang w:val="en-US"/>
        </w:rPr>
        <w:t xml:space="preserve"> Strategic Evaluation of Toyota Motor Corporation</w:t>
      </w:r>
      <w:r w:rsidR="00E21928">
        <w:rPr>
          <w:lang w:val="en-US"/>
        </w:rPr>
        <w:t>:</w:t>
      </w:r>
      <w:bookmarkEnd w:id="25"/>
    </w:p>
    <w:p w14:paraId="482FB9BA" w14:textId="77777777" w:rsid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A SWOT analysis is a detailed model used in assessing the existing strategy of Toyota Motor Corporation in the highly competitive and fast-changing automotive industry.</w:t>
      </w:r>
    </w:p>
    <w:p w14:paraId="1FD099D7" w14:textId="77777777" w:rsidR="003A589C" w:rsidRDefault="003A589C" w:rsidP="003A589C">
      <w:pPr>
        <w:keepNext/>
        <w:spacing w:after="240" w:line="360" w:lineRule="auto"/>
        <w:jc w:val="center"/>
      </w:pPr>
      <w:r>
        <w:rPr>
          <w:rFonts w:ascii="Arial" w:hAnsi="Arial" w:cs="Arial"/>
          <w:noProof/>
          <w:color w:val="000000" w:themeColor="text1"/>
          <w:sz w:val="24"/>
          <w:szCs w:val="24"/>
          <w:lang w:val="en-US"/>
        </w:rPr>
        <w:lastRenderedPageBreak/>
        <w:drawing>
          <wp:inline distT="0" distB="0" distL="0" distR="0" wp14:anchorId="487F6C5C" wp14:editId="627FFA88">
            <wp:extent cx="3800475" cy="3257550"/>
            <wp:effectExtent l="0" t="0" r="9525" b="0"/>
            <wp:docPr id="8917799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04702" cy="3261173"/>
                    </a:xfrm>
                    <a:prstGeom prst="rect">
                      <a:avLst/>
                    </a:prstGeom>
                    <a:noFill/>
                  </pic:spPr>
                </pic:pic>
              </a:graphicData>
            </a:graphic>
          </wp:inline>
        </w:drawing>
      </w:r>
    </w:p>
    <w:p w14:paraId="6A7798BC" w14:textId="199E8D33" w:rsidR="003A589C" w:rsidRDefault="003A589C" w:rsidP="003A589C">
      <w:pPr>
        <w:pStyle w:val="Caption"/>
        <w:jc w:val="center"/>
      </w:pPr>
      <w:bookmarkStart w:id="26" w:name="_Toc226828952"/>
      <w:r>
        <w:t xml:space="preserve">Figure </w:t>
      </w:r>
      <w:r>
        <w:fldChar w:fldCharType="begin"/>
      </w:r>
      <w:r>
        <w:instrText xml:space="preserve"> SEQ Figure \* ARABIC </w:instrText>
      </w:r>
      <w:r>
        <w:fldChar w:fldCharType="separate"/>
      </w:r>
      <w:r>
        <w:rPr>
          <w:noProof/>
        </w:rPr>
        <w:t>3</w:t>
      </w:r>
      <w:r>
        <w:fldChar w:fldCharType="end"/>
      </w:r>
      <w:r>
        <w:t>: SWOT Analysis</w:t>
      </w:r>
      <w:bookmarkEnd w:id="26"/>
    </w:p>
    <w:p w14:paraId="56E57036" w14:textId="2DF6DE5B" w:rsidR="003A589C" w:rsidRPr="00E21928" w:rsidRDefault="003A589C" w:rsidP="003A589C">
      <w:pPr>
        <w:jc w:val="center"/>
        <w:rPr>
          <w:lang w:val="en-US"/>
        </w:rPr>
      </w:pPr>
      <w:r w:rsidRPr="003A589C">
        <w:rPr>
          <w:rFonts w:ascii="Arial" w:hAnsi="Arial" w:cs="Arial"/>
          <w:b/>
          <w:bCs/>
          <w:lang w:val="en-US"/>
        </w:rPr>
        <w:t>Source:</w:t>
      </w:r>
      <w:r>
        <w:rPr>
          <w:lang w:val="en-US"/>
        </w:rPr>
        <w:t xml:space="preserve"> </w:t>
      </w:r>
      <w:hyperlink r:id="rId14" w:history="1">
        <w:r w:rsidRPr="003A589C">
          <w:rPr>
            <w:rStyle w:val="Hyperlink"/>
            <w:lang w:val="en-US"/>
          </w:rPr>
          <w:t>strategicmanagementinsight.com</w:t>
        </w:r>
      </w:hyperlink>
    </w:p>
    <w:p w14:paraId="69F4FC0B" w14:textId="77777777"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Strengths:</w:t>
      </w:r>
    </w:p>
    <w:p w14:paraId="76762C47"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A strong brand, operational excellence, which is the Toyota Production System (TPS), and leadership in hybrid technology have been strong pillars of Toyota strategy. Its effective supply chain and great financial performance allow it to keep investing in innovation and growth (Toyota, 2024). Also, the attention of the company to the research and development has strengthened the company as a technological leader in sustainable mobility (SWOT Analysis Insight, 2025).</w:t>
      </w:r>
    </w:p>
    <w:p w14:paraId="2E8D8A6B" w14:textId="77777777"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Weaknesses:</w:t>
      </w:r>
    </w:p>
    <w:p w14:paraId="0703F0A2"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Regardless of its advantages, the Toyota company has internal weaknesses, including </w:t>
      </w:r>
      <w:proofErr w:type="spellStart"/>
      <w:r w:rsidRPr="00E21928">
        <w:rPr>
          <w:rFonts w:ascii="Arial" w:hAnsi="Arial" w:cs="Arial"/>
          <w:color w:val="000000" w:themeColor="text1"/>
          <w:sz w:val="24"/>
          <w:szCs w:val="24"/>
          <w:lang w:val="en-US"/>
        </w:rPr>
        <w:t>organisational</w:t>
      </w:r>
      <w:proofErr w:type="spellEnd"/>
      <w:r w:rsidRPr="00E21928">
        <w:rPr>
          <w:rFonts w:ascii="Arial" w:hAnsi="Arial" w:cs="Arial"/>
          <w:color w:val="000000" w:themeColor="text1"/>
          <w:sz w:val="24"/>
          <w:szCs w:val="24"/>
          <w:lang w:val="en-US"/>
        </w:rPr>
        <w:t xml:space="preserve"> inflexibility and a slower rate of decision-making because of the hierarchical structure of the company (</w:t>
      </w:r>
      <w:proofErr w:type="spellStart"/>
      <w:r w:rsidRPr="00E21928">
        <w:rPr>
          <w:rFonts w:ascii="Arial" w:hAnsi="Arial" w:cs="Arial"/>
          <w:color w:val="000000" w:themeColor="text1"/>
          <w:sz w:val="24"/>
          <w:szCs w:val="24"/>
          <w:lang w:val="en-US"/>
        </w:rPr>
        <w:t>Panmore</w:t>
      </w:r>
      <w:proofErr w:type="spellEnd"/>
      <w:r w:rsidRPr="00E21928">
        <w:rPr>
          <w:rFonts w:ascii="Arial" w:hAnsi="Arial" w:cs="Arial"/>
          <w:color w:val="000000" w:themeColor="text1"/>
          <w:sz w:val="24"/>
          <w:szCs w:val="24"/>
          <w:lang w:val="en-US"/>
        </w:rPr>
        <w:t xml:space="preserve"> Institute, 2025). Moreover, the use of hybrid technology as opposed to fully electric vehicles (EVs) has brought up the issue of its responsiveness to the changes in the industry (</w:t>
      </w:r>
      <w:proofErr w:type="spellStart"/>
      <w:r w:rsidRPr="00E21928">
        <w:rPr>
          <w:rFonts w:ascii="Arial" w:hAnsi="Arial" w:cs="Arial"/>
          <w:color w:val="000000" w:themeColor="text1"/>
          <w:sz w:val="24"/>
          <w:szCs w:val="24"/>
          <w:lang w:val="en-US"/>
        </w:rPr>
        <w:t>BStrategyHub</w:t>
      </w:r>
      <w:proofErr w:type="spellEnd"/>
      <w:r w:rsidRPr="00E21928">
        <w:rPr>
          <w:rFonts w:ascii="Arial" w:hAnsi="Arial" w:cs="Arial"/>
          <w:color w:val="000000" w:themeColor="text1"/>
          <w:sz w:val="24"/>
          <w:szCs w:val="24"/>
          <w:lang w:val="en-US"/>
        </w:rPr>
        <w:t>, 2025). Reputational risks and product recalls are also difficulties in keeping brand trust (SWOT Analysis Insight, 2025).</w:t>
      </w:r>
    </w:p>
    <w:p w14:paraId="3D332E73" w14:textId="77777777"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Opportunities:</w:t>
      </w:r>
    </w:p>
    <w:p w14:paraId="6F89C312"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lastRenderedPageBreak/>
        <w:t xml:space="preserve">The worldwide shift towards electrification currently introduces the Toyota company to a lot of opportunities to gain additional EV models and </w:t>
      </w:r>
      <w:proofErr w:type="spellStart"/>
      <w:r w:rsidRPr="00E21928">
        <w:rPr>
          <w:rFonts w:ascii="Arial" w:hAnsi="Arial" w:cs="Arial"/>
          <w:color w:val="000000" w:themeColor="text1"/>
          <w:sz w:val="24"/>
          <w:szCs w:val="24"/>
          <w:lang w:val="en-US"/>
        </w:rPr>
        <w:t>capitalise</w:t>
      </w:r>
      <w:proofErr w:type="spellEnd"/>
      <w:r w:rsidRPr="00E21928">
        <w:rPr>
          <w:rFonts w:ascii="Arial" w:hAnsi="Arial" w:cs="Arial"/>
          <w:color w:val="000000" w:themeColor="text1"/>
          <w:sz w:val="24"/>
          <w:szCs w:val="24"/>
          <w:lang w:val="en-US"/>
        </w:rPr>
        <w:t xml:space="preserve"> on the existing technological advantages (</w:t>
      </w:r>
      <w:proofErr w:type="spellStart"/>
      <w:r w:rsidRPr="00E21928">
        <w:rPr>
          <w:rFonts w:ascii="Arial" w:hAnsi="Arial" w:cs="Arial"/>
          <w:color w:val="000000" w:themeColor="text1"/>
          <w:sz w:val="24"/>
          <w:szCs w:val="24"/>
          <w:lang w:val="en-US"/>
        </w:rPr>
        <w:t>Panmore</w:t>
      </w:r>
      <w:proofErr w:type="spellEnd"/>
      <w:r w:rsidRPr="00E21928">
        <w:rPr>
          <w:rFonts w:ascii="Arial" w:hAnsi="Arial" w:cs="Arial"/>
          <w:color w:val="000000" w:themeColor="text1"/>
          <w:sz w:val="24"/>
          <w:szCs w:val="24"/>
          <w:lang w:val="en-US"/>
        </w:rPr>
        <w:t xml:space="preserve"> Institute, 2025). Increasing demand for environmentally friendly vehicles and growth in the emerging markets further boosts its growth potential. Besides, the development of digital technologies and autonomous driving opens up new opportunities of diversification (Toyota, 2024).</w:t>
      </w:r>
    </w:p>
    <w:p w14:paraId="130D8CD1" w14:textId="77777777"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Threats:</w:t>
      </w:r>
    </w:p>
    <w:p w14:paraId="09DFEA66"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In the EV market, Toyota competes greatly with the established car manufacturers as well as upcoming companies (</w:t>
      </w:r>
      <w:proofErr w:type="spellStart"/>
      <w:r w:rsidRPr="00E21928">
        <w:rPr>
          <w:rFonts w:ascii="Arial" w:hAnsi="Arial" w:cs="Arial"/>
          <w:color w:val="000000" w:themeColor="text1"/>
          <w:sz w:val="24"/>
          <w:szCs w:val="24"/>
          <w:lang w:val="en-US"/>
        </w:rPr>
        <w:t>BStrategyHub</w:t>
      </w:r>
      <w:proofErr w:type="spellEnd"/>
      <w:r w:rsidRPr="00E21928">
        <w:rPr>
          <w:rFonts w:ascii="Arial" w:hAnsi="Arial" w:cs="Arial"/>
          <w:color w:val="000000" w:themeColor="text1"/>
          <w:sz w:val="24"/>
          <w:szCs w:val="24"/>
          <w:lang w:val="en-US"/>
        </w:rPr>
        <w:t>, 2025). The threat of losing profitability and stability of operations is also posed by rapid technological changes, a set of geopolitical uncertainties, and increased costs of raw materials (Toyota, 2024). Also, strict environmental standards push compliance expenses and the need to innovate (</w:t>
      </w:r>
      <w:proofErr w:type="spellStart"/>
      <w:r w:rsidRPr="00E21928">
        <w:rPr>
          <w:rFonts w:ascii="Arial" w:hAnsi="Arial" w:cs="Arial"/>
          <w:color w:val="000000" w:themeColor="text1"/>
          <w:sz w:val="24"/>
          <w:szCs w:val="24"/>
          <w:lang w:val="en-US"/>
        </w:rPr>
        <w:t>Panmore</w:t>
      </w:r>
      <w:proofErr w:type="spellEnd"/>
      <w:r w:rsidRPr="00E21928">
        <w:rPr>
          <w:rFonts w:ascii="Arial" w:hAnsi="Arial" w:cs="Arial"/>
          <w:color w:val="000000" w:themeColor="text1"/>
          <w:sz w:val="24"/>
          <w:szCs w:val="24"/>
          <w:lang w:val="en-US"/>
        </w:rPr>
        <w:t xml:space="preserve"> Institute, 2025).</w:t>
      </w:r>
    </w:p>
    <w:p w14:paraId="6E2FEE91" w14:textId="77777777"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Critical Evaluation:</w:t>
      </w:r>
    </w:p>
    <w:p w14:paraId="3FE034A0"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The existing strategy of Toyota is rather consistent with the cost leadership and incremental innovation, but it exhibits a strategic gap of aggressive EV adoption. Although its multi-pathway strategy </w:t>
      </w:r>
      <w:proofErr w:type="spellStart"/>
      <w:r w:rsidRPr="00E21928">
        <w:rPr>
          <w:rFonts w:ascii="Arial" w:hAnsi="Arial" w:cs="Arial"/>
          <w:color w:val="000000" w:themeColor="text1"/>
          <w:sz w:val="24"/>
          <w:szCs w:val="24"/>
          <w:lang w:val="en-US"/>
        </w:rPr>
        <w:t>minimises</w:t>
      </w:r>
      <w:proofErr w:type="spellEnd"/>
      <w:r w:rsidRPr="00E21928">
        <w:rPr>
          <w:rFonts w:ascii="Arial" w:hAnsi="Arial" w:cs="Arial"/>
          <w:color w:val="000000" w:themeColor="text1"/>
          <w:sz w:val="24"/>
          <w:szCs w:val="24"/>
          <w:lang w:val="en-US"/>
        </w:rPr>
        <w:t xml:space="preserve"> the risks, it can restrict its opportunities to capture new market opportunities promptly (Toyota, 2024). Thus, the strategic change should be made to be able to remain competitive in the long run.</w:t>
      </w:r>
    </w:p>
    <w:p w14:paraId="174FB306" w14:textId="62B88AA5" w:rsidR="00E21928" w:rsidRPr="00E21928" w:rsidRDefault="00E21928" w:rsidP="00E21928">
      <w:pPr>
        <w:pStyle w:val="Heading2"/>
        <w:rPr>
          <w:lang w:val="en-US"/>
        </w:rPr>
      </w:pPr>
      <w:bookmarkStart w:id="27" w:name="_Toc226828976"/>
      <w:r>
        <w:rPr>
          <w:lang w:val="en-US"/>
        </w:rPr>
        <w:t xml:space="preserve">6.2 </w:t>
      </w:r>
      <w:r w:rsidRPr="00E21928">
        <w:rPr>
          <w:lang w:val="en-US"/>
        </w:rPr>
        <w:t>Strategic Recommendations and Justification:</w:t>
      </w:r>
      <w:bookmarkEnd w:id="27"/>
    </w:p>
    <w:p w14:paraId="679398F0"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Toyota Motor Corporation needs to be more strategic in its approach, which is more focused and proactive, to retain and strengthen its competitive advantage with the help of theoretical frameworks and the industry trends.</w:t>
      </w:r>
    </w:p>
    <w:p w14:paraId="245F0C07"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To begin with, Toyota needs to speed up the shift towards battery electric vehicles (BEVs) and continue its hybrid offerings. The resource-based view (RBV) asserts that in order to maintain a competitive advantage, firms have to </w:t>
      </w:r>
      <w:proofErr w:type="spellStart"/>
      <w:r w:rsidRPr="00E21928">
        <w:rPr>
          <w:rFonts w:ascii="Arial" w:hAnsi="Arial" w:cs="Arial"/>
          <w:color w:val="000000" w:themeColor="text1"/>
          <w:sz w:val="24"/>
          <w:szCs w:val="24"/>
          <w:lang w:val="en-US"/>
        </w:rPr>
        <w:t>utilise</w:t>
      </w:r>
      <w:proofErr w:type="spellEnd"/>
      <w:r w:rsidRPr="00E21928">
        <w:rPr>
          <w:rFonts w:ascii="Arial" w:hAnsi="Arial" w:cs="Arial"/>
          <w:color w:val="000000" w:themeColor="text1"/>
          <w:sz w:val="24"/>
          <w:szCs w:val="24"/>
          <w:lang w:val="en-US"/>
        </w:rPr>
        <w:t xml:space="preserve"> valuable and uncommon resources. The high R&amp;D level and technological skills of Toyota put it in a good position to enter the EV market, but additional investment and focus on strategies are needed to keep up with competitors (Toyota, 2024).</w:t>
      </w:r>
    </w:p>
    <w:p w14:paraId="6D5D1E0A"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lastRenderedPageBreak/>
        <w:t xml:space="preserve">Secondly, Toyota ought to consider increasing its </w:t>
      </w:r>
      <w:proofErr w:type="spellStart"/>
      <w:r w:rsidRPr="00E21928">
        <w:rPr>
          <w:rFonts w:ascii="Arial" w:hAnsi="Arial" w:cs="Arial"/>
          <w:color w:val="000000" w:themeColor="text1"/>
          <w:sz w:val="24"/>
          <w:szCs w:val="24"/>
          <w:lang w:val="en-US"/>
        </w:rPr>
        <w:t>organisational</w:t>
      </w:r>
      <w:proofErr w:type="spellEnd"/>
      <w:r w:rsidRPr="00E21928">
        <w:rPr>
          <w:rFonts w:ascii="Arial" w:hAnsi="Arial" w:cs="Arial"/>
          <w:color w:val="000000" w:themeColor="text1"/>
          <w:sz w:val="24"/>
          <w:szCs w:val="24"/>
          <w:lang w:val="en-US"/>
        </w:rPr>
        <w:t xml:space="preserve"> agility through lessening the hierarchy and speed of decision-making. As discovered in the SWOT analysis, structural constraints are a barrier to reaction to market changes (</w:t>
      </w:r>
      <w:proofErr w:type="spellStart"/>
      <w:r w:rsidRPr="00E21928">
        <w:rPr>
          <w:rFonts w:ascii="Arial" w:hAnsi="Arial" w:cs="Arial"/>
          <w:color w:val="000000" w:themeColor="text1"/>
          <w:sz w:val="24"/>
          <w:szCs w:val="24"/>
          <w:lang w:val="en-US"/>
        </w:rPr>
        <w:t>Panmore</w:t>
      </w:r>
      <w:proofErr w:type="spellEnd"/>
      <w:r w:rsidRPr="00E21928">
        <w:rPr>
          <w:rFonts w:ascii="Arial" w:hAnsi="Arial" w:cs="Arial"/>
          <w:color w:val="000000" w:themeColor="text1"/>
          <w:sz w:val="24"/>
          <w:szCs w:val="24"/>
          <w:lang w:val="en-US"/>
        </w:rPr>
        <w:t xml:space="preserve"> Institute, 2025). The application of a more flexible </w:t>
      </w:r>
      <w:proofErr w:type="spellStart"/>
      <w:r w:rsidRPr="00E21928">
        <w:rPr>
          <w:rFonts w:ascii="Arial" w:hAnsi="Arial" w:cs="Arial"/>
          <w:color w:val="000000" w:themeColor="text1"/>
          <w:sz w:val="24"/>
          <w:szCs w:val="24"/>
          <w:lang w:val="en-US"/>
        </w:rPr>
        <w:t>organisational</w:t>
      </w:r>
      <w:proofErr w:type="spellEnd"/>
      <w:r w:rsidRPr="00E21928">
        <w:rPr>
          <w:rFonts w:ascii="Arial" w:hAnsi="Arial" w:cs="Arial"/>
          <w:color w:val="000000" w:themeColor="text1"/>
          <w:sz w:val="24"/>
          <w:szCs w:val="24"/>
          <w:lang w:val="en-US"/>
        </w:rPr>
        <w:t xml:space="preserve"> structure, as aligned to the dynamic capability theory, would help Toyota to have a better sense and reaction to technological disruption.</w:t>
      </w:r>
    </w:p>
    <w:p w14:paraId="28565A00"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Thirdly, the company needs to build up its strategic alliances and ecosystem, especially in battery technology, software, and autonomous driving. Entrepreneurship with technology companies could be used to increase the power of innovations and </w:t>
      </w:r>
      <w:proofErr w:type="spellStart"/>
      <w:r w:rsidRPr="00E21928">
        <w:rPr>
          <w:rFonts w:ascii="Arial" w:hAnsi="Arial" w:cs="Arial"/>
          <w:color w:val="000000" w:themeColor="text1"/>
          <w:sz w:val="24"/>
          <w:szCs w:val="24"/>
          <w:lang w:val="en-US"/>
        </w:rPr>
        <w:t>minimise</w:t>
      </w:r>
      <w:proofErr w:type="spellEnd"/>
      <w:r w:rsidRPr="00E21928">
        <w:rPr>
          <w:rFonts w:ascii="Arial" w:hAnsi="Arial" w:cs="Arial"/>
          <w:color w:val="000000" w:themeColor="text1"/>
          <w:sz w:val="24"/>
          <w:szCs w:val="24"/>
          <w:lang w:val="en-US"/>
        </w:rPr>
        <w:t xml:space="preserve"> the development expenses, as </w:t>
      </w:r>
      <w:proofErr w:type="spellStart"/>
      <w:r w:rsidRPr="00E21928">
        <w:rPr>
          <w:rFonts w:ascii="Arial" w:hAnsi="Arial" w:cs="Arial"/>
          <w:color w:val="000000" w:themeColor="text1"/>
          <w:sz w:val="24"/>
          <w:szCs w:val="24"/>
          <w:lang w:val="en-US"/>
        </w:rPr>
        <w:t>emphasised</w:t>
      </w:r>
      <w:proofErr w:type="spellEnd"/>
      <w:r w:rsidRPr="00E21928">
        <w:rPr>
          <w:rFonts w:ascii="Arial" w:hAnsi="Arial" w:cs="Arial"/>
          <w:color w:val="000000" w:themeColor="text1"/>
          <w:sz w:val="24"/>
          <w:szCs w:val="24"/>
          <w:lang w:val="en-US"/>
        </w:rPr>
        <w:t xml:space="preserve"> in the industry analysis (</w:t>
      </w:r>
      <w:proofErr w:type="spellStart"/>
      <w:r w:rsidRPr="00E21928">
        <w:rPr>
          <w:rFonts w:ascii="Arial" w:hAnsi="Arial" w:cs="Arial"/>
          <w:color w:val="000000" w:themeColor="text1"/>
          <w:sz w:val="24"/>
          <w:szCs w:val="24"/>
          <w:lang w:val="en-US"/>
        </w:rPr>
        <w:t>BStrategyHub</w:t>
      </w:r>
      <w:proofErr w:type="spellEnd"/>
      <w:r w:rsidRPr="00E21928">
        <w:rPr>
          <w:rFonts w:ascii="Arial" w:hAnsi="Arial" w:cs="Arial"/>
          <w:color w:val="000000" w:themeColor="text1"/>
          <w:sz w:val="24"/>
          <w:szCs w:val="24"/>
          <w:lang w:val="en-US"/>
        </w:rPr>
        <w:t>, 2025).</w:t>
      </w:r>
    </w:p>
    <w:p w14:paraId="13C768ED"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Fourth, Toyota needs to enhance its sustainability leadership by further aligning its CSR strategy with the aim of complete electrification. Although its hybrid policy has proven successful, rising regulatory and social pressure is forcing it to be more committed to zero-emission cars (Toyota, 2024). This is in line with the concept of shared value developed by Porter and Kramer (2011) that the sustainability activities are the ones that lead to social and economic gains.</w:t>
      </w:r>
    </w:p>
    <w:p w14:paraId="6411050B"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Lastly, Toyota needs to keep on exploiting its core competencies, which are TPS, brand reputation, and supply chain resilience, to aid these strategic transformations (SWOT Analysis Insight, 2025). With a combination of innovative and operational excellence, Toyota would be able to create a balanced approach that would guarantee short-term profitability and long-term growth.</w:t>
      </w:r>
    </w:p>
    <w:p w14:paraId="51503BAF" w14:textId="13F3B850" w:rsidR="00C5463D"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Toyota can be more competitive in the future by changing its </w:t>
      </w:r>
      <w:proofErr w:type="spellStart"/>
      <w:r w:rsidRPr="00E21928">
        <w:rPr>
          <w:rFonts w:ascii="Arial" w:hAnsi="Arial" w:cs="Arial"/>
          <w:color w:val="000000" w:themeColor="text1"/>
          <w:sz w:val="24"/>
          <w:szCs w:val="24"/>
          <w:lang w:val="en-US"/>
        </w:rPr>
        <w:t>organisational</w:t>
      </w:r>
      <w:proofErr w:type="spellEnd"/>
      <w:r w:rsidRPr="00E21928">
        <w:rPr>
          <w:rFonts w:ascii="Arial" w:hAnsi="Arial" w:cs="Arial"/>
          <w:color w:val="000000" w:themeColor="text1"/>
          <w:sz w:val="24"/>
          <w:szCs w:val="24"/>
          <w:lang w:val="en-US"/>
        </w:rPr>
        <w:t xml:space="preserve"> strategy of electrification, improving </w:t>
      </w:r>
      <w:proofErr w:type="spellStart"/>
      <w:r w:rsidRPr="00E21928">
        <w:rPr>
          <w:rFonts w:ascii="Arial" w:hAnsi="Arial" w:cs="Arial"/>
          <w:color w:val="000000" w:themeColor="text1"/>
          <w:sz w:val="24"/>
          <w:szCs w:val="24"/>
          <w:lang w:val="en-US"/>
        </w:rPr>
        <w:t>organisational</w:t>
      </w:r>
      <w:proofErr w:type="spellEnd"/>
      <w:r w:rsidRPr="00E21928">
        <w:rPr>
          <w:rFonts w:ascii="Arial" w:hAnsi="Arial" w:cs="Arial"/>
          <w:color w:val="000000" w:themeColor="text1"/>
          <w:sz w:val="24"/>
          <w:szCs w:val="24"/>
          <w:lang w:val="en-US"/>
        </w:rPr>
        <w:t xml:space="preserve"> flexibility, and using partnerships. These strategic and industry-based recommendations are a sure way of maintaining competitive advantage amidst the changing automotive environment.</w:t>
      </w:r>
    </w:p>
    <w:p w14:paraId="2ED71796" w14:textId="6DF047D4" w:rsidR="00F75A88" w:rsidRPr="0054132D" w:rsidRDefault="00C5463D" w:rsidP="00F75A88">
      <w:pPr>
        <w:pStyle w:val="Heading1"/>
        <w:jc w:val="center"/>
        <w:rPr>
          <w:u w:val="single"/>
        </w:rPr>
      </w:pPr>
      <w:bookmarkStart w:id="28" w:name="_Toc226828977"/>
      <w:r w:rsidRPr="0054132D">
        <w:rPr>
          <w:u w:val="single"/>
        </w:rPr>
        <w:lastRenderedPageBreak/>
        <w:t>Section 2</w:t>
      </w:r>
      <w:bookmarkEnd w:id="28"/>
    </w:p>
    <w:p w14:paraId="7FB89899" w14:textId="62773149" w:rsidR="00C5463D" w:rsidRPr="0054132D" w:rsidRDefault="00CA6A69" w:rsidP="00C5463D">
      <w:pPr>
        <w:pStyle w:val="Heading1"/>
      </w:pPr>
      <w:bookmarkStart w:id="29" w:name="_Toc226828978"/>
      <w:r w:rsidRPr="00CA6A69">
        <w:t>Reflective Report of the Research and Analytical Process</w:t>
      </w:r>
      <w:bookmarkEnd w:id="29"/>
    </w:p>
    <w:p w14:paraId="439A53EC"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In this reflective report, the Gibbs Reflective Cycle is used to reflect on the process undertaken when researching, </w:t>
      </w:r>
      <w:proofErr w:type="spellStart"/>
      <w:r w:rsidRPr="00E21928">
        <w:rPr>
          <w:rFonts w:ascii="Arial" w:hAnsi="Arial" w:cs="Arial"/>
          <w:color w:val="000000" w:themeColor="text1"/>
          <w:sz w:val="24"/>
          <w:szCs w:val="24"/>
          <w:lang w:val="en-US"/>
        </w:rPr>
        <w:t>analysing</w:t>
      </w:r>
      <w:proofErr w:type="spellEnd"/>
      <w:r w:rsidRPr="00E21928">
        <w:rPr>
          <w:rFonts w:ascii="Arial" w:hAnsi="Arial" w:cs="Arial"/>
          <w:color w:val="000000" w:themeColor="text1"/>
          <w:sz w:val="24"/>
          <w:szCs w:val="24"/>
          <w:lang w:val="en-US"/>
        </w:rPr>
        <w:t xml:space="preserve"> and preparing a strategic management report on Toyota Motor Corporation. The cycle comprises six steps: the description, feelings, evaluation, analysis, conclusion, and an action plan, which as a whole give a systematic method of reflection and learning.</w:t>
      </w:r>
    </w:p>
    <w:p w14:paraId="12925DAD" w14:textId="63A73853"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1. Description</w:t>
      </w:r>
    </w:p>
    <w:p w14:paraId="142080A1"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This assignment was to perform a strategic analysis of Toyota in the Canadian auto market. This necessitated the collection of information on reputable sources like annual reports, scholarly journals like Harvard Business Review and business news sources like Financial Times and The Economist. It involved the use of theoretical models like PESTEL, SWOT, VRIO and the Balanced Scorecard, which were used to </w:t>
      </w:r>
      <w:proofErr w:type="spellStart"/>
      <w:r w:rsidRPr="00E21928">
        <w:rPr>
          <w:rFonts w:ascii="Arial" w:hAnsi="Arial" w:cs="Arial"/>
          <w:color w:val="000000" w:themeColor="text1"/>
          <w:sz w:val="24"/>
          <w:szCs w:val="24"/>
          <w:lang w:val="en-US"/>
        </w:rPr>
        <w:t>analyse</w:t>
      </w:r>
      <w:proofErr w:type="spellEnd"/>
      <w:r w:rsidRPr="00E21928">
        <w:rPr>
          <w:rFonts w:ascii="Arial" w:hAnsi="Arial" w:cs="Arial"/>
          <w:color w:val="000000" w:themeColor="text1"/>
          <w:sz w:val="24"/>
          <w:szCs w:val="24"/>
          <w:lang w:val="en-US"/>
        </w:rPr>
        <w:t xml:space="preserve"> the internal and external environments of Toyota. I also made the report well-</w:t>
      </w:r>
      <w:proofErr w:type="spellStart"/>
      <w:r w:rsidRPr="00E21928">
        <w:rPr>
          <w:rFonts w:ascii="Arial" w:hAnsi="Arial" w:cs="Arial"/>
          <w:color w:val="000000" w:themeColor="text1"/>
          <w:sz w:val="24"/>
          <w:szCs w:val="24"/>
          <w:lang w:val="en-US"/>
        </w:rPr>
        <w:t>organised</w:t>
      </w:r>
      <w:proofErr w:type="spellEnd"/>
      <w:r w:rsidRPr="00E21928">
        <w:rPr>
          <w:rFonts w:ascii="Arial" w:hAnsi="Arial" w:cs="Arial"/>
          <w:color w:val="000000" w:themeColor="text1"/>
          <w:sz w:val="24"/>
          <w:szCs w:val="24"/>
          <w:lang w:val="en-US"/>
        </w:rPr>
        <w:t xml:space="preserve"> into well-defined sections, which fit the academic needs and upheld the Harvard referencing conventions.</w:t>
      </w:r>
    </w:p>
    <w:p w14:paraId="3DF35E9B" w14:textId="5AA4E569"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2. Feelings</w:t>
      </w:r>
    </w:p>
    <w:p w14:paraId="3C812A0A"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At first, I was sure of my knowledge of the strategic management theories; nevertheless, I also had certain doubts in choosing the most topical and recent sources. There was too much information available, which posed a problem in finding credible and up-to-date information in the 2021-2025 period. During the research process, I gained more confidence in my skills of critical analysis of information and using the theoretical frameworks in practice. The writing of every part of the report gave me a feeling of achievement and raised my confidence in writing a research paper.</w:t>
      </w:r>
    </w:p>
    <w:p w14:paraId="42369148" w14:textId="75FE87F3"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3. Evaluation</w:t>
      </w:r>
    </w:p>
    <w:p w14:paraId="42705438"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The high quality and credibility of the sources, especially annual reports of Toyota and peer-reviewed journal articles, were one of my strengths in the approach. This guaranteed the evidence-based analysis and met the academic expectations. Also, </w:t>
      </w:r>
      <w:r w:rsidRPr="00E21928">
        <w:rPr>
          <w:rFonts w:ascii="Arial" w:hAnsi="Arial" w:cs="Arial"/>
          <w:color w:val="000000" w:themeColor="text1"/>
          <w:sz w:val="24"/>
          <w:szCs w:val="24"/>
          <w:lang w:val="en-US"/>
        </w:rPr>
        <w:lastRenderedPageBreak/>
        <w:t>the use of a variety of strategic frameworks was helpful in improving the breadth and depth of the analysis. Nevertheless, one of the flaws of my strategy was the time that had to be spent on a critical assessment and synthesis of large amounts of information. In some instances, I tended to concentrate more on the descriptive analysis as opposed to critical analysis, and this might have restricted the depth of insight in some parts.</w:t>
      </w:r>
    </w:p>
    <w:p w14:paraId="6A5BB2BF" w14:textId="4380D8C8"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4. Analysis</w:t>
      </w:r>
    </w:p>
    <w:p w14:paraId="5AE53163"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The reflective process demonstrates the relevance of the combination of theory and practice in strategic management. Specifically, the SWOT analysis and the VRIO framework helped me to discover core competencies and strategic issues of Toyota. This goes in line with the principles of experiential learning whereby knowledge is acquired by applying theory to practical applications. Moreover, credible sources like company reports and industry analysis were used, which made the findings more reliable. Academic literature suggests that to have critical analysis, one needs to describe information and also to assess its implications, which I tried to enhance during the process of writing the report.</w:t>
      </w:r>
    </w:p>
    <w:p w14:paraId="25A4814D" w14:textId="14F95DE7"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5. Conclusion</w:t>
      </w:r>
    </w:p>
    <w:p w14:paraId="330134C0" w14:textId="77777777" w:rsidR="00E21928"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In general, the research and preparation of the report have immensely helped me improve my knowledge of strategic management concepts and how they can be applied in practice. I have enhanced more skills in critical thinking, data and scholarly writing. Nonetheless, I </w:t>
      </w:r>
      <w:proofErr w:type="spellStart"/>
      <w:r w:rsidRPr="00E21928">
        <w:rPr>
          <w:rFonts w:ascii="Arial" w:hAnsi="Arial" w:cs="Arial"/>
          <w:color w:val="000000" w:themeColor="text1"/>
          <w:sz w:val="24"/>
          <w:szCs w:val="24"/>
          <w:lang w:val="en-US"/>
        </w:rPr>
        <w:t>realise</w:t>
      </w:r>
      <w:proofErr w:type="spellEnd"/>
      <w:r w:rsidRPr="00E21928">
        <w:rPr>
          <w:rFonts w:ascii="Arial" w:hAnsi="Arial" w:cs="Arial"/>
          <w:color w:val="000000" w:themeColor="text1"/>
          <w:sz w:val="24"/>
          <w:szCs w:val="24"/>
          <w:lang w:val="en-US"/>
        </w:rPr>
        <w:t xml:space="preserve"> that further work on time management and reaching a higher degree of critical assessment can be done. This reflection has assisted me in </w:t>
      </w:r>
      <w:proofErr w:type="spellStart"/>
      <w:r w:rsidRPr="00E21928">
        <w:rPr>
          <w:rFonts w:ascii="Arial" w:hAnsi="Arial" w:cs="Arial"/>
          <w:color w:val="000000" w:themeColor="text1"/>
          <w:sz w:val="24"/>
          <w:szCs w:val="24"/>
          <w:lang w:val="en-US"/>
        </w:rPr>
        <w:t>realising</w:t>
      </w:r>
      <w:proofErr w:type="spellEnd"/>
      <w:r w:rsidRPr="00E21928">
        <w:rPr>
          <w:rFonts w:ascii="Arial" w:hAnsi="Arial" w:cs="Arial"/>
          <w:color w:val="000000" w:themeColor="text1"/>
          <w:sz w:val="24"/>
          <w:szCs w:val="24"/>
          <w:lang w:val="en-US"/>
        </w:rPr>
        <w:t xml:space="preserve"> my strengths, as well as areas of improvement, which will be of great use to me in future academic and professional works.</w:t>
      </w:r>
    </w:p>
    <w:p w14:paraId="5051720E" w14:textId="48A153B0" w:rsidR="00E21928" w:rsidRPr="00E21928" w:rsidRDefault="00E21928" w:rsidP="00E21928">
      <w:pPr>
        <w:spacing w:after="240" w:line="360" w:lineRule="auto"/>
        <w:jc w:val="both"/>
        <w:rPr>
          <w:rFonts w:ascii="Arial" w:hAnsi="Arial" w:cs="Arial"/>
          <w:b/>
          <w:bCs/>
          <w:color w:val="000000" w:themeColor="text1"/>
          <w:sz w:val="24"/>
          <w:szCs w:val="24"/>
          <w:lang w:val="en-US"/>
        </w:rPr>
      </w:pPr>
      <w:r w:rsidRPr="00E21928">
        <w:rPr>
          <w:rFonts w:ascii="Arial" w:hAnsi="Arial" w:cs="Arial"/>
          <w:b/>
          <w:bCs/>
          <w:color w:val="000000" w:themeColor="text1"/>
          <w:sz w:val="24"/>
          <w:szCs w:val="24"/>
          <w:lang w:val="en-US"/>
        </w:rPr>
        <w:t>6. Action Plan</w:t>
      </w:r>
    </w:p>
    <w:p w14:paraId="72B82C25" w14:textId="201EDE92" w:rsidR="0054654D" w:rsidRPr="00E21928" w:rsidRDefault="00E21928" w:rsidP="00E21928">
      <w:pPr>
        <w:spacing w:after="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To enhance my research and analytical abilities in the future, I will work on my research and evaluation process by being more systematic in data collection and analysis. This involves developing an effective research plan, focusing on quality sources, and giving ample time to critically examine these sources. I would also like to work on my capacity to </w:t>
      </w:r>
      <w:proofErr w:type="spellStart"/>
      <w:r w:rsidRPr="00E21928">
        <w:rPr>
          <w:rFonts w:ascii="Arial" w:hAnsi="Arial" w:cs="Arial"/>
          <w:color w:val="000000" w:themeColor="text1"/>
          <w:sz w:val="24"/>
          <w:szCs w:val="24"/>
          <w:lang w:val="en-US"/>
        </w:rPr>
        <w:t>synthesise</w:t>
      </w:r>
      <w:proofErr w:type="spellEnd"/>
      <w:r w:rsidRPr="00E21928">
        <w:rPr>
          <w:rFonts w:ascii="Arial" w:hAnsi="Arial" w:cs="Arial"/>
          <w:color w:val="000000" w:themeColor="text1"/>
          <w:sz w:val="24"/>
          <w:szCs w:val="24"/>
          <w:lang w:val="en-US"/>
        </w:rPr>
        <w:t xml:space="preserve"> information, paying more attention to important </w:t>
      </w:r>
      <w:r w:rsidRPr="00E21928">
        <w:rPr>
          <w:rFonts w:ascii="Arial" w:hAnsi="Arial" w:cs="Arial"/>
          <w:color w:val="000000" w:themeColor="text1"/>
          <w:sz w:val="24"/>
          <w:szCs w:val="24"/>
          <w:lang w:val="en-US"/>
        </w:rPr>
        <w:lastRenderedPageBreak/>
        <w:t>arguments instead of over-describing the information. Moreover, I will keep on enhancing my knowledge of strategic management theories and their implementation in practical situations. With these enhancements, I will be in a better position to engage in better production of high-quality and critically informed academic works in the future.</w:t>
      </w:r>
    </w:p>
    <w:p w14:paraId="389C8EEF" w14:textId="77777777" w:rsidR="00D30556" w:rsidRPr="0054132D" w:rsidRDefault="00D30556" w:rsidP="001A0968">
      <w:pPr>
        <w:spacing w:after="240" w:line="360" w:lineRule="auto"/>
        <w:jc w:val="both"/>
        <w:rPr>
          <w:rFonts w:ascii="Arial" w:hAnsi="Arial" w:cs="Arial"/>
          <w:color w:val="000000" w:themeColor="text1"/>
          <w:sz w:val="24"/>
          <w:szCs w:val="24"/>
        </w:rPr>
      </w:pPr>
    </w:p>
    <w:p w14:paraId="186DC4EF" w14:textId="39F3C8D9" w:rsidR="00B501C2" w:rsidRPr="0054132D" w:rsidRDefault="00B501C2" w:rsidP="00B501C2">
      <w:pPr>
        <w:pStyle w:val="Caption"/>
        <w:jc w:val="center"/>
        <w:rPr>
          <w:rFonts w:ascii="Arial" w:hAnsi="Arial" w:cs="Arial"/>
          <w:color w:val="000000" w:themeColor="text1"/>
          <w:sz w:val="24"/>
          <w:szCs w:val="24"/>
        </w:rPr>
      </w:pPr>
    </w:p>
    <w:p w14:paraId="4628CE54" w14:textId="77777777" w:rsidR="00B501C2" w:rsidRPr="0054132D" w:rsidRDefault="00B501C2" w:rsidP="00B501C2">
      <w:pPr>
        <w:spacing w:after="160" w:line="278" w:lineRule="auto"/>
        <w:rPr>
          <w:rFonts w:ascii="Arial" w:hAnsi="Arial" w:cs="Arial"/>
          <w:color w:val="000000" w:themeColor="text1"/>
          <w:sz w:val="24"/>
          <w:szCs w:val="24"/>
        </w:rPr>
      </w:pPr>
      <w:r w:rsidRPr="0054132D">
        <w:rPr>
          <w:rFonts w:ascii="Arial" w:hAnsi="Arial" w:cs="Arial"/>
          <w:color w:val="000000" w:themeColor="text1"/>
          <w:sz w:val="24"/>
          <w:szCs w:val="24"/>
        </w:rPr>
        <w:br w:type="page"/>
      </w:r>
    </w:p>
    <w:p w14:paraId="26804DA0" w14:textId="77777777" w:rsidR="00B501C2" w:rsidRPr="0054132D" w:rsidRDefault="00B501C2" w:rsidP="00B501C2">
      <w:pPr>
        <w:spacing w:before="240" w:line="360" w:lineRule="auto"/>
        <w:jc w:val="both"/>
        <w:rPr>
          <w:rFonts w:ascii="Arial" w:hAnsi="Arial" w:cs="Arial"/>
          <w:color w:val="000000" w:themeColor="text1"/>
          <w:sz w:val="24"/>
          <w:szCs w:val="24"/>
        </w:rPr>
      </w:pPr>
      <w:bookmarkStart w:id="30" w:name="_Toc226828979"/>
      <w:r w:rsidRPr="0054132D">
        <w:rPr>
          <w:rStyle w:val="Heading1Char"/>
        </w:rPr>
        <w:lastRenderedPageBreak/>
        <w:t>Conclusion</w:t>
      </w:r>
      <w:bookmarkEnd w:id="30"/>
    </w:p>
    <w:p w14:paraId="232EB630" w14:textId="0091E0A8" w:rsidR="00B501C2" w:rsidRPr="00023A82" w:rsidRDefault="00E21928" w:rsidP="00B501C2">
      <w:pPr>
        <w:spacing w:before="240" w:line="360" w:lineRule="auto"/>
        <w:jc w:val="both"/>
        <w:rPr>
          <w:rFonts w:ascii="Arial" w:hAnsi="Arial" w:cs="Arial"/>
          <w:color w:val="000000" w:themeColor="text1"/>
          <w:sz w:val="24"/>
          <w:szCs w:val="24"/>
          <w:lang w:val="en-US"/>
        </w:rPr>
      </w:pPr>
      <w:r w:rsidRPr="00E21928">
        <w:rPr>
          <w:rFonts w:ascii="Arial" w:hAnsi="Arial" w:cs="Arial"/>
          <w:color w:val="000000" w:themeColor="text1"/>
          <w:sz w:val="24"/>
          <w:szCs w:val="24"/>
          <w:lang w:val="en-US"/>
        </w:rPr>
        <w:t xml:space="preserve">Toyota Motor Corporation's strategic analysis in the context of the Canadian automotive industry reveals the presence of a well-developed and powerful </w:t>
      </w:r>
      <w:proofErr w:type="spellStart"/>
      <w:r w:rsidRPr="00E21928">
        <w:rPr>
          <w:rFonts w:ascii="Arial" w:hAnsi="Arial" w:cs="Arial"/>
          <w:color w:val="000000" w:themeColor="text1"/>
          <w:sz w:val="24"/>
          <w:szCs w:val="24"/>
          <w:lang w:val="en-US"/>
        </w:rPr>
        <w:t>organisation</w:t>
      </w:r>
      <w:proofErr w:type="spellEnd"/>
      <w:r w:rsidRPr="00E21928">
        <w:rPr>
          <w:rFonts w:ascii="Arial" w:hAnsi="Arial" w:cs="Arial"/>
          <w:color w:val="000000" w:themeColor="text1"/>
          <w:sz w:val="24"/>
          <w:szCs w:val="24"/>
          <w:lang w:val="en-US"/>
        </w:rPr>
        <w:t xml:space="preserve"> with substantial competitive advantages. The company has achieved success due to its global brand and operational excellence through the Toyota Production System, as well as leadership in hybrid technology. The firm has successfully </w:t>
      </w:r>
      <w:proofErr w:type="spellStart"/>
      <w:r w:rsidRPr="00E21928">
        <w:rPr>
          <w:rFonts w:ascii="Arial" w:hAnsi="Arial" w:cs="Arial"/>
          <w:color w:val="000000" w:themeColor="text1"/>
          <w:sz w:val="24"/>
          <w:szCs w:val="24"/>
          <w:lang w:val="en-US"/>
        </w:rPr>
        <w:t>harmonised</w:t>
      </w:r>
      <w:proofErr w:type="spellEnd"/>
      <w:r w:rsidRPr="00E21928">
        <w:rPr>
          <w:rFonts w:ascii="Arial" w:hAnsi="Arial" w:cs="Arial"/>
          <w:color w:val="000000" w:themeColor="text1"/>
          <w:sz w:val="24"/>
          <w:szCs w:val="24"/>
          <w:lang w:val="en-US"/>
        </w:rPr>
        <w:t xml:space="preserve"> its internal strengths with the external market needs, especially in the fields of sustainability, innovation and efficiency. Nonetheless, the discussion also indicates strategic issues, in particular, the growing pressure to speed up complete electrification and react faster to disruptive forces in the electric vehicle market. Although the multi-pathway strategy offers flexibility and reduces the risk of Toyota, it can slow down the reaction of Toyota to the fast change in the industry. Toyota, on the whole, is an influential player having a solid financial, operational and technological underpinning. Its future success will rely on its capacity to grow its strategic agility, increase its EV investment and maintain a balance between innovation and operational efficiency in a changing global automotive environment</w:t>
      </w:r>
      <w:r w:rsidR="00B501C2" w:rsidRPr="0054132D">
        <w:rPr>
          <w:rFonts w:ascii="Arial" w:hAnsi="Arial" w:cs="Arial"/>
          <w:color w:val="000000" w:themeColor="text1"/>
          <w:sz w:val="24"/>
          <w:szCs w:val="24"/>
        </w:rPr>
        <w:t>.</w:t>
      </w:r>
    </w:p>
    <w:p w14:paraId="521018B7" w14:textId="77777777" w:rsidR="00B501C2" w:rsidRPr="0054132D" w:rsidRDefault="00B501C2" w:rsidP="00B501C2">
      <w:pPr>
        <w:spacing w:before="240" w:line="360" w:lineRule="auto"/>
        <w:jc w:val="both"/>
        <w:rPr>
          <w:rFonts w:ascii="Arial" w:hAnsi="Arial" w:cs="Arial"/>
          <w:color w:val="000000" w:themeColor="text1"/>
          <w:sz w:val="24"/>
          <w:szCs w:val="24"/>
        </w:rPr>
      </w:pPr>
      <w:r w:rsidRPr="0054132D">
        <w:rPr>
          <w:rFonts w:ascii="Arial" w:hAnsi="Arial" w:cs="Arial"/>
          <w:color w:val="000000" w:themeColor="text1"/>
          <w:sz w:val="24"/>
          <w:szCs w:val="24"/>
        </w:rPr>
        <w:br w:type="page"/>
      </w:r>
    </w:p>
    <w:p w14:paraId="4E91170C" w14:textId="77777777" w:rsidR="00B501C2" w:rsidRPr="0054132D" w:rsidRDefault="00B501C2" w:rsidP="00B501C2">
      <w:pPr>
        <w:pStyle w:val="Heading1"/>
        <w:spacing w:line="360" w:lineRule="auto"/>
        <w:rPr>
          <w:rFonts w:cs="Arial"/>
        </w:rPr>
      </w:pPr>
      <w:bookmarkStart w:id="31" w:name="_Toc226828980"/>
      <w:r w:rsidRPr="0054132D">
        <w:rPr>
          <w:rFonts w:cs="Arial"/>
        </w:rPr>
        <w:lastRenderedPageBreak/>
        <w:t>Reference</w:t>
      </w:r>
      <w:bookmarkEnd w:id="31"/>
    </w:p>
    <w:p w14:paraId="5D5E3DAD" w14:textId="23A4FEED"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Financial Times (2024) </w:t>
      </w:r>
      <w:r w:rsidRPr="00E21928">
        <w:rPr>
          <w:rFonts w:ascii="Arial" w:hAnsi="Arial" w:cs="Arial"/>
          <w:i/>
          <w:iCs/>
          <w:color w:val="000000" w:themeColor="text1"/>
          <w:lang w:val="en-US"/>
        </w:rPr>
        <w:t>Toyota’s global strategy and EV transition</w:t>
      </w:r>
      <w:r w:rsidRPr="00E21928">
        <w:rPr>
          <w:rFonts w:ascii="Arial" w:hAnsi="Arial" w:cs="Arial"/>
          <w:color w:val="000000" w:themeColor="text1"/>
          <w:lang w:val="en-US"/>
        </w:rPr>
        <w:t xml:space="preserve">. Available at: </w:t>
      </w:r>
      <w:hyperlink r:id="rId15" w:tgtFrame="_new" w:history="1">
        <w:r w:rsidRPr="00E21928">
          <w:rPr>
            <w:rStyle w:val="Hyperlink"/>
            <w:rFonts w:ascii="Arial" w:hAnsi="Arial" w:cs="Arial"/>
            <w:lang w:val="en-US"/>
          </w:rPr>
          <w:t>https://www.ft.com</w:t>
        </w:r>
      </w:hyperlink>
      <w:r w:rsidRPr="00E21928">
        <w:rPr>
          <w:rFonts w:ascii="Arial" w:hAnsi="Arial" w:cs="Arial"/>
          <w:color w:val="000000" w:themeColor="text1"/>
          <w:lang w:val="en-US"/>
        </w:rPr>
        <w:t xml:space="preserve"> (Accessed: 10 April 2026). </w:t>
      </w:r>
    </w:p>
    <w:p w14:paraId="03710665" w14:textId="16EB6111"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Government of Canada (2023) </w:t>
      </w:r>
      <w:r w:rsidRPr="00E21928">
        <w:rPr>
          <w:rFonts w:ascii="Arial" w:hAnsi="Arial" w:cs="Arial"/>
          <w:i/>
          <w:iCs/>
          <w:color w:val="000000" w:themeColor="text1"/>
          <w:lang w:val="en-US"/>
        </w:rPr>
        <w:t>State of the Canadian Automotive Industry</w:t>
      </w:r>
      <w:r w:rsidRPr="00E21928">
        <w:rPr>
          <w:rFonts w:ascii="Arial" w:hAnsi="Arial" w:cs="Arial"/>
          <w:color w:val="000000" w:themeColor="text1"/>
          <w:lang w:val="en-US"/>
        </w:rPr>
        <w:t xml:space="preserve">. Available at: </w:t>
      </w:r>
      <w:hyperlink r:id="rId16" w:tgtFrame="_new" w:history="1">
        <w:r w:rsidRPr="00E21928">
          <w:rPr>
            <w:rStyle w:val="Hyperlink"/>
            <w:rFonts w:ascii="Arial" w:hAnsi="Arial" w:cs="Arial"/>
            <w:lang w:val="en-US"/>
          </w:rPr>
          <w:t>https://www.ic.gc.ca</w:t>
        </w:r>
      </w:hyperlink>
      <w:r w:rsidRPr="00E21928">
        <w:rPr>
          <w:rFonts w:ascii="Arial" w:hAnsi="Arial" w:cs="Arial"/>
          <w:color w:val="000000" w:themeColor="text1"/>
          <w:lang w:val="en-US"/>
        </w:rPr>
        <w:t xml:space="preserve"> (Accessed: 10 April 2026). </w:t>
      </w:r>
    </w:p>
    <w:p w14:paraId="220EFD6D" w14:textId="5EF797D9"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Harvard Business Review (2022) </w:t>
      </w:r>
      <w:r w:rsidRPr="00E21928">
        <w:rPr>
          <w:rFonts w:ascii="Arial" w:hAnsi="Arial" w:cs="Arial"/>
          <w:i/>
          <w:iCs/>
          <w:color w:val="000000" w:themeColor="text1"/>
          <w:lang w:val="en-US"/>
        </w:rPr>
        <w:t>The enduring success of the Toyota Production System</w:t>
      </w:r>
      <w:r w:rsidRPr="00E21928">
        <w:rPr>
          <w:rFonts w:ascii="Arial" w:hAnsi="Arial" w:cs="Arial"/>
          <w:color w:val="000000" w:themeColor="text1"/>
          <w:lang w:val="en-US"/>
        </w:rPr>
        <w:t xml:space="preserve">. Available at: </w:t>
      </w:r>
      <w:hyperlink r:id="rId17" w:tgtFrame="_new" w:history="1">
        <w:r w:rsidRPr="00E21928">
          <w:rPr>
            <w:rStyle w:val="Hyperlink"/>
            <w:rFonts w:ascii="Arial" w:hAnsi="Arial" w:cs="Arial"/>
            <w:lang w:val="en-US"/>
          </w:rPr>
          <w:t>https://hbr.org</w:t>
        </w:r>
      </w:hyperlink>
      <w:r w:rsidRPr="00E21928">
        <w:rPr>
          <w:rFonts w:ascii="Arial" w:hAnsi="Arial" w:cs="Arial"/>
          <w:color w:val="000000" w:themeColor="text1"/>
          <w:lang w:val="en-US"/>
        </w:rPr>
        <w:t xml:space="preserve"> (Accessed: 10 April 2026). </w:t>
      </w:r>
    </w:p>
    <w:p w14:paraId="341D02EF" w14:textId="5B895565"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Statista (2024) </w:t>
      </w:r>
      <w:r w:rsidRPr="00E21928">
        <w:rPr>
          <w:rFonts w:ascii="Arial" w:hAnsi="Arial" w:cs="Arial"/>
          <w:i/>
          <w:iCs/>
          <w:color w:val="000000" w:themeColor="text1"/>
          <w:lang w:val="en-US"/>
        </w:rPr>
        <w:t>Automotive market share in Canada</w:t>
      </w:r>
      <w:r w:rsidRPr="00E21928">
        <w:rPr>
          <w:rFonts w:ascii="Arial" w:hAnsi="Arial" w:cs="Arial"/>
          <w:color w:val="000000" w:themeColor="text1"/>
          <w:lang w:val="en-US"/>
        </w:rPr>
        <w:t xml:space="preserve">. Available at: </w:t>
      </w:r>
      <w:hyperlink r:id="rId18" w:tgtFrame="_new" w:history="1">
        <w:r w:rsidRPr="00E21928">
          <w:rPr>
            <w:rStyle w:val="Hyperlink"/>
            <w:rFonts w:ascii="Arial" w:hAnsi="Arial" w:cs="Arial"/>
            <w:lang w:val="en-US"/>
          </w:rPr>
          <w:t>https://www.statista.com</w:t>
        </w:r>
      </w:hyperlink>
      <w:r w:rsidRPr="00E21928">
        <w:rPr>
          <w:rFonts w:ascii="Arial" w:hAnsi="Arial" w:cs="Arial"/>
          <w:color w:val="000000" w:themeColor="text1"/>
          <w:lang w:val="en-US"/>
        </w:rPr>
        <w:t xml:space="preserve"> (Accessed: 10 April 2026). </w:t>
      </w:r>
    </w:p>
    <w:p w14:paraId="5806577A" w14:textId="3E9DDD4E"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The Economist (2023) </w:t>
      </w:r>
      <w:r w:rsidRPr="00E21928">
        <w:rPr>
          <w:rFonts w:ascii="Arial" w:hAnsi="Arial" w:cs="Arial"/>
          <w:i/>
          <w:iCs/>
          <w:color w:val="000000" w:themeColor="text1"/>
          <w:lang w:val="en-US"/>
        </w:rPr>
        <w:t>Global competition in electric vehicles</w:t>
      </w:r>
      <w:r w:rsidRPr="00E21928">
        <w:rPr>
          <w:rFonts w:ascii="Arial" w:hAnsi="Arial" w:cs="Arial"/>
          <w:color w:val="000000" w:themeColor="text1"/>
          <w:lang w:val="en-US"/>
        </w:rPr>
        <w:t xml:space="preserve">. Available at: </w:t>
      </w:r>
      <w:hyperlink r:id="rId19" w:tgtFrame="_new" w:history="1">
        <w:r w:rsidRPr="00E21928">
          <w:rPr>
            <w:rStyle w:val="Hyperlink"/>
            <w:rFonts w:ascii="Arial" w:hAnsi="Arial" w:cs="Arial"/>
            <w:lang w:val="en-US"/>
          </w:rPr>
          <w:t>https://www.economist.com</w:t>
        </w:r>
      </w:hyperlink>
      <w:r w:rsidRPr="00E21928">
        <w:rPr>
          <w:rFonts w:ascii="Arial" w:hAnsi="Arial" w:cs="Arial"/>
          <w:color w:val="000000" w:themeColor="text1"/>
          <w:lang w:val="en-US"/>
        </w:rPr>
        <w:t xml:space="preserve"> (Accessed: 10 April 2026). </w:t>
      </w:r>
    </w:p>
    <w:p w14:paraId="0656B632" w14:textId="493FDC77"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(2023) </w:t>
      </w:r>
      <w:r w:rsidRPr="00E21928">
        <w:rPr>
          <w:rFonts w:ascii="Arial" w:hAnsi="Arial" w:cs="Arial"/>
          <w:i/>
          <w:iCs/>
          <w:color w:val="000000" w:themeColor="text1"/>
          <w:lang w:val="en-US"/>
        </w:rPr>
        <w:t>Toyota Global Vision and Strategy</w:t>
      </w:r>
      <w:r w:rsidRPr="00E21928">
        <w:rPr>
          <w:rFonts w:ascii="Arial" w:hAnsi="Arial" w:cs="Arial"/>
          <w:color w:val="000000" w:themeColor="text1"/>
          <w:lang w:val="en-US"/>
        </w:rPr>
        <w:t xml:space="preserve">. Available at: </w:t>
      </w:r>
      <w:hyperlink r:id="rId20" w:tgtFrame="_new" w:history="1">
        <w:r w:rsidRPr="00E21928">
          <w:rPr>
            <w:rStyle w:val="Hyperlink"/>
            <w:rFonts w:ascii="Arial" w:hAnsi="Arial" w:cs="Arial"/>
            <w:lang w:val="en-US"/>
          </w:rPr>
          <w:t>https://global.toyota</w:t>
        </w:r>
      </w:hyperlink>
      <w:r w:rsidRPr="00E21928">
        <w:rPr>
          <w:rFonts w:ascii="Arial" w:hAnsi="Arial" w:cs="Arial"/>
          <w:color w:val="000000" w:themeColor="text1"/>
          <w:lang w:val="en-US"/>
        </w:rPr>
        <w:t xml:space="preserve"> (Accessed: 10 April 2026). </w:t>
      </w:r>
    </w:p>
    <w:p w14:paraId="4CF05404" w14:textId="056F2332"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(2024) </w:t>
      </w:r>
      <w:r w:rsidRPr="00E21928">
        <w:rPr>
          <w:rFonts w:ascii="Arial" w:hAnsi="Arial" w:cs="Arial"/>
          <w:i/>
          <w:iCs/>
          <w:color w:val="000000" w:themeColor="text1"/>
          <w:lang w:val="en-US"/>
        </w:rPr>
        <w:t>Environmental Sustainability Report</w:t>
      </w:r>
      <w:r w:rsidRPr="00E21928">
        <w:rPr>
          <w:rFonts w:ascii="Arial" w:hAnsi="Arial" w:cs="Arial"/>
          <w:color w:val="000000" w:themeColor="text1"/>
          <w:lang w:val="en-US"/>
        </w:rPr>
        <w:t xml:space="preserve">. Available at: </w:t>
      </w:r>
      <w:hyperlink r:id="rId21" w:tgtFrame="_new" w:history="1">
        <w:r w:rsidRPr="00E21928">
          <w:rPr>
            <w:rStyle w:val="Hyperlink"/>
            <w:rFonts w:ascii="Arial" w:hAnsi="Arial" w:cs="Arial"/>
            <w:lang w:val="en-US"/>
          </w:rPr>
          <w:t>https://media.toyota.ca</w:t>
        </w:r>
      </w:hyperlink>
      <w:r w:rsidRPr="00E21928">
        <w:rPr>
          <w:rFonts w:ascii="Arial" w:hAnsi="Arial" w:cs="Arial"/>
          <w:color w:val="000000" w:themeColor="text1"/>
          <w:lang w:val="en-US"/>
        </w:rPr>
        <w:t xml:space="preserve"> (Accessed: 10 April 2026). </w:t>
      </w:r>
    </w:p>
    <w:p w14:paraId="3AD3F771" w14:textId="13A5EA11"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(2023) </w:t>
      </w:r>
      <w:r w:rsidRPr="00E21928">
        <w:rPr>
          <w:rFonts w:ascii="Arial" w:hAnsi="Arial" w:cs="Arial"/>
          <w:i/>
          <w:iCs/>
          <w:color w:val="000000" w:themeColor="text1"/>
          <w:lang w:val="en-US"/>
        </w:rPr>
        <w:t>North American Environmental Sustainability Report</w:t>
      </w:r>
      <w:r w:rsidRPr="00E21928">
        <w:rPr>
          <w:rFonts w:ascii="Arial" w:hAnsi="Arial" w:cs="Arial"/>
          <w:color w:val="000000" w:themeColor="text1"/>
          <w:lang w:val="en-US"/>
        </w:rPr>
        <w:t xml:space="preserve">. Available at: </w:t>
      </w:r>
      <w:hyperlink r:id="rId22" w:tgtFrame="_new" w:history="1">
        <w:r w:rsidRPr="00E21928">
          <w:rPr>
            <w:rStyle w:val="Hyperlink"/>
            <w:rFonts w:ascii="Arial" w:hAnsi="Arial" w:cs="Arial"/>
            <w:lang w:val="en-US"/>
          </w:rPr>
          <w:t>https://www.toyota.com</w:t>
        </w:r>
      </w:hyperlink>
      <w:r w:rsidRPr="00E21928">
        <w:rPr>
          <w:rFonts w:ascii="Arial" w:hAnsi="Arial" w:cs="Arial"/>
          <w:color w:val="000000" w:themeColor="text1"/>
          <w:lang w:val="en-US"/>
        </w:rPr>
        <w:t xml:space="preserve"> (Accessed: 10 April 2026). </w:t>
      </w:r>
    </w:p>
    <w:p w14:paraId="70C889A8" w14:textId="5F114ACB"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Canada (2023) </w:t>
      </w:r>
      <w:r w:rsidRPr="00E21928">
        <w:rPr>
          <w:rFonts w:ascii="Arial" w:hAnsi="Arial" w:cs="Arial"/>
          <w:i/>
          <w:iCs/>
          <w:color w:val="000000" w:themeColor="text1"/>
          <w:lang w:val="en-US"/>
        </w:rPr>
        <w:t>Corporate Sales and Industry Updates</w:t>
      </w:r>
      <w:r w:rsidRPr="00E21928">
        <w:rPr>
          <w:rFonts w:ascii="Arial" w:hAnsi="Arial" w:cs="Arial"/>
          <w:color w:val="000000" w:themeColor="text1"/>
          <w:lang w:val="en-US"/>
        </w:rPr>
        <w:t xml:space="preserve">. Available at: </w:t>
      </w:r>
      <w:hyperlink r:id="rId23" w:tgtFrame="_new" w:history="1">
        <w:r w:rsidRPr="00E21928">
          <w:rPr>
            <w:rStyle w:val="Hyperlink"/>
            <w:rFonts w:ascii="Arial" w:hAnsi="Arial" w:cs="Arial"/>
            <w:lang w:val="en-US"/>
          </w:rPr>
          <w:t>https://media.toyota.ca</w:t>
        </w:r>
      </w:hyperlink>
      <w:r w:rsidRPr="00E21928">
        <w:rPr>
          <w:rFonts w:ascii="Arial" w:hAnsi="Arial" w:cs="Arial"/>
          <w:color w:val="000000" w:themeColor="text1"/>
          <w:lang w:val="en-US"/>
        </w:rPr>
        <w:t xml:space="preserve"> (Accessed: 10 April 2026). </w:t>
      </w:r>
    </w:p>
    <w:p w14:paraId="62DD636E" w14:textId="356F2590" w:rsid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Canada (2024) </w:t>
      </w:r>
      <w:r w:rsidRPr="00E21928">
        <w:rPr>
          <w:rFonts w:ascii="Arial" w:hAnsi="Arial" w:cs="Arial"/>
          <w:i/>
          <w:iCs/>
          <w:color w:val="000000" w:themeColor="text1"/>
          <w:lang w:val="en-US"/>
        </w:rPr>
        <w:t>Modern Slavery Report</w:t>
      </w:r>
      <w:r w:rsidRPr="00E21928">
        <w:rPr>
          <w:rFonts w:ascii="Arial" w:hAnsi="Arial" w:cs="Arial"/>
          <w:color w:val="000000" w:themeColor="text1"/>
          <w:lang w:val="en-US"/>
        </w:rPr>
        <w:t xml:space="preserve">. Available at: </w:t>
      </w:r>
      <w:hyperlink r:id="rId24" w:tgtFrame="_new" w:history="1">
        <w:r w:rsidRPr="00E21928">
          <w:rPr>
            <w:rStyle w:val="Hyperlink"/>
            <w:rFonts w:ascii="Arial" w:hAnsi="Arial" w:cs="Arial"/>
            <w:lang w:val="en-US"/>
          </w:rPr>
          <w:t>https://www.toyota.ca</w:t>
        </w:r>
      </w:hyperlink>
      <w:r w:rsidRPr="00E21928">
        <w:rPr>
          <w:rFonts w:ascii="Arial" w:hAnsi="Arial" w:cs="Arial"/>
          <w:color w:val="000000" w:themeColor="text1"/>
          <w:lang w:val="en-US"/>
        </w:rPr>
        <w:t xml:space="preserve"> (Accessed: 10 April 2026).</w:t>
      </w:r>
    </w:p>
    <w:p w14:paraId="43DBF8A1" w14:textId="0400DAA9"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Financial Times (2024) </w:t>
      </w:r>
      <w:r w:rsidRPr="00E21928">
        <w:rPr>
          <w:rFonts w:ascii="Arial" w:hAnsi="Arial" w:cs="Arial"/>
          <w:i/>
          <w:iCs/>
          <w:color w:val="000000" w:themeColor="text1"/>
          <w:lang w:val="en-US"/>
        </w:rPr>
        <w:t>Toyota’s global EV strategy and competitive positioning</w:t>
      </w:r>
      <w:r w:rsidRPr="00E21928">
        <w:rPr>
          <w:rFonts w:ascii="Arial" w:hAnsi="Arial" w:cs="Arial"/>
          <w:color w:val="000000" w:themeColor="text1"/>
          <w:lang w:val="en-US"/>
        </w:rPr>
        <w:t xml:space="preserve">. Available at: </w:t>
      </w:r>
      <w:hyperlink r:id="rId25" w:tgtFrame="_new" w:history="1">
        <w:r w:rsidRPr="00E21928">
          <w:rPr>
            <w:rStyle w:val="Hyperlink"/>
            <w:rFonts w:ascii="Arial" w:hAnsi="Arial" w:cs="Arial"/>
            <w:lang w:val="en-US"/>
          </w:rPr>
          <w:t>https://www.ft.com</w:t>
        </w:r>
      </w:hyperlink>
      <w:r w:rsidRPr="00E21928">
        <w:rPr>
          <w:rFonts w:ascii="Arial" w:hAnsi="Arial" w:cs="Arial"/>
          <w:color w:val="000000" w:themeColor="text1"/>
          <w:lang w:val="en-US"/>
        </w:rPr>
        <w:t xml:space="preserve"> (Accessed: 10 April 2026). </w:t>
      </w:r>
    </w:p>
    <w:p w14:paraId="68DE1C24" w14:textId="2FD1349A"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Forbes (2023) </w:t>
      </w:r>
      <w:r w:rsidRPr="00E21928">
        <w:rPr>
          <w:rFonts w:ascii="Arial" w:hAnsi="Arial" w:cs="Arial"/>
          <w:i/>
          <w:iCs/>
          <w:color w:val="000000" w:themeColor="text1"/>
          <w:lang w:val="en-US"/>
        </w:rPr>
        <w:t>The World’s Most Valuable Brands: Toyota</w:t>
      </w:r>
      <w:r w:rsidRPr="00E21928">
        <w:rPr>
          <w:rFonts w:ascii="Arial" w:hAnsi="Arial" w:cs="Arial"/>
          <w:color w:val="000000" w:themeColor="text1"/>
          <w:lang w:val="en-US"/>
        </w:rPr>
        <w:t xml:space="preserve">. Available at: </w:t>
      </w:r>
      <w:hyperlink r:id="rId26" w:tgtFrame="_new" w:history="1">
        <w:r w:rsidRPr="00E21928">
          <w:rPr>
            <w:rStyle w:val="Hyperlink"/>
            <w:rFonts w:ascii="Arial" w:hAnsi="Arial" w:cs="Arial"/>
            <w:lang w:val="en-US"/>
          </w:rPr>
          <w:t>https://www.forbes.com</w:t>
        </w:r>
      </w:hyperlink>
      <w:r w:rsidRPr="00E21928">
        <w:rPr>
          <w:rFonts w:ascii="Arial" w:hAnsi="Arial" w:cs="Arial"/>
          <w:color w:val="000000" w:themeColor="text1"/>
          <w:lang w:val="en-US"/>
        </w:rPr>
        <w:t xml:space="preserve"> (Accessed: 10 April 2026). </w:t>
      </w:r>
    </w:p>
    <w:p w14:paraId="5E6D2481" w14:textId="13CA4333"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lastRenderedPageBreak/>
        <w:t xml:space="preserve">The Economist (2023) </w:t>
      </w:r>
      <w:r w:rsidRPr="00E21928">
        <w:rPr>
          <w:rFonts w:ascii="Arial" w:hAnsi="Arial" w:cs="Arial"/>
          <w:i/>
          <w:iCs/>
          <w:color w:val="000000" w:themeColor="text1"/>
          <w:lang w:val="en-US"/>
        </w:rPr>
        <w:t>Toyota and the global EV transition</w:t>
      </w:r>
      <w:r w:rsidRPr="00E21928">
        <w:rPr>
          <w:rFonts w:ascii="Arial" w:hAnsi="Arial" w:cs="Arial"/>
          <w:color w:val="000000" w:themeColor="text1"/>
          <w:lang w:val="en-US"/>
        </w:rPr>
        <w:t xml:space="preserve">. Available at: </w:t>
      </w:r>
      <w:hyperlink r:id="rId27" w:tgtFrame="_new" w:history="1">
        <w:r w:rsidRPr="00E21928">
          <w:rPr>
            <w:rStyle w:val="Hyperlink"/>
            <w:rFonts w:ascii="Arial" w:hAnsi="Arial" w:cs="Arial"/>
            <w:lang w:val="en-US"/>
          </w:rPr>
          <w:t>https://www.economist.com</w:t>
        </w:r>
      </w:hyperlink>
      <w:r w:rsidRPr="00E21928">
        <w:rPr>
          <w:rFonts w:ascii="Arial" w:hAnsi="Arial" w:cs="Arial"/>
          <w:color w:val="000000" w:themeColor="text1"/>
          <w:lang w:val="en-US"/>
        </w:rPr>
        <w:t xml:space="preserve"> (Accessed: 10 April 2026). </w:t>
      </w:r>
    </w:p>
    <w:p w14:paraId="579CD4E9" w14:textId="5180B466" w:rsid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(2024) </w:t>
      </w:r>
      <w:r w:rsidRPr="00E21928">
        <w:rPr>
          <w:rFonts w:ascii="Arial" w:hAnsi="Arial" w:cs="Arial"/>
          <w:i/>
          <w:iCs/>
          <w:color w:val="000000" w:themeColor="text1"/>
          <w:lang w:val="en-US"/>
        </w:rPr>
        <w:t>Annual Report 2024</w:t>
      </w:r>
      <w:r w:rsidRPr="00E21928">
        <w:rPr>
          <w:rFonts w:ascii="Arial" w:hAnsi="Arial" w:cs="Arial"/>
          <w:color w:val="000000" w:themeColor="text1"/>
          <w:lang w:val="en-US"/>
        </w:rPr>
        <w:t xml:space="preserve">. Available at: </w:t>
      </w:r>
      <w:hyperlink r:id="rId28" w:tgtFrame="_new" w:history="1">
        <w:r w:rsidRPr="00E21928">
          <w:rPr>
            <w:rStyle w:val="Hyperlink"/>
            <w:rFonts w:ascii="Arial" w:hAnsi="Arial" w:cs="Arial"/>
            <w:lang w:val="en-US"/>
          </w:rPr>
          <w:t>https://global.toyota/en/ir</w:t>
        </w:r>
      </w:hyperlink>
      <w:r w:rsidRPr="00E21928">
        <w:rPr>
          <w:rFonts w:ascii="Arial" w:hAnsi="Arial" w:cs="Arial"/>
          <w:color w:val="000000" w:themeColor="text1"/>
          <w:lang w:val="en-US"/>
        </w:rPr>
        <w:t xml:space="preserve"> (Accessed: 10 April 2026).</w:t>
      </w:r>
    </w:p>
    <w:p w14:paraId="05A7A2E1" w14:textId="519581B9"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(2024) </w:t>
      </w:r>
      <w:r w:rsidRPr="00E21928">
        <w:rPr>
          <w:rFonts w:ascii="Arial" w:hAnsi="Arial" w:cs="Arial"/>
          <w:i/>
          <w:iCs/>
          <w:color w:val="000000" w:themeColor="text1"/>
          <w:lang w:val="en-US"/>
        </w:rPr>
        <w:t>North American Environmental Sustainability Report</w:t>
      </w:r>
      <w:r w:rsidRPr="00E21928">
        <w:rPr>
          <w:rFonts w:ascii="Arial" w:hAnsi="Arial" w:cs="Arial"/>
          <w:color w:val="000000" w:themeColor="text1"/>
          <w:lang w:val="en-US"/>
        </w:rPr>
        <w:t xml:space="preserve">. Available at: </w:t>
      </w:r>
      <w:hyperlink r:id="rId29" w:tgtFrame="_new" w:history="1">
        <w:r w:rsidRPr="00E21928">
          <w:rPr>
            <w:rStyle w:val="Hyperlink"/>
            <w:rFonts w:ascii="Arial" w:hAnsi="Arial" w:cs="Arial"/>
            <w:lang w:val="en-US"/>
          </w:rPr>
          <w:t>https://media.toyota.ca</w:t>
        </w:r>
      </w:hyperlink>
      <w:r w:rsidRPr="00E21928">
        <w:rPr>
          <w:rFonts w:ascii="Arial" w:hAnsi="Arial" w:cs="Arial"/>
          <w:color w:val="000000" w:themeColor="text1"/>
          <w:lang w:val="en-US"/>
        </w:rPr>
        <w:t xml:space="preserve"> (Accessed: 11 April 2026). </w:t>
      </w:r>
    </w:p>
    <w:p w14:paraId="0B20351C" w14:textId="6F9E79C9"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(2024) </w:t>
      </w:r>
      <w:r w:rsidRPr="00E21928">
        <w:rPr>
          <w:rFonts w:ascii="Arial" w:hAnsi="Arial" w:cs="Arial"/>
          <w:i/>
          <w:iCs/>
          <w:color w:val="000000" w:themeColor="text1"/>
          <w:lang w:val="en-US"/>
        </w:rPr>
        <w:t>Sustainability Policy</w:t>
      </w:r>
      <w:r w:rsidRPr="00E21928">
        <w:rPr>
          <w:rFonts w:ascii="Arial" w:hAnsi="Arial" w:cs="Arial"/>
          <w:color w:val="000000" w:themeColor="text1"/>
          <w:lang w:val="en-US"/>
        </w:rPr>
        <w:t xml:space="preserve">. Available at: </w:t>
      </w:r>
      <w:hyperlink r:id="rId30" w:tgtFrame="_new" w:history="1">
        <w:r w:rsidRPr="00E21928">
          <w:rPr>
            <w:rStyle w:val="Hyperlink"/>
            <w:rFonts w:ascii="Arial" w:hAnsi="Arial" w:cs="Arial"/>
            <w:lang w:val="en-US"/>
          </w:rPr>
          <w:t>https://global.toyota/en/sustainability</w:t>
        </w:r>
      </w:hyperlink>
      <w:r w:rsidRPr="00E21928">
        <w:rPr>
          <w:rFonts w:ascii="Arial" w:hAnsi="Arial" w:cs="Arial"/>
          <w:color w:val="000000" w:themeColor="text1"/>
          <w:lang w:val="en-US"/>
        </w:rPr>
        <w:t xml:space="preserve"> (Accessed: 11 April 2026). </w:t>
      </w:r>
    </w:p>
    <w:p w14:paraId="5FCC6FD1" w14:textId="2DB2FD38" w:rsid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Toyota (2024) </w:t>
      </w:r>
      <w:r w:rsidRPr="00E21928">
        <w:rPr>
          <w:rFonts w:ascii="Arial" w:hAnsi="Arial" w:cs="Arial"/>
          <w:i/>
          <w:iCs/>
          <w:color w:val="000000" w:themeColor="text1"/>
          <w:lang w:val="en-US"/>
        </w:rPr>
        <w:t>Environmental Sustainability and Electrification Strategy</w:t>
      </w:r>
      <w:r w:rsidRPr="00E21928">
        <w:rPr>
          <w:rFonts w:ascii="Arial" w:hAnsi="Arial" w:cs="Arial"/>
          <w:color w:val="000000" w:themeColor="text1"/>
          <w:lang w:val="en-US"/>
        </w:rPr>
        <w:t xml:space="preserve">. Available at: </w:t>
      </w:r>
      <w:hyperlink r:id="rId31" w:tgtFrame="_new" w:history="1">
        <w:r w:rsidRPr="00E21928">
          <w:rPr>
            <w:rStyle w:val="Hyperlink"/>
            <w:rFonts w:ascii="Arial" w:hAnsi="Arial" w:cs="Arial"/>
            <w:lang w:val="en-US"/>
          </w:rPr>
          <w:t>https://media.toyota.ca</w:t>
        </w:r>
      </w:hyperlink>
      <w:r w:rsidRPr="00E21928">
        <w:rPr>
          <w:rFonts w:ascii="Arial" w:hAnsi="Arial" w:cs="Arial"/>
          <w:color w:val="000000" w:themeColor="text1"/>
          <w:lang w:val="en-US"/>
        </w:rPr>
        <w:t xml:space="preserve"> (Accessed: 11 April 2026).</w:t>
      </w:r>
    </w:p>
    <w:p w14:paraId="657A25A0" w14:textId="77777777"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Financial Times (2024) </w:t>
      </w:r>
      <w:r w:rsidRPr="00E21928">
        <w:rPr>
          <w:rFonts w:ascii="Arial" w:hAnsi="Arial" w:cs="Arial"/>
          <w:i/>
          <w:iCs/>
          <w:color w:val="000000" w:themeColor="text1"/>
          <w:lang w:val="en-US"/>
        </w:rPr>
        <w:t>Toyota’s innovation and EV strategy</w:t>
      </w:r>
      <w:r w:rsidRPr="00E21928">
        <w:rPr>
          <w:rFonts w:ascii="Arial" w:hAnsi="Arial" w:cs="Arial"/>
          <w:color w:val="000000" w:themeColor="text1"/>
          <w:lang w:val="en-US"/>
        </w:rPr>
        <w:t xml:space="preserve">. Available at: </w:t>
      </w:r>
      <w:hyperlink r:id="rId32" w:tgtFrame="_new" w:history="1">
        <w:r w:rsidRPr="00E21928">
          <w:rPr>
            <w:rStyle w:val="Hyperlink"/>
            <w:rFonts w:ascii="Arial" w:hAnsi="Arial" w:cs="Arial"/>
            <w:lang w:val="en-US"/>
          </w:rPr>
          <w:t>https://www.ft.com</w:t>
        </w:r>
      </w:hyperlink>
      <w:r w:rsidRPr="00E21928">
        <w:rPr>
          <w:rFonts w:ascii="Arial" w:hAnsi="Arial" w:cs="Arial"/>
          <w:color w:val="000000" w:themeColor="text1"/>
          <w:lang w:val="en-US"/>
        </w:rPr>
        <w:t xml:space="preserve"> (Accessed: 11 April 2026). </w:t>
      </w:r>
    </w:p>
    <w:p w14:paraId="1A0252E7" w14:textId="77777777"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Forbes (2023) </w:t>
      </w:r>
      <w:r w:rsidRPr="00E21928">
        <w:rPr>
          <w:rFonts w:ascii="Arial" w:hAnsi="Arial" w:cs="Arial"/>
          <w:i/>
          <w:iCs/>
          <w:color w:val="000000" w:themeColor="text1"/>
          <w:lang w:val="en-US"/>
        </w:rPr>
        <w:t>Toyota’s brand value and customer satisfaction rankings</w:t>
      </w:r>
      <w:r w:rsidRPr="00E21928">
        <w:rPr>
          <w:rFonts w:ascii="Arial" w:hAnsi="Arial" w:cs="Arial"/>
          <w:color w:val="000000" w:themeColor="text1"/>
          <w:lang w:val="en-US"/>
        </w:rPr>
        <w:t xml:space="preserve">. Available at: </w:t>
      </w:r>
      <w:hyperlink r:id="rId33" w:tgtFrame="_new" w:history="1">
        <w:r w:rsidRPr="00E21928">
          <w:rPr>
            <w:rStyle w:val="Hyperlink"/>
            <w:rFonts w:ascii="Arial" w:hAnsi="Arial" w:cs="Arial"/>
            <w:lang w:val="en-US"/>
          </w:rPr>
          <w:t>https://www.forbes.com</w:t>
        </w:r>
      </w:hyperlink>
      <w:r w:rsidRPr="00E21928">
        <w:rPr>
          <w:rFonts w:ascii="Arial" w:hAnsi="Arial" w:cs="Arial"/>
          <w:color w:val="000000" w:themeColor="text1"/>
          <w:lang w:val="en-US"/>
        </w:rPr>
        <w:t xml:space="preserve"> (Accessed: 11 April 2026). </w:t>
      </w:r>
    </w:p>
    <w:p w14:paraId="54F8FD78" w14:textId="77777777"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Kaplan, R.S. and Norton, D.P. (1992) ‘The Balanced Scorecard—Measures that Drive Performance’, </w:t>
      </w:r>
      <w:r w:rsidRPr="00E21928">
        <w:rPr>
          <w:rFonts w:ascii="Arial" w:hAnsi="Arial" w:cs="Arial"/>
          <w:i/>
          <w:iCs/>
          <w:color w:val="000000" w:themeColor="text1"/>
          <w:lang w:val="en-US"/>
        </w:rPr>
        <w:t>Harvard Business Review</w:t>
      </w:r>
      <w:r w:rsidRPr="00E21928">
        <w:rPr>
          <w:rFonts w:ascii="Arial" w:hAnsi="Arial" w:cs="Arial"/>
          <w:color w:val="000000" w:themeColor="text1"/>
          <w:lang w:val="en-US"/>
        </w:rPr>
        <w:t xml:space="preserve">. Available at: </w:t>
      </w:r>
      <w:hyperlink r:id="rId34" w:tgtFrame="_new" w:history="1">
        <w:r w:rsidRPr="00E21928">
          <w:rPr>
            <w:rStyle w:val="Hyperlink"/>
            <w:rFonts w:ascii="Arial" w:hAnsi="Arial" w:cs="Arial"/>
            <w:lang w:val="en-US"/>
          </w:rPr>
          <w:t>https://hbr.org</w:t>
        </w:r>
      </w:hyperlink>
      <w:r w:rsidRPr="00E21928">
        <w:rPr>
          <w:rFonts w:ascii="Arial" w:hAnsi="Arial" w:cs="Arial"/>
          <w:color w:val="000000" w:themeColor="text1"/>
          <w:lang w:val="en-US"/>
        </w:rPr>
        <w:t xml:space="preserve"> (Accessed: 11 April 2026). </w:t>
      </w:r>
    </w:p>
    <w:p w14:paraId="683F9314" w14:textId="62738631"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Financial Times (2023) </w:t>
      </w:r>
      <w:r w:rsidRPr="00E21928">
        <w:rPr>
          <w:rFonts w:ascii="Arial" w:hAnsi="Arial" w:cs="Arial"/>
          <w:i/>
          <w:iCs/>
          <w:color w:val="000000" w:themeColor="text1"/>
          <w:lang w:val="en-US"/>
        </w:rPr>
        <w:t>Toyota’s response to supply chain disruptions and EV strategy</w:t>
      </w:r>
      <w:r w:rsidRPr="00E21928">
        <w:rPr>
          <w:rFonts w:ascii="Arial" w:hAnsi="Arial" w:cs="Arial"/>
          <w:color w:val="000000" w:themeColor="text1"/>
          <w:lang w:val="en-US"/>
        </w:rPr>
        <w:t xml:space="preserve">. Available at: </w:t>
      </w:r>
      <w:hyperlink r:id="rId35" w:tgtFrame="_new" w:history="1">
        <w:r w:rsidRPr="00E21928">
          <w:rPr>
            <w:rStyle w:val="Hyperlink"/>
            <w:rFonts w:ascii="Arial" w:hAnsi="Arial" w:cs="Arial"/>
            <w:lang w:val="en-US"/>
          </w:rPr>
          <w:t>https://www.ft.com</w:t>
        </w:r>
      </w:hyperlink>
      <w:r w:rsidRPr="00E21928">
        <w:rPr>
          <w:rFonts w:ascii="Arial" w:hAnsi="Arial" w:cs="Arial"/>
          <w:color w:val="000000" w:themeColor="text1"/>
          <w:lang w:val="en-US"/>
        </w:rPr>
        <w:t xml:space="preserve"> (Accessed: 11 April 2026). </w:t>
      </w:r>
    </w:p>
    <w:p w14:paraId="46455AC0" w14:textId="056879F5"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Kotter, J.P. (1996) </w:t>
      </w:r>
      <w:r w:rsidRPr="00E21928">
        <w:rPr>
          <w:rFonts w:ascii="Arial" w:hAnsi="Arial" w:cs="Arial"/>
          <w:i/>
          <w:iCs/>
          <w:color w:val="000000" w:themeColor="text1"/>
          <w:lang w:val="en-US"/>
        </w:rPr>
        <w:t>Leading Change</w:t>
      </w:r>
      <w:r w:rsidRPr="00E21928">
        <w:rPr>
          <w:rFonts w:ascii="Arial" w:hAnsi="Arial" w:cs="Arial"/>
          <w:color w:val="000000" w:themeColor="text1"/>
          <w:lang w:val="en-US"/>
        </w:rPr>
        <w:t xml:space="preserve">. Boston: Harvard Business School Press. </w:t>
      </w:r>
    </w:p>
    <w:p w14:paraId="6DB740A7" w14:textId="141B4D80"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The Economist (2023) </w:t>
      </w:r>
      <w:r w:rsidRPr="00E21928">
        <w:rPr>
          <w:rFonts w:ascii="Arial" w:hAnsi="Arial" w:cs="Arial"/>
          <w:i/>
          <w:iCs/>
          <w:color w:val="000000" w:themeColor="text1"/>
          <w:lang w:val="en-US"/>
        </w:rPr>
        <w:t>Toyota and the global electric vehicle transition</w:t>
      </w:r>
      <w:r w:rsidRPr="00E21928">
        <w:rPr>
          <w:rFonts w:ascii="Arial" w:hAnsi="Arial" w:cs="Arial"/>
          <w:color w:val="000000" w:themeColor="text1"/>
          <w:lang w:val="en-US"/>
        </w:rPr>
        <w:t xml:space="preserve">. Available at: </w:t>
      </w:r>
      <w:hyperlink r:id="rId36" w:tgtFrame="_new" w:history="1">
        <w:r w:rsidRPr="00E21928">
          <w:rPr>
            <w:rStyle w:val="Hyperlink"/>
            <w:rFonts w:ascii="Arial" w:hAnsi="Arial" w:cs="Arial"/>
            <w:lang w:val="en-US"/>
          </w:rPr>
          <w:t>https://www.economist.com</w:t>
        </w:r>
      </w:hyperlink>
      <w:r w:rsidRPr="00E21928">
        <w:rPr>
          <w:rFonts w:ascii="Arial" w:hAnsi="Arial" w:cs="Arial"/>
          <w:color w:val="000000" w:themeColor="text1"/>
          <w:lang w:val="en-US"/>
        </w:rPr>
        <w:t xml:space="preserve"> (Accessed: 11 April 2026). </w:t>
      </w:r>
    </w:p>
    <w:p w14:paraId="28E7FE2E" w14:textId="7C240069" w:rsidR="00E21928" w:rsidRPr="00E21928" w:rsidRDefault="00E21928" w:rsidP="00E21928">
      <w:pPr>
        <w:pStyle w:val="NormalWeb"/>
        <w:spacing w:line="360" w:lineRule="auto"/>
        <w:rPr>
          <w:rFonts w:ascii="Arial" w:hAnsi="Arial" w:cs="Arial"/>
          <w:color w:val="000000" w:themeColor="text1"/>
          <w:lang w:val="en-US"/>
        </w:rPr>
      </w:pPr>
      <w:r w:rsidRPr="00E21928">
        <w:rPr>
          <w:rFonts w:ascii="Arial" w:hAnsi="Arial" w:cs="Arial"/>
          <w:color w:val="000000" w:themeColor="text1"/>
          <w:lang w:val="en-US"/>
        </w:rPr>
        <w:t xml:space="preserve">SWOT Analysis Insight (2025) </w:t>
      </w:r>
      <w:r w:rsidRPr="00E21928">
        <w:rPr>
          <w:rFonts w:ascii="Arial" w:hAnsi="Arial" w:cs="Arial"/>
          <w:i/>
          <w:iCs/>
          <w:color w:val="000000" w:themeColor="text1"/>
          <w:lang w:val="en-US"/>
        </w:rPr>
        <w:t>Toyota SWOT Analysis</w:t>
      </w:r>
      <w:r w:rsidRPr="00E21928">
        <w:rPr>
          <w:rFonts w:ascii="Arial" w:hAnsi="Arial" w:cs="Arial"/>
          <w:color w:val="000000" w:themeColor="text1"/>
          <w:lang w:val="en-US"/>
        </w:rPr>
        <w:t xml:space="preserve">. Available at: </w:t>
      </w:r>
      <w:hyperlink r:id="rId37" w:tgtFrame="_new" w:history="1">
        <w:r w:rsidRPr="00E21928">
          <w:rPr>
            <w:rStyle w:val="Hyperlink"/>
            <w:rFonts w:ascii="Arial" w:hAnsi="Arial" w:cs="Arial"/>
            <w:lang w:val="en-US"/>
          </w:rPr>
          <w:t>https://strategicmanagementinsight.com</w:t>
        </w:r>
      </w:hyperlink>
      <w:r w:rsidRPr="00E21928">
        <w:rPr>
          <w:rFonts w:ascii="Arial" w:hAnsi="Arial" w:cs="Arial"/>
          <w:color w:val="000000" w:themeColor="text1"/>
          <w:lang w:val="en-US"/>
        </w:rPr>
        <w:t xml:space="preserve"> (Accessed: 11 April 2026). </w:t>
      </w:r>
    </w:p>
    <w:p w14:paraId="670EE89A" w14:textId="0C30B66E" w:rsidR="00E21928" w:rsidRPr="00E21928" w:rsidRDefault="00E21928" w:rsidP="00E21928">
      <w:pPr>
        <w:pStyle w:val="NormalWeb"/>
        <w:spacing w:line="360" w:lineRule="auto"/>
        <w:rPr>
          <w:rFonts w:ascii="Arial" w:hAnsi="Arial" w:cs="Arial"/>
          <w:color w:val="000000" w:themeColor="text1"/>
          <w:lang w:val="en-US"/>
        </w:rPr>
      </w:pPr>
      <w:proofErr w:type="spellStart"/>
      <w:r w:rsidRPr="00E21928">
        <w:rPr>
          <w:rFonts w:ascii="Arial" w:hAnsi="Arial" w:cs="Arial"/>
          <w:color w:val="000000" w:themeColor="text1"/>
          <w:lang w:val="en-US"/>
        </w:rPr>
        <w:lastRenderedPageBreak/>
        <w:t>Panmore</w:t>
      </w:r>
      <w:proofErr w:type="spellEnd"/>
      <w:r w:rsidRPr="00E21928">
        <w:rPr>
          <w:rFonts w:ascii="Arial" w:hAnsi="Arial" w:cs="Arial"/>
          <w:color w:val="000000" w:themeColor="text1"/>
          <w:lang w:val="en-US"/>
        </w:rPr>
        <w:t xml:space="preserve"> Institute (2025) </w:t>
      </w:r>
      <w:r w:rsidRPr="00E21928">
        <w:rPr>
          <w:rFonts w:ascii="Arial" w:hAnsi="Arial" w:cs="Arial"/>
          <w:i/>
          <w:iCs/>
          <w:color w:val="000000" w:themeColor="text1"/>
          <w:lang w:val="en-US"/>
        </w:rPr>
        <w:t>Toyota SWOT Analysis &amp; Recommendations</w:t>
      </w:r>
      <w:r w:rsidRPr="00E21928">
        <w:rPr>
          <w:rFonts w:ascii="Arial" w:hAnsi="Arial" w:cs="Arial"/>
          <w:color w:val="000000" w:themeColor="text1"/>
          <w:lang w:val="en-US"/>
        </w:rPr>
        <w:t xml:space="preserve">. Available at: </w:t>
      </w:r>
      <w:hyperlink r:id="rId38" w:tgtFrame="_new" w:history="1">
        <w:r w:rsidRPr="00E21928">
          <w:rPr>
            <w:rStyle w:val="Hyperlink"/>
            <w:rFonts w:ascii="Arial" w:hAnsi="Arial" w:cs="Arial"/>
            <w:lang w:val="en-US"/>
          </w:rPr>
          <w:t>https://panmore.com</w:t>
        </w:r>
      </w:hyperlink>
      <w:r w:rsidRPr="00E21928">
        <w:rPr>
          <w:rFonts w:ascii="Arial" w:hAnsi="Arial" w:cs="Arial"/>
          <w:color w:val="000000" w:themeColor="text1"/>
          <w:lang w:val="en-US"/>
        </w:rPr>
        <w:t xml:space="preserve"> (Accessed: 11 April 2026). </w:t>
      </w:r>
    </w:p>
    <w:p w14:paraId="37FBB3B6" w14:textId="43D35E39" w:rsidR="00E21928" w:rsidRPr="00E21928" w:rsidRDefault="00E21928" w:rsidP="00E21928">
      <w:pPr>
        <w:pStyle w:val="NormalWeb"/>
        <w:spacing w:line="360" w:lineRule="auto"/>
        <w:rPr>
          <w:rFonts w:ascii="Arial" w:hAnsi="Arial" w:cs="Arial"/>
          <w:color w:val="000000" w:themeColor="text1"/>
          <w:lang w:val="en-US"/>
        </w:rPr>
      </w:pPr>
      <w:proofErr w:type="spellStart"/>
      <w:r w:rsidRPr="00E21928">
        <w:rPr>
          <w:rFonts w:ascii="Arial" w:hAnsi="Arial" w:cs="Arial"/>
          <w:color w:val="000000" w:themeColor="text1"/>
          <w:lang w:val="en-US"/>
        </w:rPr>
        <w:t>BStrategyHub</w:t>
      </w:r>
      <w:proofErr w:type="spellEnd"/>
      <w:r w:rsidRPr="00E21928">
        <w:rPr>
          <w:rFonts w:ascii="Arial" w:hAnsi="Arial" w:cs="Arial"/>
          <w:color w:val="000000" w:themeColor="text1"/>
          <w:lang w:val="en-US"/>
        </w:rPr>
        <w:t xml:space="preserve"> (2025) </w:t>
      </w:r>
      <w:r w:rsidRPr="00E21928">
        <w:rPr>
          <w:rFonts w:ascii="Arial" w:hAnsi="Arial" w:cs="Arial"/>
          <w:i/>
          <w:iCs/>
          <w:color w:val="000000" w:themeColor="text1"/>
          <w:lang w:val="en-US"/>
        </w:rPr>
        <w:t>Toyota SWOT Analysis</w:t>
      </w:r>
      <w:r w:rsidRPr="00E21928">
        <w:rPr>
          <w:rFonts w:ascii="Arial" w:hAnsi="Arial" w:cs="Arial"/>
          <w:color w:val="000000" w:themeColor="text1"/>
          <w:lang w:val="en-US"/>
        </w:rPr>
        <w:t xml:space="preserve">. Available at: </w:t>
      </w:r>
      <w:hyperlink r:id="rId39" w:tgtFrame="_new" w:history="1">
        <w:r w:rsidRPr="00E21928">
          <w:rPr>
            <w:rStyle w:val="Hyperlink"/>
            <w:rFonts w:ascii="Arial" w:hAnsi="Arial" w:cs="Arial"/>
            <w:lang w:val="en-US"/>
          </w:rPr>
          <w:t>https://bstrategyhub.com</w:t>
        </w:r>
      </w:hyperlink>
      <w:r w:rsidRPr="00E21928">
        <w:rPr>
          <w:rFonts w:ascii="Arial" w:hAnsi="Arial" w:cs="Arial"/>
          <w:color w:val="000000" w:themeColor="text1"/>
          <w:lang w:val="en-US"/>
        </w:rPr>
        <w:t xml:space="preserve"> (Accessed: 11 April 2026).</w:t>
      </w:r>
    </w:p>
    <w:p w14:paraId="0ED8A24A" w14:textId="77777777" w:rsidR="00E21928" w:rsidRPr="00023A82" w:rsidRDefault="00E21928" w:rsidP="00E21928">
      <w:pPr>
        <w:pStyle w:val="NormalWeb"/>
        <w:spacing w:line="360" w:lineRule="auto"/>
        <w:rPr>
          <w:rFonts w:ascii="Arial" w:hAnsi="Arial" w:cs="Arial"/>
          <w:color w:val="000000" w:themeColor="text1"/>
          <w:lang w:val="en-US"/>
        </w:rPr>
      </w:pPr>
    </w:p>
    <w:sectPr w:rsidR="00E21928" w:rsidRPr="00023A82" w:rsidSect="00B501C2">
      <w:footerReference w:type="default" r:id="rId4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3D743" w14:textId="77777777" w:rsidR="003D5726" w:rsidRDefault="003D5726">
      <w:pPr>
        <w:spacing w:after="0" w:line="240" w:lineRule="auto"/>
      </w:pPr>
      <w:r>
        <w:separator/>
      </w:r>
    </w:p>
  </w:endnote>
  <w:endnote w:type="continuationSeparator" w:id="0">
    <w:p w14:paraId="1BAD82B7" w14:textId="77777777" w:rsidR="003D5726" w:rsidRDefault="003D5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201291"/>
      <w:docPartObj>
        <w:docPartGallery w:val="Page Numbers (Bottom of Page)"/>
        <w:docPartUnique/>
      </w:docPartObj>
    </w:sdtPr>
    <w:sdtEndPr>
      <w:rPr>
        <w:noProof/>
      </w:rPr>
    </w:sdtEndPr>
    <w:sdtContent>
      <w:p w14:paraId="4EC70776" w14:textId="77777777" w:rsidR="00B501C2" w:rsidRDefault="00B501C2">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44761654" w14:textId="77777777" w:rsidR="00B501C2" w:rsidRDefault="00B501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4D39FD" w14:textId="77777777" w:rsidR="003D5726" w:rsidRDefault="003D5726">
      <w:pPr>
        <w:spacing w:after="0" w:line="240" w:lineRule="auto"/>
      </w:pPr>
      <w:r>
        <w:separator/>
      </w:r>
    </w:p>
  </w:footnote>
  <w:footnote w:type="continuationSeparator" w:id="0">
    <w:p w14:paraId="66D3C281" w14:textId="77777777" w:rsidR="003D5726" w:rsidRDefault="003D57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9583D"/>
    <w:multiLevelType w:val="hybridMultilevel"/>
    <w:tmpl w:val="D0889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A53F43"/>
    <w:multiLevelType w:val="hybridMultilevel"/>
    <w:tmpl w:val="715EA4BC"/>
    <w:lvl w:ilvl="0" w:tplc="6EBCB864">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E37AA2"/>
    <w:multiLevelType w:val="hybridMultilevel"/>
    <w:tmpl w:val="F68C2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CE10A7"/>
    <w:multiLevelType w:val="hybridMultilevel"/>
    <w:tmpl w:val="457AC2B0"/>
    <w:lvl w:ilvl="0" w:tplc="6EBCB864">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66D3DAD"/>
    <w:multiLevelType w:val="hybridMultilevel"/>
    <w:tmpl w:val="A1BADC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07311C6C"/>
    <w:multiLevelType w:val="hybridMultilevel"/>
    <w:tmpl w:val="29343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9E2676B"/>
    <w:multiLevelType w:val="hybridMultilevel"/>
    <w:tmpl w:val="67C2E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C490BD0"/>
    <w:multiLevelType w:val="hybridMultilevel"/>
    <w:tmpl w:val="CA5CB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0C3D11"/>
    <w:multiLevelType w:val="hybridMultilevel"/>
    <w:tmpl w:val="F8C64D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43B582B"/>
    <w:multiLevelType w:val="hybridMultilevel"/>
    <w:tmpl w:val="7F8C9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765E02"/>
    <w:multiLevelType w:val="hybridMultilevel"/>
    <w:tmpl w:val="639AA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79E4681"/>
    <w:multiLevelType w:val="hybridMultilevel"/>
    <w:tmpl w:val="F95CD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D0638C8"/>
    <w:multiLevelType w:val="hybridMultilevel"/>
    <w:tmpl w:val="31168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E2471E3"/>
    <w:multiLevelType w:val="hybridMultilevel"/>
    <w:tmpl w:val="DBAAB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F651038"/>
    <w:multiLevelType w:val="multilevel"/>
    <w:tmpl w:val="EF94B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D20EF0"/>
    <w:multiLevelType w:val="multilevel"/>
    <w:tmpl w:val="A1BE78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557E8C"/>
    <w:multiLevelType w:val="hybridMultilevel"/>
    <w:tmpl w:val="4E5A4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7202C7F"/>
    <w:multiLevelType w:val="hybridMultilevel"/>
    <w:tmpl w:val="715C5BB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27C74785"/>
    <w:multiLevelType w:val="hybridMultilevel"/>
    <w:tmpl w:val="F4F88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A7D396F"/>
    <w:multiLevelType w:val="hybridMultilevel"/>
    <w:tmpl w:val="21F29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FE23955"/>
    <w:multiLevelType w:val="hybridMultilevel"/>
    <w:tmpl w:val="4A74A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4542B4C"/>
    <w:multiLevelType w:val="hybridMultilevel"/>
    <w:tmpl w:val="528E7C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8637A51"/>
    <w:multiLevelType w:val="hybridMultilevel"/>
    <w:tmpl w:val="90466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C013E6E"/>
    <w:multiLevelType w:val="hybridMultilevel"/>
    <w:tmpl w:val="82ACA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D9543E6"/>
    <w:multiLevelType w:val="hybridMultilevel"/>
    <w:tmpl w:val="1FF44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E534730"/>
    <w:multiLevelType w:val="hybridMultilevel"/>
    <w:tmpl w:val="93EEA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1BF7B73"/>
    <w:multiLevelType w:val="hybridMultilevel"/>
    <w:tmpl w:val="587AB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5AE647B"/>
    <w:multiLevelType w:val="hybridMultilevel"/>
    <w:tmpl w:val="02328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6A03D2A"/>
    <w:multiLevelType w:val="hybridMultilevel"/>
    <w:tmpl w:val="5F9C7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6CA0615"/>
    <w:multiLevelType w:val="hybridMultilevel"/>
    <w:tmpl w:val="022A6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9A05120"/>
    <w:multiLevelType w:val="hybridMultilevel"/>
    <w:tmpl w:val="0B6CA040"/>
    <w:lvl w:ilvl="0" w:tplc="ADCAC6E0">
      <w:start w:val="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4D003481"/>
    <w:multiLevelType w:val="hybridMultilevel"/>
    <w:tmpl w:val="C9705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4520EA0"/>
    <w:multiLevelType w:val="hybridMultilevel"/>
    <w:tmpl w:val="A8D6B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4546C53"/>
    <w:multiLevelType w:val="hybridMultilevel"/>
    <w:tmpl w:val="19E82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1DE5061"/>
    <w:multiLevelType w:val="hybridMultilevel"/>
    <w:tmpl w:val="D3CE0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EF03FC0"/>
    <w:multiLevelType w:val="hybridMultilevel"/>
    <w:tmpl w:val="F97E1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F05507D"/>
    <w:multiLevelType w:val="hybridMultilevel"/>
    <w:tmpl w:val="1F6CB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5C22BF"/>
    <w:multiLevelType w:val="hybridMultilevel"/>
    <w:tmpl w:val="863AF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DFA30AE"/>
    <w:multiLevelType w:val="hybridMultilevel"/>
    <w:tmpl w:val="05BA1858"/>
    <w:lvl w:ilvl="0" w:tplc="60B0A4E8">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1"/>
  </w:num>
  <w:num w:numId="2">
    <w:abstractNumId w:val="40"/>
  </w:num>
  <w:num w:numId="3">
    <w:abstractNumId w:val="39"/>
  </w:num>
  <w:num w:numId="4">
    <w:abstractNumId w:val="2"/>
  </w:num>
  <w:num w:numId="5">
    <w:abstractNumId w:val="18"/>
  </w:num>
  <w:num w:numId="6">
    <w:abstractNumId w:val="27"/>
  </w:num>
  <w:num w:numId="7">
    <w:abstractNumId w:val="5"/>
  </w:num>
  <w:num w:numId="8">
    <w:abstractNumId w:val="34"/>
  </w:num>
  <w:num w:numId="9">
    <w:abstractNumId w:val="35"/>
  </w:num>
  <w:num w:numId="10">
    <w:abstractNumId w:val="9"/>
  </w:num>
  <w:num w:numId="11">
    <w:abstractNumId w:val="19"/>
  </w:num>
  <w:num w:numId="12">
    <w:abstractNumId w:val="26"/>
  </w:num>
  <w:num w:numId="13">
    <w:abstractNumId w:val="28"/>
  </w:num>
  <w:num w:numId="14">
    <w:abstractNumId w:val="20"/>
  </w:num>
  <w:num w:numId="15">
    <w:abstractNumId w:val="8"/>
  </w:num>
  <w:num w:numId="16">
    <w:abstractNumId w:val="36"/>
  </w:num>
  <w:num w:numId="17">
    <w:abstractNumId w:val="30"/>
  </w:num>
  <w:num w:numId="18">
    <w:abstractNumId w:val="29"/>
  </w:num>
  <w:num w:numId="19">
    <w:abstractNumId w:val="15"/>
  </w:num>
  <w:num w:numId="20">
    <w:abstractNumId w:val="23"/>
  </w:num>
  <w:num w:numId="21">
    <w:abstractNumId w:val="25"/>
  </w:num>
  <w:num w:numId="22">
    <w:abstractNumId w:val="37"/>
  </w:num>
  <w:num w:numId="23">
    <w:abstractNumId w:val="22"/>
  </w:num>
  <w:num w:numId="24">
    <w:abstractNumId w:val="7"/>
  </w:num>
  <w:num w:numId="25">
    <w:abstractNumId w:val="33"/>
  </w:num>
  <w:num w:numId="26">
    <w:abstractNumId w:val="10"/>
  </w:num>
  <w:num w:numId="27">
    <w:abstractNumId w:val="3"/>
  </w:num>
  <w:num w:numId="28">
    <w:abstractNumId w:val="1"/>
  </w:num>
  <w:num w:numId="29">
    <w:abstractNumId w:val="11"/>
  </w:num>
  <w:num w:numId="30">
    <w:abstractNumId w:val="12"/>
  </w:num>
  <w:num w:numId="31">
    <w:abstractNumId w:val="13"/>
  </w:num>
  <w:num w:numId="32">
    <w:abstractNumId w:val="0"/>
  </w:num>
  <w:num w:numId="33">
    <w:abstractNumId w:val="38"/>
  </w:num>
  <w:num w:numId="34">
    <w:abstractNumId w:val="24"/>
  </w:num>
  <w:num w:numId="35">
    <w:abstractNumId w:val="21"/>
  </w:num>
  <w:num w:numId="36">
    <w:abstractNumId w:val="16"/>
  </w:num>
  <w:num w:numId="37">
    <w:abstractNumId w:val="14"/>
  </w:num>
  <w:num w:numId="38">
    <w:abstractNumId w:val="6"/>
  </w:num>
  <w:num w:numId="39">
    <w:abstractNumId w:val="32"/>
  </w:num>
  <w:num w:numId="40">
    <w:abstractNumId w:val="4"/>
  </w:num>
  <w:num w:numId="4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184"/>
    <w:rsid w:val="00023A82"/>
    <w:rsid w:val="00043673"/>
    <w:rsid w:val="000B343F"/>
    <w:rsid w:val="00157622"/>
    <w:rsid w:val="00184B82"/>
    <w:rsid w:val="001A0968"/>
    <w:rsid w:val="001D5EF2"/>
    <w:rsid w:val="00201D38"/>
    <w:rsid w:val="00212ED5"/>
    <w:rsid w:val="002335EE"/>
    <w:rsid w:val="002364F6"/>
    <w:rsid w:val="00273E60"/>
    <w:rsid w:val="002C214F"/>
    <w:rsid w:val="002F2167"/>
    <w:rsid w:val="00310AE8"/>
    <w:rsid w:val="0033687D"/>
    <w:rsid w:val="0034320D"/>
    <w:rsid w:val="00344923"/>
    <w:rsid w:val="00361E3B"/>
    <w:rsid w:val="00366BAF"/>
    <w:rsid w:val="00382916"/>
    <w:rsid w:val="003A0E0D"/>
    <w:rsid w:val="003A589C"/>
    <w:rsid w:val="003C3C00"/>
    <w:rsid w:val="003D1DF7"/>
    <w:rsid w:val="003D5726"/>
    <w:rsid w:val="003D720E"/>
    <w:rsid w:val="003E33AC"/>
    <w:rsid w:val="003F0AE2"/>
    <w:rsid w:val="00423E3B"/>
    <w:rsid w:val="004D5430"/>
    <w:rsid w:val="004F1A12"/>
    <w:rsid w:val="00510578"/>
    <w:rsid w:val="0054132D"/>
    <w:rsid w:val="005462D7"/>
    <w:rsid w:val="0054654D"/>
    <w:rsid w:val="005624CB"/>
    <w:rsid w:val="005A3BF3"/>
    <w:rsid w:val="005C0704"/>
    <w:rsid w:val="005C26B9"/>
    <w:rsid w:val="00610007"/>
    <w:rsid w:val="00645E71"/>
    <w:rsid w:val="006500FE"/>
    <w:rsid w:val="006954AF"/>
    <w:rsid w:val="006C1EC2"/>
    <w:rsid w:val="006E0AA8"/>
    <w:rsid w:val="006F488B"/>
    <w:rsid w:val="007602F2"/>
    <w:rsid w:val="00777AB3"/>
    <w:rsid w:val="00790184"/>
    <w:rsid w:val="00790955"/>
    <w:rsid w:val="007D1979"/>
    <w:rsid w:val="008279DE"/>
    <w:rsid w:val="0084131A"/>
    <w:rsid w:val="008432B6"/>
    <w:rsid w:val="0086327D"/>
    <w:rsid w:val="008A2466"/>
    <w:rsid w:val="008B6D32"/>
    <w:rsid w:val="009A3081"/>
    <w:rsid w:val="009C4D8C"/>
    <w:rsid w:val="009D43C8"/>
    <w:rsid w:val="009D6273"/>
    <w:rsid w:val="00A42A31"/>
    <w:rsid w:val="00A60B5C"/>
    <w:rsid w:val="00A7047A"/>
    <w:rsid w:val="00A761E1"/>
    <w:rsid w:val="00A84222"/>
    <w:rsid w:val="00AA2684"/>
    <w:rsid w:val="00AC24F6"/>
    <w:rsid w:val="00B125B9"/>
    <w:rsid w:val="00B13E8A"/>
    <w:rsid w:val="00B15FC3"/>
    <w:rsid w:val="00B501C2"/>
    <w:rsid w:val="00B66D23"/>
    <w:rsid w:val="00B836BC"/>
    <w:rsid w:val="00C5463D"/>
    <w:rsid w:val="00C67E72"/>
    <w:rsid w:val="00C95F86"/>
    <w:rsid w:val="00CA6A69"/>
    <w:rsid w:val="00D1068B"/>
    <w:rsid w:val="00D23B04"/>
    <w:rsid w:val="00D30556"/>
    <w:rsid w:val="00D37C87"/>
    <w:rsid w:val="00D37D8A"/>
    <w:rsid w:val="00D52CA5"/>
    <w:rsid w:val="00D61872"/>
    <w:rsid w:val="00E20E3B"/>
    <w:rsid w:val="00E21928"/>
    <w:rsid w:val="00E316FC"/>
    <w:rsid w:val="00E9427E"/>
    <w:rsid w:val="00EB433F"/>
    <w:rsid w:val="00EE452F"/>
    <w:rsid w:val="00EF57CD"/>
    <w:rsid w:val="00F02606"/>
    <w:rsid w:val="00F116CD"/>
    <w:rsid w:val="00F11EA8"/>
    <w:rsid w:val="00F54CB7"/>
    <w:rsid w:val="00F7145E"/>
    <w:rsid w:val="00F75A88"/>
    <w:rsid w:val="00F82680"/>
    <w:rsid w:val="00FE33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0E3E9"/>
  <w15:chartTrackingRefBased/>
  <w15:docId w15:val="{12967DB4-0D61-4AD4-8F87-6BEA68F0E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01C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B66D23"/>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66D23"/>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7901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01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01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01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1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1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1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D23"/>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B66D23"/>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7901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01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01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01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1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1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184"/>
    <w:rPr>
      <w:rFonts w:eastAsiaTheme="majorEastAsia" w:cstheme="majorBidi"/>
      <w:color w:val="272727" w:themeColor="text1" w:themeTint="D8"/>
    </w:rPr>
  </w:style>
  <w:style w:type="paragraph" w:styleId="Title">
    <w:name w:val="Title"/>
    <w:basedOn w:val="Normal"/>
    <w:next w:val="Normal"/>
    <w:link w:val="TitleChar"/>
    <w:uiPriority w:val="10"/>
    <w:qFormat/>
    <w:rsid w:val="007901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1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1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1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184"/>
    <w:pPr>
      <w:spacing w:before="160"/>
      <w:jc w:val="center"/>
    </w:pPr>
    <w:rPr>
      <w:i/>
      <w:iCs/>
      <w:color w:val="404040" w:themeColor="text1" w:themeTint="BF"/>
    </w:rPr>
  </w:style>
  <w:style w:type="character" w:customStyle="1" w:styleId="QuoteChar">
    <w:name w:val="Quote Char"/>
    <w:basedOn w:val="DefaultParagraphFont"/>
    <w:link w:val="Quote"/>
    <w:uiPriority w:val="29"/>
    <w:rsid w:val="00790184"/>
    <w:rPr>
      <w:i/>
      <w:iCs/>
      <w:color w:val="404040" w:themeColor="text1" w:themeTint="BF"/>
    </w:rPr>
  </w:style>
  <w:style w:type="paragraph" w:styleId="ListParagraph">
    <w:name w:val="List Paragraph"/>
    <w:basedOn w:val="Normal"/>
    <w:uiPriority w:val="34"/>
    <w:qFormat/>
    <w:rsid w:val="00790184"/>
    <w:pPr>
      <w:ind w:left="720"/>
      <w:contextualSpacing/>
    </w:pPr>
  </w:style>
  <w:style w:type="character" w:styleId="IntenseEmphasis">
    <w:name w:val="Intense Emphasis"/>
    <w:basedOn w:val="DefaultParagraphFont"/>
    <w:uiPriority w:val="21"/>
    <w:qFormat/>
    <w:rsid w:val="00790184"/>
    <w:rPr>
      <w:i/>
      <w:iCs/>
      <w:color w:val="2F5496" w:themeColor="accent1" w:themeShade="BF"/>
    </w:rPr>
  </w:style>
  <w:style w:type="paragraph" w:styleId="IntenseQuote">
    <w:name w:val="Intense Quote"/>
    <w:basedOn w:val="Normal"/>
    <w:next w:val="Normal"/>
    <w:link w:val="IntenseQuoteChar"/>
    <w:uiPriority w:val="30"/>
    <w:qFormat/>
    <w:rsid w:val="007901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0184"/>
    <w:rPr>
      <w:i/>
      <w:iCs/>
      <w:color w:val="2F5496" w:themeColor="accent1" w:themeShade="BF"/>
    </w:rPr>
  </w:style>
  <w:style w:type="character" w:styleId="IntenseReference">
    <w:name w:val="Intense Reference"/>
    <w:basedOn w:val="DefaultParagraphFont"/>
    <w:uiPriority w:val="32"/>
    <w:qFormat/>
    <w:rsid w:val="00790184"/>
    <w:rPr>
      <w:b/>
      <w:bCs/>
      <w:smallCaps/>
      <w:color w:val="2F5496" w:themeColor="accent1" w:themeShade="BF"/>
      <w:spacing w:val="5"/>
    </w:rPr>
  </w:style>
  <w:style w:type="paragraph" w:styleId="NormalWeb">
    <w:name w:val="Normal (Web)"/>
    <w:basedOn w:val="Normal"/>
    <w:uiPriority w:val="99"/>
    <w:unhideWhenUsed/>
    <w:rsid w:val="00B501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50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1C2"/>
    <w:rPr>
      <w:kern w:val="0"/>
      <w:sz w:val="22"/>
      <w:szCs w:val="22"/>
      <w:lang w:val="en-GB"/>
      <w14:ligatures w14:val="none"/>
    </w:rPr>
  </w:style>
  <w:style w:type="paragraph" w:styleId="TOCHeading">
    <w:name w:val="TOC Heading"/>
    <w:basedOn w:val="Heading1"/>
    <w:next w:val="Normal"/>
    <w:uiPriority w:val="39"/>
    <w:unhideWhenUsed/>
    <w:qFormat/>
    <w:rsid w:val="00B501C2"/>
    <w:pPr>
      <w:spacing w:before="480" w:after="0"/>
      <w:outlineLvl w:val="9"/>
    </w:pPr>
    <w:rPr>
      <w:rFonts w:ascii="Times New Roman" w:hAnsi="Times New Roman"/>
      <w:bCs/>
      <w:color w:val="222A35" w:themeColor="text2" w:themeShade="80"/>
      <w:szCs w:val="28"/>
      <w:lang w:eastAsia="ja-JP"/>
    </w:rPr>
  </w:style>
  <w:style w:type="paragraph" w:styleId="TOC1">
    <w:name w:val="toc 1"/>
    <w:basedOn w:val="Normal"/>
    <w:next w:val="Normal"/>
    <w:autoRedefine/>
    <w:uiPriority w:val="39"/>
    <w:unhideWhenUsed/>
    <w:rsid w:val="00B501C2"/>
    <w:pPr>
      <w:spacing w:after="100"/>
    </w:pPr>
  </w:style>
  <w:style w:type="character" w:styleId="Hyperlink">
    <w:name w:val="Hyperlink"/>
    <w:basedOn w:val="DefaultParagraphFont"/>
    <w:uiPriority w:val="99"/>
    <w:unhideWhenUsed/>
    <w:rsid w:val="00B501C2"/>
    <w:rPr>
      <w:color w:val="0563C1" w:themeColor="hyperlink"/>
      <w:u w:val="single"/>
    </w:rPr>
  </w:style>
  <w:style w:type="paragraph" w:styleId="TOC2">
    <w:name w:val="toc 2"/>
    <w:basedOn w:val="Normal"/>
    <w:next w:val="Normal"/>
    <w:autoRedefine/>
    <w:uiPriority w:val="39"/>
    <w:unhideWhenUsed/>
    <w:rsid w:val="00B501C2"/>
    <w:pPr>
      <w:spacing w:after="100"/>
      <w:ind w:left="220"/>
    </w:pPr>
  </w:style>
  <w:style w:type="table" w:styleId="TableGrid">
    <w:name w:val="Table Grid"/>
    <w:basedOn w:val="TableNormal"/>
    <w:uiPriority w:val="39"/>
    <w:rsid w:val="00B50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501C2"/>
    <w:pPr>
      <w:spacing w:line="240" w:lineRule="auto"/>
    </w:pPr>
    <w:rPr>
      <w:i/>
      <w:iCs/>
      <w:color w:val="44546A" w:themeColor="text2"/>
      <w:sz w:val="18"/>
      <w:szCs w:val="18"/>
    </w:rPr>
  </w:style>
  <w:style w:type="paragraph" w:styleId="TOC3">
    <w:name w:val="toc 3"/>
    <w:basedOn w:val="Normal"/>
    <w:next w:val="Normal"/>
    <w:autoRedefine/>
    <w:uiPriority w:val="39"/>
    <w:unhideWhenUsed/>
    <w:rsid w:val="00B501C2"/>
    <w:pPr>
      <w:spacing w:after="100"/>
      <w:ind w:left="440"/>
    </w:pPr>
  </w:style>
  <w:style w:type="paragraph" w:styleId="TableofFigures">
    <w:name w:val="table of figures"/>
    <w:basedOn w:val="Normal"/>
    <w:next w:val="Normal"/>
    <w:uiPriority w:val="99"/>
    <w:unhideWhenUsed/>
    <w:rsid w:val="00B501C2"/>
    <w:pPr>
      <w:spacing w:after="0"/>
    </w:pPr>
  </w:style>
  <w:style w:type="character" w:styleId="PlaceholderText">
    <w:name w:val="Placeholder Text"/>
    <w:basedOn w:val="DefaultParagraphFont"/>
    <w:uiPriority w:val="99"/>
    <w:semiHidden/>
    <w:rsid w:val="00B501C2"/>
    <w:rPr>
      <w:color w:val="666666"/>
    </w:rPr>
  </w:style>
  <w:style w:type="paragraph" w:styleId="Header">
    <w:name w:val="header"/>
    <w:basedOn w:val="Normal"/>
    <w:link w:val="HeaderChar"/>
    <w:uiPriority w:val="99"/>
    <w:semiHidden/>
    <w:unhideWhenUsed/>
    <w:rsid w:val="00B501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01C2"/>
    <w:rPr>
      <w:kern w:val="0"/>
      <w:sz w:val="22"/>
      <w:szCs w:val="22"/>
      <w:lang w:val="en-GB"/>
      <w14:ligatures w14:val="none"/>
    </w:rPr>
  </w:style>
  <w:style w:type="character" w:styleId="UnresolvedMention">
    <w:name w:val="Unresolved Mention"/>
    <w:basedOn w:val="DefaultParagraphFont"/>
    <w:uiPriority w:val="99"/>
    <w:semiHidden/>
    <w:unhideWhenUsed/>
    <w:rsid w:val="00B501C2"/>
    <w:rPr>
      <w:color w:val="605E5C"/>
      <w:shd w:val="clear" w:color="auto" w:fill="E1DFDD"/>
    </w:rPr>
  </w:style>
  <w:style w:type="table" w:styleId="GridTable4-Accent1">
    <w:name w:val="Grid Table 4 Accent 1"/>
    <w:basedOn w:val="TableNormal"/>
    <w:uiPriority w:val="49"/>
    <w:rsid w:val="00B501C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statista.com" TargetMode="External"/><Relationship Id="rId26" Type="http://schemas.openxmlformats.org/officeDocument/2006/relationships/hyperlink" Target="https://www.forbes.com" TargetMode="External"/><Relationship Id="rId39" Type="http://schemas.openxmlformats.org/officeDocument/2006/relationships/hyperlink" Target="https://bstrategyhub.com" TargetMode="External"/><Relationship Id="rId21" Type="http://schemas.openxmlformats.org/officeDocument/2006/relationships/hyperlink" Target="https://media.toyota.ca" TargetMode="External"/><Relationship Id="rId34" Type="http://schemas.openxmlformats.org/officeDocument/2006/relationships/hyperlink" Target="https://hbr.org"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c.gc.ca" TargetMode="External"/><Relationship Id="rId20" Type="http://schemas.openxmlformats.org/officeDocument/2006/relationships/hyperlink" Target="https://global.toyota" TargetMode="External"/><Relationship Id="rId29" Type="http://schemas.openxmlformats.org/officeDocument/2006/relationships/hyperlink" Target="https://media.toyota.ca"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oyota.ca" TargetMode="External"/><Relationship Id="rId32" Type="http://schemas.openxmlformats.org/officeDocument/2006/relationships/hyperlink" Target="https://www.ft.com" TargetMode="External"/><Relationship Id="rId37" Type="http://schemas.openxmlformats.org/officeDocument/2006/relationships/hyperlink" Target="https://strategicmanagementinsight.com"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t.com" TargetMode="External"/><Relationship Id="rId23" Type="http://schemas.openxmlformats.org/officeDocument/2006/relationships/hyperlink" Target="https://media.toyota.ca" TargetMode="External"/><Relationship Id="rId28" Type="http://schemas.openxmlformats.org/officeDocument/2006/relationships/hyperlink" Target="https://global.toyota/en/ir" TargetMode="External"/><Relationship Id="rId36" Type="http://schemas.openxmlformats.org/officeDocument/2006/relationships/hyperlink" Target="https://www.economist.com" TargetMode="External"/><Relationship Id="rId10" Type="http://schemas.openxmlformats.org/officeDocument/2006/relationships/hyperlink" Target="https://tmmc.ca/en/toyota-canada-plants/" TargetMode="External"/><Relationship Id="rId19" Type="http://schemas.openxmlformats.org/officeDocument/2006/relationships/hyperlink" Target="https://www.economist.com" TargetMode="External"/><Relationship Id="rId31" Type="http://schemas.openxmlformats.org/officeDocument/2006/relationships/hyperlink" Target="https://media.toyota.ca"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strategicmanagementinsight.com/swot-analyses/tesla-swot-analysis/" TargetMode="External"/><Relationship Id="rId22" Type="http://schemas.openxmlformats.org/officeDocument/2006/relationships/hyperlink" Target="https://www.toyota.com" TargetMode="External"/><Relationship Id="rId27" Type="http://schemas.openxmlformats.org/officeDocument/2006/relationships/hyperlink" Target="https://www.economist.com" TargetMode="External"/><Relationship Id="rId30" Type="http://schemas.openxmlformats.org/officeDocument/2006/relationships/hyperlink" Target="https://global.toyota/en/sustainability" TargetMode="External"/><Relationship Id="rId35" Type="http://schemas.openxmlformats.org/officeDocument/2006/relationships/hyperlink" Target="https://www.ft.com" TargetMode="Externa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www.shutterstock.com/image-illustration/concept-balanced-scorecard-used-organizational-processes-1572309667" TargetMode="External"/><Relationship Id="rId17" Type="http://schemas.openxmlformats.org/officeDocument/2006/relationships/hyperlink" Target="https://hbr.org" TargetMode="External"/><Relationship Id="rId25" Type="http://schemas.openxmlformats.org/officeDocument/2006/relationships/hyperlink" Target="https://www.ft.com" TargetMode="External"/><Relationship Id="rId33" Type="http://schemas.openxmlformats.org/officeDocument/2006/relationships/hyperlink" Target="https://www.forbes.com" TargetMode="External"/><Relationship Id="rId38" Type="http://schemas.openxmlformats.org/officeDocument/2006/relationships/hyperlink" Target="https://panmo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6895</Words>
  <Characters>39305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Tanvir Ahmed Tipu</dc:creator>
  <cp:keywords/>
  <dc:description/>
  <cp:lastModifiedBy>MUTA LEB</cp:lastModifiedBy>
  <cp:revision>2</cp:revision>
  <dcterms:created xsi:type="dcterms:W3CDTF">2026-04-29T11:50:00Z</dcterms:created>
  <dcterms:modified xsi:type="dcterms:W3CDTF">2026-04-29T11:50:00Z</dcterms:modified>
</cp:coreProperties>
</file>