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8A3744" w14:textId="07A3951D" w:rsidR="00385952" w:rsidRPr="00EC46F4" w:rsidRDefault="00385952" w:rsidP="00F86C83">
      <w:pPr>
        <w:rPr>
          <w:u w:val="single"/>
        </w:rPr>
      </w:pPr>
      <w:r w:rsidRPr="00EC46F4">
        <w:rPr>
          <w:u w:val="single"/>
        </w:rPr>
        <w:t xml:space="preserve">Critical Assessment of Religious Ritual within the Anthropology of Religion  </w:t>
      </w:r>
    </w:p>
    <w:p w14:paraId="18673165" w14:textId="10B388B6" w:rsidR="00385952" w:rsidRDefault="00385952" w:rsidP="00F86C83">
      <w:r w:rsidRPr="00EC46F4">
        <w:rPr>
          <w:u w:val="single"/>
        </w:rPr>
        <w:t>By Tobias Theodore Olds</w:t>
      </w:r>
      <w:r w:rsidR="00EC46F4">
        <w:t xml:space="preserve">                                              </w:t>
      </w:r>
      <w:r w:rsidR="00EC46F4">
        <w:rPr>
          <w:u w:val="single"/>
        </w:rPr>
        <w:t>15/03/19</w:t>
      </w:r>
      <w:r w:rsidR="00EC46F4">
        <w:t xml:space="preserve">   </w:t>
      </w:r>
    </w:p>
    <w:p w14:paraId="361E3E21" w14:textId="77777777" w:rsidR="00EC46F4" w:rsidRDefault="00EC46F4"/>
    <w:p w14:paraId="473DA76D" w14:textId="77777777" w:rsidR="00EC42C9" w:rsidRDefault="00EC42C9" w:rsidP="00EC42C9">
      <w:bookmarkStart w:id="0" w:name="_Hlk3466439"/>
      <w:r>
        <w:t xml:space="preserve">For the purposes of the essay, the topic of Religious Ritual within the Anthropology of Religion will be critically assessed. The different facets of Religious Ritual that have been analysed by anthropologists, scholars and other academics include the Anthropological theory of Ritual, different types of Religious Rituals (i.e. rituals as rites of passage, rituals as integration etc). Several scholars of such include Arnold Van Gennep, Victor Turner, John Skorupski. Thus, this critical assessment can identify how the different theories on ritual within Anthropology of Religion would reflect the purpose of Ritual themselves – and perhaps something about </w:t>
      </w:r>
      <w:r>
        <w:rPr>
          <w:i/>
        </w:rPr>
        <w:t>Homo Sapiens</w:t>
      </w:r>
      <w:r>
        <w:t xml:space="preserve"> themselves. </w:t>
      </w:r>
    </w:p>
    <w:p w14:paraId="234CCCE0" w14:textId="77777777" w:rsidR="00EC42C9" w:rsidRDefault="00EC42C9" w:rsidP="00EC42C9">
      <w:r>
        <w:t>Ritual has been defined in several ways by different scholars, who have studied ritual within religion. One may need to be careful of how ritual is defined and how it relates to religion however, as Jack David Eller points out that rituals themselves are not exclusive to religions by any means – college graduation, earning a driver license are just a couple of examples of rituals that could be argued are totally secular (2007, p. 110). S. J. Tambiah defined ritual as “a culturally constructed system of symbolic communication. It is constituted of patterned and ordered sequences of words and acts, often expressed in multiple media, whose content and arrangement are characterized in varying degree by formality (conventionality), stereotype (rigidity), condensation (fusion) and redundancy (repetition) (1979, P. 119). All rituals would involve format and Eller argues that normal religious rituals simply escalate the formality and stereotype, since now during religious rituals it is regarded there are nonhuman and superhuman agents that are involved on the continuum and these must be respected (2007, p. 115). Since the participation of religious agents are generally not necessarily observable, as Eller points out, the success of the communication is uncertain and thus (2007, p. 115). Human participants cannot be sure that their ritual gestures were seen, received, accepted and responded to (Eller, 2007, p. 115). Thus, this degree of uncertainty is what creates a greater level of formality and compulsiveness of behaviour (Eller, 2007, p. 115)</w:t>
      </w:r>
    </w:p>
    <w:p w14:paraId="545C83C4" w14:textId="5E79992B" w:rsidR="00EC42C9" w:rsidRPr="00B52D39" w:rsidRDefault="00EC42C9" w:rsidP="00EC42C9">
      <w:pPr>
        <w:rPr>
          <w:b/>
        </w:rPr>
      </w:pPr>
      <w:r>
        <w:t>How scholars define ritual may also be influenced by what features that they regard ritual to be concerned with. For instance, Bobby Alexander’s which states that “Traditional religious rituals open up ordinary life to ultimate reality or some transcendent being or force in order to tap its transformative power” (Alexander, 1997, p. 139 in Bowie, 2000, p. 153). Alexander’s definition of ritual is in many ways like descriptions of religious experiences such as the numinous, a feeling of the sacred and divine.</w:t>
      </w:r>
      <w:r w:rsidRPr="00B52D39">
        <w:t xml:space="preserve"> </w:t>
      </w:r>
      <w:r>
        <w:t>A different definition for instance would be Turner who described it as “prescribed formal behaviour for occasions not given over to technical routine, having reference to beliefs in mystical (or non-empirical) beings or powers regarded as the first and final causes of all effects” (Turner, 1982, p. 79 in Bowie, 2000, p. 153). Another example includes Emile Durkheim, who defined rituals as something that represented or imprinted the past more deeply in the mind of a religious community (Lukes, 1973, p. 469)</w:t>
      </w:r>
      <w:r w:rsidR="001F2404">
        <w:t xml:space="preserve">. Durkheim’s school of sociology however was that religion was socially determined however and that in certain social situations those of `collective effervescence` generate and recreate religious beliefs and sentiments (Lukes, 1973, p. 462). It suggests again like Alexander that ritual is meant to go beyond the surface level, the everyday to reconnect people with something larger and older than them, something before they came. </w:t>
      </w:r>
    </w:p>
    <w:p w14:paraId="7C37E099" w14:textId="6B4D3042" w:rsidR="00EC42C9" w:rsidRDefault="001F2404" w:rsidP="00EC42C9">
      <w:r>
        <w:t xml:space="preserve">Indeed, the </w:t>
      </w:r>
      <w:r w:rsidR="00EC42C9">
        <w:t xml:space="preserve">purpose of ritual is also something that needs to be considered by anyone who wishes to analyse and discuss it intelligently. Several different scholar theories suggest different purposes to ritual. Durkheim for example felt that rituals were ceremonies “whose sole aim is to awaken certain </w:t>
      </w:r>
      <w:r w:rsidR="00EC42C9">
        <w:lastRenderedPageBreak/>
        <w:t>ideas and sentiments, to attach the present to the past or the individual to the collectivity” (Lukes, 1973, p. 469). Durkheim</w:t>
      </w:r>
      <w:r w:rsidR="00557442">
        <w:t xml:space="preserve"> ultimately seem to see the expressive and theatrical part of ritual, the “recreative and aesthetic element” to religion, as a by-product of its cognitive goal (Lukes, 1973, p. 469).</w:t>
      </w:r>
    </w:p>
    <w:p w14:paraId="06B04B17" w14:textId="77777777" w:rsidR="00EC42C9" w:rsidRDefault="00EC42C9" w:rsidP="00EC42C9">
      <w:r>
        <w:t>In contrast the work of philosopher John Skorupski who argued that all rituals are “interaction ceremonies” in which humans as agents interact with other agents via a form of communication Skorupski describes as the “Interaction Code” (Eller, 2007, p. 112). Whatever the code is, it is a form of communication that the participants do not necessarily have to understand full themselves – it is simply to remind people participating in the ceremony how to behave (Eller, 2007, p. 112). Skorupski states himself that “The point of interaction-code behaviour is to establish or maintain (or destroy) an equilibrium, or mutual agreement, among the people involved in an interaction as to their relative standing or roles and their reciprocal commitments and obligations” (Skorupski, 1976, p. 77 in Eller, 2007, p. 112). This kind of interactionally-coded behaviour essentially are ways of interacting which “call out” and expect certain responses (Eller, 2007, p. 113). If rituals do indeed work by having an implicit interaction code, one would think that the point Skorupski was trying to get at was that the function of ritual is to allow people to feel integrated within a community – rituals are a codified expression of communal identity. However, Skorupski was critical of certain aspects of how the symbolist school of Durkheim and other anthropological study in the same theoretical bracket had in emphasising the expressive and representative functions of religion disregarded the actual beliefs and contents of any religious tradition (Eller, 2007, p. 112). Skorupski argued to ignore that is to mischaracterize religion from the member’s point of view (Eller, 2007, p. 112). Skorupski states that “to a large extent religious rite are social interactions with authoritative or powerful beings within the actor’s social field, and (…) their special characteristics are in large part due to the special characteristics these beings are thought to have” (Skorupski, 1976, p. 165). Thus, Skorupski felt that religious rituals were perhaps individuals directly trying to gain a response from nonhuman and superhuman beings rather than simply subconsciously representing the mental state of the community. (Though an important distinction to make is that this doesn’t mean Skorupski necessarily disagreed with the idea that ritual practice might be an indication of society at all).</w:t>
      </w:r>
    </w:p>
    <w:p w14:paraId="343D6E6C" w14:textId="77777777" w:rsidR="00EC42C9" w:rsidRPr="00720D2A" w:rsidRDefault="00EC42C9" w:rsidP="00EC42C9">
      <w:r>
        <w:t xml:space="preserve">A different theory of ritual is that of the work of Van Gennep and Turner. Van Gennep’s narrative was different from Durkheim for a start in that he felt the essential role was to help people shift from one designated role in society to the other. Van Gennep’s narrative was that human experience as Bowie describes composed of stages and life crises, such as birth, puberty, marriage, childbirth and death – to him these “rite of passage” rituals were a universal structuring device in human societies (Bowie, 2000, p. 161). He states that “transitions from group to group and from one social situation to the next are looked on as implicit in the very fact of existence, so that a man’s life comes to be made up of a succession of stages with similar ends and beginnings: birth, social puberty, marriage, fatherhood, advancement to a higher class, occupational specialization, and death. For every one of these events there are ceremonies whose essential purpose is to enable the individual to pass from one defined position to another which is equally well defined”. (van Gennep, 1960, p. 3). For Van Gennep rituals involved something from moving from the pre-liminal to the liminal and then the post-liminal, and during the liminal stage, to move from a state of separation to that of transformation and then incorporation or reaggregation (Bowie, 2000, p. 162-163). The first stage, separation, is concerned with the separation from the previous state or situation and is marked by rituals that symbolize cutting or separating (Bowie, 2000, p. 163). The second stage is that of transition and marginality (Bowie, 2000, p. 163). This stage was marked by a sense of ambiguity and disequilibrium, where normal rules were suspended or exaggerated (Bowie, 2000, p. 163). Van Gennep defined the threshold between different physical and social states as the </w:t>
      </w:r>
      <w:r>
        <w:rPr>
          <w:i/>
        </w:rPr>
        <w:t>limen</w:t>
      </w:r>
      <w:r>
        <w:t xml:space="preserve"> and </w:t>
      </w:r>
      <w:r>
        <w:lastRenderedPageBreak/>
        <w:t>introduced the term “Liminal” to describe the performative, dynamic element of a rite of passage (Bowie, 2000, pp. 163-165). Finally, the third stage of reaggregation is where the individual is welcomed back into society, but in a transformed state (Bowie, 2000, p. 163).</w:t>
      </w:r>
    </w:p>
    <w:p w14:paraId="33C20080" w14:textId="77777777" w:rsidR="00EC42C9" w:rsidRDefault="00EC42C9" w:rsidP="00EC42C9">
      <w:r>
        <w:t xml:space="preserve">Turner developed Van Gennep’s ideas by developing the concept of liminality – a liminal personae was defined by Turner ambiguity according to a network of classification – they are “betwixt and between the positions assigned and arrayed by law, custom, convention and ceremonial” in Turners own words (1969, p. 95). Liminality was recognised not as another form of status, but as a </w:t>
      </w:r>
      <w:r>
        <w:rPr>
          <w:i/>
        </w:rPr>
        <w:t>non-</w:t>
      </w:r>
      <w:r w:rsidRPr="00BE0C9C">
        <w:rPr>
          <w:i/>
        </w:rPr>
        <w:t>status</w:t>
      </w:r>
      <w:r>
        <w:t xml:space="preserve">, often represented symbolically via death, wilderness, returning to the womb, even bisexuality (Eller, 2007, p. 127). </w:t>
      </w:r>
      <w:r w:rsidRPr="00BE0C9C">
        <w:t>Turner</w:t>
      </w:r>
      <w:r>
        <w:t xml:space="preserve"> argued that in liminal phenomena there was recognition of a “generalized social bond that has ceased to be and has simultaneously yet to be fragmented into a multiplicity of structural ties” (1969, p. 96). What emerged Turner argued “is of society as an unstructured or rudimentarily structured and relatively undifferentiated </w:t>
      </w:r>
      <w:r w:rsidRPr="00BE0C9C">
        <w:rPr>
          <w:i/>
        </w:rPr>
        <w:t>comitatus</w:t>
      </w:r>
      <w:r>
        <w:t xml:space="preserve">, community, or even communion of equal individuals who submit together to the general authority of the ritual elders” (Turner, 1969, p. 96). This is what Turner referred to as `Communitas` (Turner 1969, p. 96) Turner felt that “any concrete tribal society is made up of multiple personae, groups, and categories, each of which has its own developmental cycle, at a given moment many incumbencies of fixed positions coexist with many passages between positions” (1969, p. 97).  Thus, the purpose of ritual suggested here could be that it would be to help preserve boundaries and status within a community in the way that doesn’t make them unsurpassable either.   </w:t>
      </w:r>
    </w:p>
    <w:p w14:paraId="0FDDB5B8" w14:textId="0353A059" w:rsidR="00EC42C9" w:rsidRDefault="00EC42C9" w:rsidP="00EC42C9">
      <w:r>
        <w:t xml:space="preserve">As an example, Turner observed in </w:t>
      </w:r>
      <w:r w:rsidRPr="00C86039">
        <w:rPr>
          <w:i/>
        </w:rPr>
        <w:t>The Ritual Process</w:t>
      </w:r>
      <w:r>
        <w:t xml:space="preserve"> (1969) Turner examined the installation ritual of a Ndembu senior chief, in Northwest Zambia (Barnard and Spencer, 1996, p. 491). The circumcision rites of young men (</w:t>
      </w:r>
      <w:r w:rsidRPr="00B562BF">
        <w:rPr>
          <w:i/>
        </w:rPr>
        <w:t>Mukanda</w:t>
      </w:r>
      <w:r>
        <w:t xml:space="preserve">) involve the novices being “stripped” of their secular clothing when they are passed beneath a symbolic gateway, then “levelled” whereas their original names are discarded, and they are all assigned the common designation </w:t>
      </w:r>
      <w:r w:rsidRPr="007E6126">
        <w:rPr>
          <w:i/>
        </w:rPr>
        <w:t>mwaydi</w:t>
      </w:r>
      <w:r>
        <w:t xml:space="preserve"> (Turner, 1969, p. 108). This is to Turner partly as evidence of Communitas – he would have seen it as the ritual phase of “anti-structure” that lay outside the social structure altogether (Barnard &amp; Spencer, 1996, p. 491). </w:t>
      </w:r>
    </w:p>
    <w:p w14:paraId="479102D3" w14:textId="77777777" w:rsidR="00EC42C9" w:rsidRDefault="00EC42C9" w:rsidP="00EC42C9">
      <w:r>
        <w:t>In conclusion, different understandings of the purpose of ritual would often correlate with common beliefs about individuals – the importance of community within an individual’s life (Durkheim), yet that there is a conflict between trying</w:t>
      </w:r>
      <w:bookmarkStart w:id="1" w:name="_GoBack"/>
      <w:bookmarkEnd w:id="1"/>
      <w:r>
        <w:t xml:space="preserve"> to resolve individuality and yet also community within an individual’s identity (Van Gennep and Turner). They often seem to be the means by which humans can also grow as individuals (i.e. through rites of passage).  </w:t>
      </w:r>
      <w:bookmarkEnd w:id="0"/>
    </w:p>
    <w:p w14:paraId="2475CFCA" w14:textId="77777777" w:rsidR="00EC46F4" w:rsidRDefault="00EC46F4"/>
    <w:p w14:paraId="697B9F98" w14:textId="77777777" w:rsidR="00EC46F4" w:rsidRDefault="00EC46F4"/>
    <w:p w14:paraId="7DBA472C" w14:textId="77777777" w:rsidR="00EC46F4" w:rsidRDefault="00EC46F4"/>
    <w:p w14:paraId="0DBFF906" w14:textId="77777777" w:rsidR="00EC46F4" w:rsidRDefault="00EC46F4"/>
    <w:p w14:paraId="5D80BAA8" w14:textId="77777777" w:rsidR="00917655" w:rsidRDefault="00917655">
      <w:pPr>
        <w:rPr>
          <w:u w:val="single"/>
        </w:rPr>
      </w:pPr>
    </w:p>
    <w:p w14:paraId="58575CE3" w14:textId="77777777" w:rsidR="00917655" w:rsidRDefault="00917655">
      <w:pPr>
        <w:rPr>
          <w:u w:val="single"/>
        </w:rPr>
      </w:pPr>
    </w:p>
    <w:p w14:paraId="70DE1543" w14:textId="77777777" w:rsidR="00917655" w:rsidRDefault="00917655">
      <w:pPr>
        <w:rPr>
          <w:u w:val="single"/>
        </w:rPr>
      </w:pPr>
    </w:p>
    <w:p w14:paraId="1B605651" w14:textId="77777777" w:rsidR="00917655" w:rsidRDefault="00917655">
      <w:pPr>
        <w:rPr>
          <w:u w:val="single"/>
        </w:rPr>
      </w:pPr>
    </w:p>
    <w:p w14:paraId="6D1D3C70" w14:textId="77777777" w:rsidR="00917655" w:rsidRDefault="00917655">
      <w:pPr>
        <w:rPr>
          <w:u w:val="single"/>
        </w:rPr>
      </w:pPr>
    </w:p>
    <w:p w14:paraId="67643E6B" w14:textId="77777777" w:rsidR="00917655" w:rsidRDefault="00917655">
      <w:pPr>
        <w:rPr>
          <w:u w:val="single"/>
        </w:rPr>
      </w:pPr>
    </w:p>
    <w:p w14:paraId="6EC04106" w14:textId="4DD7B5BF" w:rsidR="00385952" w:rsidRPr="00EC42C9" w:rsidRDefault="00EC42C9">
      <w:pPr>
        <w:rPr>
          <w:u w:val="single"/>
        </w:rPr>
      </w:pPr>
      <w:r w:rsidRPr="00EC42C9">
        <w:rPr>
          <w:u w:val="single"/>
        </w:rPr>
        <w:lastRenderedPageBreak/>
        <w:t>Reference List</w:t>
      </w:r>
      <w:r w:rsidR="00385952" w:rsidRPr="00EC42C9">
        <w:rPr>
          <w:u w:val="single"/>
        </w:rPr>
        <w:t>:</w:t>
      </w:r>
    </w:p>
    <w:p w14:paraId="3231C988" w14:textId="0073B084" w:rsidR="00EC42C9" w:rsidRPr="00EC42C9" w:rsidRDefault="00EC42C9" w:rsidP="00EC42C9">
      <w:pPr>
        <w:pStyle w:val="ListParagraph"/>
        <w:numPr>
          <w:ilvl w:val="0"/>
          <w:numId w:val="4"/>
        </w:numPr>
      </w:pPr>
      <w:r w:rsidRPr="00EC42C9">
        <w:t xml:space="preserve">Alexander, </w:t>
      </w:r>
      <w:r w:rsidR="00917655">
        <w:t>Bobby, C.</w:t>
      </w:r>
      <w:r w:rsidRPr="00EC42C9">
        <w:t xml:space="preserve"> (1997) Ritual and current studies of ritual: overview. </w:t>
      </w:r>
      <w:r w:rsidR="006952FC">
        <w:t>In</w:t>
      </w:r>
      <w:r w:rsidRPr="00EC42C9">
        <w:t xml:space="preserve"> Stephen D. Glazier (ed.) </w:t>
      </w:r>
      <w:r w:rsidRPr="00EC42C9">
        <w:rPr>
          <w:i/>
        </w:rPr>
        <w:t xml:space="preserve">Anthropology of Religion: </w:t>
      </w:r>
      <w:r w:rsidR="00917655" w:rsidRPr="00EC42C9">
        <w:rPr>
          <w:i/>
        </w:rPr>
        <w:t>A</w:t>
      </w:r>
      <w:r w:rsidRPr="00EC42C9">
        <w:rPr>
          <w:i/>
        </w:rPr>
        <w:t xml:space="preserve"> Handbook.</w:t>
      </w:r>
      <w:r w:rsidRPr="00EC42C9">
        <w:t xml:space="preserve"> Westport, CT: Greenwood Press</w:t>
      </w:r>
      <w:r w:rsidR="00917655">
        <w:t>.</w:t>
      </w:r>
    </w:p>
    <w:p w14:paraId="3B0D2DF7" w14:textId="77777777" w:rsidR="00EC42C9" w:rsidRPr="00EC42C9" w:rsidRDefault="00EC42C9" w:rsidP="00EC42C9">
      <w:pPr>
        <w:pStyle w:val="ListParagraph"/>
        <w:numPr>
          <w:ilvl w:val="0"/>
          <w:numId w:val="4"/>
        </w:numPr>
      </w:pPr>
      <w:r w:rsidRPr="00EC42C9">
        <w:t>Barnard, A. &amp; Spencer, J. (1996) Encyclopaedia of Social and Cultural Anthropology. Routledge: 11 New Fetter Lane, London EC4P 4EE</w:t>
      </w:r>
    </w:p>
    <w:p w14:paraId="03A9221E" w14:textId="77777777" w:rsidR="00EC42C9" w:rsidRPr="00EC42C9" w:rsidRDefault="00EC42C9" w:rsidP="00EC42C9">
      <w:pPr>
        <w:pStyle w:val="ListParagraph"/>
        <w:numPr>
          <w:ilvl w:val="0"/>
          <w:numId w:val="4"/>
        </w:numPr>
      </w:pPr>
      <w:r w:rsidRPr="00EC42C9">
        <w:t xml:space="preserve">Bell, C. (1992) </w:t>
      </w:r>
      <w:r w:rsidRPr="00EC42C9">
        <w:rPr>
          <w:i/>
        </w:rPr>
        <w:t>Ritual Theory, Ritual Practice.</w:t>
      </w:r>
      <w:r w:rsidRPr="00EC42C9">
        <w:t xml:space="preserve"> Oxford and New York: Oxford University Press</w:t>
      </w:r>
    </w:p>
    <w:p w14:paraId="0A8E9405" w14:textId="77777777" w:rsidR="00EC42C9" w:rsidRPr="00EC42C9" w:rsidRDefault="00EC42C9" w:rsidP="00EC42C9">
      <w:pPr>
        <w:pStyle w:val="ListParagraph"/>
        <w:numPr>
          <w:ilvl w:val="0"/>
          <w:numId w:val="4"/>
        </w:numPr>
      </w:pPr>
      <w:r w:rsidRPr="00EC42C9">
        <w:t xml:space="preserve">Bowie, F. (2000) </w:t>
      </w:r>
      <w:r w:rsidRPr="00EC42C9">
        <w:rPr>
          <w:i/>
        </w:rPr>
        <w:t>The Anthropology of Religion</w:t>
      </w:r>
      <w:r w:rsidRPr="00EC42C9">
        <w:t xml:space="preserve">, 108 Cowley Road, OX4 1JF, UK: Blackwell Publishers Ltd. </w:t>
      </w:r>
    </w:p>
    <w:p w14:paraId="1AD1435C" w14:textId="77777777" w:rsidR="00EC42C9" w:rsidRPr="00EC42C9" w:rsidRDefault="00EC42C9" w:rsidP="00EC42C9">
      <w:pPr>
        <w:pStyle w:val="ListParagraph"/>
        <w:numPr>
          <w:ilvl w:val="0"/>
          <w:numId w:val="4"/>
        </w:numPr>
        <w:rPr>
          <w:i/>
        </w:rPr>
      </w:pPr>
      <w:r w:rsidRPr="00EC42C9">
        <w:t xml:space="preserve">Eller, J. D. (2007) </w:t>
      </w:r>
      <w:r w:rsidRPr="00EC42C9">
        <w:rPr>
          <w:i/>
        </w:rPr>
        <w:t>Introducing Anthropology of Religion,</w:t>
      </w:r>
      <w:r w:rsidRPr="00EC42C9">
        <w:t xml:space="preserve"> 270 Madison, Ave., New York, NY 10016: Routledge </w:t>
      </w:r>
    </w:p>
    <w:p w14:paraId="6911D518" w14:textId="77777777" w:rsidR="00EC42C9" w:rsidRPr="00EC42C9" w:rsidRDefault="00EC42C9" w:rsidP="00EC42C9">
      <w:pPr>
        <w:pStyle w:val="ListParagraph"/>
        <w:numPr>
          <w:ilvl w:val="0"/>
          <w:numId w:val="4"/>
        </w:numPr>
      </w:pPr>
      <w:r w:rsidRPr="00EC42C9">
        <w:t xml:space="preserve">Lukes, S. (1975) </w:t>
      </w:r>
      <w:r w:rsidRPr="00EC42C9">
        <w:rPr>
          <w:i/>
          <w:iCs/>
        </w:rPr>
        <w:t>Emile Durkheim, His Life and Work: A Historical and Critical Study</w:t>
      </w:r>
      <w:r w:rsidRPr="00EC42C9">
        <w:t>, Penguin Books ltd: Harmondsworth, Middlesex, England</w:t>
      </w:r>
    </w:p>
    <w:p w14:paraId="6C28EE28" w14:textId="77777777" w:rsidR="00EC42C9" w:rsidRPr="00EC42C9" w:rsidRDefault="00EC42C9" w:rsidP="00EC42C9">
      <w:pPr>
        <w:pStyle w:val="ListParagraph"/>
        <w:numPr>
          <w:ilvl w:val="0"/>
          <w:numId w:val="4"/>
        </w:numPr>
      </w:pPr>
      <w:r w:rsidRPr="00EC42C9">
        <w:t xml:space="preserve">Skorupski, J. (1976) </w:t>
      </w:r>
      <w:r w:rsidRPr="00EC42C9">
        <w:rPr>
          <w:i/>
        </w:rPr>
        <w:t xml:space="preserve">Symbol and Theory: A Philosophical Study of Theories of Religion in Social Anthropology, </w:t>
      </w:r>
      <w:r w:rsidRPr="00EC42C9">
        <w:t>Cambridge: Cambridge University Press</w:t>
      </w:r>
    </w:p>
    <w:p w14:paraId="794558B5" w14:textId="77777777" w:rsidR="00EC42C9" w:rsidRPr="00EC42C9" w:rsidRDefault="00EC42C9" w:rsidP="00EC42C9">
      <w:pPr>
        <w:pStyle w:val="ListParagraph"/>
        <w:numPr>
          <w:ilvl w:val="0"/>
          <w:numId w:val="4"/>
        </w:numPr>
      </w:pPr>
      <w:r w:rsidRPr="00EC42C9">
        <w:t xml:space="preserve">Tambiah, S. J. (1979) </w:t>
      </w:r>
      <w:r w:rsidRPr="00EC42C9">
        <w:rPr>
          <w:i/>
        </w:rPr>
        <w:t>A Performative Approach to Ritual</w:t>
      </w:r>
      <w:r w:rsidRPr="00EC42C9">
        <w:t>. London: The British Academy and Oxford University Press</w:t>
      </w:r>
    </w:p>
    <w:p w14:paraId="74691269" w14:textId="77777777" w:rsidR="00EC42C9" w:rsidRPr="00EC42C9" w:rsidRDefault="00EC42C9" w:rsidP="00EC42C9">
      <w:pPr>
        <w:pStyle w:val="ListParagraph"/>
        <w:numPr>
          <w:ilvl w:val="0"/>
          <w:numId w:val="4"/>
        </w:numPr>
      </w:pPr>
      <w:r w:rsidRPr="00EC42C9">
        <w:t xml:space="preserve">Turner, V. (1969) </w:t>
      </w:r>
      <w:r w:rsidRPr="00EC42C9">
        <w:rPr>
          <w:i/>
        </w:rPr>
        <w:t>The Ritual Process: Structure and Anti-Structure,</w:t>
      </w:r>
      <w:r w:rsidRPr="00EC42C9">
        <w:t xml:space="preserve"> Chicago, Illinois: Aldine Publishing Company</w:t>
      </w:r>
    </w:p>
    <w:p w14:paraId="7DF42D51" w14:textId="77777777" w:rsidR="00EC42C9" w:rsidRPr="00EC42C9" w:rsidRDefault="00EC42C9" w:rsidP="00EC42C9">
      <w:pPr>
        <w:pStyle w:val="ListParagraph"/>
        <w:numPr>
          <w:ilvl w:val="0"/>
          <w:numId w:val="4"/>
        </w:numPr>
      </w:pPr>
      <w:r w:rsidRPr="00EC42C9">
        <w:t xml:space="preserve">Turner, V. (1982) </w:t>
      </w:r>
      <w:r w:rsidRPr="00EC42C9">
        <w:rPr>
          <w:i/>
        </w:rPr>
        <w:t>From Ritual to Theatre and Back: The Human Seriousness of Play</w:t>
      </w:r>
      <w:r w:rsidRPr="00EC42C9">
        <w:t>. New York: PAJ Publications</w:t>
      </w:r>
    </w:p>
    <w:p w14:paraId="1B7B8147" w14:textId="77777777" w:rsidR="00EC42C9" w:rsidRPr="00EC42C9" w:rsidRDefault="00EC42C9" w:rsidP="00EC42C9">
      <w:pPr>
        <w:pStyle w:val="ListParagraph"/>
        <w:numPr>
          <w:ilvl w:val="0"/>
          <w:numId w:val="4"/>
        </w:numPr>
        <w:rPr>
          <w:i/>
        </w:rPr>
      </w:pPr>
      <w:r w:rsidRPr="00EC42C9">
        <w:t xml:space="preserve">Van Gennep, A. (1960) </w:t>
      </w:r>
      <w:r w:rsidRPr="00EC42C9">
        <w:rPr>
          <w:i/>
        </w:rPr>
        <w:t>The Rites of Passage.</w:t>
      </w:r>
      <w:r w:rsidRPr="00EC42C9">
        <w:t xml:space="preserve"> London: Routledge and Kegan Paul </w:t>
      </w:r>
      <w:r w:rsidRPr="00EC42C9">
        <w:rPr>
          <w:i/>
        </w:rPr>
        <w:t xml:space="preserve"> </w:t>
      </w:r>
    </w:p>
    <w:p w14:paraId="6B16F18C" w14:textId="613D9CEC" w:rsidR="00831584" w:rsidRDefault="00831584" w:rsidP="00EC42C9"/>
    <w:sectPr w:rsidR="008315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92FD5"/>
    <w:multiLevelType w:val="hybridMultilevel"/>
    <w:tmpl w:val="182CB118"/>
    <w:lvl w:ilvl="0" w:tplc="B03A0C5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3B95F94"/>
    <w:multiLevelType w:val="hybridMultilevel"/>
    <w:tmpl w:val="53DA47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6E351A"/>
    <w:multiLevelType w:val="hybridMultilevel"/>
    <w:tmpl w:val="40DC9DE2"/>
    <w:lvl w:ilvl="0" w:tplc="BF5A8B4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3067DD"/>
    <w:multiLevelType w:val="hybridMultilevel"/>
    <w:tmpl w:val="DE0622B6"/>
    <w:lvl w:ilvl="0" w:tplc="1744067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C83"/>
    <w:rsid w:val="00166988"/>
    <w:rsid w:val="001D08C3"/>
    <w:rsid w:val="001F2404"/>
    <w:rsid w:val="00214CF6"/>
    <w:rsid w:val="002408D3"/>
    <w:rsid w:val="002E018A"/>
    <w:rsid w:val="00351875"/>
    <w:rsid w:val="00366B70"/>
    <w:rsid w:val="00375AE1"/>
    <w:rsid w:val="00385952"/>
    <w:rsid w:val="003C7991"/>
    <w:rsid w:val="00426C7C"/>
    <w:rsid w:val="004575A9"/>
    <w:rsid w:val="004619F6"/>
    <w:rsid w:val="00474BFB"/>
    <w:rsid w:val="00484A88"/>
    <w:rsid w:val="00532182"/>
    <w:rsid w:val="00553D8B"/>
    <w:rsid w:val="00557442"/>
    <w:rsid w:val="00572563"/>
    <w:rsid w:val="005C74E7"/>
    <w:rsid w:val="005E45B7"/>
    <w:rsid w:val="0067587E"/>
    <w:rsid w:val="006952FC"/>
    <w:rsid w:val="006D0E22"/>
    <w:rsid w:val="006E58AE"/>
    <w:rsid w:val="0074584D"/>
    <w:rsid w:val="007E6126"/>
    <w:rsid w:val="00831584"/>
    <w:rsid w:val="00884232"/>
    <w:rsid w:val="00896973"/>
    <w:rsid w:val="008A46B4"/>
    <w:rsid w:val="00910E29"/>
    <w:rsid w:val="00917655"/>
    <w:rsid w:val="00993FCD"/>
    <w:rsid w:val="00A31E7C"/>
    <w:rsid w:val="00A64FB0"/>
    <w:rsid w:val="00B04A2C"/>
    <w:rsid w:val="00B36D61"/>
    <w:rsid w:val="00B52D39"/>
    <w:rsid w:val="00B562BF"/>
    <w:rsid w:val="00B703DA"/>
    <w:rsid w:val="00B761E8"/>
    <w:rsid w:val="00BE0C9C"/>
    <w:rsid w:val="00C07C17"/>
    <w:rsid w:val="00C86039"/>
    <w:rsid w:val="00CD1247"/>
    <w:rsid w:val="00D04E2F"/>
    <w:rsid w:val="00D906F5"/>
    <w:rsid w:val="00DD4C0F"/>
    <w:rsid w:val="00E43A4B"/>
    <w:rsid w:val="00E4413E"/>
    <w:rsid w:val="00E879AC"/>
    <w:rsid w:val="00EC42C9"/>
    <w:rsid w:val="00EC46F4"/>
    <w:rsid w:val="00ED7892"/>
    <w:rsid w:val="00F216C0"/>
    <w:rsid w:val="00F32AB3"/>
    <w:rsid w:val="00F86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7E1DD"/>
  <w15:chartTrackingRefBased/>
  <w15:docId w15:val="{C4646A79-6BD7-49B2-AF67-9805BFC1A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86C8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25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1829</TotalTime>
  <Pages>4</Pages>
  <Words>2033</Words>
  <Characters>10962</Characters>
  <Application>Microsoft Office Word</Application>
  <DocSecurity>0</DocSecurity>
  <Lines>135</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Tobias Olds</dc:creator>
  <cp:keywords/>
  <dc:description/>
  <cp:lastModifiedBy>Tobias Olds</cp:lastModifiedBy>
  <cp:revision>8</cp:revision>
  <dcterms:created xsi:type="dcterms:W3CDTF">2019-03-12T11:20:00Z</dcterms:created>
  <dcterms:modified xsi:type="dcterms:W3CDTF">2019-03-15T14:43:00Z</dcterms:modified>
</cp:coreProperties>
</file>