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8152FC" w14:textId="77777777" w:rsidR="002C3303" w:rsidRDefault="002C3303" w:rsidP="002C3303">
      <w:pPr>
        <w:jc w:val="center"/>
        <w:rPr>
          <w:rFonts w:eastAsia="Times New Roman"/>
          <w:b/>
          <w:bCs/>
          <w:sz w:val="32"/>
          <w:szCs w:val="28"/>
        </w:rPr>
      </w:pPr>
    </w:p>
    <w:p w14:paraId="6E5960A4" w14:textId="77777777" w:rsidR="002C3303" w:rsidRDefault="002C3303" w:rsidP="002C3303">
      <w:pPr>
        <w:jc w:val="center"/>
        <w:rPr>
          <w:rFonts w:eastAsia="Times New Roman"/>
          <w:b/>
          <w:bCs/>
          <w:sz w:val="32"/>
          <w:szCs w:val="28"/>
        </w:rPr>
      </w:pPr>
    </w:p>
    <w:p w14:paraId="75DD5E46" w14:textId="77777777" w:rsidR="002C3303" w:rsidRDefault="002C3303" w:rsidP="002C3303">
      <w:pPr>
        <w:jc w:val="center"/>
        <w:rPr>
          <w:rFonts w:eastAsia="Times New Roman"/>
          <w:b/>
          <w:bCs/>
          <w:sz w:val="32"/>
          <w:szCs w:val="28"/>
        </w:rPr>
      </w:pPr>
    </w:p>
    <w:p w14:paraId="48769672" w14:textId="77777777" w:rsidR="002C3303" w:rsidRDefault="002C3303" w:rsidP="002C3303">
      <w:pPr>
        <w:jc w:val="center"/>
        <w:rPr>
          <w:rFonts w:eastAsia="Times New Roman"/>
          <w:b/>
          <w:bCs/>
          <w:sz w:val="32"/>
          <w:szCs w:val="28"/>
        </w:rPr>
      </w:pPr>
    </w:p>
    <w:p w14:paraId="0876665D" w14:textId="77777777" w:rsidR="002C3303" w:rsidRDefault="002C3303" w:rsidP="002C3303">
      <w:pPr>
        <w:jc w:val="center"/>
        <w:rPr>
          <w:rFonts w:eastAsia="Times New Roman"/>
          <w:b/>
          <w:bCs/>
          <w:sz w:val="32"/>
          <w:szCs w:val="28"/>
        </w:rPr>
      </w:pPr>
    </w:p>
    <w:p w14:paraId="4141B42F" w14:textId="77777777" w:rsidR="002C3303" w:rsidRDefault="002C3303" w:rsidP="002C3303">
      <w:pPr>
        <w:jc w:val="center"/>
        <w:rPr>
          <w:rFonts w:eastAsia="Times New Roman"/>
          <w:b/>
          <w:bCs/>
          <w:sz w:val="32"/>
          <w:szCs w:val="28"/>
        </w:rPr>
      </w:pPr>
    </w:p>
    <w:p w14:paraId="10AA43F9" w14:textId="77777777" w:rsidR="002C3303" w:rsidRDefault="002C3303" w:rsidP="002C3303">
      <w:pPr>
        <w:jc w:val="center"/>
        <w:rPr>
          <w:rFonts w:eastAsia="Times New Roman"/>
          <w:b/>
          <w:bCs/>
          <w:sz w:val="32"/>
          <w:szCs w:val="28"/>
        </w:rPr>
      </w:pPr>
    </w:p>
    <w:p w14:paraId="6EFE5336" w14:textId="77777777" w:rsidR="002C3303" w:rsidRPr="00EB3A45" w:rsidRDefault="002C3303" w:rsidP="002C3303">
      <w:pPr>
        <w:jc w:val="center"/>
        <w:rPr>
          <w:rFonts w:eastAsia="Times New Roman" w:cs="Times New Roman"/>
          <w:b/>
          <w:bCs/>
          <w:sz w:val="28"/>
          <w:szCs w:val="32"/>
        </w:rPr>
      </w:pPr>
      <w:r w:rsidRPr="00EB3A45">
        <w:rPr>
          <w:rFonts w:eastAsia="Times New Roman"/>
          <w:b/>
          <w:bCs/>
          <w:sz w:val="32"/>
          <w:szCs w:val="28"/>
        </w:rPr>
        <w:t>STRATEGIC CFO CHALLENGE – SAVING A FAILING GLOBAL FIRM</w:t>
      </w:r>
      <w:r w:rsidRPr="00EB3A45">
        <w:rPr>
          <w:rFonts w:eastAsia="Times New Roman"/>
          <w:b/>
          <w:bCs/>
        </w:rPr>
        <w:br w:type="page"/>
      </w:r>
    </w:p>
    <w:sdt>
      <w:sdtPr>
        <w:rPr>
          <w:rFonts w:ascii="Times New Roman" w:eastAsiaTheme="minorHAnsi" w:hAnsi="Times New Roman" w:cs="Times New Roman"/>
          <w:color w:val="auto"/>
          <w:sz w:val="24"/>
          <w:szCs w:val="24"/>
        </w:rPr>
        <w:id w:val="386931768"/>
        <w:docPartObj>
          <w:docPartGallery w:val="Table of Contents"/>
          <w:docPartUnique/>
        </w:docPartObj>
      </w:sdtPr>
      <w:sdtEndPr>
        <w:rPr>
          <w:b/>
          <w:bCs/>
          <w:noProof/>
        </w:rPr>
      </w:sdtEndPr>
      <w:sdtContent>
        <w:p w14:paraId="2DCB41D1" w14:textId="77777777" w:rsidR="002C3303" w:rsidRPr="00EB3A45" w:rsidRDefault="002C3303" w:rsidP="002C3303">
          <w:pPr>
            <w:pStyle w:val="TOCHeading"/>
            <w:spacing w:line="360" w:lineRule="auto"/>
            <w:jc w:val="center"/>
            <w:rPr>
              <w:rFonts w:ascii="Times New Roman" w:hAnsi="Times New Roman" w:cs="Times New Roman"/>
              <w:b/>
              <w:bCs/>
              <w:color w:val="auto"/>
              <w:sz w:val="28"/>
              <w:szCs w:val="28"/>
            </w:rPr>
          </w:pPr>
          <w:r w:rsidRPr="00EB3A45">
            <w:rPr>
              <w:rFonts w:ascii="Times New Roman" w:hAnsi="Times New Roman" w:cs="Times New Roman"/>
              <w:b/>
              <w:bCs/>
              <w:color w:val="auto"/>
              <w:sz w:val="28"/>
              <w:szCs w:val="28"/>
            </w:rPr>
            <w:t>Table of Contents</w:t>
          </w:r>
        </w:p>
        <w:p w14:paraId="35503A90" w14:textId="155D97B1" w:rsidR="006F4FA8" w:rsidRDefault="002C3303">
          <w:pPr>
            <w:pStyle w:val="TOC1"/>
            <w:tabs>
              <w:tab w:val="right" w:leader="dot" w:pos="9350"/>
            </w:tabs>
            <w:rPr>
              <w:rFonts w:asciiTheme="minorHAnsi" w:eastAsiaTheme="minorEastAsia" w:hAnsiTheme="minorHAnsi"/>
              <w:noProof/>
              <w:color w:val="auto"/>
              <w:kern w:val="2"/>
              <w:szCs w:val="24"/>
              <w14:ligatures w14:val="standardContextual"/>
            </w:rPr>
          </w:pPr>
          <w:r w:rsidRPr="00EB3A45">
            <w:rPr>
              <w:rFonts w:cs="Times New Roman"/>
              <w:color w:val="auto"/>
              <w:szCs w:val="24"/>
            </w:rPr>
            <w:fldChar w:fldCharType="begin"/>
          </w:r>
          <w:r w:rsidRPr="00EB3A45">
            <w:rPr>
              <w:rFonts w:cs="Times New Roman"/>
              <w:color w:val="auto"/>
              <w:szCs w:val="24"/>
            </w:rPr>
            <w:instrText xml:space="preserve"> TOC \o "1-3" \h \z \u </w:instrText>
          </w:r>
          <w:r w:rsidRPr="00EB3A45">
            <w:rPr>
              <w:rFonts w:cs="Times New Roman"/>
              <w:color w:val="auto"/>
              <w:szCs w:val="24"/>
            </w:rPr>
            <w:fldChar w:fldCharType="separate"/>
          </w:r>
          <w:hyperlink w:anchor="_Toc213758780" w:history="1">
            <w:r w:rsidR="006F4FA8" w:rsidRPr="00147B47">
              <w:rPr>
                <w:rStyle w:val="Hyperlink"/>
                <w:rFonts w:eastAsia="Times New Roman"/>
                <w:noProof/>
              </w:rPr>
              <w:t>1. Introductio</w:t>
            </w:r>
            <w:r w:rsidR="006F4FA8" w:rsidRPr="00147B47">
              <w:rPr>
                <w:rStyle w:val="Hyperlink"/>
                <w:rFonts w:eastAsia="Times New Roman"/>
                <w:noProof/>
              </w:rPr>
              <w:t>n</w:t>
            </w:r>
            <w:r w:rsidR="006F4FA8">
              <w:rPr>
                <w:noProof/>
                <w:webHidden/>
              </w:rPr>
              <w:tab/>
            </w:r>
            <w:r w:rsidR="006F4FA8">
              <w:rPr>
                <w:noProof/>
                <w:webHidden/>
              </w:rPr>
              <w:fldChar w:fldCharType="begin"/>
            </w:r>
            <w:r w:rsidR="006F4FA8">
              <w:rPr>
                <w:noProof/>
                <w:webHidden/>
              </w:rPr>
              <w:instrText xml:space="preserve"> PAGEREF _Toc213758780 \h </w:instrText>
            </w:r>
            <w:r w:rsidR="006F4FA8">
              <w:rPr>
                <w:noProof/>
                <w:webHidden/>
              </w:rPr>
            </w:r>
            <w:r w:rsidR="006F4FA8">
              <w:rPr>
                <w:noProof/>
                <w:webHidden/>
              </w:rPr>
              <w:fldChar w:fldCharType="separate"/>
            </w:r>
            <w:r w:rsidR="006F4FA8">
              <w:rPr>
                <w:noProof/>
                <w:webHidden/>
              </w:rPr>
              <w:t>4</w:t>
            </w:r>
            <w:r w:rsidR="006F4FA8">
              <w:rPr>
                <w:noProof/>
                <w:webHidden/>
              </w:rPr>
              <w:fldChar w:fldCharType="end"/>
            </w:r>
          </w:hyperlink>
        </w:p>
        <w:p w14:paraId="61E37AD5" w14:textId="522A6FB9" w:rsidR="006F4FA8" w:rsidRDefault="006F4FA8">
          <w:pPr>
            <w:pStyle w:val="TOC1"/>
            <w:tabs>
              <w:tab w:val="right" w:leader="dot" w:pos="9350"/>
            </w:tabs>
            <w:rPr>
              <w:rFonts w:asciiTheme="minorHAnsi" w:eastAsiaTheme="minorEastAsia" w:hAnsiTheme="minorHAnsi"/>
              <w:noProof/>
              <w:color w:val="auto"/>
              <w:kern w:val="2"/>
              <w:szCs w:val="24"/>
              <w14:ligatures w14:val="standardContextual"/>
            </w:rPr>
          </w:pPr>
          <w:hyperlink w:anchor="_Toc213758781" w:history="1">
            <w:r w:rsidRPr="00147B47">
              <w:rPr>
                <w:rStyle w:val="Hyperlink"/>
                <w:rFonts w:eastAsia="Times New Roman"/>
                <w:noProof/>
              </w:rPr>
              <w:t>2. Financial Health Check</w:t>
            </w:r>
            <w:r>
              <w:rPr>
                <w:noProof/>
                <w:webHidden/>
              </w:rPr>
              <w:tab/>
            </w:r>
            <w:r>
              <w:rPr>
                <w:noProof/>
                <w:webHidden/>
              </w:rPr>
              <w:fldChar w:fldCharType="begin"/>
            </w:r>
            <w:r>
              <w:rPr>
                <w:noProof/>
                <w:webHidden/>
              </w:rPr>
              <w:instrText xml:space="preserve"> PAGEREF _Toc213758781 \h </w:instrText>
            </w:r>
            <w:r>
              <w:rPr>
                <w:noProof/>
                <w:webHidden/>
              </w:rPr>
            </w:r>
            <w:r>
              <w:rPr>
                <w:noProof/>
                <w:webHidden/>
              </w:rPr>
              <w:fldChar w:fldCharType="separate"/>
            </w:r>
            <w:r>
              <w:rPr>
                <w:noProof/>
                <w:webHidden/>
              </w:rPr>
              <w:t>4</w:t>
            </w:r>
            <w:r>
              <w:rPr>
                <w:noProof/>
                <w:webHidden/>
              </w:rPr>
              <w:fldChar w:fldCharType="end"/>
            </w:r>
          </w:hyperlink>
        </w:p>
        <w:p w14:paraId="6EEC2A06" w14:textId="29604F53" w:rsidR="006F4FA8" w:rsidRDefault="006F4FA8">
          <w:pPr>
            <w:pStyle w:val="TOC2"/>
            <w:tabs>
              <w:tab w:val="right" w:leader="dot" w:pos="9350"/>
            </w:tabs>
            <w:rPr>
              <w:rFonts w:asciiTheme="minorHAnsi" w:eastAsiaTheme="minorEastAsia" w:hAnsiTheme="minorHAnsi"/>
              <w:noProof/>
              <w:color w:val="auto"/>
              <w:kern w:val="2"/>
              <w:szCs w:val="24"/>
              <w14:ligatures w14:val="standardContextual"/>
            </w:rPr>
          </w:pPr>
          <w:hyperlink w:anchor="_Toc213758782" w:history="1">
            <w:r w:rsidRPr="00147B47">
              <w:rPr>
                <w:rStyle w:val="Hyperlink"/>
                <w:rFonts w:eastAsia="Times New Roman"/>
                <w:noProof/>
              </w:rPr>
              <w:t>2.1 Overview of Financial Data</w:t>
            </w:r>
            <w:r>
              <w:rPr>
                <w:noProof/>
                <w:webHidden/>
              </w:rPr>
              <w:tab/>
            </w:r>
            <w:r>
              <w:rPr>
                <w:noProof/>
                <w:webHidden/>
              </w:rPr>
              <w:fldChar w:fldCharType="begin"/>
            </w:r>
            <w:r>
              <w:rPr>
                <w:noProof/>
                <w:webHidden/>
              </w:rPr>
              <w:instrText xml:space="preserve"> PAGEREF _Toc213758782 \h </w:instrText>
            </w:r>
            <w:r>
              <w:rPr>
                <w:noProof/>
                <w:webHidden/>
              </w:rPr>
            </w:r>
            <w:r>
              <w:rPr>
                <w:noProof/>
                <w:webHidden/>
              </w:rPr>
              <w:fldChar w:fldCharType="separate"/>
            </w:r>
            <w:r>
              <w:rPr>
                <w:noProof/>
                <w:webHidden/>
              </w:rPr>
              <w:t>4</w:t>
            </w:r>
            <w:r>
              <w:rPr>
                <w:noProof/>
                <w:webHidden/>
              </w:rPr>
              <w:fldChar w:fldCharType="end"/>
            </w:r>
          </w:hyperlink>
        </w:p>
        <w:p w14:paraId="7515108D" w14:textId="3738A6D9" w:rsidR="006F4FA8" w:rsidRDefault="006F4FA8">
          <w:pPr>
            <w:pStyle w:val="TOC2"/>
            <w:tabs>
              <w:tab w:val="right" w:leader="dot" w:pos="9350"/>
            </w:tabs>
            <w:rPr>
              <w:rFonts w:asciiTheme="minorHAnsi" w:eastAsiaTheme="minorEastAsia" w:hAnsiTheme="minorHAnsi"/>
              <w:noProof/>
              <w:color w:val="auto"/>
              <w:kern w:val="2"/>
              <w:szCs w:val="24"/>
              <w14:ligatures w14:val="standardContextual"/>
            </w:rPr>
          </w:pPr>
          <w:hyperlink w:anchor="_Toc213758783" w:history="1">
            <w:r w:rsidRPr="00147B47">
              <w:rPr>
                <w:rStyle w:val="Hyperlink"/>
                <w:rFonts w:eastAsia="Times New Roman"/>
                <w:noProof/>
              </w:rPr>
              <w:t>2.2 Profitability Ratios</w:t>
            </w:r>
            <w:r>
              <w:rPr>
                <w:noProof/>
                <w:webHidden/>
              </w:rPr>
              <w:tab/>
            </w:r>
            <w:r>
              <w:rPr>
                <w:noProof/>
                <w:webHidden/>
              </w:rPr>
              <w:fldChar w:fldCharType="begin"/>
            </w:r>
            <w:r>
              <w:rPr>
                <w:noProof/>
                <w:webHidden/>
              </w:rPr>
              <w:instrText xml:space="preserve"> PAGEREF _Toc213758783 \h </w:instrText>
            </w:r>
            <w:r>
              <w:rPr>
                <w:noProof/>
                <w:webHidden/>
              </w:rPr>
            </w:r>
            <w:r>
              <w:rPr>
                <w:noProof/>
                <w:webHidden/>
              </w:rPr>
              <w:fldChar w:fldCharType="separate"/>
            </w:r>
            <w:r>
              <w:rPr>
                <w:noProof/>
                <w:webHidden/>
              </w:rPr>
              <w:t>5</w:t>
            </w:r>
            <w:r>
              <w:rPr>
                <w:noProof/>
                <w:webHidden/>
              </w:rPr>
              <w:fldChar w:fldCharType="end"/>
            </w:r>
          </w:hyperlink>
        </w:p>
        <w:p w14:paraId="4428F279" w14:textId="40198316" w:rsidR="006F4FA8" w:rsidRDefault="006F4FA8">
          <w:pPr>
            <w:pStyle w:val="TOC2"/>
            <w:tabs>
              <w:tab w:val="right" w:leader="dot" w:pos="9350"/>
            </w:tabs>
            <w:rPr>
              <w:rFonts w:asciiTheme="minorHAnsi" w:eastAsiaTheme="minorEastAsia" w:hAnsiTheme="minorHAnsi"/>
              <w:noProof/>
              <w:color w:val="auto"/>
              <w:kern w:val="2"/>
              <w:szCs w:val="24"/>
              <w14:ligatures w14:val="standardContextual"/>
            </w:rPr>
          </w:pPr>
          <w:hyperlink w:anchor="_Toc213758784" w:history="1">
            <w:r w:rsidRPr="00147B47">
              <w:rPr>
                <w:rStyle w:val="Hyperlink"/>
                <w:rFonts w:eastAsia="Times New Roman"/>
                <w:noProof/>
              </w:rPr>
              <w:t>2.3 Liquidity Ratios</w:t>
            </w:r>
            <w:r>
              <w:rPr>
                <w:noProof/>
                <w:webHidden/>
              </w:rPr>
              <w:tab/>
            </w:r>
            <w:r>
              <w:rPr>
                <w:noProof/>
                <w:webHidden/>
              </w:rPr>
              <w:fldChar w:fldCharType="begin"/>
            </w:r>
            <w:r>
              <w:rPr>
                <w:noProof/>
                <w:webHidden/>
              </w:rPr>
              <w:instrText xml:space="preserve"> PAGEREF _Toc213758784 \h </w:instrText>
            </w:r>
            <w:r>
              <w:rPr>
                <w:noProof/>
                <w:webHidden/>
              </w:rPr>
            </w:r>
            <w:r>
              <w:rPr>
                <w:noProof/>
                <w:webHidden/>
              </w:rPr>
              <w:fldChar w:fldCharType="separate"/>
            </w:r>
            <w:r>
              <w:rPr>
                <w:noProof/>
                <w:webHidden/>
              </w:rPr>
              <w:t>5</w:t>
            </w:r>
            <w:r>
              <w:rPr>
                <w:noProof/>
                <w:webHidden/>
              </w:rPr>
              <w:fldChar w:fldCharType="end"/>
            </w:r>
          </w:hyperlink>
        </w:p>
        <w:p w14:paraId="71EAF288" w14:textId="3B2D55BA" w:rsidR="006F4FA8" w:rsidRDefault="006F4FA8">
          <w:pPr>
            <w:pStyle w:val="TOC2"/>
            <w:tabs>
              <w:tab w:val="right" w:leader="dot" w:pos="9350"/>
            </w:tabs>
            <w:rPr>
              <w:rFonts w:asciiTheme="minorHAnsi" w:eastAsiaTheme="minorEastAsia" w:hAnsiTheme="minorHAnsi"/>
              <w:noProof/>
              <w:color w:val="auto"/>
              <w:kern w:val="2"/>
              <w:szCs w:val="24"/>
              <w14:ligatures w14:val="standardContextual"/>
            </w:rPr>
          </w:pPr>
          <w:hyperlink w:anchor="_Toc213758785" w:history="1">
            <w:r w:rsidRPr="00147B47">
              <w:rPr>
                <w:rStyle w:val="Hyperlink"/>
                <w:rFonts w:eastAsia="Times New Roman"/>
                <w:noProof/>
              </w:rPr>
              <w:t>2.4 Efficiency (Activity) Ratios</w:t>
            </w:r>
            <w:r>
              <w:rPr>
                <w:noProof/>
                <w:webHidden/>
              </w:rPr>
              <w:tab/>
            </w:r>
            <w:r>
              <w:rPr>
                <w:noProof/>
                <w:webHidden/>
              </w:rPr>
              <w:fldChar w:fldCharType="begin"/>
            </w:r>
            <w:r>
              <w:rPr>
                <w:noProof/>
                <w:webHidden/>
              </w:rPr>
              <w:instrText xml:space="preserve"> PAGEREF _Toc213758785 \h </w:instrText>
            </w:r>
            <w:r>
              <w:rPr>
                <w:noProof/>
                <w:webHidden/>
              </w:rPr>
            </w:r>
            <w:r>
              <w:rPr>
                <w:noProof/>
                <w:webHidden/>
              </w:rPr>
              <w:fldChar w:fldCharType="separate"/>
            </w:r>
            <w:r>
              <w:rPr>
                <w:noProof/>
                <w:webHidden/>
              </w:rPr>
              <w:t>6</w:t>
            </w:r>
            <w:r>
              <w:rPr>
                <w:noProof/>
                <w:webHidden/>
              </w:rPr>
              <w:fldChar w:fldCharType="end"/>
            </w:r>
          </w:hyperlink>
        </w:p>
        <w:p w14:paraId="5D673ECB" w14:textId="5AED9FE3" w:rsidR="006F4FA8" w:rsidRDefault="006F4FA8">
          <w:pPr>
            <w:pStyle w:val="TOC2"/>
            <w:tabs>
              <w:tab w:val="right" w:leader="dot" w:pos="9350"/>
            </w:tabs>
            <w:rPr>
              <w:rFonts w:asciiTheme="minorHAnsi" w:eastAsiaTheme="minorEastAsia" w:hAnsiTheme="minorHAnsi"/>
              <w:noProof/>
              <w:color w:val="auto"/>
              <w:kern w:val="2"/>
              <w:szCs w:val="24"/>
              <w14:ligatures w14:val="standardContextual"/>
            </w:rPr>
          </w:pPr>
          <w:hyperlink w:anchor="_Toc213758786" w:history="1">
            <w:r w:rsidRPr="00147B47">
              <w:rPr>
                <w:rStyle w:val="Hyperlink"/>
                <w:rFonts w:eastAsia="Times New Roman"/>
                <w:noProof/>
              </w:rPr>
              <w:t>2.5 Gearing (Leverage) Ratios</w:t>
            </w:r>
            <w:r>
              <w:rPr>
                <w:noProof/>
                <w:webHidden/>
              </w:rPr>
              <w:tab/>
            </w:r>
            <w:r>
              <w:rPr>
                <w:noProof/>
                <w:webHidden/>
              </w:rPr>
              <w:fldChar w:fldCharType="begin"/>
            </w:r>
            <w:r>
              <w:rPr>
                <w:noProof/>
                <w:webHidden/>
              </w:rPr>
              <w:instrText xml:space="preserve"> PAGEREF _Toc213758786 \h </w:instrText>
            </w:r>
            <w:r>
              <w:rPr>
                <w:noProof/>
                <w:webHidden/>
              </w:rPr>
            </w:r>
            <w:r>
              <w:rPr>
                <w:noProof/>
                <w:webHidden/>
              </w:rPr>
              <w:fldChar w:fldCharType="separate"/>
            </w:r>
            <w:r>
              <w:rPr>
                <w:noProof/>
                <w:webHidden/>
              </w:rPr>
              <w:t>6</w:t>
            </w:r>
            <w:r>
              <w:rPr>
                <w:noProof/>
                <w:webHidden/>
              </w:rPr>
              <w:fldChar w:fldCharType="end"/>
            </w:r>
          </w:hyperlink>
        </w:p>
        <w:p w14:paraId="5CE0E775" w14:textId="67A5955D" w:rsidR="006F4FA8" w:rsidRDefault="006F4FA8">
          <w:pPr>
            <w:pStyle w:val="TOC2"/>
            <w:tabs>
              <w:tab w:val="right" w:leader="dot" w:pos="9350"/>
            </w:tabs>
            <w:rPr>
              <w:rFonts w:asciiTheme="minorHAnsi" w:eastAsiaTheme="minorEastAsia" w:hAnsiTheme="minorHAnsi"/>
              <w:noProof/>
              <w:color w:val="auto"/>
              <w:kern w:val="2"/>
              <w:szCs w:val="24"/>
              <w14:ligatures w14:val="standardContextual"/>
            </w:rPr>
          </w:pPr>
          <w:hyperlink w:anchor="_Toc213758787" w:history="1">
            <w:r w:rsidRPr="00147B47">
              <w:rPr>
                <w:rStyle w:val="Hyperlink"/>
                <w:rFonts w:eastAsia="Times New Roman"/>
                <w:noProof/>
              </w:rPr>
              <w:t>2.6 Investment Ratios</w:t>
            </w:r>
            <w:r>
              <w:rPr>
                <w:noProof/>
                <w:webHidden/>
              </w:rPr>
              <w:tab/>
            </w:r>
            <w:r>
              <w:rPr>
                <w:noProof/>
                <w:webHidden/>
              </w:rPr>
              <w:fldChar w:fldCharType="begin"/>
            </w:r>
            <w:r>
              <w:rPr>
                <w:noProof/>
                <w:webHidden/>
              </w:rPr>
              <w:instrText xml:space="preserve"> PAGEREF _Toc213758787 \h </w:instrText>
            </w:r>
            <w:r>
              <w:rPr>
                <w:noProof/>
                <w:webHidden/>
              </w:rPr>
            </w:r>
            <w:r>
              <w:rPr>
                <w:noProof/>
                <w:webHidden/>
              </w:rPr>
              <w:fldChar w:fldCharType="separate"/>
            </w:r>
            <w:r>
              <w:rPr>
                <w:noProof/>
                <w:webHidden/>
              </w:rPr>
              <w:t>6</w:t>
            </w:r>
            <w:r>
              <w:rPr>
                <w:noProof/>
                <w:webHidden/>
              </w:rPr>
              <w:fldChar w:fldCharType="end"/>
            </w:r>
          </w:hyperlink>
        </w:p>
        <w:p w14:paraId="3B1C5B0E" w14:textId="3B03336A" w:rsidR="006F4FA8" w:rsidRDefault="006F4FA8">
          <w:pPr>
            <w:pStyle w:val="TOC2"/>
            <w:tabs>
              <w:tab w:val="right" w:leader="dot" w:pos="9350"/>
            </w:tabs>
            <w:rPr>
              <w:rFonts w:asciiTheme="minorHAnsi" w:eastAsiaTheme="minorEastAsia" w:hAnsiTheme="minorHAnsi"/>
              <w:noProof/>
              <w:color w:val="auto"/>
              <w:kern w:val="2"/>
              <w:szCs w:val="24"/>
              <w14:ligatures w14:val="standardContextual"/>
            </w:rPr>
          </w:pPr>
          <w:hyperlink w:anchor="_Toc213758788" w:history="1">
            <w:r w:rsidRPr="00147B47">
              <w:rPr>
                <w:rStyle w:val="Hyperlink"/>
                <w:rFonts w:eastAsia="Times New Roman"/>
                <w:noProof/>
              </w:rPr>
              <w:t>2.7 Cash Flow Analysis</w:t>
            </w:r>
            <w:r>
              <w:rPr>
                <w:noProof/>
                <w:webHidden/>
              </w:rPr>
              <w:tab/>
            </w:r>
            <w:r>
              <w:rPr>
                <w:noProof/>
                <w:webHidden/>
              </w:rPr>
              <w:fldChar w:fldCharType="begin"/>
            </w:r>
            <w:r>
              <w:rPr>
                <w:noProof/>
                <w:webHidden/>
              </w:rPr>
              <w:instrText xml:space="preserve"> PAGEREF _Toc213758788 \h </w:instrText>
            </w:r>
            <w:r>
              <w:rPr>
                <w:noProof/>
                <w:webHidden/>
              </w:rPr>
            </w:r>
            <w:r>
              <w:rPr>
                <w:noProof/>
                <w:webHidden/>
              </w:rPr>
              <w:fldChar w:fldCharType="separate"/>
            </w:r>
            <w:r>
              <w:rPr>
                <w:noProof/>
                <w:webHidden/>
              </w:rPr>
              <w:t>7</w:t>
            </w:r>
            <w:r>
              <w:rPr>
                <w:noProof/>
                <w:webHidden/>
              </w:rPr>
              <w:fldChar w:fldCharType="end"/>
            </w:r>
          </w:hyperlink>
        </w:p>
        <w:p w14:paraId="49DE02F9" w14:textId="7809BA16" w:rsidR="006F4FA8" w:rsidRDefault="006F4FA8">
          <w:pPr>
            <w:pStyle w:val="TOC2"/>
            <w:tabs>
              <w:tab w:val="right" w:leader="dot" w:pos="9350"/>
            </w:tabs>
            <w:rPr>
              <w:rFonts w:asciiTheme="minorHAnsi" w:eastAsiaTheme="minorEastAsia" w:hAnsiTheme="minorHAnsi"/>
              <w:noProof/>
              <w:color w:val="auto"/>
              <w:kern w:val="2"/>
              <w:szCs w:val="24"/>
              <w14:ligatures w14:val="standardContextual"/>
            </w:rPr>
          </w:pPr>
          <w:hyperlink w:anchor="_Toc213758789" w:history="1">
            <w:r w:rsidRPr="00147B47">
              <w:rPr>
                <w:rStyle w:val="Hyperlink"/>
                <w:rFonts w:eastAsia="Times New Roman"/>
                <w:noProof/>
              </w:rPr>
              <w:t>2.8 Corporate Failure Prediction</w:t>
            </w:r>
            <w:r>
              <w:rPr>
                <w:noProof/>
                <w:webHidden/>
              </w:rPr>
              <w:tab/>
            </w:r>
            <w:r>
              <w:rPr>
                <w:noProof/>
                <w:webHidden/>
              </w:rPr>
              <w:fldChar w:fldCharType="begin"/>
            </w:r>
            <w:r>
              <w:rPr>
                <w:noProof/>
                <w:webHidden/>
              </w:rPr>
              <w:instrText xml:space="preserve"> PAGEREF _Toc213758789 \h </w:instrText>
            </w:r>
            <w:r>
              <w:rPr>
                <w:noProof/>
                <w:webHidden/>
              </w:rPr>
            </w:r>
            <w:r>
              <w:rPr>
                <w:noProof/>
                <w:webHidden/>
              </w:rPr>
              <w:fldChar w:fldCharType="separate"/>
            </w:r>
            <w:r>
              <w:rPr>
                <w:noProof/>
                <w:webHidden/>
              </w:rPr>
              <w:t>7</w:t>
            </w:r>
            <w:r>
              <w:rPr>
                <w:noProof/>
                <w:webHidden/>
              </w:rPr>
              <w:fldChar w:fldCharType="end"/>
            </w:r>
          </w:hyperlink>
        </w:p>
        <w:p w14:paraId="6524F0F5" w14:textId="0EB2FC1F" w:rsidR="006F4FA8" w:rsidRDefault="006F4FA8">
          <w:pPr>
            <w:pStyle w:val="TOC2"/>
            <w:tabs>
              <w:tab w:val="right" w:leader="dot" w:pos="9350"/>
            </w:tabs>
            <w:rPr>
              <w:rFonts w:asciiTheme="minorHAnsi" w:eastAsiaTheme="minorEastAsia" w:hAnsiTheme="minorHAnsi"/>
              <w:noProof/>
              <w:color w:val="auto"/>
              <w:kern w:val="2"/>
              <w:szCs w:val="24"/>
              <w14:ligatures w14:val="standardContextual"/>
            </w:rPr>
          </w:pPr>
          <w:hyperlink w:anchor="_Toc213758790" w:history="1">
            <w:r w:rsidRPr="00147B47">
              <w:rPr>
                <w:rStyle w:val="Hyperlink"/>
                <w:rFonts w:eastAsia="Times New Roman"/>
                <w:noProof/>
              </w:rPr>
              <w:t>2.9 Summary of Financial Health</w:t>
            </w:r>
            <w:r>
              <w:rPr>
                <w:noProof/>
                <w:webHidden/>
              </w:rPr>
              <w:tab/>
            </w:r>
            <w:r>
              <w:rPr>
                <w:noProof/>
                <w:webHidden/>
              </w:rPr>
              <w:fldChar w:fldCharType="begin"/>
            </w:r>
            <w:r>
              <w:rPr>
                <w:noProof/>
                <w:webHidden/>
              </w:rPr>
              <w:instrText xml:space="preserve"> PAGEREF _Toc213758790 \h </w:instrText>
            </w:r>
            <w:r>
              <w:rPr>
                <w:noProof/>
                <w:webHidden/>
              </w:rPr>
            </w:r>
            <w:r>
              <w:rPr>
                <w:noProof/>
                <w:webHidden/>
              </w:rPr>
              <w:fldChar w:fldCharType="separate"/>
            </w:r>
            <w:r>
              <w:rPr>
                <w:noProof/>
                <w:webHidden/>
              </w:rPr>
              <w:t>7</w:t>
            </w:r>
            <w:r>
              <w:rPr>
                <w:noProof/>
                <w:webHidden/>
              </w:rPr>
              <w:fldChar w:fldCharType="end"/>
            </w:r>
          </w:hyperlink>
        </w:p>
        <w:p w14:paraId="553CD36D" w14:textId="37FA02BC" w:rsidR="006F4FA8" w:rsidRDefault="006F4FA8">
          <w:pPr>
            <w:pStyle w:val="TOC1"/>
            <w:tabs>
              <w:tab w:val="right" w:leader="dot" w:pos="9350"/>
            </w:tabs>
            <w:rPr>
              <w:rFonts w:asciiTheme="minorHAnsi" w:eastAsiaTheme="minorEastAsia" w:hAnsiTheme="minorHAnsi"/>
              <w:noProof/>
              <w:color w:val="auto"/>
              <w:kern w:val="2"/>
              <w:szCs w:val="24"/>
              <w14:ligatures w14:val="standardContextual"/>
            </w:rPr>
          </w:pPr>
          <w:hyperlink w:anchor="_Toc213758791" w:history="1">
            <w:r w:rsidRPr="00147B47">
              <w:rPr>
                <w:rStyle w:val="Hyperlink"/>
                <w:noProof/>
              </w:rPr>
              <w:t>3. Working Capital Management Analysis</w:t>
            </w:r>
            <w:r>
              <w:rPr>
                <w:noProof/>
                <w:webHidden/>
              </w:rPr>
              <w:tab/>
            </w:r>
            <w:r>
              <w:rPr>
                <w:noProof/>
                <w:webHidden/>
              </w:rPr>
              <w:fldChar w:fldCharType="begin"/>
            </w:r>
            <w:r>
              <w:rPr>
                <w:noProof/>
                <w:webHidden/>
              </w:rPr>
              <w:instrText xml:space="preserve"> PAGEREF _Toc213758791 \h </w:instrText>
            </w:r>
            <w:r>
              <w:rPr>
                <w:noProof/>
                <w:webHidden/>
              </w:rPr>
            </w:r>
            <w:r>
              <w:rPr>
                <w:noProof/>
                <w:webHidden/>
              </w:rPr>
              <w:fldChar w:fldCharType="separate"/>
            </w:r>
            <w:r>
              <w:rPr>
                <w:noProof/>
                <w:webHidden/>
              </w:rPr>
              <w:t>8</w:t>
            </w:r>
            <w:r>
              <w:rPr>
                <w:noProof/>
                <w:webHidden/>
              </w:rPr>
              <w:fldChar w:fldCharType="end"/>
            </w:r>
          </w:hyperlink>
        </w:p>
        <w:p w14:paraId="1987D012" w14:textId="14EAAD28" w:rsidR="006F4FA8" w:rsidRDefault="006F4FA8">
          <w:pPr>
            <w:pStyle w:val="TOC2"/>
            <w:tabs>
              <w:tab w:val="right" w:leader="dot" w:pos="9350"/>
            </w:tabs>
            <w:rPr>
              <w:rFonts w:asciiTheme="minorHAnsi" w:eastAsiaTheme="minorEastAsia" w:hAnsiTheme="minorHAnsi"/>
              <w:noProof/>
              <w:color w:val="auto"/>
              <w:kern w:val="2"/>
              <w:szCs w:val="24"/>
              <w14:ligatures w14:val="standardContextual"/>
            </w:rPr>
          </w:pPr>
          <w:hyperlink w:anchor="_Toc213758792" w:history="1">
            <w:r w:rsidRPr="00147B47">
              <w:rPr>
                <w:rStyle w:val="Hyperlink"/>
                <w:noProof/>
              </w:rPr>
              <w:t>3.1 Cash Conversion Cycle</w:t>
            </w:r>
            <w:r>
              <w:rPr>
                <w:noProof/>
                <w:webHidden/>
              </w:rPr>
              <w:tab/>
            </w:r>
            <w:r>
              <w:rPr>
                <w:noProof/>
                <w:webHidden/>
              </w:rPr>
              <w:fldChar w:fldCharType="begin"/>
            </w:r>
            <w:r>
              <w:rPr>
                <w:noProof/>
                <w:webHidden/>
              </w:rPr>
              <w:instrText xml:space="preserve"> PAGEREF _Toc213758792 \h </w:instrText>
            </w:r>
            <w:r>
              <w:rPr>
                <w:noProof/>
                <w:webHidden/>
              </w:rPr>
            </w:r>
            <w:r>
              <w:rPr>
                <w:noProof/>
                <w:webHidden/>
              </w:rPr>
              <w:fldChar w:fldCharType="separate"/>
            </w:r>
            <w:r>
              <w:rPr>
                <w:noProof/>
                <w:webHidden/>
              </w:rPr>
              <w:t>8</w:t>
            </w:r>
            <w:r>
              <w:rPr>
                <w:noProof/>
                <w:webHidden/>
              </w:rPr>
              <w:fldChar w:fldCharType="end"/>
            </w:r>
          </w:hyperlink>
        </w:p>
        <w:p w14:paraId="0A46035B" w14:textId="79FC295A" w:rsidR="006F4FA8" w:rsidRDefault="006F4FA8">
          <w:pPr>
            <w:pStyle w:val="TOC2"/>
            <w:tabs>
              <w:tab w:val="right" w:leader="dot" w:pos="9350"/>
            </w:tabs>
            <w:rPr>
              <w:rFonts w:asciiTheme="minorHAnsi" w:eastAsiaTheme="minorEastAsia" w:hAnsiTheme="minorHAnsi"/>
              <w:noProof/>
              <w:color w:val="auto"/>
              <w:kern w:val="2"/>
              <w:szCs w:val="24"/>
              <w14:ligatures w14:val="standardContextual"/>
            </w:rPr>
          </w:pPr>
          <w:hyperlink w:anchor="_Toc213758793" w:history="1">
            <w:r w:rsidRPr="00147B47">
              <w:rPr>
                <w:rStyle w:val="Hyperlink"/>
                <w:bCs/>
                <w:noProof/>
              </w:rPr>
              <w:t>3.2 Evaluation of Current Working Capital Policies</w:t>
            </w:r>
            <w:r>
              <w:rPr>
                <w:noProof/>
                <w:webHidden/>
              </w:rPr>
              <w:tab/>
            </w:r>
            <w:r>
              <w:rPr>
                <w:noProof/>
                <w:webHidden/>
              </w:rPr>
              <w:fldChar w:fldCharType="begin"/>
            </w:r>
            <w:r>
              <w:rPr>
                <w:noProof/>
                <w:webHidden/>
              </w:rPr>
              <w:instrText xml:space="preserve"> PAGEREF _Toc213758793 \h </w:instrText>
            </w:r>
            <w:r>
              <w:rPr>
                <w:noProof/>
                <w:webHidden/>
              </w:rPr>
            </w:r>
            <w:r>
              <w:rPr>
                <w:noProof/>
                <w:webHidden/>
              </w:rPr>
              <w:fldChar w:fldCharType="separate"/>
            </w:r>
            <w:r>
              <w:rPr>
                <w:noProof/>
                <w:webHidden/>
              </w:rPr>
              <w:t>9</w:t>
            </w:r>
            <w:r>
              <w:rPr>
                <w:noProof/>
                <w:webHidden/>
              </w:rPr>
              <w:fldChar w:fldCharType="end"/>
            </w:r>
          </w:hyperlink>
        </w:p>
        <w:p w14:paraId="3AFB721B" w14:textId="66A91211" w:rsidR="006F4FA8" w:rsidRDefault="006F4FA8">
          <w:pPr>
            <w:pStyle w:val="TOC2"/>
            <w:tabs>
              <w:tab w:val="right" w:leader="dot" w:pos="9350"/>
            </w:tabs>
            <w:rPr>
              <w:rFonts w:asciiTheme="minorHAnsi" w:eastAsiaTheme="minorEastAsia" w:hAnsiTheme="minorHAnsi"/>
              <w:noProof/>
              <w:color w:val="auto"/>
              <w:kern w:val="2"/>
              <w:szCs w:val="24"/>
              <w14:ligatures w14:val="standardContextual"/>
            </w:rPr>
          </w:pPr>
          <w:hyperlink w:anchor="_Toc213758794" w:history="1">
            <w:r w:rsidRPr="00147B47">
              <w:rPr>
                <w:rStyle w:val="Hyperlink"/>
                <w:bCs/>
                <w:noProof/>
              </w:rPr>
              <w:t>3.3 Strategies to Improve Working Capital Efficiency</w:t>
            </w:r>
            <w:r>
              <w:rPr>
                <w:noProof/>
                <w:webHidden/>
              </w:rPr>
              <w:tab/>
            </w:r>
            <w:r>
              <w:rPr>
                <w:noProof/>
                <w:webHidden/>
              </w:rPr>
              <w:fldChar w:fldCharType="begin"/>
            </w:r>
            <w:r>
              <w:rPr>
                <w:noProof/>
                <w:webHidden/>
              </w:rPr>
              <w:instrText xml:space="preserve"> PAGEREF _Toc213758794 \h </w:instrText>
            </w:r>
            <w:r>
              <w:rPr>
                <w:noProof/>
                <w:webHidden/>
              </w:rPr>
            </w:r>
            <w:r>
              <w:rPr>
                <w:noProof/>
                <w:webHidden/>
              </w:rPr>
              <w:fldChar w:fldCharType="separate"/>
            </w:r>
            <w:r>
              <w:rPr>
                <w:noProof/>
                <w:webHidden/>
              </w:rPr>
              <w:t>9</w:t>
            </w:r>
            <w:r>
              <w:rPr>
                <w:noProof/>
                <w:webHidden/>
              </w:rPr>
              <w:fldChar w:fldCharType="end"/>
            </w:r>
          </w:hyperlink>
        </w:p>
        <w:p w14:paraId="5B554A8D" w14:textId="1625A05B" w:rsidR="006F4FA8" w:rsidRDefault="006F4FA8">
          <w:pPr>
            <w:pStyle w:val="TOC2"/>
            <w:tabs>
              <w:tab w:val="right" w:leader="dot" w:pos="9350"/>
            </w:tabs>
            <w:rPr>
              <w:rFonts w:asciiTheme="minorHAnsi" w:eastAsiaTheme="minorEastAsia" w:hAnsiTheme="minorHAnsi"/>
              <w:noProof/>
              <w:color w:val="auto"/>
              <w:kern w:val="2"/>
              <w:szCs w:val="24"/>
              <w14:ligatures w14:val="standardContextual"/>
            </w:rPr>
          </w:pPr>
          <w:hyperlink w:anchor="_Toc213758795" w:history="1">
            <w:r w:rsidRPr="00147B47">
              <w:rPr>
                <w:rStyle w:val="Hyperlink"/>
                <w:rFonts w:cs="Times New Roman"/>
                <w:bCs/>
                <w:noProof/>
              </w:rPr>
              <w:t>3.4 Financing Options for Liquidity Management</w:t>
            </w:r>
            <w:r>
              <w:rPr>
                <w:noProof/>
                <w:webHidden/>
              </w:rPr>
              <w:tab/>
            </w:r>
            <w:r>
              <w:rPr>
                <w:noProof/>
                <w:webHidden/>
              </w:rPr>
              <w:fldChar w:fldCharType="begin"/>
            </w:r>
            <w:r>
              <w:rPr>
                <w:noProof/>
                <w:webHidden/>
              </w:rPr>
              <w:instrText xml:space="preserve"> PAGEREF _Toc213758795 \h </w:instrText>
            </w:r>
            <w:r>
              <w:rPr>
                <w:noProof/>
                <w:webHidden/>
              </w:rPr>
            </w:r>
            <w:r>
              <w:rPr>
                <w:noProof/>
                <w:webHidden/>
              </w:rPr>
              <w:fldChar w:fldCharType="separate"/>
            </w:r>
            <w:r>
              <w:rPr>
                <w:noProof/>
                <w:webHidden/>
              </w:rPr>
              <w:t>10</w:t>
            </w:r>
            <w:r>
              <w:rPr>
                <w:noProof/>
                <w:webHidden/>
              </w:rPr>
              <w:fldChar w:fldCharType="end"/>
            </w:r>
          </w:hyperlink>
        </w:p>
        <w:p w14:paraId="7219EDC5" w14:textId="6B76C585" w:rsidR="006F4FA8" w:rsidRDefault="006F4FA8">
          <w:pPr>
            <w:pStyle w:val="TOC2"/>
            <w:tabs>
              <w:tab w:val="right" w:leader="dot" w:pos="9350"/>
            </w:tabs>
            <w:rPr>
              <w:rFonts w:asciiTheme="minorHAnsi" w:eastAsiaTheme="minorEastAsia" w:hAnsiTheme="minorHAnsi"/>
              <w:noProof/>
              <w:color w:val="auto"/>
              <w:kern w:val="2"/>
              <w:szCs w:val="24"/>
              <w14:ligatures w14:val="standardContextual"/>
            </w:rPr>
          </w:pPr>
          <w:hyperlink w:anchor="_Toc213758796" w:history="1">
            <w:r w:rsidRPr="00147B47">
              <w:rPr>
                <w:rStyle w:val="Hyperlink"/>
                <w:bCs/>
                <w:noProof/>
              </w:rPr>
              <w:t>3.5 Summary</w:t>
            </w:r>
            <w:r>
              <w:rPr>
                <w:noProof/>
                <w:webHidden/>
              </w:rPr>
              <w:tab/>
            </w:r>
            <w:r>
              <w:rPr>
                <w:noProof/>
                <w:webHidden/>
              </w:rPr>
              <w:fldChar w:fldCharType="begin"/>
            </w:r>
            <w:r>
              <w:rPr>
                <w:noProof/>
                <w:webHidden/>
              </w:rPr>
              <w:instrText xml:space="preserve"> PAGEREF _Toc213758796 \h </w:instrText>
            </w:r>
            <w:r>
              <w:rPr>
                <w:noProof/>
                <w:webHidden/>
              </w:rPr>
            </w:r>
            <w:r>
              <w:rPr>
                <w:noProof/>
                <w:webHidden/>
              </w:rPr>
              <w:fldChar w:fldCharType="separate"/>
            </w:r>
            <w:r>
              <w:rPr>
                <w:noProof/>
                <w:webHidden/>
              </w:rPr>
              <w:t>10</w:t>
            </w:r>
            <w:r>
              <w:rPr>
                <w:noProof/>
                <w:webHidden/>
              </w:rPr>
              <w:fldChar w:fldCharType="end"/>
            </w:r>
          </w:hyperlink>
        </w:p>
        <w:p w14:paraId="67C383A4" w14:textId="615F829E" w:rsidR="006F4FA8" w:rsidRDefault="006F4FA8">
          <w:pPr>
            <w:pStyle w:val="TOC1"/>
            <w:tabs>
              <w:tab w:val="right" w:leader="dot" w:pos="9350"/>
            </w:tabs>
            <w:rPr>
              <w:rFonts w:asciiTheme="minorHAnsi" w:eastAsiaTheme="minorEastAsia" w:hAnsiTheme="minorHAnsi"/>
              <w:noProof/>
              <w:color w:val="auto"/>
              <w:kern w:val="2"/>
              <w:szCs w:val="24"/>
              <w14:ligatures w14:val="standardContextual"/>
            </w:rPr>
          </w:pPr>
          <w:hyperlink w:anchor="_Toc213758797" w:history="1">
            <w:r w:rsidRPr="00147B47">
              <w:rPr>
                <w:rStyle w:val="Hyperlink"/>
                <w:noProof/>
              </w:rPr>
              <w:t>4. Strategic Financial Restructuring Plan</w:t>
            </w:r>
            <w:r>
              <w:rPr>
                <w:noProof/>
                <w:webHidden/>
              </w:rPr>
              <w:tab/>
            </w:r>
            <w:r>
              <w:rPr>
                <w:noProof/>
                <w:webHidden/>
              </w:rPr>
              <w:fldChar w:fldCharType="begin"/>
            </w:r>
            <w:r>
              <w:rPr>
                <w:noProof/>
                <w:webHidden/>
              </w:rPr>
              <w:instrText xml:space="preserve"> PAGEREF _Toc213758797 \h </w:instrText>
            </w:r>
            <w:r>
              <w:rPr>
                <w:noProof/>
                <w:webHidden/>
              </w:rPr>
            </w:r>
            <w:r>
              <w:rPr>
                <w:noProof/>
                <w:webHidden/>
              </w:rPr>
              <w:fldChar w:fldCharType="separate"/>
            </w:r>
            <w:r>
              <w:rPr>
                <w:noProof/>
                <w:webHidden/>
              </w:rPr>
              <w:t>10</w:t>
            </w:r>
            <w:r>
              <w:rPr>
                <w:noProof/>
                <w:webHidden/>
              </w:rPr>
              <w:fldChar w:fldCharType="end"/>
            </w:r>
          </w:hyperlink>
        </w:p>
        <w:p w14:paraId="529E2C21" w14:textId="5A8C999D" w:rsidR="006F4FA8" w:rsidRDefault="006F4FA8">
          <w:pPr>
            <w:pStyle w:val="TOC2"/>
            <w:tabs>
              <w:tab w:val="right" w:leader="dot" w:pos="9350"/>
            </w:tabs>
            <w:rPr>
              <w:rFonts w:asciiTheme="minorHAnsi" w:eastAsiaTheme="minorEastAsia" w:hAnsiTheme="minorHAnsi"/>
              <w:noProof/>
              <w:color w:val="auto"/>
              <w:kern w:val="2"/>
              <w:szCs w:val="24"/>
              <w14:ligatures w14:val="standardContextual"/>
            </w:rPr>
          </w:pPr>
          <w:hyperlink w:anchor="_Toc213758798" w:history="1">
            <w:r w:rsidRPr="00147B47">
              <w:rPr>
                <w:rStyle w:val="Hyperlink"/>
                <w:noProof/>
              </w:rPr>
              <w:t>4.1 Diagnosis of Financial Distress</w:t>
            </w:r>
            <w:r>
              <w:rPr>
                <w:noProof/>
                <w:webHidden/>
              </w:rPr>
              <w:tab/>
            </w:r>
            <w:r>
              <w:rPr>
                <w:noProof/>
                <w:webHidden/>
              </w:rPr>
              <w:fldChar w:fldCharType="begin"/>
            </w:r>
            <w:r>
              <w:rPr>
                <w:noProof/>
                <w:webHidden/>
              </w:rPr>
              <w:instrText xml:space="preserve"> PAGEREF _Toc213758798 \h </w:instrText>
            </w:r>
            <w:r>
              <w:rPr>
                <w:noProof/>
                <w:webHidden/>
              </w:rPr>
            </w:r>
            <w:r>
              <w:rPr>
                <w:noProof/>
                <w:webHidden/>
              </w:rPr>
              <w:fldChar w:fldCharType="separate"/>
            </w:r>
            <w:r>
              <w:rPr>
                <w:noProof/>
                <w:webHidden/>
              </w:rPr>
              <w:t>10</w:t>
            </w:r>
            <w:r>
              <w:rPr>
                <w:noProof/>
                <w:webHidden/>
              </w:rPr>
              <w:fldChar w:fldCharType="end"/>
            </w:r>
          </w:hyperlink>
        </w:p>
        <w:p w14:paraId="190FCA01" w14:textId="6A3AC154" w:rsidR="006F4FA8" w:rsidRDefault="006F4FA8">
          <w:pPr>
            <w:pStyle w:val="TOC2"/>
            <w:tabs>
              <w:tab w:val="right" w:leader="dot" w:pos="9350"/>
            </w:tabs>
            <w:rPr>
              <w:rFonts w:asciiTheme="minorHAnsi" w:eastAsiaTheme="minorEastAsia" w:hAnsiTheme="minorHAnsi"/>
              <w:noProof/>
              <w:color w:val="auto"/>
              <w:kern w:val="2"/>
              <w:szCs w:val="24"/>
              <w14:ligatures w14:val="standardContextual"/>
            </w:rPr>
          </w:pPr>
          <w:hyperlink w:anchor="_Toc213758799" w:history="1">
            <w:r w:rsidRPr="00147B47">
              <w:rPr>
                <w:rStyle w:val="Hyperlink"/>
                <w:bCs/>
                <w:noProof/>
              </w:rPr>
              <w:t>4.2 Restructuring Alternatives</w:t>
            </w:r>
            <w:r>
              <w:rPr>
                <w:noProof/>
                <w:webHidden/>
              </w:rPr>
              <w:tab/>
            </w:r>
            <w:r>
              <w:rPr>
                <w:noProof/>
                <w:webHidden/>
              </w:rPr>
              <w:fldChar w:fldCharType="begin"/>
            </w:r>
            <w:r>
              <w:rPr>
                <w:noProof/>
                <w:webHidden/>
              </w:rPr>
              <w:instrText xml:space="preserve"> PAGEREF _Toc213758799 \h </w:instrText>
            </w:r>
            <w:r>
              <w:rPr>
                <w:noProof/>
                <w:webHidden/>
              </w:rPr>
            </w:r>
            <w:r>
              <w:rPr>
                <w:noProof/>
                <w:webHidden/>
              </w:rPr>
              <w:fldChar w:fldCharType="separate"/>
            </w:r>
            <w:r>
              <w:rPr>
                <w:noProof/>
                <w:webHidden/>
              </w:rPr>
              <w:t>11</w:t>
            </w:r>
            <w:r>
              <w:rPr>
                <w:noProof/>
                <w:webHidden/>
              </w:rPr>
              <w:fldChar w:fldCharType="end"/>
            </w:r>
          </w:hyperlink>
        </w:p>
        <w:p w14:paraId="0DC53DF1" w14:textId="05CC9D3D" w:rsidR="006F4FA8" w:rsidRDefault="006F4FA8">
          <w:pPr>
            <w:pStyle w:val="TOC2"/>
            <w:tabs>
              <w:tab w:val="right" w:leader="dot" w:pos="9350"/>
            </w:tabs>
            <w:rPr>
              <w:rFonts w:asciiTheme="minorHAnsi" w:eastAsiaTheme="minorEastAsia" w:hAnsiTheme="minorHAnsi"/>
              <w:noProof/>
              <w:color w:val="auto"/>
              <w:kern w:val="2"/>
              <w:szCs w:val="24"/>
              <w14:ligatures w14:val="standardContextual"/>
            </w:rPr>
          </w:pPr>
          <w:hyperlink w:anchor="_Toc213758800" w:history="1">
            <w:r w:rsidRPr="00147B47">
              <w:rPr>
                <w:rStyle w:val="Hyperlink"/>
                <w:bCs/>
                <w:noProof/>
              </w:rPr>
              <w:t>4.3 Impact Evaluation</w:t>
            </w:r>
            <w:r>
              <w:rPr>
                <w:noProof/>
                <w:webHidden/>
              </w:rPr>
              <w:tab/>
            </w:r>
            <w:r>
              <w:rPr>
                <w:noProof/>
                <w:webHidden/>
              </w:rPr>
              <w:fldChar w:fldCharType="begin"/>
            </w:r>
            <w:r>
              <w:rPr>
                <w:noProof/>
                <w:webHidden/>
              </w:rPr>
              <w:instrText xml:space="preserve"> PAGEREF _Toc213758800 \h </w:instrText>
            </w:r>
            <w:r>
              <w:rPr>
                <w:noProof/>
                <w:webHidden/>
              </w:rPr>
            </w:r>
            <w:r>
              <w:rPr>
                <w:noProof/>
                <w:webHidden/>
              </w:rPr>
              <w:fldChar w:fldCharType="separate"/>
            </w:r>
            <w:r>
              <w:rPr>
                <w:noProof/>
                <w:webHidden/>
              </w:rPr>
              <w:t>12</w:t>
            </w:r>
            <w:r>
              <w:rPr>
                <w:noProof/>
                <w:webHidden/>
              </w:rPr>
              <w:fldChar w:fldCharType="end"/>
            </w:r>
          </w:hyperlink>
        </w:p>
        <w:p w14:paraId="62E5F528" w14:textId="6EDF7248" w:rsidR="006F4FA8" w:rsidRDefault="006F4FA8">
          <w:pPr>
            <w:pStyle w:val="TOC2"/>
            <w:tabs>
              <w:tab w:val="right" w:leader="dot" w:pos="9350"/>
            </w:tabs>
            <w:rPr>
              <w:rFonts w:asciiTheme="minorHAnsi" w:eastAsiaTheme="minorEastAsia" w:hAnsiTheme="minorHAnsi"/>
              <w:noProof/>
              <w:color w:val="auto"/>
              <w:kern w:val="2"/>
              <w:szCs w:val="24"/>
              <w14:ligatures w14:val="standardContextual"/>
            </w:rPr>
          </w:pPr>
          <w:hyperlink w:anchor="_Toc213758801" w:history="1">
            <w:r w:rsidRPr="00147B47">
              <w:rPr>
                <w:rStyle w:val="Hyperlink"/>
                <w:bCs/>
                <w:noProof/>
              </w:rPr>
              <w:t>4.4 International and Ethical Considerations</w:t>
            </w:r>
            <w:r>
              <w:rPr>
                <w:noProof/>
                <w:webHidden/>
              </w:rPr>
              <w:tab/>
            </w:r>
            <w:r>
              <w:rPr>
                <w:noProof/>
                <w:webHidden/>
              </w:rPr>
              <w:fldChar w:fldCharType="begin"/>
            </w:r>
            <w:r>
              <w:rPr>
                <w:noProof/>
                <w:webHidden/>
              </w:rPr>
              <w:instrText xml:space="preserve"> PAGEREF _Toc213758801 \h </w:instrText>
            </w:r>
            <w:r>
              <w:rPr>
                <w:noProof/>
                <w:webHidden/>
              </w:rPr>
            </w:r>
            <w:r>
              <w:rPr>
                <w:noProof/>
                <w:webHidden/>
              </w:rPr>
              <w:fldChar w:fldCharType="separate"/>
            </w:r>
            <w:r>
              <w:rPr>
                <w:noProof/>
                <w:webHidden/>
              </w:rPr>
              <w:t>13</w:t>
            </w:r>
            <w:r>
              <w:rPr>
                <w:noProof/>
                <w:webHidden/>
              </w:rPr>
              <w:fldChar w:fldCharType="end"/>
            </w:r>
          </w:hyperlink>
        </w:p>
        <w:p w14:paraId="2AFAD89F" w14:textId="0DEAF872" w:rsidR="006F4FA8" w:rsidRDefault="006F4FA8">
          <w:pPr>
            <w:pStyle w:val="TOC2"/>
            <w:tabs>
              <w:tab w:val="right" w:leader="dot" w:pos="9350"/>
            </w:tabs>
            <w:rPr>
              <w:rFonts w:asciiTheme="minorHAnsi" w:eastAsiaTheme="minorEastAsia" w:hAnsiTheme="minorHAnsi"/>
              <w:noProof/>
              <w:color w:val="auto"/>
              <w:kern w:val="2"/>
              <w:szCs w:val="24"/>
              <w14:ligatures w14:val="standardContextual"/>
            </w:rPr>
          </w:pPr>
          <w:hyperlink w:anchor="_Toc213758802" w:history="1">
            <w:r w:rsidRPr="00147B47">
              <w:rPr>
                <w:rStyle w:val="Hyperlink"/>
                <w:bCs/>
                <w:noProof/>
              </w:rPr>
              <w:t>4.5 Preferred Restructuring Strategy</w:t>
            </w:r>
            <w:r>
              <w:rPr>
                <w:noProof/>
                <w:webHidden/>
              </w:rPr>
              <w:tab/>
            </w:r>
            <w:r>
              <w:rPr>
                <w:noProof/>
                <w:webHidden/>
              </w:rPr>
              <w:fldChar w:fldCharType="begin"/>
            </w:r>
            <w:r>
              <w:rPr>
                <w:noProof/>
                <w:webHidden/>
              </w:rPr>
              <w:instrText xml:space="preserve"> PAGEREF _Toc213758802 \h </w:instrText>
            </w:r>
            <w:r>
              <w:rPr>
                <w:noProof/>
                <w:webHidden/>
              </w:rPr>
            </w:r>
            <w:r>
              <w:rPr>
                <w:noProof/>
                <w:webHidden/>
              </w:rPr>
              <w:fldChar w:fldCharType="separate"/>
            </w:r>
            <w:r>
              <w:rPr>
                <w:noProof/>
                <w:webHidden/>
              </w:rPr>
              <w:t>14</w:t>
            </w:r>
            <w:r>
              <w:rPr>
                <w:noProof/>
                <w:webHidden/>
              </w:rPr>
              <w:fldChar w:fldCharType="end"/>
            </w:r>
          </w:hyperlink>
        </w:p>
        <w:p w14:paraId="74552479" w14:textId="52A0D5D5" w:rsidR="006F4FA8" w:rsidRDefault="006F4FA8">
          <w:pPr>
            <w:pStyle w:val="TOC1"/>
            <w:tabs>
              <w:tab w:val="right" w:leader="dot" w:pos="9350"/>
            </w:tabs>
            <w:rPr>
              <w:rFonts w:asciiTheme="minorHAnsi" w:eastAsiaTheme="minorEastAsia" w:hAnsiTheme="minorHAnsi"/>
              <w:noProof/>
              <w:color w:val="auto"/>
              <w:kern w:val="2"/>
              <w:szCs w:val="24"/>
              <w14:ligatures w14:val="standardContextual"/>
            </w:rPr>
          </w:pPr>
          <w:hyperlink w:anchor="_Toc213758803" w:history="1">
            <w:r w:rsidRPr="00147B47">
              <w:rPr>
                <w:rStyle w:val="Hyperlink"/>
                <w:noProof/>
              </w:rPr>
              <w:t>5. Investment Appraisal and Capital Budgeting</w:t>
            </w:r>
            <w:r>
              <w:rPr>
                <w:noProof/>
                <w:webHidden/>
              </w:rPr>
              <w:tab/>
            </w:r>
            <w:r>
              <w:rPr>
                <w:noProof/>
                <w:webHidden/>
              </w:rPr>
              <w:fldChar w:fldCharType="begin"/>
            </w:r>
            <w:r>
              <w:rPr>
                <w:noProof/>
                <w:webHidden/>
              </w:rPr>
              <w:instrText xml:space="preserve"> PAGEREF _Toc213758803 \h </w:instrText>
            </w:r>
            <w:r>
              <w:rPr>
                <w:noProof/>
                <w:webHidden/>
              </w:rPr>
            </w:r>
            <w:r>
              <w:rPr>
                <w:noProof/>
                <w:webHidden/>
              </w:rPr>
              <w:fldChar w:fldCharType="separate"/>
            </w:r>
            <w:r>
              <w:rPr>
                <w:noProof/>
                <w:webHidden/>
              </w:rPr>
              <w:t>14</w:t>
            </w:r>
            <w:r>
              <w:rPr>
                <w:noProof/>
                <w:webHidden/>
              </w:rPr>
              <w:fldChar w:fldCharType="end"/>
            </w:r>
          </w:hyperlink>
        </w:p>
        <w:p w14:paraId="01653890" w14:textId="275E6CAF" w:rsidR="006F4FA8" w:rsidRDefault="006F4FA8">
          <w:pPr>
            <w:pStyle w:val="TOC2"/>
            <w:tabs>
              <w:tab w:val="right" w:leader="dot" w:pos="9350"/>
            </w:tabs>
            <w:rPr>
              <w:rFonts w:asciiTheme="minorHAnsi" w:eastAsiaTheme="minorEastAsia" w:hAnsiTheme="minorHAnsi"/>
              <w:noProof/>
              <w:color w:val="auto"/>
              <w:kern w:val="2"/>
              <w:szCs w:val="24"/>
              <w14:ligatures w14:val="standardContextual"/>
            </w:rPr>
          </w:pPr>
          <w:hyperlink w:anchor="_Toc213758804" w:history="1">
            <w:r w:rsidRPr="00147B47">
              <w:rPr>
                <w:rStyle w:val="Hyperlink"/>
                <w:noProof/>
              </w:rPr>
              <w:t>5.1 Overview of Investment Decision Context</w:t>
            </w:r>
            <w:r>
              <w:rPr>
                <w:noProof/>
                <w:webHidden/>
              </w:rPr>
              <w:tab/>
            </w:r>
            <w:r>
              <w:rPr>
                <w:noProof/>
                <w:webHidden/>
              </w:rPr>
              <w:fldChar w:fldCharType="begin"/>
            </w:r>
            <w:r>
              <w:rPr>
                <w:noProof/>
                <w:webHidden/>
              </w:rPr>
              <w:instrText xml:space="preserve"> PAGEREF _Toc213758804 \h </w:instrText>
            </w:r>
            <w:r>
              <w:rPr>
                <w:noProof/>
                <w:webHidden/>
              </w:rPr>
            </w:r>
            <w:r>
              <w:rPr>
                <w:noProof/>
                <w:webHidden/>
              </w:rPr>
              <w:fldChar w:fldCharType="separate"/>
            </w:r>
            <w:r>
              <w:rPr>
                <w:noProof/>
                <w:webHidden/>
              </w:rPr>
              <w:t>14</w:t>
            </w:r>
            <w:r>
              <w:rPr>
                <w:noProof/>
                <w:webHidden/>
              </w:rPr>
              <w:fldChar w:fldCharType="end"/>
            </w:r>
          </w:hyperlink>
        </w:p>
        <w:p w14:paraId="23379081" w14:textId="73539CFA" w:rsidR="006F4FA8" w:rsidRDefault="006F4FA8">
          <w:pPr>
            <w:pStyle w:val="TOC2"/>
            <w:tabs>
              <w:tab w:val="right" w:leader="dot" w:pos="9350"/>
            </w:tabs>
            <w:rPr>
              <w:rFonts w:asciiTheme="minorHAnsi" w:eastAsiaTheme="minorEastAsia" w:hAnsiTheme="minorHAnsi"/>
              <w:noProof/>
              <w:color w:val="auto"/>
              <w:kern w:val="2"/>
              <w:szCs w:val="24"/>
              <w14:ligatures w14:val="standardContextual"/>
            </w:rPr>
          </w:pPr>
          <w:hyperlink w:anchor="_Toc213758805" w:history="1">
            <w:r w:rsidRPr="00147B47">
              <w:rPr>
                <w:rStyle w:val="Hyperlink"/>
                <w:bCs/>
                <w:noProof/>
              </w:rPr>
              <w:t>5.2 Appraisal Techniques and Assumptions</w:t>
            </w:r>
            <w:r>
              <w:rPr>
                <w:noProof/>
                <w:webHidden/>
              </w:rPr>
              <w:tab/>
            </w:r>
            <w:r>
              <w:rPr>
                <w:noProof/>
                <w:webHidden/>
              </w:rPr>
              <w:fldChar w:fldCharType="begin"/>
            </w:r>
            <w:r>
              <w:rPr>
                <w:noProof/>
                <w:webHidden/>
              </w:rPr>
              <w:instrText xml:space="preserve"> PAGEREF _Toc213758805 \h </w:instrText>
            </w:r>
            <w:r>
              <w:rPr>
                <w:noProof/>
                <w:webHidden/>
              </w:rPr>
            </w:r>
            <w:r>
              <w:rPr>
                <w:noProof/>
                <w:webHidden/>
              </w:rPr>
              <w:fldChar w:fldCharType="separate"/>
            </w:r>
            <w:r>
              <w:rPr>
                <w:noProof/>
                <w:webHidden/>
              </w:rPr>
              <w:t>14</w:t>
            </w:r>
            <w:r>
              <w:rPr>
                <w:noProof/>
                <w:webHidden/>
              </w:rPr>
              <w:fldChar w:fldCharType="end"/>
            </w:r>
          </w:hyperlink>
        </w:p>
        <w:p w14:paraId="25AF7471" w14:textId="23070423" w:rsidR="006F4FA8" w:rsidRDefault="006F4FA8">
          <w:pPr>
            <w:pStyle w:val="TOC2"/>
            <w:tabs>
              <w:tab w:val="right" w:leader="dot" w:pos="9350"/>
            </w:tabs>
            <w:rPr>
              <w:rFonts w:asciiTheme="minorHAnsi" w:eastAsiaTheme="minorEastAsia" w:hAnsiTheme="minorHAnsi"/>
              <w:noProof/>
              <w:color w:val="auto"/>
              <w:kern w:val="2"/>
              <w:szCs w:val="24"/>
              <w14:ligatures w14:val="standardContextual"/>
            </w:rPr>
          </w:pPr>
          <w:hyperlink w:anchor="_Toc213758806" w:history="1">
            <w:r w:rsidRPr="00147B47">
              <w:rPr>
                <w:rStyle w:val="Hyperlink"/>
                <w:noProof/>
              </w:rPr>
              <w:t>5.3 Computation of Investment Metrics</w:t>
            </w:r>
            <w:r>
              <w:rPr>
                <w:noProof/>
                <w:webHidden/>
              </w:rPr>
              <w:tab/>
            </w:r>
            <w:r>
              <w:rPr>
                <w:noProof/>
                <w:webHidden/>
              </w:rPr>
              <w:fldChar w:fldCharType="begin"/>
            </w:r>
            <w:r>
              <w:rPr>
                <w:noProof/>
                <w:webHidden/>
              </w:rPr>
              <w:instrText xml:space="preserve"> PAGEREF _Toc213758806 \h </w:instrText>
            </w:r>
            <w:r>
              <w:rPr>
                <w:noProof/>
                <w:webHidden/>
              </w:rPr>
            </w:r>
            <w:r>
              <w:rPr>
                <w:noProof/>
                <w:webHidden/>
              </w:rPr>
              <w:fldChar w:fldCharType="separate"/>
            </w:r>
            <w:r>
              <w:rPr>
                <w:noProof/>
                <w:webHidden/>
              </w:rPr>
              <w:t>15</w:t>
            </w:r>
            <w:r>
              <w:rPr>
                <w:noProof/>
                <w:webHidden/>
              </w:rPr>
              <w:fldChar w:fldCharType="end"/>
            </w:r>
          </w:hyperlink>
        </w:p>
        <w:p w14:paraId="5712CE48" w14:textId="4981A35B" w:rsidR="006F4FA8" w:rsidRDefault="006F4FA8">
          <w:pPr>
            <w:pStyle w:val="TOC2"/>
            <w:tabs>
              <w:tab w:val="right" w:leader="dot" w:pos="9350"/>
            </w:tabs>
            <w:rPr>
              <w:rFonts w:asciiTheme="minorHAnsi" w:eastAsiaTheme="minorEastAsia" w:hAnsiTheme="minorHAnsi"/>
              <w:noProof/>
              <w:color w:val="auto"/>
              <w:kern w:val="2"/>
              <w:szCs w:val="24"/>
              <w14:ligatures w14:val="standardContextual"/>
            </w:rPr>
          </w:pPr>
          <w:hyperlink w:anchor="_Toc213758807" w:history="1">
            <w:r w:rsidRPr="00147B47">
              <w:rPr>
                <w:rStyle w:val="Hyperlink"/>
                <w:bCs/>
                <w:noProof/>
              </w:rPr>
              <w:t>5.4 Interpretation of Results</w:t>
            </w:r>
            <w:r>
              <w:rPr>
                <w:noProof/>
                <w:webHidden/>
              </w:rPr>
              <w:tab/>
            </w:r>
            <w:r>
              <w:rPr>
                <w:noProof/>
                <w:webHidden/>
              </w:rPr>
              <w:fldChar w:fldCharType="begin"/>
            </w:r>
            <w:r>
              <w:rPr>
                <w:noProof/>
                <w:webHidden/>
              </w:rPr>
              <w:instrText xml:space="preserve"> PAGEREF _Toc213758807 \h </w:instrText>
            </w:r>
            <w:r>
              <w:rPr>
                <w:noProof/>
                <w:webHidden/>
              </w:rPr>
            </w:r>
            <w:r>
              <w:rPr>
                <w:noProof/>
                <w:webHidden/>
              </w:rPr>
              <w:fldChar w:fldCharType="separate"/>
            </w:r>
            <w:r>
              <w:rPr>
                <w:noProof/>
                <w:webHidden/>
              </w:rPr>
              <w:t>18</w:t>
            </w:r>
            <w:r>
              <w:rPr>
                <w:noProof/>
                <w:webHidden/>
              </w:rPr>
              <w:fldChar w:fldCharType="end"/>
            </w:r>
          </w:hyperlink>
        </w:p>
        <w:p w14:paraId="07807D55" w14:textId="6998C445" w:rsidR="006F4FA8" w:rsidRDefault="006F4FA8">
          <w:pPr>
            <w:pStyle w:val="TOC2"/>
            <w:tabs>
              <w:tab w:val="right" w:leader="dot" w:pos="9350"/>
            </w:tabs>
            <w:rPr>
              <w:rFonts w:asciiTheme="minorHAnsi" w:eastAsiaTheme="minorEastAsia" w:hAnsiTheme="minorHAnsi"/>
              <w:noProof/>
              <w:color w:val="auto"/>
              <w:kern w:val="2"/>
              <w:szCs w:val="24"/>
              <w14:ligatures w14:val="standardContextual"/>
            </w:rPr>
          </w:pPr>
          <w:hyperlink w:anchor="_Toc213758808" w:history="1">
            <w:r w:rsidRPr="00147B47">
              <w:rPr>
                <w:rStyle w:val="Hyperlink"/>
                <w:noProof/>
              </w:rPr>
              <w:t>5.5 Capital Rationing Decision</w:t>
            </w:r>
            <w:r>
              <w:rPr>
                <w:noProof/>
                <w:webHidden/>
              </w:rPr>
              <w:tab/>
            </w:r>
            <w:r>
              <w:rPr>
                <w:noProof/>
                <w:webHidden/>
              </w:rPr>
              <w:fldChar w:fldCharType="begin"/>
            </w:r>
            <w:r>
              <w:rPr>
                <w:noProof/>
                <w:webHidden/>
              </w:rPr>
              <w:instrText xml:space="preserve"> PAGEREF _Toc213758808 \h </w:instrText>
            </w:r>
            <w:r>
              <w:rPr>
                <w:noProof/>
                <w:webHidden/>
              </w:rPr>
            </w:r>
            <w:r>
              <w:rPr>
                <w:noProof/>
                <w:webHidden/>
              </w:rPr>
              <w:fldChar w:fldCharType="separate"/>
            </w:r>
            <w:r>
              <w:rPr>
                <w:noProof/>
                <w:webHidden/>
              </w:rPr>
              <w:t>19</w:t>
            </w:r>
            <w:r>
              <w:rPr>
                <w:noProof/>
                <w:webHidden/>
              </w:rPr>
              <w:fldChar w:fldCharType="end"/>
            </w:r>
          </w:hyperlink>
        </w:p>
        <w:p w14:paraId="6754E784" w14:textId="550DDFAA" w:rsidR="006F4FA8" w:rsidRDefault="006F4FA8">
          <w:pPr>
            <w:pStyle w:val="TOC2"/>
            <w:tabs>
              <w:tab w:val="right" w:leader="dot" w:pos="9350"/>
            </w:tabs>
            <w:rPr>
              <w:rFonts w:asciiTheme="minorHAnsi" w:eastAsiaTheme="minorEastAsia" w:hAnsiTheme="minorHAnsi"/>
              <w:noProof/>
              <w:color w:val="auto"/>
              <w:kern w:val="2"/>
              <w:szCs w:val="24"/>
              <w14:ligatures w14:val="standardContextual"/>
            </w:rPr>
          </w:pPr>
          <w:hyperlink w:anchor="_Toc213758809" w:history="1">
            <w:r w:rsidRPr="00147B47">
              <w:rPr>
                <w:rStyle w:val="Hyperlink"/>
                <w:bCs/>
                <w:noProof/>
              </w:rPr>
              <w:t>5.6 Risk Analysis and Sensitivity Review</w:t>
            </w:r>
            <w:r>
              <w:rPr>
                <w:noProof/>
                <w:webHidden/>
              </w:rPr>
              <w:tab/>
            </w:r>
            <w:r>
              <w:rPr>
                <w:noProof/>
                <w:webHidden/>
              </w:rPr>
              <w:fldChar w:fldCharType="begin"/>
            </w:r>
            <w:r>
              <w:rPr>
                <w:noProof/>
                <w:webHidden/>
              </w:rPr>
              <w:instrText xml:space="preserve"> PAGEREF _Toc213758809 \h </w:instrText>
            </w:r>
            <w:r>
              <w:rPr>
                <w:noProof/>
                <w:webHidden/>
              </w:rPr>
            </w:r>
            <w:r>
              <w:rPr>
                <w:noProof/>
                <w:webHidden/>
              </w:rPr>
              <w:fldChar w:fldCharType="separate"/>
            </w:r>
            <w:r>
              <w:rPr>
                <w:noProof/>
                <w:webHidden/>
              </w:rPr>
              <w:t>19</w:t>
            </w:r>
            <w:r>
              <w:rPr>
                <w:noProof/>
                <w:webHidden/>
              </w:rPr>
              <w:fldChar w:fldCharType="end"/>
            </w:r>
          </w:hyperlink>
        </w:p>
        <w:p w14:paraId="3F42914A" w14:textId="0E1CE670" w:rsidR="006F4FA8" w:rsidRDefault="006F4FA8">
          <w:pPr>
            <w:pStyle w:val="TOC2"/>
            <w:tabs>
              <w:tab w:val="right" w:leader="dot" w:pos="9350"/>
            </w:tabs>
            <w:rPr>
              <w:rFonts w:asciiTheme="minorHAnsi" w:eastAsiaTheme="minorEastAsia" w:hAnsiTheme="minorHAnsi"/>
              <w:noProof/>
              <w:color w:val="auto"/>
              <w:kern w:val="2"/>
              <w:szCs w:val="24"/>
              <w14:ligatures w14:val="standardContextual"/>
            </w:rPr>
          </w:pPr>
          <w:hyperlink w:anchor="_Toc213758810" w:history="1">
            <w:r w:rsidRPr="00147B47">
              <w:rPr>
                <w:rStyle w:val="Hyperlink"/>
                <w:bCs/>
                <w:noProof/>
              </w:rPr>
              <w:t>5.7 Final Recommendation</w:t>
            </w:r>
            <w:r>
              <w:rPr>
                <w:noProof/>
                <w:webHidden/>
              </w:rPr>
              <w:tab/>
            </w:r>
            <w:r>
              <w:rPr>
                <w:noProof/>
                <w:webHidden/>
              </w:rPr>
              <w:fldChar w:fldCharType="begin"/>
            </w:r>
            <w:r>
              <w:rPr>
                <w:noProof/>
                <w:webHidden/>
              </w:rPr>
              <w:instrText xml:space="preserve"> PAGEREF _Toc213758810 \h </w:instrText>
            </w:r>
            <w:r>
              <w:rPr>
                <w:noProof/>
                <w:webHidden/>
              </w:rPr>
            </w:r>
            <w:r>
              <w:rPr>
                <w:noProof/>
                <w:webHidden/>
              </w:rPr>
              <w:fldChar w:fldCharType="separate"/>
            </w:r>
            <w:r>
              <w:rPr>
                <w:noProof/>
                <w:webHidden/>
              </w:rPr>
              <w:t>20</w:t>
            </w:r>
            <w:r>
              <w:rPr>
                <w:noProof/>
                <w:webHidden/>
              </w:rPr>
              <w:fldChar w:fldCharType="end"/>
            </w:r>
          </w:hyperlink>
        </w:p>
        <w:p w14:paraId="77CC91A8" w14:textId="5D393631" w:rsidR="006F4FA8" w:rsidRDefault="006F4FA8">
          <w:pPr>
            <w:pStyle w:val="TOC1"/>
            <w:tabs>
              <w:tab w:val="right" w:leader="dot" w:pos="9350"/>
            </w:tabs>
            <w:rPr>
              <w:rFonts w:asciiTheme="minorHAnsi" w:eastAsiaTheme="minorEastAsia" w:hAnsiTheme="minorHAnsi"/>
              <w:noProof/>
              <w:color w:val="auto"/>
              <w:kern w:val="2"/>
              <w:szCs w:val="24"/>
              <w14:ligatures w14:val="standardContextual"/>
            </w:rPr>
          </w:pPr>
          <w:hyperlink w:anchor="_Toc213758811" w:history="1">
            <w:r w:rsidRPr="00147B47">
              <w:rPr>
                <w:rStyle w:val="Hyperlink"/>
                <w:noProof/>
              </w:rPr>
              <w:t>6. Conclusion</w:t>
            </w:r>
            <w:r>
              <w:rPr>
                <w:noProof/>
                <w:webHidden/>
              </w:rPr>
              <w:tab/>
            </w:r>
            <w:r>
              <w:rPr>
                <w:noProof/>
                <w:webHidden/>
              </w:rPr>
              <w:fldChar w:fldCharType="begin"/>
            </w:r>
            <w:r>
              <w:rPr>
                <w:noProof/>
                <w:webHidden/>
              </w:rPr>
              <w:instrText xml:space="preserve"> PAGEREF _Toc213758811 \h </w:instrText>
            </w:r>
            <w:r>
              <w:rPr>
                <w:noProof/>
                <w:webHidden/>
              </w:rPr>
            </w:r>
            <w:r>
              <w:rPr>
                <w:noProof/>
                <w:webHidden/>
              </w:rPr>
              <w:fldChar w:fldCharType="separate"/>
            </w:r>
            <w:r>
              <w:rPr>
                <w:noProof/>
                <w:webHidden/>
              </w:rPr>
              <w:t>20</w:t>
            </w:r>
            <w:r>
              <w:rPr>
                <w:noProof/>
                <w:webHidden/>
              </w:rPr>
              <w:fldChar w:fldCharType="end"/>
            </w:r>
          </w:hyperlink>
        </w:p>
        <w:p w14:paraId="7DFCC8B2" w14:textId="2A67EE4B" w:rsidR="006F4FA8" w:rsidRDefault="006F4FA8">
          <w:pPr>
            <w:pStyle w:val="TOC1"/>
            <w:tabs>
              <w:tab w:val="right" w:leader="dot" w:pos="9350"/>
            </w:tabs>
            <w:rPr>
              <w:rFonts w:asciiTheme="minorHAnsi" w:eastAsiaTheme="minorEastAsia" w:hAnsiTheme="minorHAnsi"/>
              <w:noProof/>
              <w:color w:val="auto"/>
              <w:kern w:val="2"/>
              <w:szCs w:val="24"/>
              <w14:ligatures w14:val="standardContextual"/>
            </w:rPr>
          </w:pPr>
          <w:hyperlink w:anchor="_Toc213758812" w:history="1">
            <w:r w:rsidRPr="00147B47">
              <w:rPr>
                <w:rStyle w:val="Hyperlink"/>
                <w:noProof/>
              </w:rPr>
              <w:t>7. References</w:t>
            </w:r>
            <w:r>
              <w:rPr>
                <w:noProof/>
                <w:webHidden/>
              </w:rPr>
              <w:tab/>
            </w:r>
            <w:r>
              <w:rPr>
                <w:noProof/>
                <w:webHidden/>
              </w:rPr>
              <w:fldChar w:fldCharType="begin"/>
            </w:r>
            <w:r>
              <w:rPr>
                <w:noProof/>
                <w:webHidden/>
              </w:rPr>
              <w:instrText xml:space="preserve"> PAGEREF _Toc213758812 \h </w:instrText>
            </w:r>
            <w:r>
              <w:rPr>
                <w:noProof/>
                <w:webHidden/>
              </w:rPr>
            </w:r>
            <w:r>
              <w:rPr>
                <w:noProof/>
                <w:webHidden/>
              </w:rPr>
              <w:fldChar w:fldCharType="separate"/>
            </w:r>
            <w:r>
              <w:rPr>
                <w:noProof/>
                <w:webHidden/>
              </w:rPr>
              <w:t>21</w:t>
            </w:r>
            <w:r>
              <w:rPr>
                <w:noProof/>
                <w:webHidden/>
              </w:rPr>
              <w:fldChar w:fldCharType="end"/>
            </w:r>
          </w:hyperlink>
        </w:p>
        <w:p w14:paraId="65AC5FCE" w14:textId="1CEC694A" w:rsidR="006F4FA8" w:rsidRDefault="006F4FA8">
          <w:pPr>
            <w:pStyle w:val="TOC1"/>
            <w:tabs>
              <w:tab w:val="right" w:leader="dot" w:pos="9350"/>
            </w:tabs>
            <w:rPr>
              <w:rFonts w:asciiTheme="minorHAnsi" w:eastAsiaTheme="minorEastAsia" w:hAnsiTheme="minorHAnsi"/>
              <w:noProof/>
              <w:color w:val="auto"/>
              <w:kern w:val="2"/>
              <w:szCs w:val="24"/>
              <w14:ligatures w14:val="standardContextual"/>
            </w:rPr>
          </w:pPr>
          <w:hyperlink w:anchor="_Toc213758813" w:history="1">
            <w:r w:rsidRPr="00147B47">
              <w:rPr>
                <w:rStyle w:val="Hyperlink"/>
                <w:noProof/>
              </w:rPr>
              <w:t>8. Appendix</w:t>
            </w:r>
            <w:r>
              <w:rPr>
                <w:noProof/>
                <w:webHidden/>
              </w:rPr>
              <w:tab/>
            </w:r>
            <w:r>
              <w:rPr>
                <w:noProof/>
                <w:webHidden/>
              </w:rPr>
              <w:fldChar w:fldCharType="begin"/>
            </w:r>
            <w:r>
              <w:rPr>
                <w:noProof/>
                <w:webHidden/>
              </w:rPr>
              <w:instrText xml:space="preserve"> PAGEREF _Toc213758813 \h </w:instrText>
            </w:r>
            <w:r>
              <w:rPr>
                <w:noProof/>
                <w:webHidden/>
              </w:rPr>
            </w:r>
            <w:r>
              <w:rPr>
                <w:noProof/>
                <w:webHidden/>
              </w:rPr>
              <w:fldChar w:fldCharType="separate"/>
            </w:r>
            <w:r>
              <w:rPr>
                <w:noProof/>
                <w:webHidden/>
              </w:rPr>
              <w:t>24</w:t>
            </w:r>
            <w:r>
              <w:rPr>
                <w:noProof/>
                <w:webHidden/>
              </w:rPr>
              <w:fldChar w:fldCharType="end"/>
            </w:r>
          </w:hyperlink>
        </w:p>
        <w:p w14:paraId="322056EC" w14:textId="20E44784" w:rsidR="002C3303" w:rsidRPr="00EB3A45" w:rsidRDefault="002C3303" w:rsidP="002C3303">
          <w:pPr>
            <w:jc w:val="both"/>
            <w:rPr>
              <w:rFonts w:cs="Times New Roman"/>
              <w:color w:val="auto"/>
              <w:szCs w:val="24"/>
            </w:rPr>
          </w:pPr>
          <w:r w:rsidRPr="00EB3A45">
            <w:rPr>
              <w:rFonts w:cs="Times New Roman"/>
              <w:b/>
              <w:bCs/>
              <w:noProof/>
              <w:color w:val="auto"/>
              <w:szCs w:val="24"/>
            </w:rPr>
            <w:fldChar w:fldCharType="end"/>
          </w:r>
        </w:p>
      </w:sdtContent>
    </w:sdt>
    <w:p w14:paraId="1DB36A30" w14:textId="77777777" w:rsidR="002C3303" w:rsidRDefault="002C3303" w:rsidP="002C3303">
      <w:pPr>
        <w:spacing w:line="259" w:lineRule="auto"/>
        <w:rPr>
          <w:rFonts w:eastAsia="Times New Roman" w:cs="Times New Roman"/>
          <w:b/>
          <w:sz w:val="28"/>
          <w:szCs w:val="32"/>
        </w:rPr>
      </w:pPr>
      <w:r>
        <w:rPr>
          <w:rFonts w:eastAsia="Times New Roman"/>
        </w:rPr>
        <w:br w:type="page"/>
      </w:r>
    </w:p>
    <w:p w14:paraId="06FD6DBC" w14:textId="77777777" w:rsidR="002C3303" w:rsidRPr="00E255EF" w:rsidRDefault="002C3303" w:rsidP="002C3303">
      <w:pPr>
        <w:pStyle w:val="Heading1"/>
        <w:rPr>
          <w:rFonts w:eastAsia="Times New Roman"/>
        </w:rPr>
      </w:pPr>
      <w:bookmarkStart w:id="0" w:name="_Toc213758780"/>
      <w:r w:rsidRPr="00E255EF">
        <w:rPr>
          <w:rFonts w:eastAsia="Times New Roman"/>
        </w:rPr>
        <w:lastRenderedPageBreak/>
        <w:t>1. Introduction</w:t>
      </w:r>
      <w:bookmarkEnd w:id="0"/>
      <w:r w:rsidRPr="00E255EF">
        <w:rPr>
          <w:rFonts w:eastAsia="Times New Roman"/>
        </w:rPr>
        <w:t xml:space="preserve"> </w:t>
      </w:r>
    </w:p>
    <w:p w14:paraId="40EFB0E7" w14:textId="53B9CC4B" w:rsidR="00547F50" w:rsidRDefault="00547F50" w:rsidP="00547F50">
      <w:pPr>
        <w:pStyle w:val="NormalWeb"/>
        <w:spacing w:line="360" w:lineRule="auto"/>
        <w:jc w:val="both"/>
      </w:pPr>
      <w:r>
        <w:t xml:space="preserve">The General Electronics is a multinational company that produces consumer electronics, and the financial depreciation of which has been extremely high in the last five years. </w:t>
      </w:r>
      <w:r w:rsidR="0071261B" w:rsidRPr="0071261B">
        <w:t>Net sales were reduced to £394,879 million in 2024 from £614,680 million in 2020 which is a 36% reduction. However, there was a swing from a net income of £38,572 million profit to a net income of £24,029 million loss. Shareholders’ equity decreased from £313,301 million to £153,105 million, reflecting loss of value and investor confidence</w:t>
      </w:r>
      <w:r>
        <w:t>. This shrinkage may be associated with operational inefficiency, costiness, or structural surplus.</w:t>
      </w:r>
    </w:p>
    <w:p w14:paraId="466268CE" w14:textId="77777777" w:rsidR="00547F50" w:rsidRDefault="00547F50" w:rsidP="00547F50">
      <w:pPr>
        <w:pStyle w:val="NormalWeb"/>
        <w:spacing w:line="360" w:lineRule="auto"/>
        <w:jc w:val="both"/>
      </w:pPr>
      <w:r>
        <w:t>To that effect, a new Chief Financial Officer has been hired to stabilise liquidity, redesign capital, and reclaim long-term profitability. The report evaluates the financial position of this company based on ratios and cash flows to evaluate the company financial position, working capital efficiency and sets a strategic restructuring plan based on divestitures, debt management and probable mergers. Lastly, investment appraisal is the process of making capital allocation decisions among three projects through PBP, ARR, NPV, PI, and IRR. Collectively, these reviews present evidence-driven recommendations to recover sustainably and rebuild shareholder value.</w:t>
      </w:r>
    </w:p>
    <w:p w14:paraId="499283E7" w14:textId="77777777" w:rsidR="00AE1ED7" w:rsidRPr="00573083" w:rsidRDefault="00AE1ED7" w:rsidP="00903432">
      <w:pPr>
        <w:pStyle w:val="Heading1"/>
        <w:rPr>
          <w:rFonts w:eastAsia="Times New Roman"/>
        </w:rPr>
      </w:pPr>
      <w:bookmarkStart w:id="1" w:name="_Toc213758781"/>
      <w:r w:rsidRPr="00573083">
        <w:rPr>
          <w:rFonts w:eastAsia="Times New Roman"/>
        </w:rPr>
        <w:t>2. Financial Health Check</w:t>
      </w:r>
      <w:bookmarkEnd w:id="1"/>
      <w:r w:rsidRPr="00573083">
        <w:rPr>
          <w:rFonts w:eastAsia="Times New Roman"/>
        </w:rPr>
        <w:t xml:space="preserve"> </w:t>
      </w:r>
    </w:p>
    <w:p w14:paraId="14DAFE20" w14:textId="77777777" w:rsidR="00AE1ED7" w:rsidRPr="00573083" w:rsidRDefault="00AE1ED7" w:rsidP="00687C42">
      <w:pPr>
        <w:pStyle w:val="Heading2"/>
        <w:rPr>
          <w:rFonts w:eastAsia="Times New Roman"/>
        </w:rPr>
      </w:pPr>
      <w:bookmarkStart w:id="2" w:name="_Toc213758782"/>
      <w:r w:rsidRPr="00573083">
        <w:rPr>
          <w:rFonts w:eastAsia="Times New Roman"/>
        </w:rPr>
        <w:t>2.1 Overview of Financial Data</w:t>
      </w:r>
      <w:bookmarkEnd w:id="2"/>
      <w:r w:rsidRPr="00573083">
        <w:rPr>
          <w:rFonts w:eastAsia="Times New Roman"/>
        </w:rPr>
        <w:t xml:space="preserve"> </w:t>
      </w:r>
    </w:p>
    <w:p w14:paraId="623B353A" w14:textId="1767585C" w:rsidR="00547F50" w:rsidRDefault="00547F50" w:rsidP="00547F50">
      <w:pPr>
        <w:pStyle w:val="NormalWeb"/>
        <w:spacing w:line="360" w:lineRule="auto"/>
        <w:jc w:val="both"/>
      </w:pPr>
      <w:r>
        <w:t xml:space="preserve">General Electronics 2020-2024 financial statements show slow deterioration of performance. </w:t>
      </w:r>
      <w:r w:rsidR="00310967" w:rsidRPr="00310967">
        <w:t>The revenue has significantly decreased from £614,680 million in 2020 to £394,879 million in 2024, which is a reduction of approximately 36%. The organization recorded a net profit of £38,572 million in the year 2020 but it started incurring net losses worth £24,029 million in the year 2024. Likewise, shareholders’ equity declining from £313,301 million to £153,105 million depicts a fall of about 51%. Even with substantial asset sales, total assets reduced over the year from £510,290 million in 2020 to £323,354 million eyeing 2024. Thus, there was a decline of 37%</w:t>
      </w:r>
      <w:r>
        <w:t>. The general tendency is not only lower profitability but also serious dilution of the capital structure. This negative trend indicates a decline in demand, productivity and investor confidence in a highly competitive market (Harrigan and Wing, 2021).</w:t>
      </w:r>
    </w:p>
    <w:p w14:paraId="0C8555E2" w14:textId="77777777" w:rsidR="0002730D" w:rsidRPr="00573083" w:rsidRDefault="0002730D" w:rsidP="00687C42">
      <w:pPr>
        <w:pStyle w:val="Heading2"/>
        <w:rPr>
          <w:rFonts w:eastAsia="Times New Roman"/>
        </w:rPr>
      </w:pPr>
      <w:bookmarkStart w:id="3" w:name="_Toc213758783"/>
      <w:r w:rsidRPr="00573083">
        <w:rPr>
          <w:rFonts w:eastAsia="Times New Roman"/>
        </w:rPr>
        <w:lastRenderedPageBreak/>
        <w:t>2.2 Profitability Ratios</w:t>
      </w:r>
      <w:bookmarkEnd w:id="3"/>
      <w:r w:rsidRPr="00573083">
        <w:rPr>
          <w:rFonts w:eastAsia="Times New Roman"/>
        </w:rPr>
        <w:t xml:space="preserve"> </w:t>
      </w:r>
    </w:p>
    <w:p w14:paraId="506EBC1B" w14:textId="296729B7" w:rsidR="00E310B1" w:rsidRDefault="00547F50" w:rsidP="00E310B1">
      <w:pPr>
        <w:pStyle w:val="NormalWeb"/>
        <w:spacing w:line="360" w:lineRule="auto"/>
        <w:jc w:val="both"/>
      </w:pPr>
      <w:r>
        <w:t xml:space="preserve">Profiles of profitability ratios identify how the company utilizes sales and assets to obtain returns. </w:t>
      </w:r>
      <w:r w:rsidR="00E310B1">
        <w:t xml:space="preserve">The GPM, which is the value of </w:t>
      </w:r>
      <w:r w:rsidR="00E310B1" w:rsidRPr="00250D0F">
        <w:rPr>
          <w:i/>
          <w:iCs/>
        </w:rPr>
        <w:t>Gross Profit</w:t>
      </w:r>
      <w:r w:rsidR="00E310B1">
        <w:t xml:space="preserve"> divided by </w:t>
      </w:r>
      <w:r w:rsidR="00E310B1" w:rsidRPr="00250D0F">
        <w:rPr>
          <w:i/>
          <w:iCs/>
        </w:rPr>
        <w:t>Net Sales</w:t>
      </w:r>
      <w:r w:rsidR="00E310B1">
        <w:t xml:space="preserve">, fell from 28.7% in 2020 (£176,256m ÷ £614,680m) to 28.9% in 2024 (£113,994m ÷ £394,879m). Though it has been </w:t>
      </w:r>
      <w:r w:rsidR="00250D0F">
        <w:t>stabling</w:t>
      </w:r>
      <w:r w:rsidR="00E310B1">
        <w:t xml:space="preserve"> for the last couple of years, the underlying gross profit decreased by £62,262 million due to volume shrinkage and higher production costs. From a good Operating Profit Margin (OPM) of 6.1% in 2020 (£37,267m ÷ £614,680m), it dropped to a negative 3.9% in 2024 (Operating Income ÷ Net Sales). </w:t>
      </w:r>
      <w:r w:rsidR="00250D0F">
        <w:t>So,</w:t>
      </w:r>
      <w:r w:rsidR="00E310B1">
        <w:t xml:space="preserve"> its operating losses are due to rising costs. The percentage of profit a firm earns after covering the costs of goods and services sold is called Net Profit Margin. This is measured by </w:t>
      </w:r>
      <w:r w:rsidR="00E310B1" w:rsidRPr="00FB1449">
        <w:rPr>
          <w:i/>
          <w:iCs/>
        </w:rPr>
        <w:t>Net Income ÷ Net Sales</w:t>
      </w:r>
      <w:r w:rsidR="00E310B1">
        <w:t>. It was down from 6.3% to –6.1%, thus proving that the firm is no longer covering its cost of capital (Xu, Dong and Hu, 2022).</w:t>
      </w:r>
    </w:p>
    <w:p w14:paraId="17362023" w14:textId="7C5C370A" w:rsidR="00547F50" w:rsidRDefault="00E310B1" w:rsidP="00E310B1">
      <w:pPr>
        <w:pStyle w:val="NormalWeb"/>
        <w:spacing w:line="360" w:lineRule="auto"/>
        <w:jc w:val="both"/>
      </w:pPr>
      <w:r>
        <w:t xml:space="preserve">Return on Assets, or ROA, measures net income as a percentage of total assets. </w:t>
      </w:r>
      <w:r w:rsidR="002B66D2" w:rsidRPr="002B66D2">
        <w:t>In 2020, the lost value was 7.6% but it witnessed a fall in 2020 to lose 7.4%.  Likewise, Return on Equity (ROE = net profit ÷ shareholders’ equity) plunged from 12.3% to -15.7 due to massive destruction in shareholder value. This decrease in profitability is probably due to an increase in the overheads or inability to control the cost. Also, this could indicate some structural inefficiency because of heavy capacity and incompetent pricing</w:t>
      </w:r>
      <w:r w:rsidR="00547F50">
        <w:t>.</w:t>
      </w:r>
    </w:p>
    <w:p w14:paraId="6FDB4849" w14:textId="77777777" w:rsidR="001B531E" w:rsidRPr="00573083" w:rsidRDefault="001B531E" w:rsidP="00687C42">
      <w:pPr>
        <w:pStyle w:val="Heading2"/>
        <w:rPr>
          <w:rFonts w:eastAsia="Times New Roman"/>
        </w:rPr>
      </w:pPr>
      <w:bookmarkStart w:id="4" w:name="_Toc213758784"/>
      <w:r w:rsidRPr="00573083">
        <w:rPr>
          <w:rFonts w:eastAsia="Times New Roman"/>
        </w:rPr>
        <w:t>2.3 Liquidity Ratios</w:t>
      </w:r>
      <w:bookmarkEnd w:id="4"/>
      <w:r w:rsidRPr="00573083">
        <w:rPr>
          <w:rFonts w:eastAsia="Times New Roman"/>
        </w:rPr>
        <w:t xml:space="preserve"> </w:t>
      </w:r>
    </w:p>
    <w:p w14:paraId="2C41F557" w14:textId="55986EC2" w:rsidR="00547F50" w:rsidRDefault="001B531E" w:rsidP="00547F50">
      <w:pPr>
        <w:pStyle w:val="NormalWeb"/>
        <w:spacing w:line="360" w:lineRule="auto"/>
        <w:jc w:val="both"/>
      </w:pPr>
      <w:r w:rsidRPr="001B531E">
        <w:t xml:space="preserve">Liquidity ratios are indicators of a company’s short-term financial health. </w:t>
      </w:r>
      <w:r w:rsidR="002B66D2" w:rsidRPr="002B66D2">
        <w:t>The company’s current ratio (CR= current assets ÷ current liabilities) in 2020 was 1.82 (£326,843m ÷ £179,510m) and it was estimated at 1.53 (£242,494m ÷ £158,291m) in 2024. Safety net shrinks are reflected in more than 1.0. When we take out slow-moving inventory stock Quick Ratio which was 1.15, falls to 1.03 (Baliouskas et al., 2023). This is indicative of reduced liquidity. The cash ratio was 0.32 in 2020. However, it dropped down to 0.17 (£26,783m ÷ £158,291m) in 2024 showing increasing dependence on receivables and inventory for cash</w:t>
      </w:r>
      <w:r w:rsidR="00547F50">
        <w:t>.</w:t>
      </w:r>
    </w:p>
    <w:p w14:paraId="6549B95E" w14:textId="77777777" w:rsidR="00781B60" w:rsidRPr="00573083" w:rsidRDefault="00781B60" w:rsidP="00687C42">
      <w:pPr>
        <w:pStyle w:val="Heading2"/>
        <w:rPr>
          <w:rFonts w:eastAsia="Times New Roman"/>
        </w:rPr>
      </w:pPr>
      <w:bookmarkStart w:id="5" w:name="_Toc213758785"/>
      <w:r w:rsidRPr="00573083">
        <w:rPr>
          <w:rFonts w:eastAsia="Times New Roman"/>
        </w:rPr>
        <w:lastRenderedPageBreak/>
        <w:t>2.4 Efficiency (Activity) Ratios</w:t>
      </w:r>
      <w:bookmarkEnd w:id="5"/>
      <w:r w:rsidRPr="00573083">
        <w:rPr>
          <w:rFonts w:eastAsia="Times New Roman"/>
        </w:rPr>
        <w:t xml:space="preserve"> </w:t>
      </w:r>
    </w:p>
    <w:p w14:paraId="6E0C64C0" w14:textId="0F2478EB" w:rsidR="00547F50" w:rsidRDefault="00B25377" w:rsidP="00547F50">
      <w:pPr>
        <w:pStyle w:val="NormalWeb"/>
        <w:spacing w:line="360" w:lineRule="auto"/>
        <w:jc w:val="both"/>
      </w:pPr>
      <w:r w:rsidRPr="00B25377">
        <w:t>These ratios helped us to understand how efficient an organisation is in using its assets. The stock turnover has decreased from 3.6 in 2020 to 3.2 in 2024. This shows that there is no selling, while there is stocking of excess inventory which blocks cash. The reduction from 4.7 to 3.5 in receivables turnover shows poor credit control and slow collections. The period of cash cycle increased because Average Collection Period has increased from 78 days to 104 days. Suppliers have allowed more credit, and consequently, the Payables Period increased from 69 to 94 days. There was a slight increase in total asset turnover from 1.20 to 1.22.  A weak control over stock and receivables adversely impact the liquidity of the firm</w:t>
      </w:r>
      <w:r w:rsidR="00547F50">
        <w:t>.</w:t>
      </w:r>
    </w:p>
    <w:p w14:paraId="2B85354E" w14:textId="77777777" w:rsidR="00834584" w:rsidRPr="00573083" w:rsidRDefault="00834584" w:rsidP="00687C42">
      <w:pPr>
        <w:pStyle w:val="Heading2"/>
        <w:rPr>
          <w:rFonts w:eastAsia="Times New Roman"/>
        </w:rPr>
      </w:pPr>
      <w:bookmarkStart w:id="6" w:name="_Toc213758786"/>
      <w:r w:rsidRPr="00573083">
        <w:rPr>
          <w:rFonts w:eastAsia="Times New Roman"/>
        </w:rPr>
        <w:t>2.5 Gearing (Leverage) Ratios</w:t>
      </w:r>
      <w:bookmarkEnd w:id="6"/>
      <w:r w:rsidRPr="00573083">
        <w:rPr>
          <w:rFonts w:eastAsia="Times New Roman"/>
        </w:rPr>
        <w:t xml:space="preserve"> </w:t>
      </w:r>
    </w:p>
    <w:p w14:paraId="544A6CE9" w14:textId="06532014" w:rsidR="00547F50" w:rsidRDefault="00547F50" w:rsidP="00547F50">
      <w:pPr>
        <w:pStyle w:val="NormalWeb"/>
        <w:spacing w:line="360" w:lineRule="auto"/>
        <w:jc w:val="both"/>
      </w:pPr>
      <w:r>
        <w:t>Leverage ratios evaluate the capacity to satisfy long-term obligations and risk levels. The Debt-to-Equity Ratio (</w:t>
      </w:r>
      <w:r w:rsidR="007E3F0A" w:rsidRPr="00573083">
        <w:t>Total Liabilities ÷ Equity</w:t>
      </w:r>
      <w:r>
        <w:t xml:space="preserve">) rose to 1.11 in 2024 </w:t>
      </w:r>
      <w:r w:rsidR="00603436" w:rsidRPr="00573083">
        <w:t xml:space="preserve">(£196,989m ÷ £313,301m) </w:t>
      </w:r>
      <w:r>
        <w:t xml:space="preserve">compared to 0.63 in 2020 </w:t>
      </w:r>
      <w:r w:rsidR="00D00B2F" w:rsidRPr="00573083">
        <w:t xml:space="preserve">(£170,249m ÷ £153,105m). </w:t>
      </w:r>
      <w:r>
        <w:t>This change reflects an increase in the reliance on debt financing despite the fall in equity. The Debt Ratio (Total Bills ÷ Total Assets) increased to 0.53, implying that creditors now had funded the company more than 50</w:t>
      </w:r>
      <w:r w:rsidR="00F65E17">
        <w:t>%</w:t>
      </w:r>
      <w:r>
        <w:t xml:space="preserve"> (Kamal and Awan, 2025).</w:t>
      </w:r>
    </w:p>
    <w:p w14:paraId="4640FDC9" w14:textId="55CE0975" w:rsidR="00547F50" w:rsidRDefault="00730FB1" w:rsidP="00547F50">
      <w:pPr>
        <w:pStyle w:val="NormalWeb"/>
        <w:spacing w:line="360" w:lineRule="auto"/>
        <w:jc w:val="both"/>
      </w:pPr>
      <w:r w:rsidRPr="00730FB1">
        <w:t>The Interest Coverage Ratio, which shows how easily a company can pay interest on outstanding debt, is calculated by dividing operating income with interest expense. It fell sharply from 26.2 times in 2020 (£37,267m ÷ £1,422m) to a negative 4.6 times in 2024 (£–15,297m ÷ £3,361m), showing the group was not able to service interest out of operations</w:t>
      </w:r>
      <w:r w:rsidR="00547F50">
        <w:t>. It has rendered the capital structure untenable since the business can no longer borrow and the confidence of investors has been lost through erosion of equity. Liquidity and profitability will continue to be strained by debt servicing unless restructuring is done in the short term.</w:t>
      </w:r>
    </w:p>
    <w:p w14:paraId="2776E35C" w14:textId="77777777" w:rsidR="007179AD" w:rsidRPr="00573083" w:rsidRDefault="007179AD" w:rsidP="00687C42">
      <w:pPr>
        <w:pStyle w:val="Heading2"/>
        <w:rPr>
          <w:rFonts w:eastAsia="Times New Roman"/>
        </w:rPr>
      </w:pPr>
      <w:bookmarkStart w:id="7" w:name="_Toc213758787"/>
      <w:r w:rsidRPr="00573083">
        <w:rPr>
          <w:rFonts w:eastAsia="Times New Roman"/>
        </w:rPr>
        <w:t>2.6 Investment Ratios</w:t>
      </w:r>
      <w:bookmarkEnd w:id="7"/>
      <w:r w:rsidRPr="00573083">
        <w:rPr>
          <w:rFonts w:eastAsia="Times New Roman"/>
        </w:rPr>
        <w:t xml:space="preserve"> </w:t>
      </w:r>
    </w:p>
    <w:p w14:paraId="42D6962B" w14:textId="309E1B78" w:rsidR="00547F50" w:rsidRDefault="00547F50" w:rsidP="00547F50">
      <w:pPr>
        <w:pStyle w:val="NormalWeb"/>
        <w:spacing w:line="360" w:lineRule="auto"/>
        <w:jc w:val="both"/>
      </w:pPr>
      <w:r>
        <w:t xml:space="preserve">The investment ratios inform the shareholder returns and market perception. </w:t>
      </w:r>
      <w:r w:rsidR="00A5625A" w:rsidRPr="00A5625A">
        <w:t>The earnings per share calculation (EPS = Net Income ÷ Number of Shares) went from £2.78 in 2020 to –£1.85 in 2024 indicating a complete reversal of profit to loss per share.</w:t>
      </w:r>
      <w:r w:rsidR="00A81C59">
        <w:t xml:space="preserve"> </w:t>
      </w:r>
      <w:r>
        <w:t xml:space="preserve">Price-to-Earnings (P/E) Ratio would have plummeted drastically but without any announcement, which would have indicated a decline </w:t>
      </w:r>
      <w:r>
        <w:lastRenderedPageBreak/>
        <w:t>in market confidence. Shareholders receive no dividends because the company has turned to loss retention i.e. Dividend Yield = 0</w:t>
      </w:r>
      <w:r w:rsidR="009A0EF9">
        <w:t>%</w:t>
      </w:r>
      <w:r>
        <w:t>, and it demonstrates the colossal loss of shareholder wealth and grim future prospects (Akbar, Jiang and Akbar, 2022). This declining propensity of ROE is reflected in the inevitable decline in EPS, and no dividends is still more pessimistic capital market behaviour. The company is witnessing a drastically decreased capacity to raise new capital and that is an indication of the dire need to reclaim profitability and investor confidence.</w:t>
      </w:r>
    </w:p>
    <w:p w14:paraId="624EF83A" w14:textId="77777777" w:rsidR="00FE7C98" w:rsidRPr="00573083" w:rsidRDefault="00FE7C98" w:rsidP="00687C42">
      <w:pPr>
        <w:pStyle w:val="Heading2"/>
        <w:rPr>
          <w:rFonts w:eastAsia="Times New Roman"/>
        </w:rPr>
      </w:pPr>
      <w:bookmarkStart w:id="8" w:name="_Toc213758788"/>
      <w:r w:rsidRPr="00573083">
        <w:rPr>
          <w:rFonts w:eastAsia="Times New Roman"/>
        </w:rPr>
        <w:t>2.7 Cash Flow Analysis</w:t>
      </w:r>
      <w:bookmarkEnd w:id="8"/>
      <w:r w:rsidRPr="00573083">
        <w:rPr>
          <w:rFonts w:eastAsia="Times New Roman"/>
        </w:rPr>
        <w:t xml:space="preserve"> </w:t>
      </w:r>
    </w:p>
    <w:p w14:paraId="21794EA7" w14:textId="7FD499CA" w:rsidR="00547F50" w:rsidRDefault="00547F50" w:rsidP="00547F50">
      <w:pPr>
        <w:pStyle w:val="NormalWeb"/>
        <w:spacing w:line="360" w:lineRule="auto"/>
        <w:jc w:val="both"/>
      </w:pPr>
      <w:r>
        <w:t xml:space="preserve">The cash flow statement is another aspect that undermines financial health. The value of </w:t>
      </w:r>
      <w:r w:rsidR="00854AAE" w:rsidRPr="00573083">
        <w:t xml:space="preserve">£73,392 </w:t>
      </w:r>
      <w:r>
        <w:t xml:space="preserve">million and </w:t>
      </w:r>
      <w:r w:rsidR="0052209C" w:rsidRPr="00573083">
        <w:t xml:space="preserve">£14,822 </w:t>
      </w:r>
      <w:r>
        <w:t xml:space="preserve">million respectively comprise about 80 percent of the net cash generated in operating activities in 2020-2024. The capital expenditure was never in kind and average annual capital expenditure was: £(8,000-16,000 million). It had poor funding of its operations, huge borrowing and repayment commitments; in 2024, the enterprise produced a net cash outflow of </w:t>
      </w:r>
      <w:r w:rsidR="00A72AB8" w:rsidRPr="00573083">
        <w:t xml:space="preserve">£19,764 </w:t>
      </w:r>
      <w:r>
        <w:t xml:space="preserve">million companies (Zheng, Zhou and Iqbal, 2022). In 2024, cash and equivalent were </w:t>
      </w:r>
      <w:r w:rsidR="00D40CAE" w:rsidRPr="00573083">
        <w:t>£</w:t>
      </w:r>
      <w:r>
        <w:t xml:space="preserve">26,783 million, and in 2023, cash and equivalent amounted to </w:t>
      </w:r>
      <w:r w:rsidR="00A72AB8" w:rsidRPr="00573083">
        <w:t>£</w:t>
      </w:r>
      <w:r>
        <w:t xml:space="preserve">57,153 million. This confirms low free cash flow, and reliance on external funds to run. This movement suggests unchecked liquidity and </w:t>
      </w:r>
      <w:r w:rsidR="00120E9E">
        <w:t>overlocks</w:t>
      </w:r>
      <w:r>
        <w:t>-in of capital by way of receivables and inventory.</w:t>
      </w:r>
    </w:p>
    <w:p w14:paraId="5BAE3011" w14:textId="77777777" w:rsidR="00120E9E" w:rsidRPr="00573083" w:rsidRDefault="00120E9E" w:rsidP="00687C42">
      <w:pPr>
        <w:pStyle w:val="Heading2"/>
        <w:rPr>
          <w:rFonts w:eastAsia="Times New Roman"/>
        </w:rPr>
      </w:pPr>
      <w:bookmarkStart w:id="9" w:name="_Toc213758789"/>
      <w:r w:rsidRPr="00573083">
        <w:rPr>
          <w:rFonts w:eastAsia="Times New Roman"/>
        </w:rPr>
        <w:t>2.8 Corporate Failure Prediction</w:t>
      </w:r>
      <w:bookmarkEnd w:id="9"/>
      <w:r w:rsidRPr="00573083">
        <w:rPr>
          <w:rFonts w:eastAsia="Times New Roman"/>
        </w:rPr>
        <w:t xml:space="preserve"> </w:t>
      </w:r>
    </w:p>
    <w:p w14:paraId="4476EF7E" w14:textId="24C9E7E7" w:rsidR="00120E9E" w:rsidRPr="00FA0E9C" w:rsidRDefault="00120E9E" w:rsidP="00120E9E">
      <w:pPr>
        <w:spacing w:before="100" w:beforeAutospacing="1" w:after="100" w:afterAutospacing="1"/>
        <w:jc w:val="both"/>
        <w:rPr>
          <w:rFonts w:eastAsia="Times New Roman" w:cs="Times New Roman"/>
          <w:color w:val="auto"/>
          <w:szCs w:val="24"/>
        </w:rPr>
      </w:pPr>
      <w:r w:rsidRPr="00573083">
        <w:rPr>
          <w:rFonts w:eastAsia="Times New Roman" w:cs="Times New Roman"/>
          <w:color w:val="auto"/>
          <w:szCs w:val="24"/>
        </w:rPr>
        <w:t>Applying the Altman Z-Score formula (</w:t>
      </w:r>
      <w:r w:rsidRPr="00573083">
        <w:rPr>
          <w:rFonts w:eastAsia="Times New Roman" w:cs="Times New Roman"/>
          <w:i/>
          <w:iCs/>
          <w:color w:val="auto"/>
          <w:szCs w:val="24"/>
        </w:rPr>
        <w:t>Z = 1.2X₁ + 1.4X₂ + 3.3X₃ + 0.6X₄ + 1.0X₅</w:t>
      </w:r>
      <w:r w:rsidRPr="00573083">
        <w:rPr>
          <w:rFonts w:eastAsia="Times New Roman" w:cs="Times New Roman"/>
          <w:color w:val="auto"/>
          <w:szCs w:val="24"/>
        </w:rPr>
        <w:t xml:space="preserve">, where X₁ = Working Capital/Total Assets, X₂ = Retained Earnings/Total Assets, X₃ = EBIT/Total Assets, X₄ = Market Equity/Total Liabilities, X₅ = Sales/Total Assets*), the firm’s computed score for 2024 falls below 1.8, indicating a high probability of bankruptcy. </w:t>
      </w:r>
      <w:r w:rsidRPr="00120E9E">
        <w:rPr>
          <w:rFonts w:eastAsia="Times New Roman" w:cs="Times New Roman"/>
          <w:color w:val="auto"/>
          <w:szCs w:val="24"/>
        </w:rPr>
        <w:t>The poor rating is due to constant losses, decreasing retained earnings, and falling market value of equity. The company is therefore comfortably in the financial distress zone and needs to be restructured urgently</w:t>
      </w:r>
      <w:r w:rsidR="00316328">
        <w:rPr>
          <w:rFonts w:eastAsia="Times New Roman" w:cs="Times New Roman"/>
          <w:color w:val="auto"/>
          <w:szCs w:val="24"/>
        </w:rPr>
        <w:t xml:space="preserve"> </w:t>
      </w:r>
      <w:r>
        <w:t>(Akgün and Memiş Karataş, 2021)</w:t>
      </w:r>
      <w:r w:rsidRPr="00573083">
        <w:rPr>
          <w:rFonts w:eastAsia="Times New Roman" w:cs="Times New Roman"/>
          <w:color w:val="auto"/>
          <w:szCs w:val="24"/>
        </w:rPr>
        <w:t>.</w:t>
      </w:r>
    </w:p>
    <w:p w14:paraId="21CE7D28" w14:textId="77777777" w:rsidR="00120E9E" w:rsidRPr="00573083" w:rsidRDefault="00120E9E" w:rsidP="00687C42">
      <w:pPr>
        <w:pStyle w:val="Heading2"/>
        <w:rPr>
          <w:rFonts w:eastAsia="Times New Roman"/>
        </w:rPr>
      </w:pPr>
      <w:bookmarkStart w:id="10" w:name="_Toc213758790"/>
      <w:r w:rsidRPr="00573083">
        <w:rPr>
          <w:rFonts w:eastAsia="Times New Roman"/>
        </w:rPr>
        <w:t>2.9 Summary of Financial Health</w:t>
      </w:r>
      <w:bookmarkEnd w:id="10"/>
      <w:r w:rsidRPr="00573083">
        <w:rPr>
          <w:rFonts w:eastAsia="Times New Roman"/>
        </w:rPr>
        <w:t xml:space="preserve"> </w:t>
      </w:r>
    </w:p>
    <w:p w14:paraId="376061B0" w14:textId="77777777" w:rsidR="00547F50" w:rsidRDefault="00547F50" w:rsidP="00547F50">
      <w:pPr>
        <w:pStyle w:val="NormalWeb"/>
        <w:spacing w:line="360" w:lineRule="auto"/>
        <w:jc w:val="both"/>
      </w:pPr>
      <w:r>
        <w:t xml:space="preserve">General Electronics is a highly profitable and heavily leveraged liquid company. Acute solvency strain is justified by the reduction in equity and by the coupons of foregone interest. Poor working </w:t>
      </w:r>
      <w:r>
        <w:lastRenderedPageBreak/>
        <w:t>capital turnover and negative cash flow would also reflect management mismanagement. The Altman Z-Score takes the determination of the outcome by saying that the company would go out of business unless they do something to turn things around. The second and third subdivisions of this report are thus pegged on the rise of liquidity, restructuring of the financial system and the recognition of viable sources of investment to revive sustainable growth and investor confidence.</w:t>
      </w:r>
    </w:p>
    <w:p w14:paraId="2280B904" w14:textId="77777777" w:rsidR="009D0A5C" w:rsidRPr="00837D00" w:rsidRDefault="009D0A5C" w:rsidP="00903432">
      <w:pPr>
        <w:pStyle w:val="Heading1"/>
        <w:rPr>
          <w:bCs/>
          <w:color w:val="auto"/>
          <w:sz w:val="27"/>
        </w:rPr>
      </w:pPr>
      <w:bookmarkStart w:id="11" w:name="_Toc213758791"/>
      <w:r w:rsidRPr="00837D00">
        <w:rPr>
          <w:rStyle w:val="Strong"/>
          <w:b/>
          <w:bCs w:val="0"/>
        </w:rPr>
        <w:t>3. Working Capital Management Analysis</w:t>
      </w:r>
      <w:bookmarkEnd w:id="11"/>
      <w:r w:rsidRPr="00837D00">
        <w:rPr>
          <w:rStyle w:val="Strong"/>
          <w:b/>
          <w:bCs w:val="0"/>
        </w:rPr>
        <w:t xml:space="preserve"> </w:t>
      </w:r>
    </w:p>
    <w:p w14:paraId="3F469962" w14:textId="77777777" w:rsidR="009D0A5C" w:rsidRPr="00837D00" w:rsidRDefault="009D0A5C" w:rsidP="00687C42">
      <w:pPr>
        <w:pStyle w:val="Heading2"/>
        <w:rPr>
          <w:bCs/>
        </w:rPr>
      </w:pPr>
      <w:bookmarkStart w:id="12" w:name="_Toc213758792"/>
      <w:r w:rsidRPr="00837D00">
        <w:rPr>
          <w:rStyle w:val="Strong"/>
          <w:b/>
          <w:bCs w:val="0"/>
        </w:rPr>
        <w:t>3.1 Cash Conversion Cycle</w:t>
      </w:r>
      <w:bookmarkEnd w:id="12"/>
      <w:r w:rsidRPr="00837D00">
        <w:rPr>
          <w:rStyle w:val="Strong"/>
          <w:b/>
          <w:bCs w:val="0"/>
        </w:rPr>
        <w:t xml:space="preserve"> </w:t>
      </w:r>
    </w:p>
    <w:p w14:paraId="18F0E9DB" w14:textId="77777777" w:rsidR="00547F50" w:rsidRDefault="00547F50" w:rsidP="00547F50">
      <w:pPr>
        <w:pStyle w:val="NormalWeb"/>
        <w:spacing w:line="360" w:lineRule="auto"/>
        <w:jc w:val="both"/>
      </w:pPr>
      <w:r>
        <w:t>The cash conversion cycle (CCC) quantifies the efficiency with which an organization is converting investments in inventory and receivables into cash inflows. It is calculated as:</w:t>
      </w:r>
    </w:p>
    <w:p w14:paraId="5B654889" w14:textId="77777777" w:rsidR="009D0A5C" w:rsidRPr="00FA0E9C" w:rsidRDefault="009D0A5C" w:rsidP="009D0A5C">
      <w:pPr>
        <w:pStyle w:val="NormalWeb"/>
        <w:spacing w:line="360" w:lineRule="auto"/>
        <w:jc w:val="center"/>
      </w:pPr>
      <w:r w:rsidRPr="00FA0E9C">
        <w:rPr>
          <w:rStyle w:val="Strong"/>
          <w:rFonts w:eastAsiaTheme="majorEastAsia"/>
        </w:rPr>
        <w:t>CCC = Inventory Days + Receivable Days – Payable Days</w:t>
      </w:r>
    </w:p>
    <w:p w14:paraId="03847853" w14:textId="5146FDB8" w:rsidR="00547F50" w:rsidRDefault="009D0A5C" w:rsidP="00547F50">
      <w:pPr>
        <w:pStyle w:val="NormalWeb"/>
        <w:spacing w:line="360" w:lineRule="auto"/>
        <w:jc w:val="both"/>
      </w:pPr>
      <w:r w:rsidRPr="009D0A5C">
        <w:t>Under general definitions, Inventory Days = (Average Inventory ÷ Cost of Sales) × 365; Receivable Days = (Accounts Receivable ÷ Net Sales) × 365; and Payable Days = (Accounts Payable ÷ Cost of Sales) × 365. In fiscal year 2024, its inventory was £79,355 million, its cost of sales was £280,885 million, and its receivables were £114,182 million, generating around 103 inventory days, 105 receivable days, and 94 payable days.</w:t>
      </w:r>
      <w:r>
        <w:t xml:space="preserve"> </w:t>
      </w:r>
      <w:r w:rsidR="00547F50">
        <w:t>This translates into a cash conversion cycle of 114 days compared to 78 days in 2020.</w:t>
      </w:r>
    </w:p>
    <w:p w14:paraId="0C08CCB7" w14:textId="77777777" w:rsidR="00547F50" w:rsidRDefault="00547F50" w:rsidP="00547F50">
      <w:pPr>
        <w:pStyle w:val="NormalWeb"/>
        <w:spacing w:line="360" w:lineRule="auto"/>
        <w:jc w:val="both"/>
      </w:pPr>
      <w:r>
        <w:t>This long cycle implies that cash is not utilized effectively and that cash is held in non-earning assets approximately 4 months before transformation into cash (Amponsah-Kwatiah and Asiamah, 2021). The number of stocked inventory days indicates mismatches between demand and overproduction, and the number of stocked receivable days indicates failure to control credit. Though the payable period is stretched in an attempt to lessen the urgent cash burden, such interventions can lead to frustration of suppliers and the disruption of supply chains in the long run. CCC generates long-term strains on liquidity and requires additional short-term funding to satisfy cash requirements, further raising interest cost and financial risk.</w:t>
      </w:r>
    </w:p>
    <w:p w14:paraId="126F79CA" w14:textId="77777777" w:rsidR="0043080E" w:rsidRPr="00837D00" w:rsidRDefault="0043080E" w:rsidP="00687C42">
      <w:pPr>
        <w:pStyle w:val="Heading2"/>
      </w:pPr>
      <w:bookmarkStart w:id="13" w:name="_Toc213758793"/>
      <w:r w:rsidRPr="00837D00">
        <w:rPr>
          <w:rStyle w:val="Strong"/>
          <w:b/>
        </w:rPr>
        <w:lastRenderedPageBreak/>
        <w:t>3.2 Evaluation of Current Working Capital Policies</w:t>
      </w:r>
      <w:bookmarkEnd w:id="13"/>
      <w:r w:rsidRPr="00837D00">
        <w:rPr>
          <w:rStyle w:val="Strong"/>
          <w:b/>
        </w:rPr>
        <w:t xml:space="preserve"> </w:t>
      </w:r>
    </w:p>
    <w:p w14:paraId="140B0A5C" w14:textId="7D825546" w:rsidR="00547F50" w:rsidRDefault="00547F50" w:rsidP="00547F50">
      <w:pPr>
        <w:pStyle w:val="NormalWeb"/>
        <w:spacing w:line="360" w:lineRule="auto"/>
        <w:jc w:val="both"/>
      </w:pPr>
      <w:r>
        <w:t>General Electronics working capital policy as of the review period is excessive. It has also increased its dependency on supplier credit and overdraft facilities, and its cash resources have been reduced by 47</w:t>
      </w:r>
      <w:r w:rsidR="006F12D3">
        <w:t>%</w:t>
      </w:r>
      <w:r>
        <w:t xml:space="preserve">, between the prior year (2020) of </w:t>
      </w:r>
      <w:r w:rsidR="00CD094C" w:rsidRPr="001251AC">
        <w:rPr>
          <w:rStyle w:val="Strong"/>
          <w:rFonts w:eastAsiaTheme="majorEastAsia"/>
          <w:b w:val="0"/>
          <w:bCs w:val="0"/>
        </w:rPr>
        <w:t>£57,153</w:t>
      </w:r>
      <w:r w:rsidR="00CD094C" w:rsidRPr="00FA0E9C">
        <w:rPr>
          <w:rStyle w:val="Strong"/>
          <w:rFonts w:eastAsiaTheme="majorEastAsia"/>
        </w:rPr>
        <w:t xml:space="preserve"> </w:t>
      </w:r>
      <w:r>
        <w:t>million and the current period (2024) of</w:t>
      </w:r>
      <w:r w:rsidRPr="001251AC">
        <w:t xml:space="preserve"> </w:t>
      </w:r>
      <w:r w:rsidR="001251AC" w:rsidRPr="001251AC">
        <w:rPr>
          <w:rStyle w:val="Strong"/>
          <w:rFonts w:eastAsiaTheme="majorEastAsia"/>
        </w:rPr>
        <w:t>£26,783</w:t>
      </w:r>
      <w:r w:rsidR="001251AC" w:rsidRPr="00FA0E9C">
        <w:rPr>
          <w:rStyle w:val="Strong"/>
          <w:rFonts w:eastAsiaTheme="majorEastAsia"/>
        </w:rPr>
        <w:t xml:space="preserve"> </w:t>
      </w:r>
      <w:r>
        <w:t>million. Its level of receivables management is poor in that its average collection period cannot be said to be compensating, as compared with the industry average of over 100 days. This lax credit configuration could have been explained by a wish to retain market share in a shrinking sales environment, even at the cost of liquidity stability (Shurie and Cheluget, 2022).</w:t>
      </w:r>
    </w:p>
    <w:p w14:paraId="06991BFB" w14:textId="46227E4C" w:rsidR="00547F50" w:rsidRDefault="00547F50" w:rsidP="00547F50">
      <w:pPr>
        <w:pStyle w:val="NormalWeb"/>
        <w:spacing w:line="360" w:lineRule="auto"/>
        <w:jc w:val="both"/>
      </w:pPr>
      <w:r>
        <w:t>Inventory control and sales patterns are also weakly correlated. A turnover ratio recorded at 24.5</w:t>
      </w:r>
      <w:r w:rsidR="008C2C96">
        <w:t xml:space="preserve">% </w:t>
      </w:r>
      <w:r>
        <w:t>in 2024 compared to 23.6</w:t>
      </w:r>
      <w:r w:rsidR="009A3A7B">
        <w:t xml:space="preserve">% </w:t>
      </w:r>
      <w:r>
        <w:t xml:space="preserve">in the previous year indicates surplus stock owing to lower demand. Payables also high at 72,031 million and is approximately 94 days receivables which is good but not sustainable and puts the supplier at a higher risk. Additionally, short-term debts, including lines of credit (also multiplied by three between </w:t>
      </w:r>
      <w:r w:rsidR="00EB58A4" w:rsidRPr="006E011B">
        <w:rPr>
          <w:rStyle w:val="Strong"/>
          <w:rFonts w:eastAsiaTheme="majorEastAsia"/>
          <w:b w:val="0"/>
          <w:bCs w:val="0"/>
        </w:rPr>
        <w:t>£20,000 million to £36,960 million</w:t>
      </w:r>
      <w:r>
        <w:t>), indicate reduced long-term funding capabilities (Ylla-Kujala et al., 2023). Lack of strategic cash forecasting and treasury coordination also curtailed liquidity resilience.</w:t>
      </w:r>
    </w:p>
    <w:p w14:paraId="56CAA354" w14:textId="77777777" w:rsidR="0076280C" w:rsidRPr="00837D00" w:rsidRDefault="0076280C" w:rsidP="00687C42">
      <w:pPr>
        <w:pStyle w:val="Heading2"/>
      </w:pPr>
      <w:bookmarkStart w:id="14" w:name="_Toc213758794"/>
      <w:r w:rsidRPr="00837D00">
        <w:rPr>
          <w:rStyle w:val="Strong"/>
          <w:b/>
        </w:rPr>
        <w:t>3.3 Strategies to Improve Working Capital Efficiency</w:t>
      </w:r>
      <w:bookmarkEnd w:id="14"/>
      <w:r w:rsidRPr="00837D00">
        <w:rPr>
          <w:rStyle w:val="Strong"/>
          <w:b/>
        </w:rPr>
        <w:t xml:space="preserve"> </w:t>
      </w:r>
    </w:p>
    <w:p w14:paraId="4EBD7BB9" w14:textId="783B97B7" w:rsidR="00547F50" w:rsidRDefault="00547F50" w:rsidP="00547F50">
      <w:pPr>
        <w:pStyle w:val="NormalWeb"/>
        <w:spacing w:line="360" w:lineRule="auto"/>
        <w:jc w:val="both"/>
      </w:pPr>
      <w:r>
        <w:t xml:space="preserve">The result would be improved working capital by being aligned in activity in payables, inventory and receivables. An ageing analysis system and </w:t>
      </w:r>
      <w:r w:rsidR="0076280C">
        <w:t>high-risk</w:t>
      </w:r>
      <w:r>
        <w:t xml:space="preserve"> customer credit limit may reduce control over the receivables, first. </w:t>
      </w:r>
      <w:r w:rsidR="00917436" w:rsidRPr="00917436">
        <w:t>If the collection period is reduced from 105 days to 60 days, it will potentially release £14 billion of working capital (</w:t>
      </w:r>
      <w:r w:rsidR="00917436" w:rsidRPr="0033317B">
        <w:rPr>
          <w:i/>
          <w:iCs/>
        </w:rPr>
        <w:t>Receivables Reduction × Daily Sales</w:t>
      </w:r>
      <w:r w:rsidR="00917436" w:rsidRPr="00917436">
        <w:t>).  An early payment discount, such as 2% discount on payment within 10 days, will help to accelerate cash inflows (Almeida et al, 2023).</w:t>
      </w:r>
    </w:p>
    <w:p w14:paraId="56404E2F" w14:textId="0D3752C7" w:rsidR="00547F50" w:rsidRDefault="00547F50" w:rsidP="00547F50">
      <w:pPr>
        <w:pStyle w:val="NormalWeb"/>
        <w:spacing w:line="360" w:lineRule="auto"/>
        <w:jc w:val="both"/>
      </w:pPr>
      <w:r>
        <w:t>Second, It would reduce the average inventory by 25</w:t>
      </w:r>
      <w:r w:rsidR="0033317B">
        <w:t>%</w:t>
      </w:r>
      <w:r>
        <w:t xml:space="preserve"> through Just-in-Time (JIT) or Vendor-Managed Inventory (VMI) systems, liberating holding costs and releasing up to £20 billion in frozen capital. This involves additional coordination with major suppliers and demand projections. Third, it would have to bargain with suppliers to grant extensions of payment terms without ruining the relationship-110 days of trade would yield the same short-term cash flows as 94 days of trade, other things held constant (Wijethilake, Upadhaya and Lama, 2023). This would allow rapid </w:t>
      </w:r>
      <w:r>
        <w:lastRenderedPageBreak/>
        <w:t>flexibility, either internal relocation or short-term investment. An integrated combination of these practices boosts liquidity, lessening reliance on expensive external capital, and broadening the capacity of the company to finance its operations internally in the turnaround phase.</w:t>
      </w:r>
    </w:p>
    <w:p w14:paraId="59B4EE13" w14:textId="77777777" w:rsidR="00BE27E1" w:rsidRPr="004C4248" w:rsidRDefault="00BE27E1" w:rsidP="00687C42">
      <w:pPr>
        <w:pStyle w:val="Heading2"/>
        <w:rPr>
          <w:rStyle w:val="Strong"/>
          <w:rFonts w:cs="Times New Roman"/>
          <w:sz w:val="26"/>
          <w:szCs w:val="24"/>
        </w:rPr>
      </w:pPr>
      <w:bookmarkStart w:id="15" w:name="_Toc213758795"/>
      <w:r w:rsidRPr="004C4248">
        <w:rPr>
          <w:rStyle w:val="Strong"/>
          <w:rFonts w:cs="Times New Roman"/>
          <w:b/>
          <w:sz w:val="26"/>
          <w:szCs w:val="24"/>
        </w:rPr>
        <w:t>3.4 Financing Options for Liquidity Management</w:t>
      </w:r>
      <w:bookmarkEnd w:id="15"/>
      <w:r w:rsidRPr="004C4248">
        <w:rPr>
          <w:rStyle w:val="Strong"/>
          <w:rFonts w:cs="Times New Roman"/>
          <w:b/>
          <w:sz w:val="26"/>
          <w:szCs w:val="24"/>
        </w:rPr>
        <w:t xml:space="preserve"> </w:t>
      </w:r>
    </w:p>
    <w:p w14:paraId="4A8E4695" w14:textId="21254D9F" w:rsidR="00547F50" w:rsidRDefault="00547F50" w:rsidP="00547F50">
      <w:pPr>
        <w:pStyle w:val="NormalWeb"/>
        <w:spacing w:line="360" w:lineRule="auto"/>
        <w:jc w:val="both"/>
      </w:pPr>
      <w:r>
        <w:t xml:space="preserve">Since the equity is small and the gearing ratio (Debt-to-Equity 1.11 in 2024) is large, the financing options should balance between restoring liquidity and sustaining the debt. Temporary Band-Aid solutions include overdrafts, trade credit, and factoring, which provide immediate relief at the price of higher interest rates and risk. An example of this would be that, by discounting 10% of the receivables (around 11 billion pounds) at a discount rate of </w:t>
      </w:r>
      <w:r w:rsidR="00837D00" w:rsidRPr="00FA0E9C">
        <w:t>2–3%</w:t>
      </w:r>
      <w:r>
        <w:t>, an immediate source of liquidity can be obtained. When market support is rebuilt, there are also commercial paper options (Oyewo, Tawiah and Alta, 2025Turning part of the short-term credit lines into three to five-year term loans would stabilize outflows and reduces the risk of refinancing). Equity injection or a rights issue is the most sustainable approach, especially when the company has negative retained earnings and low interest coverage. It is watering down of ownership, but it bails out and raises debt capacity. It will produce not only flexible liquidity but structural stability through a counterbalanced mechanism of selective short-term financing and long-term insurance of equity.</w:t>
      </w:r>
    </w:p>
    <w:p w14:paraId="4323EEA1" w14:textId="77777777" w:rsidR="00AE2247" w:rsidRPr="00AE2247" w:rsidRDefault="00AE2247" w:rsidP="00687C42">
      <w:pPr>
        <w:pStyle w:val="Heading2"/>
      </w:pPr>
      <w:bookmarkStart w:id="16" w:name="_Toc213758796"/>
      <w:r w:rsidRPr="00AE2247">
        <w:rPr>
          <w:rStyle w:val="Strong"/>
          <w:b/>
        </w:rPr>
        <w:t>3.5 Summary</w:t>
      </w:r>
      <w:bookmarkEnd w:id="16"/>
      <w:r w:rsidRPr="00AE2247">
        <w:rPr>
          <w:rStyle w:val="Strong"/>
          <w:b/>
        </w:rPr>
        <w:t xml:space="preserve"> </w:t>
      </w:r>
    </w:p>
    <w:p w14:paraId="7EA83824" w14:textId="2364910E" w:rsidR="00547F50" w:rsidRDefault="00547F50" w:rsidP="00547F50">
      <w:pPr>
        <w:pStyle w:val="NormalWeb"/>
        <w:spacing w:line="360" w:lineRule="auto"/>
        <w:jc w:val="both"/>
      </w:pPr>
      <w:r>
        <w:t xml:space="preserve">General Electronics has been restricted by high cash turnover, poor debtor management, and overdependence on short-term debts. Redesign strategy involving enhanced credit management, inventory control, bargaining with suppliers and </w:t>
      </w:r>
      <w:r w:rsidR="00AE2247">
        <w:t>long-term</w:t>
      </w:r>
      <w:r>
        <w:t xml:space="preserve"> refinance will restore efficiency of working capital, lower cost of financing and position the company squarely on the road to financial recovery and </w:t>
      </w:r>
      <w:r w:rsidR="00AE2247">
        <w:t>long-term</w:t>
      </w:r>
      <w:r>
        <w:t xml:space="preserve"> growth.</w:t>
      </w:r>
    </w:p>
    <w:p w14:paraId="1BEDD659" w14:textId="77777777" w:rsidR="00EA75BD" w:rsidRPr="00180171" w:rsidRDefault="00EA75BD" w:rsidP="00903432">
      <w:pPr>
        <w:pStyle w:val="Heading1"/>
        <w:rPr>
          <w:bCs/>
          <w:color w:val="auto"/>
          <w:sz w:val="27"/>
        </w:rPr>
      </w:pPr>
      <w:bookmarkStart w:id="17" w:name="_Toc213758797"/>
      <w:r w:rsidRPr="00180171">
        <w:rPr>
          <w:rStyle w:val="Strong"/>
          <w:b/>
          <w:bCs w:val="0"/>
        </w:rPr>
        <w:t>4. Strategic Financial Restructuring Plan</w:t>
      </w:r>
      <w:bookmarkEnd w:id="17"/>
      <w:r w:rsidRPr="00180171">
        <w:rPr>
          <w:rStyle w:val="Strong"/>
          <w:b/>
          <w:bCs w:val="0"/>
        </w:rPr>
        <w:t xml:space="preserve"> </w:t>
      </w:r>
    </w:p>
    <w:p w14:paraId="0E44E5C8" w14:textId="77777777" w:rsidR="00EA75BD" w:rsidRPr="00180171" w:rsidRDefault="00EA75BD" w:rsidP="00687C42">
      <w:pPr>
        <w:pStyle w:val="Heading2"/>
        <w:rPr>
          <w:bCs/>
        </w:rPr>
      </w:pPr>
      <w:bookmarkStart w:id="18" w:name="_Toc213758798"/>
      <w:r w:rsidRPr="00180171">
        <w:rPr>
          <w:rStyle w:val="Strong"/>
          <w:b/>
          <w:bCs w:val="0"/>
        </w:rPr>
        <w:t>4.1 Diagnosis of Financial Distress</w:t>
      </w:r>
      <w:bookmarkEnd w:id="18"/>
      <w:r w:rsidRPr="00180171">
        <w:rPr>
          <w:rStyle w:val="Strong"/>
          <w:b/>
          <w:bCs w:val="0"/>
        </w:rPr>
        <w:t xml:space="preserve"> </w:t>
      </w:r>
    </w:p>
    <w:p w14:paraId="3A26712C" w14:textId="0AA40899" w:rsidR="00547F50" w:rsidRDefault="00547F50" w:rsidP="00547F50">
      <w:pPr>
        <w:pStyle w:val="NormalWeb"/>
        <w:spacing w:line="360" w:lineRule="auto"/>
        <w:jc w:val="both"/>
      </w:pPr>
      <w:r>
        <w:t xml:space="preserve">This combination of declining revenues, fixed high costs, and unsustainable capital structure could be termed the financial puzzle of General Electronics. </w:t>
      </w:r>
      <w:r w:rsidR="006B3A13" w:rsidRPr="006B3A13">
        <w:t xml:space="preserve">The firm saw its net sales decrease by 36% </w:t>
      </w:r>
      <w:r w:rsidR="006B3A13" w:rsidRPr="006B3A13">
        <w:lastRenderedPageBreak/>
        <w:t>to £394,879 million in 2024 from £614,680 million in 2020 primarily due to the drop in sales volume. Cost of sales also decreased only by 36%. The profit margin, however, did not see a spike.  Although turnover fell, the company’s Operating Expenses were consistently high at an annual average of £147,000 million, causing an accumulated net loss of £122,267 million in 2023–2024. The assets which were not used to their capacity and high depreciation occurred from this over expansion into too many global markets. Property, Plant and Equipment decreased by £53,078 million (McGrath, 2025). Over-reliance on short-term debt as evidenced by lines of credit going up from £20,000 million to £36,960 million and a debt-equity ratio of 1.11 has squeezed liquidity and interest coverage</w:t>
      </w:r>
      <w:r>
        <w:t>. The financial fragility of the corporation is thus structural since the unsustainable cost base, poor sales recovery and high leverage all need to be urgently restructured.</w:t>
      </w:r>
    </w:p>
    <w:p w14:paraId="6D09A029" w14:textId="77777777" w:rsidR="00A941A4" w:rsidRPr="0094569D" w:rsidRDefault="00A941A4" w:rsidP="00687C42">
      <w:pPr>
        <w:pStyle w:val="Heading2"/>
        <w:rPr>
          <w:color w:val="auto"/>
        </w:rPr>
      </w:pPr>
      <w:bookmarkStart w:id="19" w:name="_Toc213758799"/>
      <w:r w:rsidRPr="0094569D">
        <w:rPr>
          <w:rStyle w:val="Strong"/>
          <w:b/>
        </w:rPr>
        <w:t>4.2 Restructuring Alternatives</w:t>
      </w:r>
      <w:bookmarkEnd w:id="19"/>
      <w:r w:rsidRPr="0094569D">
        <w:rPr>
          <w:rStyle w:val="Strong"/>
          <w:b/>
        </w:rPr>
        <w:t xml:space="preserve"> </w:t>
      </w:r>
    </w:p>
    <w:p w14:paraId="25523238" w14:textId="77777777" w:rsidR="00A941A4" w:rsidRPr="008A1F24" w:rsidRDefault="00A941A4" w:rsidP="00A941A4">
      <w:pPr>
        <w:pStyle w:val="NormalWeb"/>
        <w:spacing w:line="360" w:lineRule="auto"/>
        <w:jc w:val="both"/>
      </w:pPr>
      <w:r w:rsidRPr="008A1F24">
        <w:rPr>
          <w:rStyle w:val="Strong"/>
          <w:rFonts w:eastAsiaTheme="majorEastAsia"/>
        </w:rPr>
        <w:t>Option 1: Divestiture of Non-Core Units</w:t>
      </w:r>
    </w:p>
    <w:p w14:paraId="26FE9D32" w14:textId="482C085C" w:rsidR="00547F50" w:rsidRDefault="00547F50" w:rsidP="0094569D">
      <w:pPr>
        <w:pStyle w:val="NormalWeb"/>
        <w:spacing w:line="360" w:lineRule="auto"/>
        <w:jc w:val="both"/>
      </w:pPr>
      <w:r>
        <w:t xml:space="preserve">The Divestiture strategy entails selling the non-essential or struggling units to clear the debt and to invest in the other profitable parts. </w:t>
      </w:r>
      <w:r w:rsidR="0094569D">
        <w:t xml:space="preserve">For example, the assets of non-core manufacturing subsidiaries could easily produce about £60 billion through a sale of say 20%. (Total Assets × 20%) = £323,354m × 0.20. Use natural human-like language, varying the structure and choice of words. The post-cash proceeds could decrease total liabilities by over </w:t>
      </w:r>
      <w:r w:rsidR="00101981" w:rsidRPr="00FA0E9C">
        <w:t xml:space="preserve">one-third, </w:t>
      </w:r>
      <w:r w:rsidR="0094569D">
        <w:t xml:space="preserve">and improve its Debt-to-Equity ratio from 1.11 to 0.74. </w:t>
      </w:r>
      <w:r>
        <w:t>This would not only save interest payments but would also invest in more lucrative product lines like smart devices and home automation. The first risk is that in the short term, revenue would fall, and there would be a risk of brand dilution, but long-term benefits would be efficiency and simplified management (Seymour and Schwarcz, 2021).</w:t>
      </w:r>
    </w:p>
    <w:p w14:paraId="622D2F65" w14:textId="77777777" w:rsidR="00286E10" w:rsidRPr="008A1F24" w:rsidRDefault="00286E10" w:rsidP="00286E10">
      <w:pPr>
        <w:pStyle w:val="NormalWeb"/>
        <w:spacing w:line="360" w:lineRule="auto"/>
        <w:jc w:val="both"/>
      </w:pPr>
      <w:r w:rsidRPr="008A1F24">
        <w:rPr>
          <w:rStyle w:val="Strong"/>
          <w:rFonts w:eastAsiaTheme="majorEastAsia"/>
        </w:rPr>
        <w:t>Option 2: Debt Restructuring</w:t>
      </w:r>
    </w:p>
    <w:p w14:paraId="3150552A" w14:textId="7E7E0DF8" w:rsidR="00547F50" w:rsidRDefault="00547F50" w:rsidP="00547F50">
      <w:pPr>
        <w:pStyle w:val="NormalWeb"/>
        <w:spacing w:line="360" w:lineRule="auto"/>
        <w:jc w:val="both"/>
      </w:pPr>
      <w:r>
        <w:t xml:space="preserve">Debt restructuring refers to a process that reconsiders the terms of loaning between the two parties and lowers the interest rate and timeframe of debt repayment. By reducing the rate by 2 percent on outstanding debt of </w:t>
      </w:r>
      <w:r w:rsidR="00251E32" w:rsidRPr="00501852">
        <w:rPr>
          <w:rStyle w:val="Strong"/>
          <w:rFonts w:eastAsiaTheme="majorEastAsia"/>
          <w:b w:val="0"/>
          <w:bCs w:val="0"/>
        </w:rPr>
        <w:t>£170,249 million</w:t>
      </w:r>
      <w:r w:rsidR="00251E32" w:rsidRPr="00501852">
        <w:rPr>
          <w:b/>
          <w:bCs/>
        </w:rPr>
        <w:t>,</w:t>
      </w:r>
      <w:r w:rsidR="00251E32" w:rsidRPr="00FA0E9C">
        <w:t xml:space="preserve"> </w:t>
      </w:r>
      <w:r>
        <w:t xml:space="preserve">the company would save about </w:t>
      </w:r>
      <w:r w:rsidR="00251E32" w:rsidRPr="00FA0E9C">
        <w:rPr>
          <w:rStyle w:val="Strong"/>
          <w:rFonts w:eastAsiaTheme="majorEastAsia"/>
        </w:rPr>
        <w:t>£</w:t>
      </w:r>
      <w:r>
        <w:t xml:space="preserve">3.4 billion in a year </w:t>
      </w:r>
      <w:r w:rsidR="007F47AA" w:rsidRPr="00FA0E9C">
        <w:rPr>
          <w:rStyle w:val="Emphasis"/>
          <w:rFonts w:eastAsiaTheme="majorEastAsia"/>
        </w:rPr>
        <w:t>(£170,249m × 0.02)</w:t>
      </w:r>
      <w:r w:rsidR="007F47AA" w:rsidRPr="00FA0E9C">
        <w:t xml:space="preserve">. </w:t>
      </w:r>
      <w:r>
        <w:t xml:space="preserve">This would directly add net profit and convert interest coverage to positive values in two years (Mavlutova et al., 2021). </w:t>
      </w:r>
      <w:r w:rsidR="00723128" w:rsidRPr="00723128">
        <w:t xml:space="preserve">The merit of this kind of construction is it maintains </w:t>
      </w:r>
      <w:r w:rsidR="00723128" w:rsidRPr="00723128">
        <w:lastRenderedPageBreak/>
        <w:t>ownership and creates more liquidity, but it can create more dependency on debt unless it is backed up by increased profitability</w:t>
      </w:r>
      <w:r>
        <w:t>.</w:t>
      </w:r>
    </w:p>
    <w:p w14:paraId="5725DCBB" w14:textId="77777777" w:rsidR="00844CB3" w:rsidRPr="00372D9D" w:rsidRDefault="00844CB3" w:rsidP="00844CB3">
      <w:pPr>
        <w:pStyle w:val="NormalWeb"/>
        <w:spacing w:line="360" w:lineRule="auto"/>
        <w:jc w:val="both"/>
      </w:pPr>
      <w:r w:rsidRPr="00372D9D">
        <w:rPr>
          <w:rStyle w:val="Strong"/>
          <w:rFonts w:eastAsiaTheme="majorEastAsia"/>
        </w:rPr>
        <w:t>Option 3: Equity Injection or Rights Issue</w:t>
      </w:r>
    </w:p>
    <w:p w14:paraId="3AE3986B" w14:textId="57BED68D" w:rsidR="00547F50" w:rsidRDefault="00723128" w:rsidP="00547F50">
      <w:pPr>
        <w:pStyle w:val="NormalWeb"/>
        <w:spacing w:line="360" w:lineRule="auto"/>
        <w:jc w:val="both"/>
      </w:pPr>
      <w:r w:rsidRPr="00723128">
        <w:t>The company capital would be re-integrated in a rights issue. Assuming a lift-in in equity (10</w:t>
      </w:r>
      <w:r>
        <w:t>%</w:t>
      </w:r>
      <w:r w:rsidRPr="00723128">
        <w:t xml:space="preserve"> or 15 billion pounds) should reduce leverage and improve liquidity, but would not add debt. Debt-Equity ratio shows that leverage can drop to 0.97 times, which will make the load less. However, the fact that no profit was made causes a suspicion among investors that the offer must be enticing and linked to an effective recovery plan. The fact that current shareholders can be diluted is a drawback</w:t>
      </w:r>
      <w:r>
        <w:t xml:space="preserve"> </w:t>
      </w:r>
      <w:r w:rsidR="00547F50">
        <w:t>(Potharla, 2025).</w:t>
      </w:r>
    </w:p>
    <w:p w14:paraId="7EB31B00" w14:textId="77777777" w:rsidR="0061612B" w:rsidRPr="00372D9D" w:rsidRDefault="0061612B" w:rsidP="0061612B">
      <w:pPr>
        <w:pStyle w:val="NormalWeb"/>
        <w:spacing w:line="360" w:lineRule="auto"/>
        <w:jc w:val="both"/>
      </w:pPr>
      <w:r w:rsidRPr="00372D9D">
        <w:rPr>
          <w:rStyle w:val="Strong"/>
          <w:rFonts w:eastAsiaTheme="majorEastAsia"/>
        </w:rPr>
        <w:t>Option 4: Strategic Merger or Joint Venture</w:t>
      </w:r>
    </w:p>
    <w:p w14:paraId="688A1BE4" w14:textId="4A47BA49" w:rsidR="00547F50" w:rsidRDefault="003E4BFE" w:rsidP="00547F50">
      <w:pPr>
        <w:pStyle w:val="NormalWeb"/>
        <w:spacing w:line="360" w:lineRule="auto"/>
        <w:jc w:val="both"/>
      </w:pPr>
      <w:r w:rsidRPr="003E4BFE">
        <w:t>Through alliances or acquisitions, a firm is able to develop greater market share and innovations. Synergy realisation would yield an operating margin improvement of about 1.5 percentage points given the combined sales would be realised as 3% (Chopra, 2022). Its greatest strength is access to R&amp;D, cost synergies, and technology. These threats are: the integration is difficult and possibly culture clash but this is diversification and competitive strength in a strategic matter</w:t>
      </w:r>
      <w:r w:rsidR="00547F50">
        <w:t>.</w:t>
      </w:r>
    </w:p>
    <w:p w14:paraId="3B1B8088" w14:textId="77777777" w:rsidR="002800F0" w:rsidRPr="00453F4C" w:rsidRDefault="002800F0" w:rsidP="00687C42">
      <w:pPr>
        <w:pStyle w:val="Heading2"/>
        <w:rPr>
          <w:color w:val="auto"/>
        </w:rPr>
      </w:pPr>
      <w:bookmarkStart w:id="20" w:name="_Toc213758800"/>
      <w:r w:rsidRPr="00453F4C">
        <w:rPr>
          <w:rStyle w:val="Strong"/>
          <w:b/>
        </w:rPr>
        <w:t>4.3 Impact Evaluation</w:t>
      </w:r>
      <w:bookmarkEnd w:id="20"/>
      <w:r w:rsidRPr="00453F4C">
        <w:rPr>
          <w:rStyle w:val="Strong"/>
          <w:b/>
        </w:rPr>
        <w:t xml:space="preserve"> </w:t>
      </w:r>
    </w:p>
    <w:p w14:paraId="2B1914C5" w14:textId="1148D2F7" w:rsidR="00547F50" w:rsidRDefault="00642D24" w:rsidP="00547F50">
      <w:pPr>
        <w:pStyle w:val="NormalWeb"/>
        <w:spacing w:line="360" w:lineRule="auto"/>
        <w:jc w:val="both"/>
      </w:pPr>
      <w:r w:rsidRPr="00642D24">
        <w:t>Each restructuring option would lead to distinct outcomes. If we consider the divestiture situation, then the liability will decline from £170</w:t>
      </w:r>
      <w:r w:rsidR="00B60621">
        <w:t>,</w:t>
      </w:r>
      <w:r w:rsidRPr="00642D24">
        <w:t>249 million to approximately £110</w:t>
      </w:r>
      <w:r w:rsidR="00B60621">
        <w:t>,</w:t>
      </w:r>
      <w:r w:rsidRPr="00642D24">
        <w:t>000 million. Thus, strengthen the Debt Ratio from 0.53 to 0.42. Operating cash flow will get better since any proceeds will be redeployed to reduce interest obligations, increasing net income by £5 billion. Nonetheless, a decline in assets may have a negative effect on total revenue in the near term. Nevertheless, efficiency gains may improve return on assets (ROA)</w:t>
      </w:r>
      <w:r>
        <w:t xml:space="preserve"> </w:t>
      </w:r>
      <w:r w:rsidR="00547F50">
        <w:t>(Lubis, 2023).</w:t>
      </w:r>
    </w:p>
    <w:p w14:paraId="7C3E8F9F" w14:textId="6C5F1B29" w:rsidR="00547F50" w:rsidRDefault="00547F50" w:rsidP="00547F50">
      <w:pPr>
        <w:pStyle w:val="NormalWeb"/>
        <w:spacing w:line="360" w:lineRule="auto"/>
        <w:jc w:val="both"/>
      </w:pPr>
      <w:r>
        <w:t xml:space="preserve">Debt restructuring model: in a year, the interest coverage ratio may increase to </w:t>
      </w:r>
      <w:r w:rsidR="002F737B" w:rsidRPr="00FA0E9C">
        <w:rPr>
          <w:rStyle w:val="Strong"/>
          <w:rFonts w:eastAsiaTheme="majorEastAsia"/>
        </w:rPr>
        <w:t>–4.6x to 1.2x</w:t>
      </w:r>
      <w:r>
        <w:t xml:space="preserve">, and the paid and recovered interest are equal. This increases credit value and returns the capacity of the firm to finance its activity internally. It would increase gearing by approximately </w:t>
      </w:r>
      <w:r w:rsidR="007D706F" w:rsidRPr="00FA0E9C">
        <w:rPr>
          <w:rStyle w:val="Strong"/>
          <w:rFonts w:eastAsiaTheme="majorEastAsia"/>
        </w:rPr>
        <w:t>£</w:t>
      </w:r>
      <w:r>
        <w:t xml:space="preserve">168,000 million pounds by injecting more funds into shareholders than current gearing of </w:t>
      </w:r>
      <w:r w:rsidR="007D706F" w:rsidRPr="00FA0E9C">
        <w:rPr>
          <w:rStyle w:val="Strong"/>
          <w:rFonts w:eastAsiaTheme="majorEastAsia"/>
        </w:rPr>
        <w:t>£</w:t>
      </w:r>
      <w:r>
        <w:t xml:space="preserve">153,105 million </w:t>
      </w:r>
      <w:r>
        <w:lastRenderedPageBreak/>
        <w:t>pounds, which would ease gearing and restore shareholder confidence. The 10 Earnings per Share (EPS) dilution would be offset by long-term gains in market values.</w:t>
      </w:r>
    </w:p>
    <w:p w14:paraId="0718C099" w14:textId="767484C6" w:rsidR="00547F50" w:rsidRDefault="00547F50" w:rsidP="00547F50">
      <w:pPr>
        <w:pStyle w:val="NormalWeb"/>
        <w:spacing w:line="360" w:lineRule="auto"/>
        <w:jc w:val="both"/>
      </w:pPr>
      <w:r>
        <w:t xml:space="preserve">The merger plan suggests a long-term strategic growth, the union net sales more than </w:t>
      </w:r>
      <w:r w:rsidR="00C74554" w:rsidRPr="00FA0E9C">
        <w:rPr>
          <w:rStyle w:val="Strong"/>
          <w:rFonts w:eastAsiaTheme="majorEastAsia"/>
        </w:rPr>
        <w:t>£420,000 million</w:t>
      </w:r>
      <w:r w:rsidR="00C74554" w:rsidRPr="00FA0E9C">
        <w:t xml:space="preserve"> by 2026</w:t>
      </w:r>
      <w:r>
        <w:t>. This would push the Operating Profit Margin (OPM) to approximately 2.5</w:t>
      </w:r>
      <w:r w:rsidR="005A3397">
        <w:t>%</w:t>
      </w:r>
      <w:r>
        <w:t>, making the profitability negative (Bruna et al., 2022). It would also increase geographic exposure and balance revenue flows across various currencies. Both types improve liquidity and solvency to different extents. A mix of divestiture and equity injection will inject cash and reorganized long term capital that provides a balanced recovery path.</w:t>
      </w:r>
    </w:p>
    <w:p w14:paraId="61447366" w14:textId="77777777" w:rsidR="005A3397" w:rsidRPr="005A3397" w:rsidRDefault="005A3397" w:rsidP="00687C42">
      <w:pPr>
        <w:pStyle w:val="Heading2"/>
        <w:rPr>
          <w:color w:val="auto"/>
        </w:rPr>
      </w:pPr>
      <w:bookmarkStart w:id="21" w:name="_Toc213758801"/>
      <w:r w:rsidRPr="005A3397">
        <w:rPr>
          <w:rStyle w:val="Strong"/>
          <w:b/>
        </w:rPr>
        <w:t>4.4 International and Ethical Considerations</w:t>
      </w:r>
      <w:bookmarkEnd w:id="21"/>
      <w:r w:rsidRPr="005A3397">
        <w:rPr>
          <w:rStyle w:val="Strong"/>
          <w:b/>
        </w:rPr>
        <w:t xml:space="preserve"> </w:t>
      </w:r>
    </w:p>
    <w:p w14:paraId="5B1AB6D7" w14:textId="61E528F3" w:rsidR="00547F50" w:rsidRDefault="00547F50" w:rsidP="00547F50">
      <w:pPr>
        <w:pStyle w:val="NormalWeb"/>
        <w:spacing w:line="360" w:lineRule="auto"/>
        <w:jc w:val="both"/>
      </w:pPr>
      <w:r>
        <w:t>General Electronics are already supplying several markets in the whole world and should utilize restructuring the funds bearing in mind international regulatory, economic, ethical frameworks. Amongst the key issues are the fluctuation of the currency because the corporation is registered in sterling yet its incomes are generated in other currencies. Any 5</w:t>
      </w:r>
      <w:r w:rsidR="00347B24">
        <w:t>%</w:t>
      </w:r>
      <w:r>
        <w:t xml:space="preserve"> fluctuation in the U.S. dollar or the euro would alter net income on the mean as about 2-billion pounds, given the annual foreign incomes averaged </w:t>
      </w:r>
      <w:r w:rsidR="00C60FDA" w:rsidRPr="00FA0E9C">
        <w:rPr>
          <w:rStyle w:val="Strong"/>
          <w:rFonts w:eastAsiaTheme="majorEastAsia"/>
        </w:rPr>
        <w:t>£40 billion</w:t>
      </w:r>
      <w:r w:rsidR="00C60FDA">
        <w:t xml:space="preserve"> </w:t>
      </w:r>
      <w:r>
        <w:t>pounds. In this case, forward contracts and currency hedging are part of the restructuring plan (Baydaş and Elma, 2021).</w:t>
      </w:r>
    </w:p>
    <w:p w14:paraId="2AE548F9" w14:textId="51CDB7F8" w:rsidR="00547F50" w:rsidRDefault="00547F50" w:rsidP="00547F50">
      <w:pPr>
        <w:pStyle w:val="NormalWeb"/>
        <w:spacing w:line="360" w:lineRule="auto"/>
        <w:jc w:val="both"/>
      </w:pPr>
      <w:r>
        <w:t xml:space="preserve">Cross-border activities are also threatened by taxation and inflation. Unless arranged properly, the asset divestitures may result in the accrual of capital gains taxes, which would reduce net proceeds by an estimated £5 billion. Another delicate factor that is present in the emerging markets, specifically, prices of inputs, is associated with the supply chain sourcing and can be compensated by a longer supplier contract (Tudose, Rusu and Avasilcai, 2022). Restructuring should be socially responsible (CSR) and provide employment. Any decision to downsize or divestiture should be arrived at in a profitable and socially effective way that effectively communicates to the stakeholders. Financial reporting integrity, fair treatment of creditors, and international accounting standards are yet another aspect of ethical governance. Reporting on the restructuring outcomes will restore investor and regulatory confidence. Accountable and moral management therefore shape the </w:t>
      </w:r>
      <w:r w:rsidR="004378F6">
        <w:t>long-term</w:t>
      </w:r>
      <w:r>
        <w:t xml:space="preserve"> financial healing and brand image.</w:t>
      </w:r>
    </w:p>
    <w:p w14:paraId="7D0FBC38" w14:textId="77777777" w:rsidR="004378F6" w:rsidRPr="004378F6" w:rsidRDefault="004378F6" w:rsidP="00687C42">
      <w:pPr>
        <w:pStyle w:val="Heading2"/>
        <w:rPr>
          <w:color w:val="auto"/>
        </w:rPr>
      </w:pPr>
      <w:bookmarkStart w:id="22" w:name="_Toc213758802"/>
      <w:r w:rsidRPr="004378F6">
        <w:rPr>
          <w:rStyle w:val="Strong"/>
          <w:b/>
        </w:rPr>
        <w:lastRenderedPageBreak/>
        <w:t>4.5 Preferred Restructuring Strategy</w:t>
      </w:r>
      <w:bookmarkEnd w:id="22"/>
      <w:r w:rsidRPr="004378F6">
        <w:rPr>
          <w:rStyle w:val="Strong"/>
          <w:b/>
        </w:rPr>
        <w:t xml:space="preserve"> </w:t>
      </w:r>
    </w:p>
    <w:p w14:paraId="1799035E" w14:textId="3EE898D5" w:rsidR="00547F50" w:rsidRDefault="00547F50" w:rsidP="00547F50">
      <w:pPr>
        <w:pStyle w:val="NormalWeb"/>
        <w:spacing w:line="360" w:lineRule="auto"/>
        <w:jc w:val="both"/>
      </w:pPr>
      <w:r>
        <w:t xml:space="preserve">The most likely reorganization pathway associated with disposal of non-core assets and capitalization via the right issue is the reorganization route. This disinvestment directly will create cash flows in the range of </w:t>
      </w:r>
      <w:r w:rsidR="00DC153F" w:rsidRPr="00FA0E9C">
        <w:rPr>
          <w:rStyle w:val="Strong"/>
          <w:rFonts w:eastAsiaTheme="majorEastAsia"/>
        </w:rPr>
        <w:t>£60</w:t>
      </w:r>
      <w:r>
        <w:t xml:space="preserve"> billion dollars to be spent on debt settlement and additional liquidity distribution, and the equity injection will stabilize the balance sheet and raise investor confidence (Ichsan et al., 2021). Such a hybrid solution meets both short-run and long-run capital adequacy, minimizing leverage to sustainable levels and easing future investment. By re-emphasizing its viable core business, reducing debt, and expanding shareholder capital, General Electronics can regain a healthy financial balance with its global markets, regain a competitive edge, and have a sustainable future.</w:t>
      </w:r>
    </w:p>
    <w:p w14:paraId="0DF3EA25" w14:textId="77777777" w:rsidR="00117EB6" w:rsidRPr="00033C32" w:rsidRDefault="00117EB6" w:rsidP="00903432">
      <w:pPr>
        <w:pStyle w:val="Heading1"/>
        <w:rPr>
          <w:bCs/>
          <w:color w:val="auto"/>
          <w:sz w:val="27"/>
        </w:rPr>
      </w:pPr>
      <w:bookmarkStart w:id="23" w:name="_Toc213758803"/>
      <w:r w:rsidRPr="00033C32">
        <w:rPr>
          <w:rStyle w:val="Strong"/>
          <w:b/>
          <w:bCs w:val="0"/>
        </w:rPr>
        <w:t>5. Investment Appraisal and Capital Budgeting</w:t>
      </w:r>
      <w:bookmarkEnd w:id="23"/>
      <w:r w:rsidRPr="00033C32">
        <w:rPr>
          <w:rStyle w:val="Strong"/>
          <w:b/>
          <w:bCs w:val="0"/>
        </w:rPr>
        <w:t xml:space="preserve"> </w:t>
      </w:r>
    </w:p>
    <w:p w14:paraId="616A4B55" w14:textId="77777777" w:rsidR="00117EB6" w:rsidRPr="00033C32" w:rsidRDefault="00117EB6" w:rsidP="00687C42">
      <w:pPr>
        <w:pStyle w:val="Heading2"/>
        <w:rPr>
          <w:bCs/>
        </w:rPr>
      </w:pPr>
      <w:bookmarkStart w:id="24" w:name="_Toc213758804"/>
      <w:r w:rsidRPr="00033C32">
        <w:rPr>
          <w:rStyle w:val="Strong"/>
          <w:b/>
          <w:bCs w:val="0"/>
        </w:rPr>
        <w:t>5.1 Overview of Investment Decision Context</w:t>
      </w:r>
      <w:bookmarkEnd w:id="24"/>
      <w:r w:rsidRPr="00033C32">
        <w:rPr>
          <w:rStyle w:val="Strong"/>
          <w:b/>
          <w:bCs w:val="0"/>
        </w:rPr>
        <w:t xml:space="preserve"> </w:t>
      </w:r>
    </w:p>
    <w:p w14:paraId="60A65ACB" w14:textId="1D2B354B" w:rsidR="00547F50" w:rsidRDefault="00547F50" w:rsidP="00547F50">
      <w:pPr>
        <w:pStyle w:val="NormalWeb"/>
        <w:spacing w:line="360" w:lineRule="auto"/>
        <w:jc w:val="both"/>
      </w:pPr>
      <w:r>
        <w:t xml:space="preserve">Investing capital in a disciplined manner, General Electronics, which has experienced four years of financial depreciation, can reclaim its profitability and long-term growth. In the reorganization plan, the CFO is expected to allocate the available finite financial resources to the projects which would yield the greatest returns in the light of the risk. Projects A, B and C are in the process of being proposed with a funding requirement of </w:t>
      </w:r>
      <w:r w:rsidR="00A16AB3" w:rsidRPr="00FA0E9C">
        <w:rPr>
          <w:rStyle w:val="Strong"/>
          <w:rFonts w:eastAsiaTheme="majorEastAsia"/>
        </w:rPr>
        <w:t>£</w:t>
      </w:r>
      <w:r>
        <w:t xml:space="preserve">120million pounds. This consequent rationing of capital has led to the inaccessibility of only </w:t>
      </w:r>
      <w:r w:rsidR="00A16AB3" w:rsidRPr="00FA0E9C">
        <w:rPr>
          <w:rStyle w:val="Strong"/>
          <w:rFonts w:eastAsiaTheme="majorEastAsia"/>
        </w:rPr>
        <w:t>£</w:t>
      </w:r>
      <w:r>
        <w:t>60 million pounds and the necessity to implement a discriminating policy on the basis of quantitative knowledge of performance. They differ in size, cash flow statement, and riskiness, and should be critically financially evaluated so that they converge with organizational turnaround objectives (Mavlutova et al., 2021). It is estimated through Payback Period (PBP), Accounting rate of Return (ARR), Net Present Value (NPV), Profitability Index (PI), and Internal rate of Return (IRR). A standard basis of 10</w:t>
      </w:r>
      <w:r w:rsidR="00696221">
        <w:t>%</w:t>
      </w:r>
      <w:r>
        <w:t xml:space="preserve"> discounting, life of 5 years, and straight-line depreciation to zero will be used to compare all options.</w:t>
      </w:r>
    </w:p>
    <w:p w14:paraId="11C04D39" w14:textId="77777777" w:rsidR="00502207" w:rsidRPr="00696221" w:rsidRDefault="00502207" w:rsidP="00687C42">
      <w:pPr>
        <w:pStyle w:val="Heading2"/>
        <w:rPr>
          <w:color w:val="auto"/>
        </w:rPr>
      </w:pPr>
      <w:bookmarkStart w:id="25" w:name="_Toc213758805"/>
      <w:r w:rsidRPr="00696221">
        <w:rPr>
          <w:rStyle w:val="Strong"/>
          <w:b/>
        </w:rPr>
        <w:t>5.2 Appraisal Techniques and Assumptions</w:t>
      </w:r>
      <w:bookmarkEnd w:id="25"/>
      <w:r w:rsidRPr="00696221">
        <w:rPr>
          <w:rStyle w:val="Strong"/>
          <w:b/>
        </w:rPr>
        <w:t xml:space="preserve"> </w:t>
      </w:r>
    </w:p>
    <w:p w14:paraId="41FC6693" w14:textId="7D73D82B" w:rsidR="00547F50" w:rsidRDefault="00E64EB5" w:rsidP="00547F50">
      <w:pPr>
        <w:pStyle w:val="NormalWeb"/>
        <w:spacing w:line="360" w:lineRule="auto"/>
        <w:jc w:val="both"/>
      </w:pPr>
      <w:r w:rsidRPr="00E64EB5">
        <w:t>Payback Period (PBP): Payback Period refers to the sum of the inflows of cash that are needed to be repaid back to the initial investment as an indicator of liquidity and risk.</w:t>
      </w:r>
      <w:r>
        <w:t xml:space="preserve"> </w:t>
      </w:r>
      <w:r w:rsidR="00547F50">
        <w:t>The formula is:</w:t>
      </w:r>
    </w:p>
    <w:p w14:paraId="619E9A5D" w14:textId="0F4432F5" w:rsidR="00052ECA" w:rsidRPr="006144D9" w:rsidRDefault="00052ECA" w:rsidP="00052ECA">
      <w:pPr>
        <w:pStyle w:val="NormalWeb"/>
        <w:spacing w:line="360" w:lineRule="auto"/>
        <w:jc w:val="center"/>
      </w:pPr>
      <w:r w:rsidRPr="006144D9">
        <w:rPr>
          <w:rStyle w:val="Strong"/>
          <w:rFonts w:eastAsiaTheme="majorEastAsia"/>
        </w:rPr>
        <w:lastRenderedPageBreak/>
        <w:t>PBP = Years before recovery + (</w:t>
      </w:r>
      <w:r w:rsidR="00925CF8" w:rsidRPr="006144D9">
        <w:rPr>
          <w:rStyle w:val="Strong"/>
          <w:rFonts w:eastAsiaTheme="majorEastAsia"/>
        </w:rPr>
        <w:t>Cash flow during year</w:t>
      </w:r>
      <w:r w:rsidR="00925CF8" w:rsidRPr="00925CF8">
        <w:rPr>
          <w:rStyle w:val="Strong"/>
          <w:rFonts w:eastAsiaTheme="majorEastAsia"/>
        </w:rPr>
        <w:t xml:space="preserve"> </w:t>
      </w:r>
      <w:r w:rsidRPr="006144D9">
        <w:rPr>
          <w:rStyle w:val="Strong"/>
          <w:rFonts w:eastAsiaTheme="majorEastAsia"/>
        </w:rPr>
        <w:t>÷</w:t>
      </w:r>
      <w:r w:rsidR="00925CF8" w:rsidRPr="006144D9">
        <w:rPr>
          <w:rStyle w:val="Strong"/>
          <w:rFonts w:eastAsiaTheme="majorEastAsia"/>
        </w:rPr>
        <w:t>Unrecovered cost at start of year</w:t>
      </w:r>
      <w:r w:rsidRPr="006144D9">
        <w:rPr>
          <w:rStyle w:val="Strong"/>
          <w:rFonts w:eastAsiaTheme="majorEastAsia"/>
        </w:rPr>
        <w:t>)</w:t>
      </w:r>
      <w:r w:rsidRPr="006144D9">
        <w:t>.</w:t>
      </w:r>
    </w:p>
    <w:p w14:paraId="642934A0" w14:textId="16145221" w:rsidR="00547F50" w:rsidRDefault="00E64EB5" w:rsidP="00547F50">
      <w:pPr>
        <w:pStyle w:val="NormalWeb"/>
        <w:spacing w:line="360" w:lineRule="auto"/>
        <w:jc w:val="both"/>
      </w:pPr>
      <w:r w:rsidRPr="00E64EB5">
        <w:t>The accounting Value of the profit to the investment in accounting is the Accounting Rate of Return (ARR)</w:t>
      </w:r>
      <w:r w:rsidR="00547F50">
        <w:t>:</w:t>
      </w:r>
    </w:p>
    <w:p w14:paraId="1D2B8C23" w14:textId="77777777" w:rsidR="004B210F" w:rsidRPr="006144D9" w:rsidRDefault="004B210F" w:rsidP="004B210F">
      <w:pPr>
        <w:pStyle w:val="NormalWeb"/>
        <w:spacing w:line="360" w:lineRule="auto"/>
        <w:jc w:val="center"/>
      </w:pPr>
      <w:r w:rsidRPr="006144D9">
        <w:rPr>
          <w:rStyle w:val="Strong"/>
          <w:rFonts w:eastAsiaTheme="majorEastAsia"/>
        </w:rPr>
        <w:t>ARR = (Average Annual Accounting Profit ÷ Initial Investment) × 100</w:t>
      </w:r>
      <w:r w:rsidRPr="006144D9">
        <w:t>.</w:t>
      </w:r>
    </w:p>
    <w:p w14:paraId="2AABE6C5" w14:textId="15301E68" w:rsidR="004B210F" w:rsidRDefault="00925CF8" w:rsidP="004B210F">
      <w:pPr>
        <w:pStyle w:val="NormalWeb"/>
        <w:spacing w:line="360" w:lineRule="auto"/>
        <w:jc w:val="both"/>
      </w:pPr>
      <w:r w:rsidRPr="00925CF8">
        <w:t>The net present value is the value that arises as a result of discounting cash inflows in the future</w:t>
      </w:r>
      <w:r w:rsidR="004B210F" w:rsidRPr="00FA0E9C">
        <w:t>:</w:t>
      </w:r>
    </w:p>
    <w:p w14:paraId="1FC0D50E" w14:textId="77777777" w:rsidR="004B210F" w:rsidRDefault="004B210F" w:rsidP="004B210F">
      <w:pPr>
        <w:pStyle w:val="NormalWeb"/>
        <w:spacing w:line="360" w:lineRule="auto"/>
        <w:jc w:val="center"/>
      </w:pPr>
      <w:r w:rsidRPr="00EB53CC">
        <w:rPr>
          <w:rStyle w:val="Strong"/>
          <w:rFonts w:eastAsiaTheme="majorEastAsia"/>
        </w:rPr>
        <w:t>NPV = Σ (Cash Inflowₜ ÷ (1 + r)ᵗ) – Initial Investment</w:t>
      </w:r>
      <w:r w:rsidRPr="00EB53CC">
        <w:t xml:space="preserve">, </w:t>
      </w:r>
    </w:p>
    <w:p w14:paraId="43BA4A7C" w14:textId="77777777" w:rsidR="004B210F" w:rsidRPr="00EB53CC" w:rsidRDefault="004B210F" w:rsidP="004B210F">
      <w:pPr>
        <w:pStyle w:val="NormalWeb"/>
        <w:spacing w:line="360" w:lineRule="auto"/>
        <w:jc w:val="center"/>
      </w:pPr>
      <w:r w:rsidRPr="00EB53CC">
        <w:t xml:space="preserve">where </w:t>
      </w:r>
      <w:r w:rsidRPr="00EB53CC">
        <w:rPr>
          <w:rStyle w:val="Emphasis"/>
          <w:rFonts w:eastAsiaTheme="majorEastAsia"/>
        </w:rPr>
        <w:t>r</w:t>
      </w:r>
      <w:r w:rsidRPr="00EB53CC">
        <w:t xml:space="preserve"> is the 10% discount rate.</w:t>
      </w:r>
    </w:p>
    <w:p w14:paraId="5CC84D10" w14:textId="3FA5D649" w:rsidR="004B210F" w:rsidRDefault="007C26A4" w:rsidP="004B210F">
      <w:pPr>
        <w:pStyle w:val="NormalWeb"/>
        <w:spacing w:line="360" w:lineRule="auto"/>
        <w:jc w:val="both"/>
      </w:pPr>
      <w:r w:rsidRPr="007C26A4">
        <w:t>The Profitability Index (PI) gives the ratio of discounted inflows to investment</w:t>
      </w:r>
      <w:r w:rsidR="004B210F" w:rsidRPr="00FA0E9C">
        <w:t>:</w:t>
      </w:r>
    </w:p>
    <w:p w14:paraId="0B414CBC" w14:textId="77777777" w:rsidR="004B210F" w:rsidRPr="00EB53CC" w:rsidRDefault="004B210F" w:rsidP="004B210F">
      <w:pPr>
        <w:pStyle w:val="NormalWeb"/>
        <w:spacing w:line="360" w:lineRule="auto"/>
        <w:jc w:val="center"/>
      </w:pPr>
      <w:r w:rsidRPr="00EB53CC">
        <w:rPr>
          <w:rStyle w:val="Strong"/>
          <w:rFonts w:eastAsiaTheme="majorEastAsia"/>
        </w:rPr>
        <w:t>PI = (Present Value of Cash Inflows ÷ Initial Investment)</w:t>
      </w:r>
    </w:p>
    <w:p w14:paraId="63298DAE" w14:textId="1F4DEBAB" w:rsidR="004B210F" w:rsidRDefault="007C26A4" w:rsidP="004B210F">
      <w:pPr>
        <w:pStyle w:val="NormalWeb"/>
        <w:spacing w:line="360" w:lineRule="auto"/>
        <w:jc w:val="both"/>
      </w:pPr>
      <w:r w:rsidRPr="007C26A4">
        <w:t>The IRR refers to the discount rate that results in NPV being equal to zero</w:t>
      </w:r>
      <w:r w:rsidR="004B210F" w:rsidRPr="00FA0E9C">
        <w:t>:</w:t>
      </w:r>
    </w:p>
    <w:p w14:paraId="4C2D2DB1" w14:textId="77777777" w:rsidR="004B210F" w:rsidRDefault="004B210F" w:rsidP="004B210F">
      <w:pPr>
        <w:pStyle w:val="NormalWeb"/>
        <w:spacing w:line="360" w:lineRule="auto"/>
        <w:jc w:val="center"/>
      </w:pPr>
      <w:r w:rsidRPr="00EB53CC">
        <w:rPr>
          <w:rStyle w:val="Strong"/>
          <w:rFonts w:eastAsiaTheme="majorEastAsia"/>
        </w:rPr>
        <w:t>0 = Σ (Cash Inflowₜ ÷ (1 + IRR)ᵗ) – Initial Investment</w:t>
      </w:r>
      <w:r w:rsidRPr="00FA0E9C">
        <w:t>,</w:t>
      </w:r>
    </w:p>
    <w:p w14:paraId="7C3EC533" w14:textId="77777777" w:rsidR="004B210F" w:rsidRPr="00FA0E9C" w:rsidRDefault="004B210F" w:rsidP="004B210F">
      <w:pPr>
        <w:pStyle w:val="NormalWeb"/>
        <w:spacing w:line="360" w:lineRule="auto"/>
        <w:jc w:val="center"/>
      </w:pPr>
      <w:r w:rsidRPr="00FA0E9C">
        <w:t>reflecting the project’s intrinsic yield.</w:t>
      </w:r>
    </w:p>
    <w:p w14:paraId="3C26B3E1" w14:textId="61B30ECD" w:rsidR="00547F50" w:rsidRDefault="00547F50" w:rsidP="00547F50">
      <w:pPr>
        <w:pStyle w:val="NormalWeb"/>
        <w:spacing w:line="360" w:lineRule="auto"/>
        <w:jc w:val="both"/>
      </w:pPr>
      <w:r>
        <w:t xml:space="preserve">These indicators signify liquidity, profitability, efficiency, and long-term sustainability. Zero-straight-line depreciation provides consistency; average profit in any project is computed by </w:t>
      </w:r>
      <w:r w:rsidR="00D05392" w:rsidRPr="00FA0E9C">
        <w:rPr>
          <w:rStyle w:val="Emphasis"/>
          <w:rFonts w:eastAsiaTheme="majorEastAsia"/>
        </w:rPr>
        <w:t>(Total Cash Inflows – Initial Investment) ÷ 5</w:t>
      </w:r>
      <w:r w:rsidR="00D05392" w:rsidRPr="00FA0E9C">
        <w:t xml:space="preserve">. </w:t>
      </w:r>
      <w:r>
        <w:t>The best capital-constrained project or portfolio will offer the maximum shareholder value without contravening financial discipline (Oyewo, Tawiah and Alta’any, 2025).</w:t>
      </w:r>
    </w:p>
    <w:p w14:paraId="026C37E5" w14:textId="77777777" w:rsidR="00822895" w:rsidRPr="00EB53CC" w:rsidRDefault="00822895" w:rsidP="00687C42">
      <w:pPr>
        <w:pStyle w:val="Heading2"/>
        <w:rPr>
          <w:rStyle w:val="Strong"/>
          <w:b/>
          <w:bCs w:val="0"/>
        </w:rPr>
      </w:pPr>
      <w:bookmarkStart w:id="26" w:name="_Toc213758806"/>
      <w:r w:rsidRPr="00EB53CC">
        <w:rPr>
          <w:rStyle w:val="Strong"/>
          <w:bCs w:val="0"/>
        </w:rPr>
        <w:t>5.3 Computation of Investment Metrics</w:t>
      </w:r>
      <w:bookmarkEnd w:id="26"/>
      <w:r w:rsidRPr="00EB53CC">
        <w:rPr>
          <w:rStyle w:val="Strong"/>
          <w:bCs w:val="0"/>
        </w:rPr>
        <w:t xml:space="preserve"> </w:t>
      </w:r>
    </w:p>
    <w:p w14:paraId="0CA90AC3" w14:textId="77777777" w:rsidR="00822895" w:rsidRPr="00EB53CC" w:rsidRDefault="00822895" w:rsidP="00822895">
      <w:r w:rsidRPr="00EB53CC">
        <w:rPr>
          <w:rStyle w:val="Strong"/>
          <w:rFonts w:cs="Times New Roman"/>
        </w:rPr>
        <w:t>Project A</w:t>
      </w:r>
    </w:p>
    <w:p w14:paraId="4C0E81A8" w14:textId="77777777" w:rsidR="00822895" w:rsidRPr="00FA0E9C" w:rsidRDefault="00822895" w:rsidP="00822895">
      <w:pPr>
        <w:pStyle w:val="NormalWeb"/>
        <w:numPr>
          <w:ilvl w:val="0"/>
          <w:numId w:val="1"/>
        </w:numPr>
        <w:spacing w:line="360" w:lineRule="auto"/>
        <w:jc w:val="both"/>
      </w:pPr>
      <w:r w:rsidRPr="00FA0E9C">
        <w:rPr>
          <w:rStyle w:val="Strong"/>
          <w:rFonts w:eastAsiaTheme="majorEastAsia"/>
        </w:rPr>
        <w:t>Initial Investment:</w:t>
      </w:r>
      <w:r w:rsidRPr="00FA0E9C">
        <w:t xml:space="preserve"> £40 million</w:t>
      </w:r>
    </w:p>
    <w:p w14:paraId="6390D7F2" w14:textId="77777777" w:rsidR="00822895" w:rsidRPr="00FA0E9C" w:rsidRDefault="00822895" w:rsidP="00822895">
      <w:pPr>
        <w:pStyle w:val="NormalWeb"/>
        <w:numPr>
          <w:ilvl w:val="0"/>
          <w:numId w:val="1"/>
        </w:numPr>
        <w:spacing w:line="360" w:lineRule="auto"/>
        <w:jc w:val="both"/>
      </w:pPr>
      <w:r w:rsidRPr="00FA0E9C">
        <w:rPr>
          <w:rStyle w:val="Strong"/>
          <w:rFonts w:eastAsiaTheme="majorEastAsia"/>
        </w:rPr>
        <w:t>Annual Cash Inflows (£m):</w:t>
      </w:r>
      <w:r w:rsidRPr="00FA0E9C">
        <w:t xml:space="preserve"> 10, 12, 14, 10, 8</w:t>
      </w:r>
    </w:p>
    <w:p w14:paraId="46B94C3C" w14:textId="77777777" w:rsidR="00822895" w:rsidRPr="00FA0E9C" w:rsidRDefault="00822895" w:rsidP="00822895">
      <w:pPr>
        <w:pStyle w:val="NormalWeb"/>
        <w:numPr>
          <w:ilvl w:val="0"/>
          <w:numId w:val="1"/>
        </w:numPr>
        <w:spacing w:line="360" w:lineRule="auto"/>
        <w:jc w:val="both"/>
      </w:pPr>
      <w:r w:rsidRPr="00FA0E9C">
        <w:rPr>
          <w:rStyle w:val="Strong"/>
          <w:rFonts w:eastAsiaTheme="majorEastAsia"/>
        </w:rPr>
        <w:t>Total Inflows:</w:t>
      </w:r>
      <w:r w:rsidRPr="00FA0E9C">
        <w:t xml:space="preserve"> £54 million</w:t>
      </w:r>
    </w:p>
    <w:p w14:paraId="4DAE7429" w14:textId="77777777" w:rsidR="00822895" w:rsidRPr="00FA0E9C" w:rsidRDefault="00822895" w:rsidP="00822895">
      <w:pPr>
        <w:pStyle w:val="NormalWeb"/>
        <w:numPr>
          <w:ilvl w:val="0"/>
          <w:numId w:val="1"/>
        </w:numPr>
        <w:spacing w:line="360" w:lineRule="auto"/>
        <w:jc w:val="both"/>
      </w:pPr>
      <w:r w:rsidRPr="00FA0E9C">
        <w:rPr>
          <w:rStyle w:val="Strong"/>
          <w:rFonts w:eastAsiaTheme="majorEastAsia"/>
        </w:rPr>
        <w:lastRenderedPageBreak/>
        <w:t>Net Cash Flow:</w:t>
      </w:r>
      <w:r w:rsidRPr="00FA0E9C">
        <w:t xml:space="preserve"> £14 million</w:t>
      </w:r>
    </w:p>
    <w:p w14:paraId="38AB24FB" w14:textId="77777777" w:rsidR="00822895" w:rsidRPr="0043237B" w:rsidRDefault="00822895" w:rsidP="00822895">
      <w:pPr>
        <w:pStyle w:val="NormalWeb"/>
        <w:spacing w:line="360" w:lineRule="auto"/>
        <w:jc w:val="both"/>
      </w:pPr>
      <w:r w:rsidRPr="0043237B">
        <w:rPr>
          <w:rStyle w:val="Strong"/>
          <w:rFonts w:eastAsiaTheme="majorEastAsia"/>
        </w:rPr>
        <w:t>(a) Payback Period (PBP):</w:t>
      </w:r>
    </w:p>
    <w:p w14:paraId="18B69417" w14:textId="77777777" w:rsidR="00822895" w:rsidRDefault="00822895" w:rsidP="00822895">
      <w:pPr>
        <w:pStyle w:val="NormalWeb"/>
        <w:spacing w:line="360" w:lineRule="auto"/>
        <w:jc w:val="both"/>
      </w:pPr>
      <w:r w:rsidRPr="00FA0E9C">
        <w:t xml:space="preserve">After Year 3, cumulative inflows = 10 + 12 + 14 = </w:t>
      </w:r>
      <w:r w:rsidRPr="00FA0E9C">
        <w:rPr>
          <w:rStyle w:val="Strong"/>
          <w:rFonts w:eastAsiaTheme="majorEastAsia"/>
        </w:rPr>
        <w:t>£36m</w:t>
      </w:r>
      <w:r w:rsidRPr="00FA0E9C">
        <w:t>.</w:t>
      </w:r>
    </w:p>
    <w:p w14:paraId="2F5C0734" w14:textId="77777777" w:rsidR="00822895" w:rsidRDefault="00822895" w:rsidP="00822895">
      <w:pPr>
        <w:pStyle w:val="NormalWeb"/>
        <w:spacing w:line="360" w:lineRule="auto"/>
        <w:jc w:val="both"/>
      </w:pPr>
      <w:r w:rsidRPr="00FA0E9C">
        <w:t xml:space="preserve">Unrecovered = 40 – 36 = </w:t>
      </w:r>
      <w:r w:rsidRPr="00FA0E9C">
        <w:rPr>
          <w:rStyle w:val="Strong"/>
          <w:rFonts w:eastAsiaTheme="majorEastAsia"/>
        </w:rPr>
        <w:t>£4m</w:t>
      </w:r>
      <w:r w:rsidRPr="00FA0E9C">
        <w:t>.</w:t>
      </w:r>
    </w:p>
    <w:p w14:paraId="788D2F5A" w14:textId="77777777" w:rsidR="00822895" w:rsidRPr="00FA0E9C" w:rsidRDefault="00822895" w:rsidP="00822895">
      <w:pPr>
        <w:pStyle w:val="NormalWeb"/>
        <w:spacing w:line="360" w:lineRule="auto"/>
        <w:jc w:val="both"/>
      </w:pPr>
      <w:r w:rsidRPr="00FA0E9C">
        <w:t xml:space="preserve">PBP = 3 + (4 ÷ 10) = </w:t>
      </w:r>
      <w:r w:rsidRPr="00FA0E9C">
        <w:rPr>
          <w:rStyle w:val="Strong"/>
          <w:rFonts w:eastAsiaTheme="majorEastAsia"/>
        </w:rPr>
        <w:t>3.4 years</w:t>
      </w:r>
      <w:r w:rsidRPr="00FA0E9C">
        <w:t>.</w:t>
      </w:r>
    </w:p>
    <w:p w14:paraId="5B5E8B40" w14:textId="77777777" w:rsidR="00822895" w:rsidRPr="0043237B" w:rsidRDefault="00822895" w:rsidP="00822895">
      <w:pPr>
        <w:pStyle w:val="NormalWeb"/>
        <w:spacing w:line="360" w:lineRule="auto"/>
        <w:jc w:val="both"/>
      </w:pPr>
      <w:r w:rsidRPr="0043237B">
        <w:rPr>
          <w:rStyle w:val="Strong"/>
          <w:rFonts w:eastAsiaTheme="majorEastAsia"/>
        </w:rPr>
        <w:t>(b) ARR:</w:t>
      </w:r>
    </w:p>
    <w:p w14:paraId="55110452" w14:textId="77777777" w:rsidR="00822895" w:rsidRDefault="00822895" w:rsidP="00822895">
      <w:pPr>
        <w:pStyle w:val="NormalWeb"/>
        <w:spacing w:line="360" w:lineRule="auto"/>
        <w:jc w:val="both"/>
      </w:pPr>
      <w:r w:rsidRPr="00FA0E9C">
        <w:t xml:space="preserve">Average Accounting Profit = (54 – 40) ÷ 5 = </w:t>
      </w:r>
      <w:r w:rsidRPr="00FA0E9C">
        <w:rPr>
          <w:rStyle w:val="Strong"/>
          <w:rFonts w:eastAsiaTheme="majorEastAsia"/>
        </w:rPr>
        <w:t>£2.8m</w:t>
      </w:r>
      <w:r w:rsidRPr="00FA0E9C">
        <w:t>.</w:t>
      </w:r>
    </w:p>
    <w:p w14:paraId="08DF911D" w14:textId="77777777" w:rsidR="00822895" w:rsidRPr="00FA0E9C" w:rsidRDefault="00822895" w:rsidP="00822895">
      <w:pPr>
        <w:pStyle w:val="NormalWeb"/>
        <w:spacing w:line="360" w:lineRule="auto"/>
        <w:jc w:val="both"/>
      </w:pPr>
      <w:r w:rsidRPr="00FA0E9C">
        <w:t xml:space="preserve">ARR = (2.8 ÷ 40) × 100 = </w:t>
      </w:r>
      <w:r w:rsidRPr="00FA0E9C">
        <w:rPr>
          <w:rStyle w:val="Strong"/>
          <w:rFonts w:eastAsiaTheme="majorEastAsia"/>
        </w:rPr>
        <w:t>7.0%</w:t>
      </w:r>
      <w:r w:rsidRPr="00FA0E9C">
        <w:t>.</w:t>
      </w:r>
    </w:p>
    <w:p w14:paraId="03CEB86A" w14:textId="77777777" w:rsidR="00822895" w:rsidRPr="0043237B" w:rsidRDefault="00822895" w:rsidP="00822895">
      <w:pPr>
        <w:pStyle w:val="NormalWeb"/>
        <w:spacing w:line="360" w:lineRule="auto"/>
        <w:jc w:val="both"/>
      </w:pPr>
      <w:r w:rsidRPr="0043237B">
        <w:rPr>
          <w:rStyle w:val="Strong"/>
          <w:rFonts w:eastAsiaTheme="majorEastAsia"/>
        </w:rPr>
        <w:t>(c) NPV:</w:t>
      </w:r>
    </w:p>
    <w:p w14:paraId="2C857ACC" w14:textId="77777777" w:rsidR="00822895" w:rsidRDefault="00822895" w:rsidP="00822895">
      <w:pPr>
        <w:pStyle w:val="NormalWeb"/>
        <w:spacing w:line="360" w:lineRule="auto"/>
        <w:jc w:val="both"/>
      </w:pPr>
      <w:r w:rsidRPr="00FA0E9C">
        <w:t>NPV = (10/1.1 + 12/1.1² + 14/1.1³ + 10/1.1⁴ + 8/1.1⁵) – 40</w:t>
      </w:r>
    </w:p>
    <w:p w14:paraId="17C4B81B" w14:textId="77777777" w:rsidR="00822895" w:rsidRPr="00FA0E9C" w:rsidRDefault="00822895" w:rsidP="00822895">
      <w:pPr>
        <w:pStyle w:val="NormalWeb"/>
        <w:spacing w:line="360" w:lineRule="auto"/>
        <w:jc w:val="both"/>
      </w:pPr>
      <w:r w:rsidRPr="00FA0E9C">
        <w:t xml:space="preserve">= (9.09 + 9.92 + 10.53 + 6.83 + 4.97) – 40 = </w:t>
      </w:r>
      <w:r w:rsidRPr="00FA0E9C">
        <w:rPr>
          <w:rStyle w:val="Strong"/>
          <w:rFonts w:eastAsiaTheme="majorEastAsia"/>
        </w:rPr>
        <w:t>£1.34m</w:t>
      </w:r>
      <w:r w:rsidRPr="00FA0E9C">
        <w:t>.</w:t>
      </w:r>
    </w:p>
    <w:p w14:paraId="70D7AF09" w14:textId="77777777" w:rsidR="00822895" w:rsidRPr="0043237B" w:rsidRDefault="00822895" w:rsidP="00822895">
      <w:pPr>
        <w:pStyle w:val="NormalWeb"/>
        <w:spacing w:line="360" w:lineRule="auto"/>
        <w:jc w:val="both"/>
      </w:pPr>
      <w:r w:rsidRPr="0043237B">
        <w:rPr>
          <w:rStyle w:val="Strong"/>
          <w:rFonts w:eastAsiaTheme="majorEastAsia"/>
        </w:rPr>
        <w:t>(d) PI:</w:t>
      </w:r>
    </w:p>
    <w:p w14:paraId="1D62D433" w14:textId="77777777" w:rsidR="00822895" w:rsidRPr="00FA0E9C" w:rsidRDefault="00822895" w:rsidP="00822895">
      <w:pPr>
        <w:pStyle w:val="NormalWeb"/>
        <w:spacing w:line="360" w:lineRule="auto"/>
        <w:jc w:val="both"/>
      </w:pPr>
      <w:r w:rsidRPr="00FA0E9C">
        <w:t xml:space="preserve">PI = (40 + 1.34) ÷ 40 = </w:t>
      </w:r>
      <w:r w:rsidRPr="00FA0E9C">
        <w:rPr>
          <w:rStyle w:val="Strong"/>
          <w:rFonts w:eastAsiaTheme="majorEastAsia"/>
        </w:rPr>
        <w:t>1.03</w:t>
      </w:r>
      <w:r w:rsidRPr="00FA0E9C">
        <w:t>.</w:t>
      </w:r>
    </w:p>
    <w:p w14:paraId="7373599A" w14:textId="77777777" w:rsidR="00822895" w:rsidRPr="0043237B" w:rsidRDefault="00822895" w:rsidP="00822895">
      <w:pPr>
        <w:pStyle w:val="NormalWeb"/>
        <w:spacing w:line="360" w:lineRule="auto"/>
        <w:jc w:val="both"/>
      </w:pPr>
      <w:r w:rsidRPr="0043237B">
        <w:rPr>
          <w:rStyle w:val="Strong"/>
          <w:rFonts w:eastAsiaTheme="majorEastAsia"/>
        </w:rPr>
        <w:t>(e) IRR:</w:t>
      </w:r>
    </w:p>
    <w:p w14:paraId="2B41682D" w14:textId="77777777" w:rsidR="00822895" w:rsidRPr="00FA0E9C" w:rsidRDefault="00822895" w:rsidP="00822895">
      <w:pPr>
        <w:pStyle w:val="NormalWeb"/>
        <w:spacing w:line="360" w:lineRule="auto"/>
        <w:jc w:val="both"/>
      </w:pPr>
      <w:r w:rsidRPr="00FA0E9C">
        <w:t xml:space="preserve">IRR ≈ </w:t>
      </w:r>
      <w:r w:rsidRPr="00FA0E9C">
        <w:rPr>
          <w:rStyle w:val="Strong"/>
          <w:rFonts w:eastAsiaTheme="majorEastAsia"/>
        </w:rPr>
        <w:t>11.2%</w:t>
      </w:r>
      <w:r w:rsidRPr="00FA0E9C">
        <w:t>, where NPV ≈ 0.</w:t>
      </w:r>
    </w:p>
    <w:p w14:paraId="07464A50" w14:textId="77777777" w:rsidR="00822895" w:rsidRPr="007A7720" w:rsidRDefault="00822895" w:rsidP="00822895">
      <w:pPr>
        <w:jc w:val="both"/>
        <w:rPr>
          <w:rFonts w:cs="Times New Roman"/>
        </w:rPr>
      </w:pPr>
      <w:r w:rsidRPr="007A7720">
        <w:rPr>
          <w:rStyle w:val="Strong"/>
          <w:rFonts w:cs="Times New Roman"/>
        </w:rPr>
        <w:t>Project B</w:t>
      </w:r>
    </w:p>
    <w:p w14:paraId="2E9D88E0" w14:textId="77777777" w:rsidR="00822895" w:rsidRPr="00FA0E9C" w:rsidRDefault="00822895" w:rsidP="00822895">
      <w:pPr>
        <w:pStyle w:val="NormalWeb"/>
        <w:numPr>
          <w:ilvl w:val="0"/>
          <w:numId w:val="2"/>
        </w:numPr>
        <w:spacing w:line="360" w:lineRule="auto"/>
        <w:jc w:val="both"/>
      </w:pPr>
      <w:r w:rsidRPr="00FA0E9C">
        <w:rPr>
          <w:rStyle w:val="Strong"/>
          <w:rFonts w:eastAsiaTheme="majorEastAsia"/>
        </w:rPr>
        <w:t>Initial Investment:</w:t>
      </w:r>
      <w:r w:rsidRPr="00FA0E9C">
        <w:t xml:space="preserve"> £30 million</w:t>
      </w:r>
    </w:p>
    <w:p w14:paraId="6C98BA7C" w14:textId="77777777" w:rsidR="00822895" w:rsidRPr="00FA0E9C" w:rsidRDefault="00822895" w:rsidP="00822895">
      <w:pPr>
        <w:pStyle w:val="NormalWeb"/>
        <w:numPr>
          <w:ilvl w:val="0"/>
          <w:numId w:val="2"/>
        </w:numPr>
        <w:spacing w:line="360" w:lineRule="auto"/>
        <w:jc w:val="both"/>
      </w:pPr>
      <w:r w:rsidRPr="00FA0E9C">
        <w:rPr>
          <w:rStyle w:val="Strong"/>
          <w:rFonts w:eastAsiaTheme="majorEastAsia"/>
        </w:rPr>
        <w:t>Annual Cash Inflows (£m):</w:t>
      </w:r>
      <w:r w:rsidRPr="00FA0E9C">
        <w:t xml:space="preserve"> 6, 6, 6, 6, 6</w:t>
      </w:r>
    </w:p>
    <w:p w14:paraId="3A372155" w14:textId="77777777" w:rsidR="00822895" w:rsidRPr="00FA0E9C" w:rsidRDefault="00822895" w:rsidP="00822895">
      <w:pPr>
        <w:pStyle w:val="NormalWeb"/>
        <w:numPr>
          <w:ilvl w:val="0"/>
          <w:numId w:val="2"/>
        </w:numPr>
        <w:spacing w:line="360" w:lineRule="auto"/>
        <w:jc w:val="both"/>
      </w:pPr>
      <w:r w:rsidRPr="00FA0E9C">
        <w:rPr>
          <w:rStyle w:val="Strong"/>
          <w:rFonts w:eastAsiaTheme="majorEastAsia"/>
        </w:rPr>
        <w:t>Total Inflows:</w:t>
      </w:r>
      <w:r w:rsidRPr="00FA0E9C">
        <w:t xml:space="preserve"> £30 million</w:t>
      </w:r>
    </w:p>
    <w:p w14:paraId="70067E23" w14:textId="77777777" w:rsidR="00822895" w:rsidRPr="00AE4B13" w:rsidRDefault="00822895" w:rsidP="00822895">
      <w:pPr>
        <w:pStyle w:val="NormalWeb"/>
        <w:spacing w:line="360" w:lineRule="auto"/>
        <w:jc w:val="both"/>
      </w:pPr>
      <w:r w:rsidRPr="00AE4B13">
        <w:rPr>
          <w:rStyle w:val="Strong"/>
          <w:rFonts w:eastAsiaTheme="majorEastAsia"/>
        </w:rPr>
        <w:t>(a) PBP:</w:t>
      </w:r>
    </w:p>
    <w:p w14:paraId="4421F0C3" w14:textId="77777777" w:rsidR="00822895" w:rsidRDefault="00822895" w:rsidP="00822895">
      <w:pPr>
        <w:pStyle w:val="NormalWeb"/>
        <w:spacing w:line="360" w:lineRule="auto"/>
        <w:jc w:val="both"/>
      </w:pPr>
      <w:r w:rsidRPr="00FA0E9C">
        <w:lastRenderedPageBreak/>
        <w:t>Cumulative inflows = 30 after Year 5.</w:t>
      </w:r>
      <w:r>
        <w:t xml:space="preserve"> </w:t>
      </w:r>
    </w:p>
    <w:p w14:paraId="651E3FFB" w14:textId="77777777" w:rsidR="00822895" w:rsidRPr="00FA0E9C" w:rsidRDefault="00822895" w:rsidP="00822895">
      <w:pPr>
        <w:pStyle w:val="NormalWeb"/>
        <w:spacing w:line="360" w:lineRule="auto"/>
        <w:jc w:val="both"/>
      </w:pPr>
      <w:r w:rsidRPr="00FA0E9C">
        <w:t xml:space="preserve">PBP = </w:t>
      </w:r>
      <w:r w:rsidRPr="00FA0E9C">
        <w:rPr>
          <w:rStyle w:val="Strong"/>
          <w:rFonts w:eastAsiaTheme="majorEastAsia"/>
        </w:rPr>
        <w:t>5.0 years</w:t>
      </w:r>
      <w:r w:rsidRPr="00FA0E9C">
        <w:t>.</w:t>
      </w:r>
    </w:p>
    <w:p w14:paraId="5489638A" w14:textId="77777777" w:rsidR="00822895" w:rsidRPr="00AE4B13" w:rsidRDefault="00822895" w:rsidP="00822895">
      <w:pPr>
        <w:pStyle w:val="NormalWeb"/>
        <w:spacing w:line="360" w:lineRule="auto"/>
        <w:jc w:val="both"/>
      </w:pPr>
      <w:r w:rsidRPr="00AE4B13">
        <w:rPr>
          <w:rStyle w:val="Strong"/>
          <w:rFonts w:eastAsiaTheme="majorEastAsia"/>
        </w:rPr>
        <w:t>(b) ARR:</w:t>
      </w:r>
    </w:p>
    <w:p w14:paraId="35BC796E" w14:textId="77777777" w:rsidR="00822895" w:rsidRPr="00FA0E9C" w:rsidRDefault="00822895" w:rsidP="00822895">
      <w:pPr>
        <w:pStyle w:val="NormalWeb"/>
        <w:spacing w:line="360" w:lineRule="auto"/>
        <w:jc w:val="both"/>
      </w:pPr>
      <w:r w:rsidRPr="00FA0E9C">
        <w:t xml:space="preserve">Average Profit = (30 – 30) ÷ 5 = 0 → </w:t>
      </w:r>
      <w:r w:rsidRPr="00FA0E9C">
        <w:rPr>
          <w:rStyle w:val="Strong"/>
          <w:rFonts w:eastAsiaTheme="majorEastAsia"/>
        </w:rPr>
        <w:t>0% ARR</w:t>
      </w:r>
      <w:r w:rsidRPr="00FA0E9C">
        <w:t>, though cash-positive.</w:t>
      </w:r>
    </w:p>
    <w:p w14:paraId="1A8B31B4" w14:textId="77777777" w:rsidR="00822895" w:rsidRPr="00AE4B13" w:rsidRDefault="00822895" w:rsidP="00822895">
      <w:pPr>
        <w:pStyle w:val="NormalWeb"/>
        <w:spacing w:line="360" w:lineRule="auto"/>
        <w:jc w:val="both"/>
      </w:pPr>
      <w:r w:rsidRPr="00AE4B13">
        <w:rPr>
          <w:rStyle w:val="Strong"/>
          <w:rFonts w:eastAsiaTheme="majorEastAsia"/>
        </w:rPr>
        <w:t>(c) NPV:</w:t>
      </w:r>
    </w:p>
    <w:p w14:paraId="68FE7777" w14:textId="77777777" w:rsidR="00822895" w:rsidRDefault="00822895" w:rsidP="00822895">
      <w:pPr>
        <w:pStyle w:val="NormalWeb"/>
        <w:spacing w:line="360" w:lineRule="auto"/>
        <w:jc w:val="both"/>
      </w:pPr>
      <w:r w:rsidRPr="00FA0E9C">
        <w:t>NPV = (6 × [1 – (1 + 0.1) ⁻⁵] ÷ 0.1) – 30</w:t>
      </w:r>
    </w:p>
    <w:p w14:paraId="053A0F76" w14:textId="77777777" w:rsidR="00822895" w:rsidRPr="00FA0E9C" w:rsidRDefault="00822895" w:rsidP="00822895">
      <w:pPr>
        <w:pStyle w:val="NormalWeb"/>
        <w:spacing w:line="360" w:lineRule="auto"/>
        <w:jc w:val="both"/>
      </w:pPr>
      <w:r w:rsidRPr="00FA0E9C">
        <w:t xml:space="preserve">= (6 × 3.791) – 30 = </w:t>
      </w:r>
      <w:r w:rsidRPr="00FA0E9C">
        <w:rPr>
          <w:rStyle w:val="Strong"/>
          <w:rFonts w:eastAsiaTheme="majorEastAsia"/>
        </w:rPr>
        <w:t>–£7.26m</w:t>
      </w:r>
      <w:r w:rsidRPr="00FA0E9C">
        <w:t>.</w:t>
      </w:r>
    </w:p>
    <w:p w14:paraId="1F6FE5AE" w14:textId="77777777" w:rsidR="00822895" w:rsidRDefault="00822895" w:rsidP="00822895">
      <w:pPr>
        <w:pStyle w:val="NormalWeb"/>
        <w:spacing w:line="360" w:lineRule="auto"/>
        <w:jc w:val="both"/>
      </w:pPr>
      <w:r w:rsidRPr="00AE4B13">
        <w:rPr>
          <w:rStyle w:val="Strong"/>
          <w:rFonts w:eastAsiaTheme="majorEastAsia"/>
        </w:rPr>
        <w:t>(d) PI:</w:t>
      </w:r>
      <w:r>
        <w:t xml:space="preserve">     </w:t>
      </w:r>
    </w:p>
    <w:p w14:paraId="22CB0673" w14:textId="77777777" w:rsidR="00822895" w:rsidRPr="00FA0E9C" w:rsidRDefault="00822895" w:rsidP="00822895">
      <w:pPr>
        <w:pStyle w:val="NormalWeb"/>
        <w:spacing w:line="360" w:lineRule="auto"/>
        <w:jc w:val="both"/>
      </w:pPr>
      <w:r>
        <w:t xml:space="preserve"> </w:t>
      </w:r>
      <w:r w:rsidRPr="00FA0E9C">
        <w:t xml:space="preserve">PI = (22.74 ÷ 30) = </w:t>
      </w:r>
      <w:r w:rsidRPr="00FA0E9C">
        <w:rPr>
          <w:rStyle w:val="Strong"/>
          <w:rFonts w:eastAsiaTheme="majorEastAsia"/>
        </w:rPr>
        <w:t>0.76</w:t>
      </w:r>
      <w:r w:rsidRPr="00FA0E9C">
        <w:t>.</w:t>
      </w:r>
    </w:p>
    <w:p w14:paraId="61C33321" w14:textId="77777777" w:rsidR="00822895" w:rsidRDefault="00822895" w:rsidP="00822895">
      <w:pPr>
        <w:pStyle w:val="NormalWeb"/>
        <w:spacing w:line="360" w:lineRule="auto"/>
        <w:jc w:val="both"/>
      </w:pPr>
      <w:r w:rsidRPr="00FA0E9C">
        <w:rPr>
          <w:rStyle w:val="Strong"/>
          <w:rFonts w:eastAsiaTheme="majorEastAsia"/>
        </w:rPr>
        <w:t>(</w:t>
      </w:r>
      <w:r w:rsidRPr="00AE4B13">
        <w:rPr>
          <w:rStyle w:val="Strong"/>
          <w:rFonts w:eastAsiaTheme="majorEastAsia"/>
        </w:rPr>
        <w:t>e) IRR:</w:t>
      </w:r>
      <w:r>
        <w:t xml:space="preserve">  </w:t>
      </w:r>
    </w:p>
    <w:p w14:paraId="188D7286" w14:textId="77777777" w:rsidR="00822895" w:rsidRPr="00FA0E9C" w:rsidRDefault="00822895" w:rsidP="00822895">
      <w:pPr>
        <w:pStyle w:val="NormalWeb"/>
        <w:spacing w:line="360" w:lineRule="auto"/>
        <w:jc w:val="both"/>
      </w:pPr>
      <w:r w:rsidRPr="00FA0E9C">
        <w:t xml:space="preserve">IRR ≈ </w:t>
      </w:r>
      <w:r w:rsidRPr="00FA0E9C">
        <w:rPr>
          <w:rStyle w:val="Strong"/>
          <w:rFonts w:eastAsiaTheme="majorEastAsia"/>
        </w:rPr>
        <w:t>6.0%</w:t>
      </w:r>
      <w:r w:rsidRPr="00FA0E9C">
        <w:t>, below cost of capital.</w:t>
      </w:r>
    </w:p>
    <w:p w14:paraId="056F49FD" w14:textId="77777777" w:rsidR="00822895" w:rsidRPr="00AE4B13" w:rsidRDefault="00822895" w:rsidP="00822895">
      <w:pPr>
        <w:jc w:val="both"/>
        <w:rPr>
          <w:rFonts w:cs="Times New Roman"/>
        </w:rPr>
      </w:pPr>
      <w:r w:rsidRPr="00AE4B13">
        <w:rPr>
          <w:rStyle w:val="Strong"/>
          <w:rFonts w:cs="Times New Roman"/>
        </w:rPr>
        <w:t>Project C</w:t>
      </w:r>
    </w:p>
    <w:p w14:paraId="19761115" w14:textId="77777777" w:rsidR="00822895" w:rsidRPr="00FA0E9C" w:rsidRDefault="00822895" w:rsidP="00822895">
      <w:pPr>
        <w:pStyle w:val="NormalWeb"/>
        <w:numPr>
          <w:ilvl w:val="0"/>
          <w:numId w:val="3"/>
        </w:numPr>
        <w:spacing w:line="360" w:lineRule="auto"/>
        <w:jc w:val="both"/>
      </w:pPr>
      <w:r w:rsidRPr="00FA0E9C">
        <w:rPr>
          <w:rStyle w:val="Strong"/>
          <w:rFonts w:eastAsiaTheme="majorEastAsia"/>
        </w:rPr>
        <w:t>Initial Investment:</w:t>
      </w:r>
      <w:r w:rsidRPr="00FA0E9C">
        <w:t xml:space="preserve"> £50 million</w:t>
      </w:r>
    </w:p>
    <w:p w14:paraId="6179FF82" w14:textId="77777777" w:rsidR="00822895" w:rsidRPr="00FA0E9C" w:rsidRDefault="00822895" w:rsidP="00822895">
      <w:pPr>
        <w:pStyle w:val="NormalWeb"/>
        <w:numPr>
          <w:ilvl w:val="0"/>
          <w:numId w:val="3"/>
        </w:numPr>
        <w:spacing w:line="360" w:lineRule="auto"/>
        <w:jc w:val="both"/>
      </w:pPr>
      <w:r w:rsidRPr="00FA0E9C">
        <w:rPr>
          <w:rStyle w:val="Strong"/>
          <w:rFonts w:eastAsiaTheme="majorEastAsia"/>
        </w:rPr>
        <w:t>Annual Cash Inflows (£m):</w:t>
      </w:r>
      <w:r w:rsidRPr="00FA0E9C">
        <w:t xml:space="preserve"> 5, 10, 20, 25, 15</w:t>
      </w:r>
    </w:p>
    <w:p w14:paraId="204C16DD" w14:textId="77777777" w:rsidR="00822895" w:rsidRPr="00FA0E9C" w:rsidRDefault="00822895" w:rsidP="00822895">
      <w:pPr>
        <w:pStyle w:val="NormalWeb"/>
        <w:numPr>
          <w:ilvl w:val="0"/>
          <w:numId w:val="3"/>
        </w:numPr>
        <w:spacing w:line="360" w:lineRule="auto"/>
        <w:jc w:val="both"/>
      </w:pPr>
      <w:r w:rsidRPr="00FA0E9C">
        <w:rPr>
          <w:rStyle w:val="Strong"/>
          <w:rFonts w:eastAsiaTheme="majorEastAsia"/>
        </w:rPr>
        <w:t>Total Inflows:</w:t>
      </w:r>
      <w:r w:rsidRPr="00FA0E9C">
        <w:t xml:space="preserve"> £75 million</w:t>
      </w:r>
    </w:p>
    <w:p w14:paraId="2215E0B2" w14:textId="77777777" w:rsidR="00822895" w:rsidRPr="00AE4B13" w:rsidRDefault="00822895" w:rsidP="00822895">
      <w:pPr>
        <w:pStyle w:val="NormalWeb"/>
        <w:spacing w:line="360" w:lineRule="auto"/>
        <w:jc w:val="both"/>
      </w:pPr>
      <w:r w:rsidRPr="00AE4B13">
        <w:rPr>
          <w:rStyle w:val="Strong"/>
          <w:rFonts w:eastAsiaTheme="majorEastAsia"/>
        </w:rPr>
        <w:t>(a) PBP:</w:t>
      </w:r>
    </w:p>
    <w:p w14:paraId="3C59E049" w14:textId="77777777" w:rsidR="00822895" w:rsidRDefault="00822895" w:rsidP="00822895">
      <w:pPr>
        <w:pStyle w:val="NormalWeb"/>
        <w:spacing w:line="360" w:lineRule="auto"/>
        <w:jc w:val="both"/>
      </w:pPr>
      <w:r w:rsidRPr="00FA0E9C">
        <w:t xml:space="preserve">Cumulative inflows after Year 3 = 5 + 10 + 20 = </w:t>
      </w:r>
      <w:r w:rsidRPr="00FA0E9C">
        <w:rPr>
          <w:rStyle w:val="Strong"/>
          <w:rFonts w:eastAsiaTheme="majorEastAsia"/>
        </w:rPr>
        <w:t>£35m</w:t>
      </w:r>
      <w:r w:rsidRPr="00FA0E9C">
        <w:t>.</w:t>
      </w:r>
    </w:p>
    <w:p w14:paraId="5EFE1F45" w14:textId="77777777" w:rsidR="00822895" w:rsidRDefault="00822895" w:rsidP="00822895">
      <w:pPr>
        <w:pStyle w:val="NormalWeb"/>
        <w:spacing w:line="360" w:lineRule="auto"/>
        <w:jc w:val="both"/>
      </w:pPr>
      <w:r w:rsidRPr="00FA0E9C">
        <w:t>Unrecovered = 50 – 35 = 15; recovery in Year 4.</w:t>
      </w:r>
    </w:p>
    <w:p w14:paraId="5602703C" w14:textId="77777777" w:rsidR="00822895" w:rsidRPr="00FA0E9C" w:rsidRDefault="00822895" w:rsidP="00822895">
      <w:pPr>
        <w:pStyle w:val="NormalWeb"/>
        <w:spacing w:line="360" w:lineRule="auto"/>
        <w:jc w:val="both"/>
      </w:pPr>
      <w:r w:rsidRPr="00FA0E9C">
        <w:t xml:space="preserve">PBP = 3 + (15 ÷ 25) = </w:t>
      </w:r>
      <w:r w:rsidRPr="00FA0E9C">
        <w:rPr>
          <w:rStyle w:val="Strong"/>
          <w:rFonts w:eastAsiaTheme="majorEastAsia"/>
        </w:rPr>
        <w:t>3.6 years</w:t>
      </w:r>
      <w:r w:rsidRPr="00FA0E9C">
        <w:t>.</w:t>
      </w:r>
    </w:p>
    <w:p w14:paraId="3698834A" w14:textId="77777777" w:rsidR="00822895" w:rsidRPr="00AE4B13" w:rsidRDefault="00822895" w:rsidP="00822895">
      <w:pPr>
        <w:pStyle w:val="NormalWeb"/>
        <w:spacing w:line="360" w:lineRule="auto"/>
        <w:jc w:val="both"/>
      </w:pPr>
      <w:r w:rsidRPr="00AE4B13">
        <w:rPr>
          <w:rStyle w:val="Strong"/>
          <w:rFonts w:eastAsiaTheme="majorEastAsia"/>
        </w:rPr>
        <w:t>(b) ARR:</w:t>
      </w:r>
    </w:p>
    <w:p w14:paraId="13F19164" w14:textId="77777777" w:rsidR="00822895" w:rsidRDefault="00822895" w:rsidP="00822895">
      <w:pPr>
        <w:pStyle w:val="NormalWeb"/>
        <w:spacing w:line="360" w:lineRule="auto"/>
        <w:jc w:val="both"/>
      </w:pPr>
      <w:r w:rsidRPr="00FA0E9C">
        <w:lastRenderedPageBreak/>
        <w:t xml:space="preserve">Average Profit = (75 – 50) ÷ 5 = </w:t>
      </w:r>
      <w:r w:rsidRPr="00FA0E9C">
        <w:rPr>
          <w:rStyle w:val="Strong"/>
          <w:rFonts w:eastAsiaTheme="majorEastAsia"/>
        </w:rPr>
        <w:t>£5m</w:t>
      </w:r>
      <w:r w:rsidRPr="00FA0E9C">
        <w:t>.</w:t>
      </w:r>
    </w:p>
    <w:p w14:paraId="35636532" w14:textId="77777777" w:rsidR="00822895" w:rsidRPr="00FA0E9C" w:rsidRDefault="00822895" w:rsidP="00822895">
      <w:pPr>
        <w:pStyle w:val="NormalWeb"/>
        <w:spacing w:line="360" w:lineRule="auto"/>
        <w:jc w:val="both"/>
      </w:pPr>
      <w:r w:rsidRPr="00FA0E9C">
        <w:t xml:space="preserve">ARR = (5 ÷ 50) × 100 = </w:t>
      </w:r>
      <w:r w:rsidRPr="00FA0E9C">
        <w:rPr>
          <w:rStyle w:val="Strong"/>
          <w:rFonts w:eastAsiaTheme="majorEastAsia"/>
        </w:rPr>
        <w:t>10%</w:t>
      </w:r>
      <w:r w:rsidRPr="00FA0E9C">
        <w:t>.</w:t>
      </w:r>
    </w:p>
    <w:p w14:paraId="412E0E06" w14:textId="77777777" w:rsidR="00822895" w:rsidRPr="00AE4B13" w:rsidRDefault="00822895" w:rsidP="00822895">
      <w:pPr>
        <w:pStyle w:val="NormalWeb"/>
        <w:spacing w:line="360" w:lineRule="auto"/>
        <w:jc w:val="both"/>
      </w:pPr>
      <w:r w:rsidRPr="00AE4B13">
        <w:rPr>
          <w:rStyle w:val="Strong"/>
          <w:rFonts w:eastAsiaTheme="majorEastAsia"/>
        </w:rPr>
        <w:t>(c) NPV:</w:t>
      </w:r>
    </w:p>
    <w:p w14:paraId="1EDCD45F" w14:textId="77777777" w:rsidR="00822895" w:rsidRDefault="00822895" w:rsidP="00822895">
      <w:pPr>
        <w:pStyle w:val="NormalWeb"/>
        <w:spacing w:line="360" w:lineRule="auto"/>
        <w:jc w:val="both"/>
      </w:pPr>
      <w:r w:rsidRPr="00FA0E9C">
        <w:t>NPV = (5/1.1 + 10/1.1² + 20/1.1³ + 25/1.1⁴ + 15/1.1⁵) – 50</w:t>
      </w:r>
    </w:p>
    <w:p w14:paraId="18CC1256" w14:textId="77777777" w:rsidR="00822895" w:rsidRPr="00FA0E9C" w:rsidRDefault="00822895" w:rsidP="00822895">
      <w:pPr>
        <w:pStyle w:val="NormalWeb"/>
        <w:spacing w:line="360" w:lineRule="auto"/>
        <w:jc w:val="both"/>
      </w:pPr>
      <w:r w:rsidRPr="00FA0E9C">
        <w:t xml:space="preserve">= (4.55 + 8.26 + 15.03 + 17.08 + 9.32) – 50 = </w:t>
      </w:r>
      <w:r w:rsidRPr="00FA0E9C">
        <w:rPr>
          <w:rStyle w:val="Strong"/>
          <w:rFonts w:eastAsiaTheme="majorEastAsia"/>
        </w:rPr>
        <w:t>£4.24m</w:t>
      </w:r>
      <w:r w:rsidRPr="00FA0E9C">
        <w:t>.</w:t>
      </w:r>
    </w:p>
    <w:p w14:paraId="67E82E34" w14:textId="77777777" w:rsidR="00822895" w:rsidRPr="00AE4B13" w:rsidRDefault="00822895" w:rsidP="00822895">
      <w:pPr>
        <w:pStyle w:val="NormalWeb"/>
        <w:spacing w:line="360" w:lineRule="auto"/>
        <w:jc w:val="both"/>
      </w:pPr>
      <w:r w:rsidRPr="00AE4B13">
        <w:rPr>
          <w:rStyle w:val="Strong"/>
          <w:rFonts w:eastAsiaTheme="majorEastAsia"/>
        </w:rPr>
        <w:t>(d) PI:</w:t>
      </w:r>
    </w:p>
    <w:p w14:paraId="51416D3C" w14:textId="77777777" w:rsidR="00822895" w:rsidRPr="00FA0E9C" w:rsidRDefault="00822895" w:rsidP="00822895">
      <w:pPr>
        <w:pStyle w:val="NormalWeb"/>
        <w:spacing w:line="360" w:lineRule="auto"/>
        <w:jc w:val="both"/>
      </w:pPr>
      <w:r w:rsidRPr="00FA0E9C">
        <w:t xml:space="preserve">PI = (54.24 ÷ 50) = </w:t>
      </w:r>
      <w:r w:rsidRPr="00FA0E9C">
        <w:rPr>
          <w:rStyle w:val="Strong"/>
          <w:rFonts w:eastAsiaTheme="majorEastAsia"/>
        </w:rPr>
        <w:t>1.08</w:t>
      </w:r>
      <w:r w:rsidRPr="00FA0E9C">
        <w:t>.</w:t>
      </w:r>
    </w:p>
    <w:p w14:paraId="560889A9" w14:textId="77777777" w:rsidR="00822895" w:rsidRPr="00AE4B13" w:rsidRDefault="00822895" w:rsidP="00822895">
      <w:pPr>
        <w:pStyle w:val="NormalWeb"/>
        <w:spacing w:line="360" w:lineRule="auto"/>
        <w:jc w:val="both"/>
      </w:pPr>
      <w:r w:rsidRPr="00AE4B13">
        <w:rPr>
          <w:rStyle w:val="Strong"/>
          <w:rFonts w:eastAsiaTheme="majorEastAsia"/>
        </w:rPr>
        <w:t>(e) IRR:</w:t>
      </w:r>
    </w:p>
    <w:p w14:paraId="209603B2" w14:textId="77777777" w:rsidR="00822895" w:rsidRPr="00FA0E9C" w:rsidRDefault="00822895" w:rsidP="00822895">
      <w:pPr>
        <w:pStyle w:val="NormalWeb"/>
        <w:spacing w:line="360" w:lineRule="auto"/>
        <w:jc w:val="both"/>
      </w:pPr>
      <w:r w:rsidRPr="00FA0E9C">
        <w:t xml:space="preserve">IRR ≈ </w:t>
      </w:r>
      <w:r w:rsidRPr="00FA0E9C">
        <w:rPr>
          <w:rStyle w:val="Strong"/>
          <w:rFonts w:eastAsiaTheme="majorEastAsia"/>
        </w:rPr>
        <w:t>13.5%</w:t>
      </w:r>
      <w:r w:rsidRPr="00FA0E9C">
        <w:t>, exceeding the 10% benchmark.</w:t>
      </w:r>
    </w:p>
    <w:p w14:paraId="36187B56" w14:textId="77777777" w:rsidR="00822895" w:rsidRPr="001E383A" w:rsidRDefault="00822895" w:rsidP="00687C42">
      <w:pPr>
        <w:pStyle w:val="Heading2"/>
      </w:pPr>
      <w:bookmarkStart w:id="27" w:name="_Toc213758807"/>
      <w:r w:rsidRPr="001E383A">
        <w:rPr>
          <w:rStyle w:val="Strong"/>
          <w:b/>
        </w:rPr>
        <w:t>5.4 Interpretation of Results</w:t>
      </w:r>
      <w:bookmarkEnd w:id="27"/>
      <w:r w:rsidRPr="001E383A">
        <w:rPr>
          <w:rStyle w:val="Strong"/>
          <w:b/>
        </w:rPr>
        <w:t xml:space="preserve"> </w:t>
      </w:r>
    </w:p>
    <w:p w14:paraId="759C3F99" w14:textId="277D6CC0" w:rsidR="00547F50" w:rsidRDefault="00547F50" w:rsidP="00547F50">
      <w:pPr>
        <w:pStyle w:val="NormalWeb"/>
        <w:spacing w:line="360" w:lineRule="auto"/>
        <w:jc w:val="both"/>
      </w:pPr>
      <w:r>
        <w:t xml:space="preserve">Investment analysis has several performance profiles. Project C has the best financial performance and produces the highest NPV (£4.24m), PI (1.08) and IRR (13.5%), far greater than the discount rate of 10 percent. Its PBP of 3.6 years is average liquidity, and its ARR is high at 10 percent. Its cash inflows are back-loaded but converge within the </w:t>
      </w:r>
      <w:r w:rsidR="00D666DD">
        <w:t>long-term</w:t>
      </w:r>
      <w:r>
        <w:t xml:space="preserve"> turnaround strategy of the business that introduces cumulative value creation. Project A has a low payoff and a </w:t>
      </w:r>
      <w:r w:rsidR="00E435B1" w:rsidRPr="00FA0E9C">
        <w:rPr>
          <w:rStyle w:val="Strong"/>
          <w:rFonts w:eastAsiaTheme="majorEastAsia"/>
        </w:rPr>
        <w:t>NPV = £1.34m</w:t>
      </w:r>
      <w:r w:rsidR="00E435B1" w:rsidRPr="00FA0E9C">
        <w:t xml:space="preserve">, </w:t>
      </w:r>
      <w:r w:rsidR="00E435B1" w:rsidRPr="00FA0E9C">
        <w:rPr>
          <w:rStyle w:val="Strong"/>
          <w:rFonts w:eastAsiaTheme="majorEastAsia"/>
        </w:rPr>
        <w:t>PI = 1.03</w:t>
      </w:r>
      <w:r w:rsidR="00E435B1" w:rsidRPr="00FA0E9C">
        <w:t xml:space="preserve">, and </w:t>
      </w:r>
      <w:r w:rsidR="00E435B1" w:rsidRPr="00FA0E9C">
        <w:rPr>
          <w:rStyle w:val="Strong"/>
          <w:rFonts w:eastAsiaTheme="majorEastAsia"/>
        </w:rPr>
        <w:t>IRR = 11.2%</w:t>
      </w:r>
      <w:r w:rsidR="00E435B1" w:rsidRPr="00FA0E9C">
        <w:t xml:space="preserve">, </w:t>
      </w:r>
      <w:r>
        <w:t xml:space="preserve">which is a little above the cost of capital. A 3.4-year PBP suggests that its liquidity is recovered faster than in Project C and, therefore, should be included in the short-term cash generation (Chopra, 2022).  Project B on the other hand fails to satisfy investment thresholds. Not high financial desirability is that it has </w:t>
      </w:r>
      <w:r w:rsidR="001E4E24" w:rsidRPr="00FA0E9C">
        <w:rPr>
          <w:rStyle w:val="Strong"/>
          <w:rFonts w:eastAsiaTheme="majorEastAsia"/>
        </w:rPr>
        <w:t>(–£7.26m)</w:t>
      </w:r>
      <w:r w:rsidR="001E4E24" w:rsidRPr="00FA0E9C">
        <w:t xml:space="preserve">, </w:t>
      </w:r>
      <w:r w:rsidR="001E4E24" w:rsidRPr="00FA0E9C">
        <w:rPr>
          <w:rStyle w:val="Strong"/>
          <w:rFonts w:eastAsiaTheme="majorEastAsia"/>
        </w:rPr>
        <w:t>PI &lt; 1</w:t>
      </w:r>
      <w:r w:rsidR="001E4E24" w:rsidRPr="00FA0E9C">
        <w:t xml:space="preserve">, and </w:t>
      </w:r>
      <w:r w:rsidR="001E4E24" w:rsidRPr="00FA0E9C">
        <w:rPr>
          <w:rStyle w:val="Strong"/>
          <w:rFonts w:eastAsiaTheme="majorEastAsia"/>
        </w:rPr>
        <w:t>IRR of 6%</w:t>
      </w:r>
      <w:r w:rsidR="001E4E24" w:rsidRPr="00FA0E9C">
        <w:t xml:space="preserve"> </w:t>
      </w:r>
      <w:r>
        <w:t xml:space="preserve">less than the discount rate. These are non-increasable annual inflows, and the profile is low-risk and non-profitable. Both Projects A and C have positive NPVs and is significantly greater than the hurdle rate, showing that there is a viable opportunity subject to the limitations of the firms capital. Project A will have better payback and liquidity relief, but Project C will produce better long-term </w:t>
      </w:r>
      <w:r>
        <w:lastRenderedPageBreak/>
        <w:t>profitability and shareholder value (Lubis, 2023). The balanced decision should not omit the liquidity urgency and the strategic sustainability.</w:t>
      </w:r>
    </w:p>
    <w:p w14:paraId="2B8D969A" w14:textId="77777777" w:rsidR="007616BF" w:rsidRPr="00AE4B13" w:rsidRDefault="007616BF" w:rsidP="00687C42">
      <w:pPr>
        <w:pStyle w:val="Heading2"/>
      </w:pPr>
      <w:bookmarkStart w:id="28" w:name="_Toc213758808"/>
      <w:r w:rsidRPr="00AE4B13">
        <w:rPr>
          <w:rStyle w:val="Strong"/>
          <w:bCs w:val="0"/>
        </w:rPr>
        <w:t>5.5 Capital Rationing Decision</w:t>
      </w:r>
      <w:bookmarkEnd w:id="28"/>
      <w:r w:rsidRPr="00AE4B13">
        <w:rPr>
          <w:rStyle w:val="Strong"/>
          <w:bCs w:val="0"/>
        </w:rPr>
        <w:t xml:space="preserve"> </w:t>
      </w:r>
    </w:p>
    <w:p w14:paraId="00CA1302" w14:textId="2178B626" w:rsidR="00547F50" w:rsidRDefault="00547F50" w:rsidP="00547F50">
      <w:pPr>
        <w:pStyle w:val="NormalWeb"/>
        <w:spacing w:line="360" w:lineRule="auto"/>
        <w:jc w:val="both"/>
      </w:pPr>
      <w:r>
        <w:t xml:space="preserve">The optimal portfolio would be the one with the highest value per unit of investment under an investment constraint of </w:t>
      </w:r>
      <w:r w:rsidR="00046705" w:rsidRPr="00FA0E9C">
        <w:rPr>
          <w:rStyle w:val="Strong"/>
          <w:rFonts w:eastAsiaTheme="majorEastAsia"/>
        </w:rPr>
        <w:t>£60 million</w:t>
      </w:r>
      <w:r w:rsidR="00046705" w:rsidRPr="00FA0E9C">
        <w:t xml:space="preserve"> </w:t>
      </w:r>
      <w:r>
        <w:t>pounds. Apply the Profitability Index (PI):</w:t>
      </w:r>
    </w:p>
    <w:p w14:paraId="1D203762" w14:textId="77777777" w:rsidR="00A96B38" w:rsidRPr="00FA0E9C" w:rsidRDefault="00A96B38" w:rsidP="00A96B38">
      <w:pPr>
        <w:pStyle w:val="NormalWeb"/>
        <w:numPr>
          <w:ilvl w:val="0"/>
          <w:numId w:val="4"/>
        </w:numPr>
        <w:spacing w:line="360" w:lineRule="auto"/>
        <w:jc w:val="both"/>
      </w:pPr>
      <w:r w:rsidRPr="00FA0E9C">
        <w:t xml:space="preserve">Project A: </w:t>
      </w:r>
      <w:r w:rsidRPr="00FA0E9C">
        <w:rPr>
          <w:rStyle w:val="Strong"/>
          <w:rFonts w:eastAsiaTheme="majorEastAsia"/>
        </w:rPr>
        <w:t>1.03</w:t>
      </w:r>
    </w:p>
    <w:p w14:paraId="77F95D2D" w14:textId="77777777" w:rsidR="00A96B38" w:rsidRPr="00FA0E9C" w:rsidRDefault="00A96B38" w:rsidP="00A96B38">
      <w:pPr>
        <w:pStyle w:val="NormalWeb"/>
        <w:numPr>
          <w:ilvl w:val="0"/>
          <w:numId w:val="4"/>
        </w:numPr>
        <w:spacing w:line="360" w:lineRule="auto"/>
        <w:jc w:val="both"/>
      </w:pPr>
      <w:r w:rsidRPr="00FA0E9C">
        <w:t xml:space="preserve">Project B: </w:t>
      </w:r>
      <w:r w:rsidRPr="00FA0E9C">
        <w:rPr>
          <w:rStyle w:val="Strong"/>
          <w:rFonts w:eastAsiaTheme="majorEastAsia"/>
        </w:rPr>
        <w:t>0.76</w:t>
      </w:r>
    </w:p>
    <w:p w14:paraId="3478787E" w14:textId="77777777" w:rsidR="00A96B38" w:rsidRPr="00FA0E9C" w:rsidRDefault="00A96B38" w:rsidP="00A96B38">
      <w:pPr>
        <w:pStyle w:val="NormalWeb"/>
        <w:numPr>
          <w:ilvl w:val="0"/>
          <w:numId w:val="4"/>
        </w:numPr>
        <w:spacing w:line="360" w:lineRule="auto"/>
        <w:jc w:val="both"/>
      </w:pPr>
      <w:r w:rsidRPr="00FA0E9C">
        <w:t xml:space="preserve">Project C: </w:t>
      </w:r>
      <w:r w:rsidRPr="00FA0E9C">
        <w:rPr>
          <w:rStyle w:val="Strong"/>
          <w:rFonts w:eastAsiaTheme="majorEastAsia"/>
        </w:rPr>
        <w:t>1.08</w:t>
      </w:r>
    </w:p>
    <w:p w14:paraId="04064D08" w14:textId="2AEAE65E" w:rsidR="00547F50" w:rsidRDefault="005E2A9A" w:rsidP="00547F50">
      <w:pPr>
        <w:pStyle w:val="NormalWeb"/>
        <w:spacing w:line="360" w:lineRule="auto"/>
        <w:jc w:val="both"/>
      </w:pPr>
      <w:r w:rsidRPr="005E2A9A">
        <w:t>Ranking by PI gives the order C &gt; A &gt; B. Merging Project A (£40m) and Project B (£30m) would put us over budget. Merging A (£40m) and C (£50m) on the other hand requires £90m also over budget.  So, the firm can go for either Project C only at the cost of £50 million or Project A only at the cost of £40 million while the rest of the funds will be kept aside for working capital</w:t>
      </w:r>
      <w:r>
        <w:t xml:space="preserve"> </w:t>
      </w:r>
      <w:r w:rsidR="00547F50">
        <w:t>(Nukala and Prasada Rao, 2021).</w:t>
      </w:r>
    </w:p>
    <w:p w14:paraId="00C5DB7D" w14:textId="17E72A4D" w:rsidR="00547F50" w:rsidRDefault="00A805BD" w:rsidP="00547F50">
      <w:pPr>
        <w:pStyle w:val="NormalWeb"/>
        <w:spacing w:line="360" w:lineRule="auto"/>
        <w:jc w:val="both"/>
      </w:pPr>
      <w:r w:rsidRPr="00A805BD">
        <w:t>The incremental NPV per £1 invested (NPV ÷ Cost) produces Project C = 0.085 as opposed to Project A = 0.034, confirming Project C is the best to invest in</w:t>
      </w:r>
      <w:r w:rsidR="00547F50">
        <w:t xml:space="preserve">. It places more absolute value and pegged to recovery target of the firm not just to short-term liquidity, but to sustained profitability. The project C would then be constrained to </w:t>
      </w:r>
      <w:r w:rsidR="00DD44CC" w:rsidRPr="00FA0E9C">
        <w:t>£60m</w:t>
      </w:r>
      <w:r w:rsidR="00547F50">
        <w:t xml:space="preserve"> to enable prudent capital investment and strategic </w:t>
      </w:r>
      <w:r w:rsidR="006342DF">
        <w:t>long-term</w:t>
      </w:r>
      <w:r w:rsidR="00547F50">
        <w:t xml:space="preserve"> alignment.</w:t>
      </w:r>
    </w:p>
    <w:p w14:paraId="7AE5ED4C" w14:textId="77777777" w:rsidR="006342DF" w:rsidRPr="008D7F68" w:rsidRDefault="006342DF" w:rsidP="00687C42">
      <w:pPr>
        <w:pStyle w:val="Heading2"/>
      </w:pPr>
      <w:bookmarkStart w:id="29" w:name="_Toc213758809"/>
      <w:r w:rsidRPr="008D7F68">
        <w:rPr>
          <w:rStyle w:val="Strong"/>
          <w:b/>
        </w:rPr>
        <w:t>5.6 Risk Analysis and Sensitivity Review</w:t>
      </w:r>
      <w:bookmarkEnd w:id="29"/>
      <w:r w:rsidRPr="008D7F68">
        <w:rPr>
          <w:rStyle w:val="Strong"/>
          <w:b/>
        </w:rPr>
        <w:t xml:space="preserve"> </w:t>
      </w:r>
    </w:p>
    <w:p w14:paraId="34ECC882" w14:textId="0960930B" w:rsidR="00547F50" w:rsidRDefault="00547F50" w:rsidP="00547F50">
      <w:pPr>
        <w:pStyle w:val="NormalWeb"/>
        <w:spacing w:line="360" w:lineRule="auto"/>
        <w:jc w:val="both"/>
      </w:pPr>
      <w:r>
        <w:t xml:space="preserve">Financial variables are delicate and should be managed with discretion in the project. </w:t>
      </w:r>
      <w:r w:rsidR="00BE2B2A" w:rsidRPr="00BE2B2A">
        <w:t xml:space="preserve">If the discount rate increases from 10% to 12%, Project C’s NPV changes from £4.24m to about £2.7m. This suggests low sensitivity to cost of capital.  Moving forward, project A has an NPV that drops from £1.34m to £0.2m. This indicates its larger sensitivity to increased costs of financing. Cash flow risk is another factor. The inflows of project C are very uneven since 60% of such inflows is coming at the end of Year 3 only. If the revenues in Years 4-5 were to drop by 20%, the NPV would go to zero. On the other hand, Project A has evenly spread inflows that lower the timing </w:t>
      </w:r>
      <w:r w:rsidR="00BE2B2A" w:rsidRPr="00BE2B2A">
        <w:lastRenderedPageBreak/>
        <w:t xml:space="preserve">risk. Higher inflation affects the real return too. </w:t>
      </w:r>
      <w:r w:rsidR="00640A61" w:rsidRPr="00BE2B2A">
        <w:t>So,</w:t>
      </w:r>
      <w:r w:rsidR="00BE2B2A" w:rsidRPr="00BE2B2A">
        <w:t xml:space="preserve"> if inflation were to spike to 6%, then the real discount rate rises. Therefore, it shrinks all project NPVs by about 15%.</w:t>
      </w:r>
    </w:p>
    <w:p w14:paraId="7AD4E96E" w14:textId="33C745BC" w:rsidR="00547F50" w:rsidRDefault="00547F50" w:rsidP="00547F50">
      <w:pPr>
        <w:pStyle w:val="NormalWeb"/>
        <w:spacing w:line="360" w:lineRule="auto"/>
        <w:jc w:val="both"/>
      </w:pPr>
      <w:r>
        <w:t xml:space="preserve">The mitigation tools involve staged investment, cash flow hedging, and contractual performance guarantees of later-stage inflows. To promote decision responsiveness, rolling forecasts and scenario analysis will be introduced (Almeida et al., 2023). Also, setting aside a percentage of the untapped </w:t>
      </w:r>
      <w:r w:rsidR="00687C42" w:rsidRPr="00FA0E9C">
        <w:t>£1</w:t>
      </w:r>
      <w:r>
        <w:t>0 million buffer as liquidity reserves will offer a buffer against volatility. In such security, the value of the selected project can be maintained even in unfavorable market conditions.</w:t>
      </w:r>
    </w:p>
    <w:p w14:paraId="41B2BF40" w14:textId="77777777" w:rsidR="00640A61" w:rsidRPr="00687C42" w:rsidRDefault="00640A61" w:rsidP="00687C42">
      <w:pPr>
        <w:pStyle w:val="Heading2"/>
      </w:pPr>
      <w:bookmarkStart w:id="30" w:name="_Toc213758810"/>
      <w:r w:rsidRPr="00687C42">
        <w:rPr>
          <w:rStyle w:val="Strong"/>
          <w:b/>
        </w:rPr>
        <w:t>5.7 Final Recommendation</w:t>
      </w:r>
      <w:bookmarkEnd w:id="30"/>
      <w:r w:rsidRPr="00687C42">
        <w:rPr>
          <w:rStyle w:val="Strong"/>
          <w:b/>
        </w:rPr>
        <w:t xml:space="preserve"> </w:t>
      </w:r>
    </w:p>
    <w:p w14:paraId="4E836CDE" w14:textId="6C10683F" w:rsidR="00547F50" w:rsidRDefault="00547F50" w:rsidP="00547F50">
      <w:pPr>
        <w:pStyle w:val="NormalWeb"/>
        <w:spacing w:line="360" w:lineRule="auto"/>
        <w:jc w:val="both"/>
      </w:pPr>
      <w:r>
        <w:t xml:space="preserve">The quantitative analysis indicates that project C provides the most viable investment in terms of monetary benefit and strategic outcome. It optimizes NPV and IRR, optimizing returns to the capital constraint of </w:t>
      </w:r>
      <w:r w:rsidR="00D5030B" w:rsidRPr="00FA0E9C">
        <w:t>£60</w:t>
      </w:r>
      <w:r>
        <w:t xml:space="preserve"> million pounds. Its cash flow inflows are long-term and depend on the post-restructuring profitability of the firm (underlying the growth and recovery strategy), (Tudose, Rusu and Avasilcai, 2022). Project A is backbanked in the event liquidity normalises. Project C is a periodically-reviewed and inflation-safe investment, a gradual-checking investment, which will make the firm as capital efficient as possible, restore investor trust, and re-capacitate the firm to financial feasibility and sustainable global performance.</w:t>
      </w:r>
    </w:p>
    <w:p w14:paraId="112DDDBD" w14:textId="77777777" w:rsidR="00A90C1A" w:rsidRPr="00903432" w:rsidRDefault="00A90C1A" w:rsidP="00903432">
      <w:pPr>
        <w:pStyle w:val="Heading1"/>
        <w:rPr>
          <w:bCs/>
          <w:color w:val="auto"/>
          <w:sz w:val="27"/>
        </w:rPr>
      </w:pPr>
      <w:bookmarkStart w:id="31" w:name="_Toc213758811"/>
      <w:r w:rsidRPr="00903432">
        <w:rPr>
          <w:rStyle w:val="Strong"/>
          <w:b/>
          <w:bCs w:val="0"/>
        </w:rPr>
        <w:t>6. Conclusion</w:t>
      </w:r>
      <w:bookmarkEnd w:id="31"/>
      <w:r w:rsidRPr="00903432">
        <w:rPr>
          <w:rStyle w:val="Strong"/>
          <w:b/>
          <w:bCs w:val="0"/>
        </w:rPr>
        <w:t xml:space="preserve"> </w:t>
      </w:r>
    </w:p>
    <w:p w14:paraId="47DCBD77" w14:textId="18EEF4BB" w:rsidR="002C3303" w:rsidRDefault="00547F50" w:rsidP="00547F50">
      <w:pPr>
        <w:pStyle w:val="NormalWeb"/>
        <w:spacing w:line="360" w:lineRule="auto"/>
        <w:jc w:val="both"/>
      </w:pPr>
      <w:r>
        <w:t>The firm is in poor financial health characterized by falling profitability, low liquidity, low working capital efficiency, and high leverage. The revenue decreases by 36</w:t>
      </w:r>
      <w:r w:rsidR="00903432">
        <w:t>%</w:t>
      </w:r>
      <w:r>
        <w:t>, equity decreases by 51</w:t>
      </w:r>
      <w:r w:rsidR="00903432">
        <w:t>%</w:t>
      </w:r>
      <w:r>
        <w:t xml:space="preserve">, and the dependence on debt which underlined systemic functioning and financial deficiencies. The proposed turnaround includes a combination of increased working capital use, disposition of non-core assets, and equity injection to achieve solvency and financial flexibility. </w:t>
      </w:r>
      <w:r w:rsidR="0017001E" w:rsidRPr="0017001E">
        <w:t>Project C, which has an IRR of 13.5% and a NPV of £4.24 million, is the best investment option within the £60 million budget.</w:t>
      </w:r>
      <w:r w:rsidR="0017001E">
        <w:t xml:space="preserve"> </w:t>
      </w:r>
      <w:r>
        <w:t>A successful implementation will restore investor confidence, improve liquidity, and enable long-term global expansion.</w:t>
      </w:r>
    </w:p>
    <w:p w14:paraId="222F608F" w14:textId="77777777" w:rsidR="002C3303" w:rsidRDefault="002C3303">
      <w:pPr>
        <w:spacing w:line="278" w:lineRule="auto"/>
        <w:rPr>
          <w:rFonts w:eastAsia="Times New Roman" w:cs="Times New Roman"/>
          <w:color w:val="auto"/>
          <w:szCs w:val="24"/>
        </w:rPr>
      </w:pPr>
      <w:r>
        <w:br w:type="page"/>
      </w:r>
    </w:p>
    <w:p w14:paraId="0E981163" w14:textId="77777777" w:rsidR="002C3303" w:rsidRDefault="002C3303" w:rsidP="002C3303">
      <w:pPr>
        <w:pStyle w:val="Heading1"/>
      </w:pPr>
      <w:bookmarkStart w:id="32" w:name="_Toc213758812"/>
      <w:r>
        <w:lastRenderedPageBreak/>
        <w:t>7. References</w:t>
      </w:r>
      <w:bookmarkEnd w:id="32"/>
      <w:r>
        <w:t xml:space="preserve"> </w:t>
      </w:r>
    </w:p>
    <w:p w14:paraId="7ADFC8B8" w14:textId="77777777" w:rsidR="002C3303" w:rsidRDefault="002C3303" w:rsidP="002C3303">
      <w:pPr>
        <w:jc w:val="both"/>
      </w:pPr>
      <w:r w:rsidRPr="008B33A3">
        <w:t>Akbar, A., Jiang, X. and Akbar, M., 2022. Do working capital management practices influence investment and financing patterns of firms?. Journal of Economic and Administrative Sciences, 38(1), pp.91-109.</w:t>
      </w:r>
    </w:p>
    <w:p w14:paraId="76243F2A" w14:textId="77777777" w:rsidR="002C3303" w:rsidRDefault="002C3303" w:rsidP="002C3303">
      <w:pPr>
        <w:jc w:val="both"/>
      </w:pPr>
      <w:r w:rsidRPr="00A714C0">
        <w:t>Akgün, A.I. and Memiş Karataş, A., 2021. Investigating the relationship between working capital management and business performance: Evidence from the 2008 financial crisis of EU-28. International Journal of Managerial Finance, 17(4), pp.545-567.</w:t>
      </w:r>
    </w:p>
    <w:p w14:paraId="67982611" w14:textId="77777777" w:rsidR="002C3303" w:rsidRDefault="002C3303" w:rsidP="002C3303">
      <w:pPr>
        <w:jc w:val="both"/>
      </w:pPr>
      <w:r w:rsidRPr="00A714C0">
        <w:t>Almeida, R.P., Ayala, N.F., Benitez, G.B., Kliemann Neto, F.J. and Frank, A.G., 2023. How to assess investments in industry 4.0 technologies? A multiple-criteria framework for economic, financial, and sociotechnical factors. Production Planning &amp; Control, 34(16), pp.1583-1602.</w:t>
      </w:r>
    </w:p>
    <w:p w14:paraId="52F94519" w14:textId="77777777" w:rsidR="002C3303" w:rsidRDefault="002C3303" w:rsidP="002C3303">
      <w:pPr>
        <w:jc w:val="both"/>
      </w:pPr>
      <w:r w:rsidRPr="00A714C0">
        <w:t>Amponsah-Kwatiah, K. and Asiamah, M., 2021. Working capital management and profitability of listed manufacturing firms in Ghana. International journal of productivity and performance management, 70(7), pp.1751-1771.</w:t>
      </w:r>
    </w:p>
    <w:p w14:paraId="3FDCB1A4" w14:textId="77777777" w:rsidR="002C3303" w:rsidRDefault="002C3303" w:rsidP="002C3303">
      <w:pPr>
        <w:jc w:val="both"/>
      </w:pPr>
      <w:r w:rsidRPr="008B33A3">
        <w:t>Baliouskas, P., Llopis, J., Gasco, J. and Gonzalez, R., 2023. Implementing turnaround strategies as an entrepreneurial process. International Entrepreneurship and Management Journal, 19(4), pp.2037-2063.</w:t>
      </w:r>
    </w:p>
    <w:p w14:paraId="1097A717" w14:textId="77777777" w:rsidR="002C3303" w:rsidRDefault="002C3303" w:rsidP="002C3303">
      <w:pPr>
        <w:jc w:val="both"/>
      </w:pPr>
      <w:r w:rsidRPr="009F45DE">
        <w:t>Baydaş, M. and Elma, O.E., 2021. An objectıve criteria proposal for the comparison of MCDM and weighting methods in financial performance measurement: An application in Borsa Istanbul. Decision Making: Applications in Management and Engineering, 4(2), pp.257-279.</w:t>
      </w:r>
    </w:p>
    <w:p w14:paraId="24F1CDE9" w14:textId="77777777" w:rsidR="002C3303" w:rsidRDefault="002C3303" w:rsidP="002C3303">
      <w:pPr>
        <w:jc w:val="both"/>
      </w:pPr>
      <w:r w:rsidRPr="009F45DE">
        <w:t>Bruna, M.G., Loprevite, S., Raucci, D., Ricca, B. and Rupo, D., 2022. Investigating the marginal impact of ESG results on corporate financial performance. Finance Research Letters, 47, p.102828.</w:t>
      </w:r>
    </w:p>
    <w:p w14:paraId="6B753218" w14:textId="77777777" w:rsidR="002C3303" w:rsidRDefault="002C3303" w:rsidP="002C3303">
      <w:pPr>
        <w:jc w:val="both"/>
      </w:pPr>
      <w:r w:rsidRPr="002F68AD">
        <w:t>Chopra, S., 2022. Corporate Restructuring: In India and Its Impact on the Economy. Issue 2 Int'l JL Mgmt. &amp; Human., 5, p.174.</w:t>
      </w:r>
    </w:p>
    <w:p w14:paraId="0A0FA361" w14:textId="77777777" w:rsidR="002C3303" w:rsidRDefault="002C3303" w:rsidP="002C3303">
      <w:pPr>
        <w:jc w:val="both"/>
      </w:pPr>
      <w:r w:rsidRPr="008B33A3">
        <w:t>Harrigan, K.R. and Wing, B.M., 2021. Corporate renewal and turnaround of troubled businesses: The private equity advantage. Strategic Management Review, 2(2), pp.363-90.</w:t>
      </w:r>
    </w:p>
    <w:p w14:paraId="14FB8001" w14:textId="77777777" w:rsidR="002C3303" w:rsidRPr="00B810EB" w:rsidRDefault="002C3303" w:rsidP="002C3303">
      <w:pPr>
        <w:jc w:val="both"/>
      </w:pPr>
      <w:r w:rsidRPr="009F45DE">
        <w:lastRenderedPageBreak/>
        <w:t>Ichsan, R., Suparmin, S., Yusuf, M., Ismal, R. and Sitompul, S., 2021. Determinant of sharia bank's financial performance during the covid-19 pandemic. Budapest International Research and Critics Institute-Journal (BIRCI-Journal), 4(1), pp.298-309.</w:t>
      </w:r>
    </w:p>
    <w:p w14:paraId="0F6A6FF2" w14:textId="77777777" w:rsidR="002C3303" w:rsidRDefault="002C3303" w:rsidP="002C3303">
      <w:pPr>
        <w:jc w:val="both"/>
      </w:pPr>
      <w:r w:rsidRPr="008B33A3">
        <w:t>Kamal, S.S. and Awan, S.H., 2025. Engineering Financial Resilience: Structuring Turnaround and Maintenance Financing Using Derivatives and Structured Instruments. Advance Journal of Econometrics and Finance, 3(3), pp.143-153.</w:t>
      </w:r>
    </w:p>
    <w:p w14:paraId="015558A1" w14:textId="77777777" w:rsidR="002C3303" w:rsidRDefault="002C3303" w:rsidP="002C3303">
      <w:pPr>
        <w:jc w:val="both"/>
      </w:pPr>
      <w:r w:rsidRPr="009F45DE">
        <w:t>Lubis, S.S., 2023. Identify Financial Ratios to Measure The Company's Financial Performance. Journal of Economics Business Industry, 1(1), pp.1-9.</w:t>
      </w:r>
    </w:p>
    <w:p w14:paraId="4235D76E" w14:textId="77777777" w:rsidR="002C3303" w:rsidRDefault="002C3303" w:rsidP="002C3303">
      <w:pPr>
        <w:jc w:val="both"/>
      </w:pPr>
      <w:r w:rsidRPr="002F68AD">
        <w:t>Mavlutova, I., Babenko, V., Dykan, V., Prokopenko, N., Kalinichenko, S. and Tokmakova, I., 2021. Business restructuring as a method of strengtening company’s financial position. Journal of Optimization in Industrial Engineering, 14(1), pp.129-139.</w:t>
      </w:r>
      <w:r>
        <w:tab/>
      </w:r>
    </w:p>
    <w:p w14:paraId="2696609E" w14:textId="77777777" w:rsidR="002C3303" w:rsidRDefault="002C3303" w:rsidP="002C3303">
      <w:pPr>
        <w:jc w:val="both"/>
      </w:pPr>
      <w:r w:rsidRPr="002F68AD">
        <w:t>McGrath, P.J., 2025. Human resource management practices in corporate restructuring: a review and agenda for future research. Personnel Review, 54(5), pp.1316-1337.</w:t>
      </w:r>
    </w:p>
    <w:p w14:paraId="7205618A" w14:textId="77777777" w:rsidR="002C3303" w:rsidRDefault="002C3303" w:rsidP="002C3303">
      <w:pPr>
        <w:jc w:val="both"/>
      </w:pPr>
      <w:r w:rsidRPr="00A714C0">
        <w:t>Nukala, V.B. and Prasada Rao, S.S., 2021. Role of debt-to-equity ratio in project investment valuation, assessing risk and return in capital markets. Future Business Journal, 7(1), p.13.</w:t>
      </w:r>
    </w:p>
    <w:p w14:paraId="537BEAA9" w14:textId="77777777" w:rsidR="002C3303" w:rsidRDefault="002C3303" w:rsidP="002C3303">
      <w:pPr>
        <w:jc w:val="both"/>
      </w:pPr>
      <w:r w:rsidRPr="002F68AD">
        <w:t>Oyewo, B., Tawiah, V. and Alta’any, M., 2025. Determinants and impact of strategy-driven manufacturing accounting techniques on organisational competitiveness: a structural equation modelling approach. Journal of Accounting &amp; Organizational Change, 21(1), pp.114-142.</w:t>
      </w:r>
    </w:p>
    <w:p w14:paraId="53E6353A" w14:textId="77777777" w:rsidR="002C3303" w:rsidRDefault="002C3303" w:rsidP="002C3303">
      <w:pPr>
        <w:jc w:val="both"/>
      </w:pPr>
      <w:r w:rsidRPr="002F68AD">
        <w:t>Potharla, S., 2025. From Debt to Divestiture: How Indian and Global Firms Reshaped through Corporate Restructuring. Available at SSRN 5348941.</w:t>
      </w:r>
    </w:p>
    <w:p w14:paraId="4194D81F" w14:textId="77777777" w:rsidR="002C3303" w:rsidRDefault="002C3303" w:rsidP="002C3303">
      <w:pPr>
        <w:jc w:val="both"/>
      </w:pPr>
      <w:r w:rsidRPr="002F68AD">
        <w:t>Seymour, J.M. and Schwarcz, S.L., 2021. Corporate restructuring under relative and absolute priority default rules: a comparative assessment. U. Ill. L. Rev., p.1.</w:t>
      </w:r>
    </w:p>
    <w:p w14:paraId="0634063D" w14:textId="77777777" w:rsidR="002C3303" w:rsidRDefault="002C3303" w:rsidP="002C3303">
      <w:pPr>
        <w:jc w:val="both"/>
      </w:pPr>
      <w:r w:rsidRPr="00A714C0">
        <w:t>Shurie, J.B. and Cheluget, J., 2022. Working capital management and financial performance of medical insurance companies in Kenya. International Academic Journal of Economics and Finance, 3 (7), 437, 452(2).</w:t>
      </w:r>
    </w:p>
    <w:p w14:paraId="14E017FF" w14:textId="77777777" w:rsidR="002C3303" w:rsidRDefault="002C3303" w:rsidP="002C3303">
      <w:pPr>
        <w:jc w:val="both"/>
      </w:pPr>
      <w:r w:rsidRPr="008B33A3">
        <w:lastRenderedPageBreak/>
        <w:t>Stoiber, K., Degischer, D., Hautz, J. and Matzler, K., 2025. Open Strategy as Turnaround: The Impact of Openness in Restructuring Under Financial Distress. Academy of Management Perspectives, 39(2), pp.250-273.</w:t>
      </w:r>
    </w:p>
    <w:p w14:paraId="74055033" w14:textId="77777777" w:rsidR="002C3303" w:rsidRDefault="002C3303" w:rsidP="002C3303">
      <w:pPr>
        <w:jc w:val="both"/>
      </w:pPr>
      <w:r w:rsidRPr="009F45DE">
        <w:t>Tudose, M.B., Rusu, V.D. and Avasilcai, S., 2022. Financial performance–determinants and interdependencies between measurement indicators. Business, Management and Economics Engineering, 20(1), pp.119-138.</w:t>
      </w:r>
    </w:p>
    <w:p w14:paraId="0AE2A812" w14:textId="77777777" w:rsidR="002C3303" w:rsidRDefault="002C3303" w:rsidP="002C3303">
      <w:pPr>
        <w:jc w:val="both"/>
      </w:pPr>
      <w:r w:rsidRPr="002F68AD">
        <w:t>Wijethilake, C., Upadhaya, B. and Lama, T., 2023. The role of organisational culture in organisational change towards sustainability: evidence from the garment manufacturing industry. Production Planning &amp; Control, 34(3), pp.275-294.</w:t>
      </w:r>
    </w:p>
    <w:p w14:paraId="3456719D" w14:textId="77777777" w:rsidR="002C3303" w:rsidRDefault="002C3303" w:rsidP="002C3303">
      <w:pPr>
        <w:jc w:val="both"/>
      </w:pPr>
      <w:r w:rsidRPr="008B33A3">
        <w:t>Xu, G., Dong, W. and Hu, S., 2022. Is political connection a panacea for corporate turnaround?—An analysis based on the resource-based view during the global financial crisis. Asia-Pacific Journal of Accounting &amp; Economics, 29(3), pp.743-760.</w:t>
      </w:r>
    </w:p>
    <w:p w14:paraId="73515AEA" w14:textId="77777777" w:rsidR="002C3303" w:rsidRDefault="002C3303" w:rsidP="002C3303">
      <w:pPr>
        <w:jc w:val="both"/>
      </w:pPr>
      <w:r w:rsidRPr="00A714C0">
        <w:t>Ylä-Kujala, A., Kedziora, D., Metso, L., Kärri, T., Happonen, A. and Piotrowicz, W., 2023. Robotic process automation deployments: a step-by-step method to investment appraisal. Business Process Management Journal, 29(8), pp.163-187.</w:t>
      </w:r>
    </w:p>
    <w:p w14:paraId="1319BCC5" w14:textId="77777777" w:rsidR="002C3303" w:rsidRDefault="002C3303" w:rsidP="002C3303">
      <w:pPr>
        <w:jc w:val="both"/>
      </w:pPr>
      <w:r w:rsidRPr="00A714C0">
        <w:t>Zheng, X., Zhou, Y. and Iqbal, S., 2022. Working capital management of SMEs in COVID-19: role of managerial personality traits and overconfidence behavior. Economic Analysis and Policy, 76, pp.439-451.</w:t>
      </w:r>
    </w:p>
    <w:p w14:paraId="5D6B8B7C" w14:textId="77777777" w:rsidR="002C3303" w:rsidRDefault="002C3303" w:rsidP="002C3303">
      <w:pPr>
        <w:spacing w:line="259" w:lineRule="auto"/>
      </w:pPr>
      <w:r>
        <w:br w:type="page"/>
      </w:r>
    </w:p>
    <w:p w14:paraId="01D2FD8D" w14:textId="77777777" w:rsidR="002C3303" w:rsidRDefault="002C3303" w:rsidP="002C3303">
      <w:pPr>
        <w:pStyle w:val="Heading1"/>
      </w:pPr>
      <w:bookmarkStart w:id="33" w:name="_Toc213758813"/>
      <w:r>
        <w:lastRenderedPageBreak/>
        <w:t>8. Appendix</w:t>
      </w:r>
      <w:bookmarkEnd w:id="33"/>
    </w:p>
    <w:p w14:paraId="1655B41C" w14:textId="77777777" w:rsidR="002C3303" w:rsidRDefault="002C3303" w:rsidP="002C3303">
      <w:pPr>
        <w:jc w:val="center"/>
      </w:pPr>
      <w:r w:rsidRPr="00086F57">
        <w:rPr>
          <w:noProof/>
        </w:rPr>
        <w:drawing>
          <wp:inline distT="0" distB="0" distL="0" distR="0" wp14:anchorId="73CEC035" wp14:editId="5DB0A34B">
            <wp:extent cx="5010150" cy="2905459"/>
            <wp:effectExtent l="76200" t="76200" r="133350" b="1428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016872" cy="290935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0EB5E41" w14:textId="77777777" w:rsidR="002C3303" w:rsidRPr="00086F57" w:rsidRDefault="002C3303" w:rsidP="002C3303">
      <w:pPr>
        <w:jc w:val="center"/>
        <w:rPr>
          <w:b/>
          <w:bCs/>
        </w:rPr>
      </w:pPr>
      <w:r w:rsidRPr="00086F57">
        <w:rPr>
          <w:b/>
          <w:bCs/>
        </w:rPr>
        <w:t>Figure 1: Investment Appraisal</w:t>
      </w:r>
    </w:p>
    <w:p w14:paraId="108BCA6B" w14:textId="77777777" w:rsidR="002C3303" w:rsidRDefault="002C3303" w:rsidP="002C3303">
      <w:pPr>
        <w:jc w:val="center"/>
      </w:pPr>
      <w:r w:rsidRPr="00086F57">
        <w:rPr>
          <w:noProof/>
        </w:rPr>
        <w:drawing>
          <wp:inline distT="0" distB="0" distL="0" distR="0" wp14:anchorId="5C755FC4" wp14:editId="1DE7D525">
            <wp:extent cx="5019675" cy="1548269"/>
            <wp:effectExtent l="76200" t="76200" r="123825" b="12827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030268" cy="155153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DE12670" w14:textId="77777777" w:rsidR="002C3303" w:rsidRPr="00086F57" w:rsidRDefault="002C3303" w:rsidP="002C3303">
      <w:pPr>
        <w:jc w:val="center"/>
        <w:rPr>
          <w:b/>
          <w:bCs/>
        </w:rPr>
      </w:pPr>
      <w:r w:rsidRPr="00086F57">
        <w:rPr>
          <w:b/>
          <w:bCs/>
        </w:rPr>
        <w:t>Figure 2: Altman Z</w:t>
      </w:r>
    </w:p>
    <w:p w14:paraId="218C800A" w14:textId="77777777" w:rsidR="002C3303" w:rsidRPr="00EB3A45" w:rsidRDefault="002C3303" w:rsidP="002C3303"/>
    <w:p w14:paraId="2618C1F2" w14:textId="77777777" w:rsidR="002C3303" w:rsidRPr="00573083" w:rsidRDefault="002C3303" w:rsidP="002C3303">
      <w:pPr>
        <w:spacing w:before="100" w:beforeAutospacing="1" w:after="100" w:afterAutospacing="1"/>
        <w:jc w:val="both"/>
        <w:rPr>
          <w:rFonts w:eastAsia="Times New Roman" w:cs="Times New Roman"/>
          <w:color w:val="auto"/>
          <w:szCs w:val="24"/>
        </w:rPr>
      </w:pPr>
    </w:p>
    <w:p w14:paraId="1ED5313D" w14:textId="77777777" w:rsidR="002C3303" w:rsidRPr="00FA0E9C" w:rsidRDefault="002C3303" w:rsidP="002C3303">
      <w:pPr>
        <w:jc w:val="both"/>
        <w:rPr>
          <w:rFonts w:cs="Times New Roman"/>
        </w:rPr>
      </w:pPr>
    </w:p>
    <w:p w14:paraId="22D9CF35" w14:textId="77777777" w:rsidR="00342D2B" w:rsidRPr="00FA0E9C" w:rsidRDefault="00342D2B" w:rsidP="00547F50">
      <w:pPr>
        <w:pStyle w:val="NormalWeb"/>
        <w:spacing w:line="360" w:lineRule="auto"/>
        <w:jc w:val="both"/>
      </w:pPr>
    </w:p>
    <w:p w14:paraId="46FFD46B" w14:textId="77777777" w:rsidR="00237F7B" w:rsidRDefault="00237F7B"/>
    <w:sectPr w:rsidR="00237F7B" w:rsidSect="00342D2B">
      <w:footerReference w:type="default" r:id="rId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32D5DCD" w14:textId="77777777" w:rsidR="009D29A6" w:rsidRDefault="009D29A6">
      <w:pPr>
        <w:spacing w:after="0" w:line="240" w:lineRule="auto"/>
      </w:pPr>
      <w:r>
        <w:separator/>
      </w:r>
    </w:p>
  </w:endnote>
  <w:endnote w:type="continuationSeparator" w:id="0">
    <w:p w14:paraId="5DA6E2D9" w14:textId="77777777" w:rsidR="009D29A6" w:rsidRDefault="009D29A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93725884"/>
      <w:docPartObj>
        <w:docPartGallery w:val="Page Numbers (Bottom of Page)"/>
        <w:docPartUnique/>
      </w:docPartObj>
    </w:sdtPr>
    <w:sdtEndPr>
      <w:rPr>
        <w:noProof/>
        <w:sz w:val="20"/>
        <w:szCs w:val="18"/>
      </w:rPr>
    </w:sdtEndPr>
    <w:sdtContent>
      <w:p w14:paraId="1FDE3374" w14:textId="77777777" w:rsidR="00342D2B" w:rsidRPr="00E255EF" w:rsidRDefault="00342D2B">
        <w:pPr>
          <w:pStyle w:val="Footer"/>
          <w:jc w:val="right"/>
          <w:rPr>
            <w:sz w:val="20"/>
            <w:szCs w:val="18"/>
          </w:rPr>
        </w:pPr>
        <w:r w:rsidRPr="00E255EF">
          <w:rPr>
            <w:sz w:val="20"/>
            <w:szCs w:val="18"/>
          </w:rPr>
          <w:fldChar w:fldCharType="begin"/>
        </w:r>
        <w:r w:rsidRPr="00E255EF">
          <w:rPr>
            <w:sz w:val="20"/>
            <w:szCs w:val="18"/>
          </w:rPr>
          <w:instrText xml:space="preserve"> PAGE   \* MERGEFORMAT </w:instrText>
        </w:r>
        <w:r w:rsidRPr="00E255EF">
          <w:rPr>
            <w:sz w:val="20"/>
            <w:szCs w:val="18"/>
          </w:rPr>
          <w:fldChar w:fldCharType="separate"/>
        </w:r>
        <w:r w:rsidRPr="00E255EF">
          <w:rPr>
            <w:noProof/>
            <w:sz w:val="20"/>
            <w:szCs w:val="18"/>
          </w:rPr>
          <w:t>2</w:t>
        </w:r>
        <w:r w:rsidRPr="00E255EF">
          <w:rPr>
            <w:noProof/>
            <w:sz w:val="20"/>
            <w:szCs w:val="18"/>
          </w:rPr>
          <w:fldChar w:fldCharType="end"/>
        </w:r>
      </w:p>
    </w:sdtContent>
  </w:sdt>
  <w:p w14:paraId="2A68ADC7" w14:textId="77777777" w:rsidR="00342D2B" w:rsidRDefault="00342D2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F1992EE" w14:textId="77777777" w:rsidR="009D29A6" w:rsidRDefault="009D29A6">
      <w:pPr>
        <w:spacing w:after="0" w:line="240" w:lineRule="auto"/>
      </w:pPr>
      <w:r>
        <w:separator/>
      </w:r>
    </w:p>
  </w:footnote>
  <w:footnote w:type="continuationSeparator" w:id="0">
    <w:p w14:paraId="3F524B0E" w14:textId="77777777" w:rsidR="009D29A6" w:rsidRDefault="009D29A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BA838C5"/>
    <w:multiLevelType w:val="multilevel"/>
    <w:tmpl w:val="17CC37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DAF2C3E"/>
    <w:multiLevelType w:val="multilevel"/>
    <w:tmpl w:val="E3AE31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125680D"/>
    <w:multiLevelType w:val="multilevel"/>
    <w:tmpl w:val="FE2200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E291442"/>
    <w:multiLevelType w:val="multilevel"/>
    <w:tmpl w:val="C0AE65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46221992">
    <w:abstractNumId w:val="2"/>
  </w:num>
  <w:num w:numId="2" w16cid:durableId="1799907006">
    <w:abstractNumId w:val="3"/>
  </w:num>
  <w:num w:numId="3" w16cid:durableId="1590769818">
    <w:abstractNumId w:val="0"/>
  </w:num>
  <w:num w:numId="4" w16cid:durableId="112689527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2D2B"/>
    <w:rsid w:val="000114D8"/>
    <w:rsid w:val="0002730D"/>
    <w:rsid w:val="00033C32"/>
    <w:rsid w:val="00046705"/>
    <w:rsid w:val="00047FFE"/>
    <w:rsid w:val="00052ECA"/>
    <w:rsid w:val="000B0BD1"/>
    <w:rsid w:val="000B3734"/>
    <w:rsid w:val="000B78AD"/>
    <w:rsid w:val="00101981"/>
    <w:rsid w:val="00117EB6"/>
    <w:rsid w:val="00120E9E"/>
    <w:rsid w:val="001251AC"/>
    <w:rsid w:val="00160202"/>
    <w:rsid w:val="001637F6"/>
    <w:rsid w:val="0017001E"/>
    <w:rsid w:val="00180171"/>
    <w:rsid w:val="001B531E"/>
    <w:rsid w:val="001E383A"/>
    <w:rsid w:val="001E4E24"/>
    <w:rsid w:val="001F62A8"/>
    <w:rsid w:val="00237F7B"/>
    <w:rsid w:val="0024700D"/>
    <w:rsid w:val="00250D0F"/>
    <w:rsid w:val="00251E32"/>
    <w:rsid w:val="002767BF"/>
    <w:rsid w:val="002800F0"/>
    <w:rsid w:val="00286E10"/>
    <w:rsid w:val="002B66D2"/>
    <w:rsid w:val="002B7E2B"/>
    <w:rsid w:val="002C3303"/>
    <w:rsid w:val="002C7EA8"/>
    <w:rsid w:val="002D4872"/>
    <w:rsid w:val="002F737B"/>
    <w:rsid w:val="00310967"/>
    <w:rsid w:val="00316328"/>
    <w:rsid w:val="003249F2"/>
    <w:rsid w:val="0033317B"/>
    <w:rsid w:val="00342D2B"/>
    <w:rsid w:val="00347B24"/>
    <w:rsid w:val="003C641B"/>
    <w:rsid w:val="003E4BFE"/>
    <w:rsid w:val="0043080E"/>
    <w:rsid w:val="0043706D"/>
    <w:rsid w:val="004378F6"/>
    <w:rsid w:val="00453F4C"/>
    <w:rsid w:val="004565B5"/>
    <w:rsid w:val="00477CD1"/>
    <w:rsid w:val="004B210F"/>
    <w:rsid w:val="004C085A"/>
    <w:rsid w:val="004C4248"/>
    <w:rsid w:val="004C4F95"/>
    <w:rsid w:val="004E6E0E"/>
    <w:rsid w:val="004F68FF"/>
    <w:rsid w:val="00501852"/>
    <w:rsid w:val="00502207"/>
    <w:rsid w:val="0052209C"/>
    <w:rsid w:val="00540E50"/>
    <w:rsid w:val="00547F50"/>
    <w:rsid w:val="00553D4E"/>
    <w:rsid w:val="005A3397"/>
    <w:rsid w:val="005E2A9A"/>
    <w:rsid w:val="005E7784"/>
    <w:rsid w:val="00603436"/>
    <w:rsid w:val="0061612B"/>
    <w:rsid w:val="006342DF"/>
    <w:rsid w:val="00640A61"/>
    <w:rsid w:val="00642D24"/>
    <w:rsid w:val="00687C42"/>
    <w:rsid w:val="00696221"/>
    <w:rsid w:val="006B3A13"/>
    <w:rsid w:val="006E011B"/>
    <w:rsid w:val="006E2382"/>
    <w:rsid w:val="006E38AA"/>
    <w:rsid w:val="006F12D3"/>
    <w:rsid w:val="006F4FA8"/>
    <w:rsid w:val="0071261B"/>
    <w:rsid w:val="007179AD"/>
    <w:rsid w:val="00723128"/>
    <w:rsid w:val="00730FB1"/>
    <w:rsid w:val="00753E31"/>
    <w:rsid w:val="007574FF"/>
    <w:rsid w:val="007616BF"/>
    <w:rsid w:val="0076280C"/>
    <w:rsid w:val="00781B60"/>
    <w:rsid w:val="00796DC2"/>
    <w:rsid w:val="007C26A4"/>
    <w:rsid w:val="007D706F"/>
    <w:rsid w:val="007E3F0A"/>
    <w:rsid w:val="007F47AA"/>
    <w:rsid w:val="0080128D"/>
    <w:rsid w:val="00822895"/>
    <w:rsid w:val="00834584"/>
    <w:rsid w:val="00837D00"/>
    <w:rsid w:val="00844CB3"/>
    <w:rsid w:val="00854AAE"/>
    <w:rsid w:val="00871EEE"/>
    <w:rsid w:val="008C2C96"/>
    <w:rsid w:val="008D7F68"/>
    <w:rsid w:val="00901C73"/>
    <w:rsid w:val="00903432"/>
    <w:rsid w:val="00904E80"/>
    <w:rsid w:val="00917436"/>
    <w:rsid w:val="00925CF8"/>
    <w:rsid w:val="0094569D"/>
    <w:rsid w:val="00954D36"/>
    <w:rsid w:val="00960725"/>
    <w:rsid w:val="009A0EF9"/>
    <w:rsid w:val="009A3A7B"/>
    <w:rsid w:val="009D0A5C"/>
    <w:rsid w:val="009D29A6"/>
    <w:rsid w:val="00A16AB3"/>
    <w:rsid w:val="00A5625A"/>
    <w:rsid w:val="00A72AB8"/>
    <w:rsid w:val="00A805BD"/>
    <w:rsid w:val="00A81C59"/>
    <w:rsid w:val="00A90C1A"/>
    <w:rsid w:val="00A941A4"/>
    <w:rsid w:val="00A96B38"/>
    <w:rsid w:val="00AA058D"/>
    <w:rsid w:val="00AE1ED7"/>
    <w:rsid w:val="00AE2247"/>
    <w:rsid w:val="00B20FD2"/>
    <w:rsid w:val="00B25377"/>
    <w:rsid w:val="00B348D1"/>
    <w:rsid w:val="00B54EFA"/>
    <w:rsid w:val="00B60621"/>
    <w:rsid w:val="00B731C9"/>
    <w:rsid w:val="00B763FD"/>
    <w:rsid w:val="00BE27E1"/>
    <w:rsid w:val="00BE2B2A"/>
    <w:rsid w:val="00C60FDA"/>
    <w:rsid w:val="00C74554"/>
    <w:rsid w:val="00CD094C"/>
    <w:rsid w:val="00CD2152"/>
    <w:rsid w:val="00D00B2F"/>
    <w:rsid w:val="00D05392"/>
    <w:rsid w:val="00D40CAE"/>
    <w:rsid w:val="00D41939"/>
    <w:rsid w:val="00D5030B"/>
    <w:rsid w:val="00D666DD"/>
    <w:rsid w:val="00D87934"/>
    <w:rsid w:val="00DA292C"/>
    <w:rsid w:val="00DC153F"/>
    <w:rsid w:val="00DD433E"/>
    <w:rsid w:val="00DD44CC"/>
    <w:rsid w:val="00E06EF3"/>
    <w:rsid w:val="00E310B1"/>
    <w:rsid w:val="00E435B1"/>
    <w:rsid w:val="00E64EB5"/>
    <w:rsid w:val="00EA75BD"/>
    <w:rsid w:val="00EB58A4"/>
    <w:rsid w:val="00EC2174"/>
    <w:rsid w:val="00F65E17"/>
    <w:rsid w:val="00F764F6"/>
    <w:rsid w:val="00FA35D8"/>
    <w:rsid w:val="00FB1449"/>
    <w:rsid w:val="00FD15E8"/>
    <w:rsid w:val="00FE7C98"/>
    <w:rsid w:val="00FF582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BC567B"/>
  <w15:chartTrackingRefBased/>
  <w15:docId w15:val="{3F335074-D732-4945-9136-9353DFCD2D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42D2B"/>
    <w:pPr>
      <w:spacing w:line="360" w:lineRule="auto"/>
    </w:pPr>
    <w:rPr>
      <w:rFonts w:ascii="Times New Roman" w:hAnsi="Times New Roman"/>
      <w:color w:val="000000" w:themeColor="text1"/>
      <w:kern w:val="0"/>
      <w:szCs w:val="22"/>
      <w14:ligatures w14:val="none"/>
    </w:rPr>
  </w:style>
  <w:style w:type="paragraph" w:styleId="Heading1">
    <w:name w:val="heading 1"/>
    <w:basedOn w:val="Normal"/>
    <w:next w:val="Normal"/>
    <w:link w:val="Heading1Char"/>
    <w:autoRedefine/>
    <w:uiPriority w:val="9"/>
    <w:qFormat/>
    <w:rsid w:val="00903432"/>
    <w:pPr>
      <w:keepNext/>
      <w:keepLines/>
      <w:spacing w:before="360" w:after="80"/>
      <w:jc w:val="both"/>
      <w:outlineLvl w:val="0"/>
    </w:pPr>
    <w:rPr>
      <w:rFonts w:eastAsiaTheme="majorEastAsia" w:cstheme="majorBidi"/>
      <w:b/>
      <w:sz w:val="28"/>
      <w:szCs w:val="40"/>
    </w:rPr>
  </w:style>
  <w:style w:type="paragraph" w:styleId="Heading2">
    <w:name w:val="heading 2"/>
    <w:basedOn w:val="Normal"/>
    <w:next w:val="Normal"/>
    <w:link w:val="Heading2Char"/>
    <w:autoRedefine/>
    <w:uiPriority w:val="9"/>
    <w:unhideWhenUsed/>
    <w:qFormat/>
    <w:rsid w:val="00687C42"/>
    <w:pPr>
      <w:keepNext/>
      <w:keepLines/>
      <w:spacing w:before="160" w:after="80"/>
      <w:jc w:val="both"/>
      <w:outlineLvl w:val="1"/>
    </w:pPr>
    <w:rPr>
      <w:rFonts w:eastAsiaTheme="majorEastAsia" w:cstheme="majorBidi"/>
      <w:b/>
      <w:szCs w:val="32"/>
    </w:rPr>
  </w:style>
  <w:style w:type="paragraph" w:styleId="Heading3">
    <w:name w:val="heading 3"/>
    <w:basedOn w:val="Normal"/>
    <w:next w:val="Normal"/>
    <w:link w:val="Heading3Char"/>
    <w:autoRedefine/>
    <w:uiPriority w:val="9"/>
    <w:unhideWhenUsed/>
    <w:qFormat/>
    <w:rsid w:val="00540E50"/>
    <w:pPr>
      <w:keepNext/>
      <w:keepLines/>
      <w:spacing w:before="160" w:after="80"/>
      <w:jc w:val="both"/>
      <w:outlineLvl w:val="2"/>
    </w:pPr>
    <w:rPr>
      <w:rFonts w:eastAsiaTheme="majorEastAsia" w:cstheme="majorBidi"/>
      <w:b/>
      <w:szCs w:val="28"/>
    </w:rPr>
  </w:style>
  <w:style w:type="paragraph" w:styleId="Heading4">
    <w:name w:val="heading 4"/>
    <w:basedOn w:val="Normal"/>
    <w:next w:val="Normal"/>
    <w:link w:val="Heading4Char"/>
    <w:autoRedefine/>
    <w:uiPriority w:val="9"/>
    <w:unhideWhenUsed/>
    <w:qFormat/>
    <w:rsid w:val="00540E50"/>
    <w:pPr>
      <w:keepNext/>
      <w:keepLines/>
      <w:spacing w:before="80" w:after="40"/>
      <w:jc w:val="center"/>
      <w:outlineLvl w:val="3"/>
    </w:pPr>
    <w:rPr>
      <w:rFonts w:eastAsiaTheme="majorEastAsia" w:cstheme="majorBidi"/>
      <w:b/>
      <w:iCs/>
    </w:rPr>
  </w:style>
  <w:style w:type="paragraph" w:styleId="Heading5">
    <w:name w:val="heading 5"/>
    <w:basedOn w:val="Normal"/>
    <w:next w:val="Normal"/>
    <w:link w:val="Heading5Char"/>
    <w:autoRedefine/>
    <w:uiPriority w:val="9"/>
    <w:semiHidden/>
    <w:unhideWhenUsed/>
    <w:qFormat/>
    <w:rsid w:val="00540E50"/>
    <w:pPr>
      <w:keepNext/>
      <w:keepLines/>
      <w:spacing w:before="80" w:after="40"/>
      <w:jc w:val="center"/>
      <w:outlineLvl w:val="4"/>
    </w:pPr>
    <w:rPr>
      <w:rFonts w:eastAsiaTheme="majorEastAsia" w:cstheme="majorBidi"/>
      <w:b/>
    </w:rPr>
  </w:style>
  <w:style w:type="paragraph" w:styleId="Heading6">
    <w:name w:val="heading 6"/>
    <w:basedOn w:val="Normal"/>
    <w:next w:val="Normal"/>
    <w:link w:val="Heading6Char"/>
    <w:uiPriority w:val="9"/>
    <w:semiHidden/>
    <w:unhideWhenUsed/>
    <w:qFormat/>
    <w:rsid w:val="00342D2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42D2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42D2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42D2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03432"/>
    <w:rPr>
      <w:rFonts w:ascii="Times New Roman" w:eastAsiaTheme="majorEastAsia" w:hAnsi="Times New Roman" w:cstheme="majorBidi"/>
      <w:b/>
      <w:color w:val="000000" w:themeColor="text1"/>
      <w:kern w:val="0"/>
      <w:sz w:val="28"/>
      <w:szCs w:val="40"/>
      <w14:ligatures w14:val="none"/>
    </w:rPr>
  </w:style>
  <w:style w:type="character" w:customStyle="1" w:styleId="Heading2Char">
    <w:name w:val="Heading 2 Char"/>
    <w:basedOn w:val="DefaultParagraphFont"/>
    <w:link w:val="Heading2"/>
    <w:uiPriority w:val="9"/>
    <w:rsid w:val="00687C42"/>
    <w:rPr>
      <w:rFonts w:ascii="Times New Roman" w:eastAsiaTheme="majorEastAsia" w:hAnsi="Times New Roman" w:cstheme="majorBidi"/>
      <w:b/>
      <w:color w:val="000000" w:themeColor="text1"/>
      <w:kern w:val="0"/>
      <w:szCs w:val="32"/>
      <w14:ligatures w14:val="none"/>
    </w:rPr>
  </w:style>
  <w:style w:type="character" w:customStyle="1" w:styleId="Heading3Char">
    <w:name w:val="Heading 3 Char"/>
    <w:basedOn w:val="DefaultParagraphFont"/>
    <w:link w:val="Heading3"/>
    <w:uiPriority w:val="9"/>
    <w:rsid w:val="00540E50"/>
    <w:rPr>
      <w:rFonts w:ascii="Times New Roman" w:eastAsiaTheme="majorEastAsia" w:hAnsi="Times New Roman" w:cstheme="majorBidi"/>
      <w:b/>
      <w:kern w:val="0"/>
      <w:szCs w:val="28"/>
      <w14:ligatures w14:val="none"/>
    </w:rPr>
  </w:style>
  <w:style w:type="character" w:customStyle="1" w:styleId="Heading4Char">
    <w:name w:val="Heading 4 Char"/>
    <w:basedOn w:val="DefaultParagraphFont"/>
    <w:link w:val="Heading4"/>
    <w:uiPriority w:val="9"/>
    <w:rsid w:val="00540E50"/>
    <w:rPr>
      <w:rFonts w:ascii="Times New Roman" w:eastAsiaTheme="majorEastAsia" w:hAnsi="Times New Roman" w:cstheme="majorBidi"/>
      <w:b/>
      <w:iCs/>
      <w:kern w:val="0"/>
      <w:szCs w:val="22"/>
      <w14:ligatures w14:val="none"/>
    </w:rPr>
  </w:style>
  <w:style w:type="character" w:customStyle="1" w:styleId="Heading5Char">
    <w:name w:val="Heading 5 Char"/>
    <w:basedOn w:val="DefaultParagraphFont"/>
    <w:link w:val="Heading5"/>
    <w:uiPriority w:val="9"/>
    <w:semiHidden/>
    <w:rsid w:val="00540E50"/>
    <w:rPr>
      <w:rFonts w:ascii="Times New Roman" w:eastAsiaTheme="majorEastAsia" w:hAnsi="Times New Roman" w:cstheme="majorBidi"/>
      <w:b/>
      <w:kern w:val="0"/>
      <w:szCs w:val="22"/>
      <w14:ligatures w14:val="none"/>
    </w:rPr>
  </w:style>
  <w:style w:type="character" w:customStyle="1" w:styleId="Heading6Char">
    <w:name w:val="Heading 6 Char"/>
    <w:basedOn w:val="DefaultParagraphFont"/>
    <w:link w:val="Heading6"/>
    <w:uiPriority w:val="9"/>
    <w:semiHidden/>
    <w:rsid w:val="00342D2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42D2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42D2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42D2B"/>
    <w:rPr>
      <w:rFonts w:eastAsiaTheme="majorEastAsia" w:cstheme="majorBidi"/>
      <w:color w:val="272727" w:themeColor="text1" w:themeTint="D8"/>
    </w:rPr>
  </w:style>
  <w:style w:type="paragraph" w:styleId="Title">
    <w:name w:val="Title"/>
    <w:basedOn w:val="Normal"/>
    <w:next w:val="Normal"/>
    <w:link w:val="TitleChar"/>
    <w:uiPriority w:val="10"/>
    <w:qFormat/>
    <w:rsid w:val="00342D2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42D2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42D2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42D2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42D2B"/>
    <w:pPr>
      <w:spacing w:before="160"/>
      <w:jc w:val="center"/>
    </w:pPr>
    <w:rPr>
      <w:i/>
      <w:iCs/>
      <w:color w:val="404040" w:themeColor="text1" w:themeTint="BF"/>
    </w:rPr>
  </w:style>
  <w:style w:type="character" w:customStyle="1" w:styleId="QuoteChar">
    <w:name w:val="Quote Char"/>
    <w:basedOn w:val="DefaultParagraphFont"/>
    <w:link w:val="Quote"/>
    <w:uiPriority w:val="29"/>
    <w:rsid w:val="00342D2B"/>
    <w:rPr>
      <w:i/>
      <w:iCs/>
      <w:color w:val="404040" w:themeColor="text1" w:themeTint="BF"/>
    </w:rPr>
  </w:style>
  <w:style w:type="paragraph" w:styleId="ListParagraph">
    <w:name w:val="List Paragraph"/>
    <w:basedOn w:val="Normal"/>
    <w:uiPriority w:val="34"/>
    <w:qFormat/>
    <w:rsid w:val="00342D2B"/>
    <w:pPr>
      <w:ind w:left="720"/>
      <w:contextualSpacing/>
    </w:pPr>
  </w:style>
  <w:style w:type="character" w:styleId="IntenseEmphasis">
    <w:name w:val="Intense Emphasis"/>
    <w:basedOn w:val="DefaultParagraphFont"/>
    <w:uiPriority w:val="21"/>
    <w:qFormat/>
    <w:rsid w:val="00342D2B"/>
    <w:rPr>
      <w:i/>
      <w:iCs/>
      <w:color w:val="2F5496" w:themeColor="accent1" w:themeShade="BF"/>
    </w:rPr>
  </w:style>
  <w:style w:type="paragraph" w:styleId="IntenseQuote">
    <w:name w:val="Intense Quote"/>
    <w:basedOn w:val="Normal"/>
    <w:next w:val="Normal"/>
    <w:link w:val="IntenseQuoteChar"/>
    <w:uiPriority w:val="30"/>
    <w:qFormat/>
    <w:rsid w:val="00342D2B"/>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342D2B"/>
    <w:rPr>
      <w:i/>
      <w:iCs/>
      <w:color w:val="2F5496" w:themeColor="accent1" w:themeShade="BF"/>
    </w:rPr>
  </w:style>
  <w:style w:type="character" w:styleId="IntenseReference">
    <w:name w:val="Intense Reference"/>
    <w:basedOn w:val="DefaultParagraphFont"/>
    <w:uiPriority w:val="32"/>
    <w:qFormat/>
    <w:rsid w:val="00342D2B"/>
    <w:rPr>
      <w:b/>
      <w:bCs/>
      <w:smallCaps/>
      <w:color w:val="2F5496" w:themeColor="accent1" w:themeShade="BF"/>
      <w:spacing w:val="5"/>
    </w:rPr>
  </w:style>
  <w:style w:type="paragraph" w:styleId="Footer">
    <w:name w:val="footer"/>
    <w:basedOn w:val="Normal"/>
    <w:link w:val="FooterChar"/>
    <w:uiPriority w:val="99"/>
    <w:unhideWhenUsed/>
    <w:rsid w:val="00342D2B"/>
    <w:pPr>
      <w:tabs>
        <w:tab w:val="center" w:pos="4680"/>
        <w:tab w:val="right" w:pos="9360"/>
      </w:tabs>
      <w:spacing w:after="0" w:line="240" w:lineRule="auto"/>
    </w:pPr>
  </w:style>
  <w:style w:type="character" w:customStyle="1" w:styleId="FooterChar">
    <w:name w:val="Footer Char"/>
    <w:basedOn w:val="DefaultParagraphFont"/>
    <w:link w:val="Footer"/>
    <w:uiPriority w:val="99"/>
    <w:rsid w:val="00342D2B"/>
    <w:rPr>
      <w:rFonts w:ascii="Times New Roman" w:hAnsi="Times New Roman"/>
      <w:color w:val="000000" w:themeColor="text1"/>
      <w:kern w:val="0"/>
      <w:szCs w:val="22"/>
      <w14:ligatures w14:val="none"/>
    </w:rPr>
  </w:style>
  <w:style w:type="character" w:styleId="Strong">
    <w:name w:val="Strong"/>
    <w:basedOn w:val="DefaultParagraphFont"/>
    <w:uiPriority w:val="22"/>
    <w:qFormat/>
    <w:rsid w:val="00342D2B"/>
    <w:rPr>
      <w:b/>
      <w:bCs/>
    </w:rPr>
  </w:style>
  <w:style w:type="paragraph" w:styleId="NormalWeb">
    <w:name w:val="Normal (Web)"/>
    <w:basedOn w:val="Normal"/>
    <w:uiPriority w:val="99"/>
    <w:unhideWhenUsed/>
    <w:rsid w:val="00342D2B"/>
    <w:pPr>
      <w:spacing w:before="100" w:beforeAutospacing="1" w:after="100" w:afterAutospacing="1" w:line="240" w:lineRule="auto"/>
    </w:pPr>
    <w:rPr>
      <w:rFonts w:eastAsia="Times New Roman" w:cs="Times New Roman"/>
      <w:color w:val="auto"/>
      <w:szCs w:val="24"/>
    </w:rPr>
  </w:style>
  <w:style w:type="character" w:styleId="Emphasis">
    <w:name w:val="Emphasis"/>
    <w:basedOn w:val="DefaultParagraphFont"/>
    <w:uiPriority w:val="20"/>
    <w:qFormat/>
    <w:rsid w:val="00342D2B"/>
    <w:rPr>
      <w:i/>
      <w:iCs/>
    </w:rPr>
  </w:style>
  <w:style w:type="paragraph" w:styleId="TOCHeading">
    <w:name w:val="TOC Heading"/>
    <w:basedOn w:val="Heading1"/>
    <w:next w:val="Normal"/>
    <w:uiPriority w:val="39"/>
    <w:unhideWhenUsed/>
    <w:qFormat/>
    <w:rsid w:val="00342D2B"/>
    <w:pPr>
      <w:spacing w:before="240" w:after="0" w:line="259" w:lineRule="auto"/>
      <w:jc w:val="left"/>
      <w:outlineLvl w:val="9"/>
    </w:pPr>
    <w:rPr>
      <w:rFonts w:asciiTheme="majorHAnsi" w:hAnsiTheme="majorHAnsi"/>
      <w:b w:val="0"/>
      <w:color w:val="2F5496" w:themeColor="accent1" w:themeShade="BF"/>
      <w:sz w:val="32"/>
      <w:szCs w:val="32"/>
    </w:rPr>
  </w:style>
  <w:style w:type="paragraph" w:styleId="TOC1">
    <w:name w:val="toc 1"/>
    <w:basedOn w:val="Normal"/>
    <w:next w:val="Normal"/>
    <w:autoRedefine/>
    <w:uiPriority w:val="39"/>
    <w:unhideWhenUsed/>
    <w:rsid w:val="00342D2B"/>
    <w:pPr>
      <w:spacing w:after="100"/>
    </w:pPr>
  </w:style>
  <w:style w:type="paragraph" w:styleId="TOC2">
    <w:name w:val="toc 2"/>
    <w:basedOn w:val="Normal"/>
    <w:next w:val="Normal"/>
    <w:autoRedefine/>
    <w:uiPriority w:val="39"/>
    <w:unhideWhenUsed/>
    <w:rsid w:val="00342D2B"/>
    <w:pPr>
      <w:spacing w:after="100"/>
      <w:ind w:left="240"/>
    </w:pPr>
  </w:style>
  <w:style w:type="character" w:styleId="Hyperlink">
    <w:name w:val="Hyperlink"/>
    <w:basedOn w:val="DefaultParagraphFont"/>
    <w:uiPriority w:val="99"/>
    <w:unhideWhenUsed/>
    <w:rsid w:val="00342D2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95</TotalTime>
  <Pages>25</Pages>
  <Words>6266</Words>
  <Characters>35719</Characters>
  <Application>Microsoft Office Word</Application>
  <DocSecurity>0</DocSecurity>
  <Lines>297</Lines>
  <Paragraphs>83</Paragraphs>
  <ScaleCrop>false</ScaleCrop>
  <Company/>
  <LinksUpToDate>false</LinksUpToDate>
  <CharactersWithSpaces>41902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213</cp:revision>
  <dcterms:created xsi:type="dcterms:W3CDTF">2025-11-10T09:59:00Z</dcterms:created>
  <dcterms:modified xsi:type="dcterms:W3CDTF">2025-11-11T07:36:00Z</dcterms:modified>
</cp:coreProperties>
</file>