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BCF123" w14:textId="77777777" w:rsidR="00535ED1" w:rsidRPr="00535ED1" w:rsidRDefault="00535ED1" w:rsidP="00535ED1">
      <w:pPr>
        <w:rPr>
          <w:rFonts w:ascii="Arial" w:hAnsi="Arial" w:cs="Arial"/>
        </w:rPr>
      </w:pPr>
      <w:r w:rsidRPr="00535ED1">
        <w:rPr>
          <w:rFonts w:ascii="Arial" w:hAnsi="Arial" w:cs="Arial"/>
          <w:b/>
          <w:bCs/>
        </w:rPr>
        <w:t>Critically examining how emergent technologies, social media and digital communities shape the lives of children and young people</w:t>
      </w:r>
    </w:p>
    <w:p w14:paraId="4F7B90A6" w14:textId="77777777" w:rsidR="00535ED1" w:rsidRPr="00535ED1" w:rsidRDefault="00535ED1" w:rsidP="00535ED1">
      <w:pPr>
        <w:rPr>
          <w:rFonts w:ascii="Arial" w:hAnsi="Arial" w:cs="Arial"/>
        </w:rPr>
      </w:pPr>
      <w:r w:rsidRPr="00535ED1">
        <w:rPr>
          <w:rFonts w:ascii="Arial" w:hAnsi="Arial" w:cs="Arial"/>
        </w:rPr>
        <w:t>Emergent technologies, social media and digital communities now shape a large part of the everyday lives of children and young people. They influence how children learn, communicate, present themselves, build relationships and interpret the world around them. In the UK, this influence is no longer marginal. Ofcom (2025) reports that 96% of children aged 3–17 went online in 2024, showing that digital engagement is now an ordinary part of childhood rather than a separate activity. Because of this, the debate should move beyond the simple question of whether technology is good or bad. A more useful critical approach is to examine how digital systems shape development, behaviour, socialisation and wellbeing in ways that are uneven, commercialised and often difficult for children to control. This essay argues that emergent technologies offer real opportunities for learning, creativity and connection, but they also create risks linked to distraction, comparison, sleep disruption, cyberbullying and targeted influence. Their impact depends not only on how often they are used, but on how they are designed, how they are used and which children are more exposed to harm in everyday practice.</w:t>
      </w:r>
    </w:p>
    <w:p w14:paraId="52690E57" w14:textId="77777777" w:rsidR="00535ED1" w:rsidRPr="00535ED1" w:rsidRDefault="00535ED1" w:rsidP="00535ED1">
      <w:pPr>
        <w:rPr>
          <w:rFonts w:ascii="Arial" w:hAnsi="Arial" w:cs="Arial"/>
        </w:rPr>
      </w:pPr>
      <w:r w:rsidRPr="00535ED1">
        <w:rPr>
          <w:rFonts w:ascii="Arial" w:hAnsi="Arial" w:cs="Arial"/>
        </w:rPr>
        <w:t>One of the clearest ways to understand this issue is to see digital platforms as more than neutral tools. Green et al. (2020) argue that children’s digital lives need to be understood within wider domestic, social and cultural contexts. This matters because platforms such as TikTok, YouTube, Instagram and Snapchat do not simply host content. They rank it, recommend it and reward certain forms of participation. Trezise (2023) similarly suggests that contemporary childhood is increasingly shaped by viral culture, where visibility and circulation become part of how young people experience growing up. In this sense, children are not only using technology; they are developing inside systems that shape what feels relevant, desirable and socially valuable. That makes platform design a developmental issue rather than a purely technical one. It also shows why debates about digital childhood cannot be reduced to individual choice alone.</w:t>
      </w:r>
    </w:p>
    <w:p w14:paraId="2357F7E0" w14:textId="7FE5B231" w:rsidR="00535ED1" w:rsidRPr="00535ED1" w:rsidRDefault="00535ED1" w:rsidP="00535ED1">
      <w:pPr>
        <w:rPr>
          <w:rFonts w:ascii="Arial" w:hAnsi="Arial" w:cs="Arial"/>
        </w:rPr>
      </w:pPr>
      <w:r w:rsidRPr="00535ED1">
        <w:rPr>
          <w:rFonts w:ascii="Arial" w:hAnsi="Arial" w:cs="Arial"/>
        </w:rPr>
        <w:t xml:space="preserve">In education, emergent technologies can support learning in meaningful ways. The Digital Competence Framework (Welsh Government, </w:t>
      </w:r>
      <w:r w:rsidR="001C65C8">
        <w:rPr>
          <w:rFonts w:ascii="Arial" w:hAnsi="Arial" w:cs="Arial"/>
        </w:rPr>
        <w:t>2024</w:t>
      </w:r>
      <w:r w:rsidRPr="00535ED1">
        <w:rPr>
          <w:rFonts w:ascii="Arial" w:hAnsi="Arial" w:cs="Arial"/>
        </w:rPr>
        <w:t>) presents digital competence as a cross-curricular entitlement involving confident, critical and creative use of technology rather than mere technical skill. This is significant because it treats digital literacy as a form of judgement rather than button pressing. Generative artificial intelligence has made this debate even sharper. Klarin et al. (2024) found that adolescents with greater executive functioning difficulties perceived generative AI as especially useful for schoolwork. This suggests that AI can reduce barriers, support task initiation and help some learners participate more fully. For pupils who struggle with organisation, writing or confidence, digital tools may act as scaffolds that widen access and reduce frustration. Dray and Symons (2025) also note that generative AI can support more personalised engagement, although they stress that ethical safeguards and human oversight remain essential.</w:t>
      </w:r>
    </w:p>
    <w:p w14:paraId="00CCFECE" w14:textId="77777777" w:rsidR="00535ED1" w:rsidRPr="00535ED1" w:rsidRDefault="00535ED1" w:rsidP="00535ED1">
      <w:pPr>
        <w:rPr>
          <w:rFonts w:ascii="Arial" w:hAnsi="Arial" w:cs="Arial"/>
        </w:rPr>
      </w:pPr>
      <w:r w:rsidRPr="00535ED1">
        <w:rPr>
          <w:rFonts w:ascii="Arial" w:hAnsi="Arial" w:cs="Arial"/>
        </w:rPr>
        <w:lastRenderedPageBreak/>
        <w:t>However, educational value depends on how these tools are used. O’Reilly et al. (2021) argue that digital media effects cannot be understood through simple assumptions and that context and mechanism matter. The same is true in education. When polished outputs allow pupils to bypass the productive struggle through which understanding and competence are developed, technology may weaken learning rather than strengthen it. Ofcom (2025) also reports growing use of artificial intelligence among children and teenagers alongside uneven levels of critical media literacy. This matters because pupils may appear fluent while still lacking the skills needed to verify information, recognise bias or question AI-generated content. Schools and colleges therefore need process-focused teaching and assessment, such as drafts, oral explanation and in-class problem-solving, alongside explicit teaching on verification, bias and responsible AI use. Otherwise, technology may encourage surface performance rather than deep learning. Faster output does not automatically mean deeper understanding.</w:t>
      </w:r>
    </w:p>
    <w:p w14:paraId="5357E1AD" w14:textId="77777777" w:rsidR="00535ED1" w:rsidRPr="00535ED1" w:rsidRDefault="00535ED1" w:rsidP="00535ED1">
      <w:pPr>
        <w:rPr>
          <w:rFonts w:ascii="Arial" w:hAnsi="Arial" w:cs="Arial"/>
        </w:rPr>
      </w:pPr>
      <w:r w:rsidRPr="00535ED1">
        <w:rPr>
          <w:rFonts w:ascii="Arial" w:hAnsi="Arial" w:cs="Arial"/>
        </w:rPr>
        <w:t>Digital life also affects behaviour and wellbeing through the way it shapes time, attention and habit. Phippen and Street (2022) argue that online wellbeing should be approached through resilience and harm reduction rather than unrealistic ideas of total safety. That view is persuasive because digital systems are designed to reduce stopping points. Notifications, autoplay, streaks and infinite scroll make it easier for children and young people to remain engaged for longer than they intend. Han, Zhou and Liu (2024), in a systematic review and meta-analysis of 55 papers involving more than 41,000 participants, found that electronic media use was significantly associated with poorer sleep quality and more sleep problems, especially when use became problematic. Sleep is central to concentration, memory, emotional regulation and behaviour. When digital habits extend into the evening, they can quietly undermine learning and coping the following day. The issue is therefore not only what children see online, but how digital systems shape the pace and rhythm of everyday life.</w:t>
      </w:r>
    </w:p>
    <w:p w14:paraId="6D799691" w14:textId="77777777" w:rsidR="00535ED1" w:rsidRPr="00535ED1" w:rsidRDefault="00535ED1" w:rsidP="00535ED1">
      <w:pPr>
        <w:rPr>
          <w:rFonts w:ascii="Arial" w:hAnsi="Arial" w:cs="Arial"/>
        </w:rPr>
      </w:pPr>
      <w:r w:rsidRPr="00535ED1">
        <w:rPr>
          <w:rFonts w:ascii="Arial" w:hAnsi="Arial" w:cs="Arial"/>
        </w:rPr>
        <w:t xml:space="preserve">At the same time, digital communities can offer real social value. Nagata et al. (2025) argue that social media can support adolescents and young adults through social connection, identity exploration and access to health and mental health information. Nesi, </w:t>
      </w:r>
      <w:proofErr w:type="spellStart"/>
      <w:r w:rsidRPr="00535ED1">
        <w:rPr>
          <w:rFonts w:ascii="Arial" w:hAnsi="Arial" w:cs="Arial"/>
        </w:rPr>
        <w:t>Telzer</w:t>
      </w:r>
      <w:proofErr w:type="spellEnd"/>
      <w:r w:rsidRPr="00535ED1">
        <w:rPr>
          <w:rFonts w:ascii="Arial" w:hAnsi="Arial" w:cs="Arial"/>
        </w:rPr>
        <w:t xml:space="preserve"> and </w:t>
      </w:r>
      <w:proofErr w:type="spellStart"/>
      <w:r w:rsidRPr="00535ED1">
        <w:rPr>
          <w:rFonts w:ascii="Arial" w:hAnsi="Arial" w:cs="Arial"/>
        </w:rPr>
        <w:t>Prinstein</w:t>
      </w:r>
      <w:proofErr w:type="spellEnd"/>
      <w:r w:rsidRPr="00535ED1">
        <w:rPr>
          <w:rFonts w:ascii="Arial" w:hAnsi="Arial" w:cs="Arial"/>
        </w:rPr>
        <w:t xml:space="preserve"> (2022) also note that digital media can support relationships and identity development as well as create risks. This matters because online spaces are often described only in negative terms. </w:t>
      </w:r>
      <w:proofErr w:type="gramStart"/>
      <w:r w:rsidRPr="00535ED1">
        <w:rPr>
          <w:rFonts w:ascii="Arial" w:hAnsi="Arial" w:cs="Arial"/>
        </w:rPr>
        <w:t>In reality, many</w:t>
      </w:r>
      <w:proofErr w:type="gramEnd"/>
      <w:r w:rsidRPr="00535ED1">
        <w:rPr>
          <w:rFonts w:ascii="Arial" w:hAnsi="Arial" w:cs="Arial"/>
        </w:rPr>
        <w:t xml:space="preserve"> young people, especially those who feel isolated, marginalised or misunderstood offline, do find genuine belonging online. For some children and young people, online interaction may provide peer understanding, emotional support and a safer space in which to express aspects of themselves that feel difficult to share face to face. Used in that way, digital communities can reduce social isolation rather than deepen it. They can also give young people access to supportive networks beyond their local area.</w:t>
      </w:r>
    </w:p>
    <w:p w14:paraId="6C92337B" w14:textId="2AE68D9C" w:rsidR="00535ED1" w:rsidRPr="00535ED1" w:rsidRDefault="00535ED1" w:rsidP="00535ED1">
      <w:pPr>
        <w:rPr>
          <w:rFonts w:ascii="Arial" w:hAnsi="Arial" w:cs="Arial"/>
        </w:rPr>
      </w:pPr>
      <w:r w:rsidRPr="00535ED1">
        <w:rPr>
          <w:rFonts w:ascii="Arial" w:hAnsi="Arial" w:cs="Arial"/>
        </w:rPr>
        <w:lastRenderedPageBreak/>
        <w:t xml:space="preserve">Even so, the same spaces that offer connection can also intensify comparison and distress. Fassi et al. (2024), in a meta-analysis involving more than one million adolescents, found a positive association between social media use and internalising symptoms in both clinical and community samples. Sala, Porcaro and Gómez (2024) also conclude that social media carries both risks and opportunities, with outcomes shaped by individual characteristics, patterns of use and platform design. The most serious harms often arise not simply from being online, but from </w:t>
      </w:r>
      <w:proofErr w:type="gramStart"/>
      <w:r w:rsidRPr="00535ED1">
        <w:rPr>
          <w:rFonts w:ascii="Arial" w:hAnsi="Arial" w:cs="Arial"/>
        </w:rPr>
        <w:t>particular forms</w:t>
      </w:r>
      <w:proofErr w:type="gramEnd"/>
      <w:r w:rsidRPr="00535ED1">
        <w:rPr>
          <w:rFonts w:ascii="Arial" w:hAnsi="Arial" w:cs="Arial"/>
        </w:rPr>
        <w:t xml:space="preserve"> of immersion, such as passive scrolling, compulsive checking, social comparison and repeated exposure to emotionally intense content. For this reason, the internet is better understood as an amplifier rather than a single cause of youth distress. It can magnify insecurity, loneliness and emotional vulnerability where platforms reward visibility, comparison and constant self-monitoring. </w:t>
      </w:r>
      <w:r w:rsidR="001C65C8" w:rsidRPr="001C65C8">
        <w:rPr>
          <w:rFonts w:ascii="Arial" w:hAnsi="Arial" w:cs="Arial"/>
        </w:rPr>
        <w:t>The Organisation for Economic Co-operation and Development (OECD)</w:t>
      </w:r>
      <w:r w:rsidRPr="00535ED1">
        <w:rPr>
          <w:rFonts w:ascii="Arial" w:hAnsi="Arial" w:cs="Arial"/>
        </w:rPr>
        <w:t xml:space="preserve"> (2025) similarly argues that policy should minimise risks without cutting children off from the opportunities digital environments can also provide. This more balanced approach is useful because it avoids both alarmism and complacency.</w:t>
      </w:r>
    </w:p>
    <w:p w14:paraId="3FCDEACC" w14:textId="77777777" w:rsidR="00535ED1" w:rsidRPr="00535ED1" w:rsidRDefault="00535ED1" w:rsidP="00535ED1">
      <w:pPr>
        <w:rPr>
          <w:rFonts w:ascii="Arial" w:hAnsi="Arial" w:cs="Arial"/>
        </w:rPr>
      </w:pPr>
      <w:r w:rsidRPr="00535ED1">
        <w:rPr>
          <w:rFonts w:ascii="Arial" w:hAnsi="Arial" w:cs="Arial"/>
        </w:rPr>
        <w:t xml:space="preserve">Body image is one of the clearest examples of this amplifying effect. </w:t>
      </w:r>
      <w:proofErr w:type="spellStart"/>
      <w:r w:rsidRPr="00535ED1">
        <w:rPr>
          <w:rFonts w:ascii="Arial" w:hAnsi="Arial" w:cs="Arial"/>
        </w:rPr>
        <w:t>Vandenbosch</w:t>
      </w:r>
      <w:proofErr w:type="spellEnd"/>
      <w:r w:rsidRPr="00535ED1">
        <w:rPr>
          <w:rFonts w:ascii="Arial" w:hAnsi="Arial" w:cs="Arial"/>
        </w:rPr>
        <w:t xml:space="preserve">, </w:t>
      </w:r>
      <w:proofErr w:type="spellStart"/>
      <w:r w:rsidRPr="00535ED1">
        <w:rPr>
          <w:rFonts w:ascii="Arial" w:hAnsi="Arial" w:cs="Arial"/>
        </w:rPr>
        <w:t>Fardouly</w:t>
      </w:r>
      <w:proofErr w:type="spellEnd"/>
      <w:r w:rsidRPr="00535ED1">
        <w:rPr>
          <w:rFonts w:ascii="Arial" w:hAnsi="Arial" w:cs="Arial"/>
        </w:rPr>
        <w:t xml:space="preserve"> and Tiggemann (2022) show that visual social media platforms can be especially damaging for body image, while taking and editing selfies can reduce body satisfaction even before images are posted. The Children’s Commissioner for England (2026) adds another important layer by showing that many parts of the online environment are not built around children’s best interests. The report documents children’s exposure to appearance-changing products, body stigma and advertising that targets fragile self-esteem. This shifts the discussion in a useful direction. The problem is not only that children compare themselves with others. It is also that they are exposed to commercial systems that profit from dissatisfaction and insecurity. In that sense, digital environments do not simply reflect body anxieties; they can intensify and exploit them. This is particularly concerning because appearance pressures now reach children through recommendation systems that can repeatedly reinforce narrow ideals.</w:t>
      </w:r>
    </w:p>
    <w:p w14:paraId="59B56A5A" w14:textId="1BEE9430" w:rsidR="00535ED1" w:rsidRPr="00535ED1" w:rsidRDefault="00535ED1" w:rsidP="00535ED1">
      <w:pPr>
        <w:rPr>
          <w:rFonts w:ascii="Arial" w:hAnsi="Arial" w:cs="Arial"/>
        </w:rPr>
      </w:pPr>
      <w:r w:rsidRPr="00535ED1">
        <w:rPr>
          <w:rFonts w:ascii="Arial" w:hAnsi="Arial" w:cs="Arial"/>
        </w:rPr>
        <w:t>Another major issue is inequality. UNICEF</w:t>
      </w:r>
      <w:r w:rsidR="00EF30CE">
        <w:rPr>
          <w:rFonts w:ascii="Arial" w:hAnsi="Arial" w:cs="Arial"/>
        </w:rPr>
        <w:t xml:space="preserve"> </w:t>
      </w:r>
      <w:r w:rsidRPr="00535ED1">
        <w:rPr>
          <w:rFonts w:ascii="Arial" w:hAnsi="Arial" w:cs="Arial"/>
        </w:rPr>
        <w:t xml:space="preserve">(2025) argues that digital technologies can deepen existing inequalities when access, digital skills and protection are uneven. Ofcom (2025) also shows that not all children have the same continuity of device access or the same understanding of algorithms and online systems. This means that the digital divide is no longer only about whether a child is online or offline. It is also about the quality of access, the availability of informed adult support and whether digital participation can be turned into learning and opportunity rather than distraction and risk. A digitally connected childhood is therefore not equally beneficial for all children. Some gain tools for creativity and progress, while others experience unstable access, weaker protection and more exposure to harmful or manipulative content. Technology often reproduces wider social inequalities through new and more persuasive systems. Children who are already disadvantaged offline </w:t>
      </w:r>
      <w:r w:rsidRPr="00535ED1">
        <w:rPr>
          <w:rFonts w:ascii="Arial" w:hAnsi="Arial" w:cs="Arial"/>
        </w:rPr>
        <w:lastRenderedPageBreak/>
        <w:t>may therefore face a double burden: fewer digital opportunities and greater exposure to online risk. This is also why adult mediation remains important. Children and young people are expected to manage privacy, credibility, safety and self-presentation in digital spaces that many adults still find confusing. When support at home or school is weak, the burden of navigating risk falls too heavily on the child. A child with strong digital guidance may learn to question recommendation systems, advertising and persuasive design. A child without that support may experience the same environment as pressure, confusion or exclusion. Digital literacy therefore needs to be relational as well as technical, grounded in conversation, modelling and repeated opportunities to reflect.</w:t>
      </w:r>
    </w:p>
    <w:p w14:paraId="1FBDDB29" w14:textId="77777777" w:rsidR="00535ED1" w:rsidRPr="00535ED1" w:rsidRDefault="00535ED1" w:rsidP="00535ED1">
      <w:pPr>
        <w:rPr>
          <w:rFonts w:ascii="Arial" w:hAnsi="Arial" w:cs="Arial"/>
        </w:rPr>
      </w:pPr>
      <w:r w:rsidRPr="00535ED1">
        <w:rPr>
          <w:rFonts w:ascii="Arial" w:hAnsi="Arial" w:cs="Arial"/>
        </w:rPr>
        <w:t xml:space="preserve">Cyberbullying and online harassment show clearly how digital systems can intensify ordinary social cruelty. The Office for National Statistics (2024) estimated that 847,000 children aged 10 to 15 in England and Wales experienced an online bullying behaviour in the year ending March 2023, and more than one fifth of those affected said they were emotionally affected “a lot”. O’Reilly et al. (2021) argue that digital harms should be understood through specific mechanisms rather than broad assumptions, and cyberbullying is a clear example of this. The </w:t>
      </w:r>
      <w:proofErr w:type="gramStart"/>
      <w:r w:rsidRPr="00535ED1">
        <w:rPr>
          <w:rFonts w:ascii="Arial" w:hAnsi="Arial" w:cs="Arial"/>
        </w:rPr>
        <w:t>particular danger</w:t>
      </w:r>
      <w:proofErr w:type="gramEnd"/>
      <w:r w:rsidRPr="00535ED1">
        <w:rPr>
          <w:rFonts w:ascii="Arial" w:hAnsi="Arial" w:cs="Arial"/>
        </w:rPr>
        <w:t xml:space="preserve"> lies in persistence, scale and visibility. Harmful content can be saved, shared, revisited and circulated widely. It is therefore not just a conflict between individuals. It is also shaped by platforms that make humiliation easier to spread and harder to escape. For practitioners and educators, this means safeguarding must include not only individual support but also attention to the environments through which harm is amplified.</w:t>
      </w:r>
    </w:p>
    <w:p w14:paraId="518D6CEA" w14:textId="77777777" w:rsidR="00535ED1" w:rsidRPr="00535ED1" w:rsidRDefault="00535ED1" w:rsidP="00535ED1">
      <w:pPr>
        <w:rPr>
          <w:rFonts w:ascii="Arial" w:hAnsi="Arial" w:cs="Arial"/>
        </w:rPr>
      </w:pPr>
      <w:r w:rsidRPr="00535ED1">
        <w:rPr>
          <w:rFonts w:ascii="Arial" w:hAnsi="Arial" w:cs="Arial"/>
        </w:rPr>
        <w:t xml:space="preserve">Policy and regulation now play a more important role in this discussion. The Online Safety Act explainer states that the Act places duties on social media companies and search services to protect children and adults online and to make them more responsible for user safety (UK Government, 2025). That matters because responsibility should not rest only on families, schools or individual children. The Curriculum for Wales states that how learners engage with social influences </w:t>
      </w:r>
      <w:proofErr w:type="gramStart"/>
      <w:r w:rsidRPr="00535ED1">
        <w:rPr>
          <w:rFonts w:ascii="Arial" w:hAnsi="Arial" w:cs="Arial"/>
        </w:rPr>
        <w:t>shapes</w:t>
      </w:r>
      <w:proofErr w:type="gramEnd"/>
      <w:r w:rsidRPr="00535ED1">
        <w:rPr>
          <w:rFonts w:ascii="Arial" w:hAnsi="Arial" w:cs="Arial"/>
        </w:rPr>
        <w:t xml:space="preserve"> identity, values, behaviours and wellbeing, and that they should engage critically with those influences (Welsh Government, 2023). WHO (2025) also emphasises that adolescence is a crucial developmental stage for mental health, with depression, anxiety and behavioural disorders among the leading causes of illness and disability in this age group. Children need more than restriction. They need education, guidance and environments that are less exploitative by design. Regulation alone will not remove all harms, but it does recognise that the online world is shaped by commercial and political decisions rather than chance.</w:t>
      </w:r>
    </w:p>
    <w:p w14:paraId="39982F9D" w14:textId="77777777" w:rsidR="00535ED1" w:rsidRPr="00535ED1" w:rsidRDefault="00535ED1" w:rsidP="00535ED1">
      <w:pPr>
        <w:rPr>
          <w:rFonts w:ascii="Arial" w:hAnsi="Arial" w:cs="Arial"/>
        </w:rPr>
      </w:pPr>
      <w:r w:rsidRPr="00535ED1">
        <w:rPr>
          <w:rFonts w:ascii="Arial" w:hAnsi="Arial" w:cs="Arial"/>
        </w:rPr>
        <w:t xml:space="preserve">Overall, emergent technologies, social media and digital communities shape the lives of children and young people in ways that are complex, contradictory and unequal. They can widen access to learning, support identity exploration and provide meaningful social connection. At the same time, they can intensify surveillance, comparison, sleep disruption, cyberbullying, body dissatisfaction and commercial </w:t>
      </w:r>
      <w:r w:rsidRPr="00535ED1">
        <w:rPr>
          <w:rFonts w:ascii="Arial" w:hAnsi="Arial" w:cs="Arial"/>
        </w:rPr>
        <w:lastRenderedPageBreak/>
        <w:t>influence. The strongest conclusion is therefore not that technology is entirely positive or entirely harmful. It is that these environments have become part of the structure of childhood itself. The future of childhood will not be shaped simply by whether young people use digital technology, because that is already taken for granted. It will be shaped by who designs digital environments, whose interests they serve and whether children are treated as developing citizens or as sources of attention, data and profit. A critical perspective is therefore essential, because children do not merely use digital systems; they grow up within them.</w:t>
      </w:r>
    </w:p>
    <w:p w14:paraId="1E677560" w14:textId="77777777" w:rsidR="00535ED1" w:rsidRPr="00535ED1" w:rsidRDefault="00535ED1" w:rsidP="00535ED1">
      <w:pPr>
        <w:rPr>
          <w:rFonts w:ascii="Arial" w:hAnsi="Arial" w:cs="Arial"/>
          <w:b/>
          <w:bCs/>
        </w:rPr>
      </w:pPr>
      <w:r w:rsidRPr="00535ED1">
        <w:rPr>
          <w:rFonts w:ascii="Arial" w:hAnsi="Arial" w:cs="Arial"/>
          <w:b/>
          <w:bCs/>
        </w:rPr>
        <w:t>Reference list</w:t>
      </w:r>
    </w:p>
    <w:p w14:paraId="020EA777" w14:textId="555B7889" w:rsidR="00535ED1" w:rsidRPr="00535ED1" w:rsidRDefault="00535ED1" w:rsidP="00535ED1">
      <w:pPr>
        <w:rPr>
          <w:rFonts w:ascii="Arial" w:hAnsi="Arial" w:cs="Arial"/>
        </w:rPr>
      </w:pPr>
      <w:r w:rsidRPr="00535ED1">
        <w:rPr>
          <w:rFonts w:ascii="Arial" w:hAnsi="Arial" w:cs="Arial"/>
        </w:rPr>
        <w:t xml:space="preserve">Children’s Commissioner for England (2026) </w:t>
      </w:r>
      <w:r w:rsidRPr="00535ED1">
        <w:rPr>
          <w:rFonts w:ascii="Arial" w:hAnsi="Arial" w:cs="Arial"/>
          <w:i/>
          <w:iCs/>
        </w:rPr>
        <w:t>A healthy influence? Children’s exposure to appearance-changing products online</w:t>
      </w:r>
      <w:r w:rsidRPr="00535ED1">
        <w:rPr>
          <w:rFonts w:ascii="Arial" w:hAnsi="Arial" w:cs="Arial"/>
        </w:rPr>
        <w:t xml:space="preserve">. London: Children’s Commissioner for England. Available at: </w:t>
      </w:r>
      <w:r w:rsidRPr="006A52FE">
        <w:rPr>
          <w:rFonts w:ascii="Arial" w:hAnsi="Arial" w:cs="Arial"/>
        </w:rPr>
        <w:t>https://www.childrenscommissioner.gov.uk/resource/a-healthy-influence-childrens-exposure-to-appearance-changing-products-online/</w:t>
      </w:r>
      <w:r w:rsidRPr="00535ED1">
        <w:rPr>
          <w:rFonts w:ascii="Arial" w:hAnsi="Arial" w:cs="Arial"/>
        </w:rPr>
        <w:t xml:space="preserve"> (Accessed: </w:t>
      </w:r>
      <w:r w:rsidR="006A52FE">
        <w:rPr>
          <w:rFonts w:ascii="Arial" w:hAnsi="Arial" w:cs="Arial"/>
        </w:rPr>
        <w:t>6</w:t>
      </w:r>
      <w:r w:rsidRPr="00535ED1">
        <w:rPr>
          <w:rFonts w:ascii="Arial" w:hAnsi="Arial" w:cs="Arial"/>
        </w:rPr>
        <w:t xml:space="preserve"> March 2026).</w:t>
      </w:r>
    </w:p>
    <w:p w14:paraId="073B2D91" w14:textId="4011F34B" w:rsidR="00535ED1" w:rsidRPr="00535ED1" w:rsidRDefault="00535ED1" w:rsidP="00535ED1">
      <w:pPr>
        <w:rPr>
          <w:rFonts w:ascii="Arial" w:hAnsi="Arial" w:cs="Arial"/>
        </w:rPr>
      </w:pPr>
      <w:r w:rsidRPr="00535ED1">
        <w:rPr>
          <w:rFonts w:ascii="Arial" w:hAnsi="Arial" w:cs="Arial"/>
        </w:rPr>
        <w:t xml:space="preserve">Dray, J. and Symons, D. (2025) ‘Review of innovative mental health support for children and young people: generative AI co-design applications and challenges’, </w:t>
      </w:r>
      <w:r w:rsidRPr="00535ED1">
        <w:rPr>
          <w:rFonts w:ascii="Arial" w:hAnsi="Arial" w:cs="Arial"/>
          <w:i/>
          <w:iCs/>
        </w:rPr>
        <w:t>Current Developmental Disorders Reports</w:t>
      </w:r>
      <w:r w:rsidRPr="00535ED1">
        <w:rPr>
          <w:rFonts w:ascii="Arial" w:hAnsi="Arial" w:cs="Arial"/>
        </w:rPr>
        <w:t xml:space="preserve">, 12, article 13. Available at: </w:t>
      </w:r>
      <w:r w:rsidRPr="006A52FE">
        <w:rPr>
          <w:rFonts w:ascii="Arial" w:hAnsi="Arial" w:cs="Arial"/>
        </w:rPr>
        <w:t>https://link.springer.com/article/10.1007/s40474-025-00328-z</w:t>
      </w:r>
      <w:r w:rsidRPr="00535ED1">
        <w:rPr>
          <w:rFonts w:ascii="Arial" w:hAnsi="Arial" w:cs="Arial"/>
        </w:rPr>
        <w:t xml:space="preserve"> (Accessed: </w:t>
      </w:r>
      <w:r w:rsidR="006A52FE">
        <w:rPr>
          <w:rFonts w:ascii="Arial" w:hAnsi="Arial" w:cs="Arial"/>
        </w:rPr>
        <w:t>7</w:t>
      </w:r>
      <w:r w:rsidRPr="00535ED1">
        <w:rPr>
          <w:rFonts w:ascii="Arial" w:hAnsi="Arial" w:cs="Arial"/>
        </w:rPr>
        <w:t xml:space="preserve"> March 2026).</w:t>
      </w:r>
    </w:p>
    <w:p w14:paraId="044FC309" w14:textId="6996ABE1" w:rsidR="00535ED1" w:rsidRPr="00535ED1" w:rsidRDefault="00535ED1" w:rsidP="00535ED1">
      <w:pPr>
        <w:rPr>
          <w:rFonts w:ascii="Arial" w:hAnsi="Arial" w:cs="Arial"/>
        </w:rPr>
      </w:pPr>
      <w:r w:rsidRPr="00535ED1">
        <w:rPr>
          <w:rFonts w:ascii="Arial" w:hAnsi="Arial" w:cs="Arial"/>
        </w:rPr>
        <w:t xml:space="preserve">Fassi, L., Thomas, K., Parry, D.A., Leyland-Craggs, A., Ford, T.J. and Orben, A. (2024) ‘Social media use and internalising symptoms in clinical and community adolescent samples: a systematic review and meta-analysis’, </w:t>
      </w:r>
      <w:r w:rsidRPr="00535ED1">
        <w:rPr>
          <w:rFonts w:ascii="Arial" w:hAnsi="Arial" w:cs="Arial"/>
          <w:i/>
          <w:iCs/>
        </w:rPr>
        <w:t xml:space="preserve">JAMA </w:t>
      </w:r>
      <w:proofErr w:type="spellStart"/>
      <w:r w:rsidRPr="00535ED1">
        <w:rPr>
          <w:rFonts w:ascii="Arial" w:hAnsi="Arial" w:cs="Arial"/>
          <w:i/>
          <w:iCs/>
        </w:rPr>
        <w:t>Pediatrics</w:t>
      </w:r>
      <w:proofErr w:type="spellEnd"/>
      <w:r w:rsidRPr="00535ED1">
        <w:rPr>
          <w:rFonts w:ascii="Arial" w:hAnsi="Arial" w:cs="Arial"/>
        </w:rPr>
        <w:t xml:space="preserve">, 178(8), pp. 814–822. Available at: </w:t>
      </w:r>
      <w:r w:rsidRPr="006A52FE">
        <w:rPr>
          <w:rFonts w:ascii="Arial" w:hAnsi="Arial" w:cs="Arial"/>
        </w:rPr>
        <w:t>https://jamanetwork.com/journals/jamapediatrics/fullarticle/2819781</w:t>
      </w:r>
      <w:r w:rsidRPr="00535ED1">
        <w:rPr>
          <w:rFonts w:ascii="Arial" w:hAnsi="Arial" w:cs="Arial"/>
        </w:rPr>
        <w:t xml:space="preserve"> (Accessed: </w:t>
      </w:r>
      <w:r w:rsidR="006A52FE">
        <w:rPr>
          <w:rFonts w:ascii="Arial" w:hAnsi="Arial" w:cs="Arial"/>
        </w:rPr>
        <w:t>3</w:t>
      </w:r>
      <w:r w:rsidRPr="00535ED1">
        <w:rPr>
          <w:rFonts w:ascii="Arial" w:hAnsi="Arial" w:cs="Arial"/>
        </w:rPr>
        <w:t xml:space="preserve"> March 2026).</w:t>
      </w:r>
    </w:p>
    <w:p w14:paraId="02F9F2F3" w14:textId="64F51633" w:rsidR="00535ED1" w:rsidRPr="00535ED1" w:rsidRDefault="00535ED1" w:rsidP="00535ED1">
      <w:pPr>
        <w:rPr>
          <w:rFonts w:ascii="Arial" w:hAnsi="Arial" w:cs="Arial"/>
        </w:rPr>
      </w:pPr>
      <w:r w:rsidRPr="00535ED1">
        <w:rPr>
          <w:rFonts w:ascii="Arial" w:hAnsi="Arial" w:cs="Arial"/>
        </w:rPr>
        <w:t>Green, L., Holloway, D., Stevenson, K., Leaver, T. and Haddon, L.</w:t>
      </w:r>
      <w:r w:rsidR="002B75B4">
        <w:rPr>
          <w:rFonts w:ascii="Arial" w:hAnsi="Arial" w:cs="Arial"/>
        </w:rPr>
        <w:t xml:space="preserve"> </w:t>
      </w:r>
      <w:r w:rsidRPr="00535ED1">
        <w:rPr>
          <w:rFonts w:ascii="Arial" w:hAnsi="Arial" w:cs="Arial"/>
        </w:rPr>
        <w:t xml:space="preserve">(2020) </w:t>
      </w:r>
      <w:r w:rsidRPr="00535ED1">
        <w:rPr>
          <w:rFonts w:ascii="Arial" w:hAnsi="Arial" w:cs="Arial"/>
          <w:i/>
          <w:iCs/>
        </w:rPr>
        <w:t>The Routledge Companion to Digital Media and Children</w:t>
      </w:r>
      <w:r w:rsidRPr="00535ED1">
        <w:rPr>
          <w:rFonts w:ascii="Arial" w:hAnsi="Arial" w:cs="Arial"/>
        </w:rPr>
        <w:t xml:space="preserve">. Abingdon: Routledge. Available at: </w:t>
      </w:r>
      <w:r w:rsidRPr="006A52FE">
        <w:rPr>
          <w:rFonts w:ascii="Arial" w:hAnsi="Arial" w:cs="Arial"/>
        </w:rPr>
        <w:t>https://www.routledge.com/The-Routledge-Companion-to-Digital-Media-and-Children/Green-Holloway-Stevenson-Leaver-Haddon/p/book/9780367559069</w:t>
      </w:r>
      <w:r w:rsidRPr="00535ED1">
        <w:rPr>
          <w:rFonts w:ascii="Arial" w:hAnsi="Arial" w:cs="Arial"/>
        </w:rPr>
        <w:t xml:space="preserve"> (Accessed: </w:t>
      </w:r>
      <w:r w:rsidR="006A52FE">
        <w:rPr>
          <w:rFonts w:ascii="Arial" w:hAnsi="Arial" w:cs="Arial"/>
        </w:rPr>
        <w:t>1</w:t>
      </w:r>
      <w:r w:rsidRPr="00535ED1">
        <w:rPr>
          <w:rFonts w:ascii="Arial" w:hAnsi="Arial" w:cs="Arial"/>
        </w:rPr>
        <w:t xml:space="preserve"> March 2026).</w:t>
      </w:r>
    </w:p>
    <w:p w14:paraId="49EA11D2" w14:textId="15DC8979" w:rsidR="00535ED1" w:rsidRPr="00535ED1" w:rsidRDefault="00535ED1" w:rsidP="00535ED1">
      <w:pPr>
        <w:rPr>
          <w:rFonts w:ascii="Arial" w:hAnsi="Arial" w:cs="Arial"/>
        </w:rPr>
      </w:pPr>
      <w:r w:rsidRPr="00535ED1">
        <w:rPr>
          <w:rFonts w:ascii="Arial" w:hAnsi="Arial" w:cs="Arial"/>
        </w:rPr>
        <w:t xml:space="preserve">Han, X., Zhou, E. and Liu, D. (2024) ‘Electronic media use and sleep quality: updated systematic review and meta-analysis’, </w:t>
      </w:r>
      <w:r w:rsidRPr="00535ED1">
        <w:rPr>
          <w:rFonts w:ascii="Arial" w:hAnsi="Arial" w:cs="Arial"/>
          <w:i/>
          <w:iCs/>
        </w:rPr>
        <w:t>Journal of Medical Internet Research</w:t>
      </w:r>
      <w:r w:rsidRPr="00535ED1">
        <w:rPr>
          <w:rFonts w:ascii="Arial" w:hAnsi="Arial" w:cs="Arial"/>
        </w:rPr>
        <w:t xml:space="preserve">, 26, e48356. Available at: </w:t>
      </w:r>
      <w:r w:rsidRPr="006A52FE">
        <w:rPr>
          <w:rFonts w:ascii="Arial" w:hAnsi="Arial" w:cs="Arial"/>
        </w:rPr>
        <w:t>https://www.jmir.org/2024/1/e48356/</w:t>
      </w:r>
      <w:r w:rsidRPr="00535ED1">
        <w:rPr>
          <w:rFonts w:ascii="Arial" w:hAnsi="Arial" w:cs="Arial"/>
        </w:rPr>
        <w:t xml:space="preserve"> (Accessed: </w:t>
      </w:r>
      <w:r w:rsidR="006A52FE">
        <w:rPr>
          <w:rFonts w:ascii="Arial" w:hAnsi="Arial" w:cs="Arial"/>
        </w:rPr>
        <w:t>2</w:t>
      </w:r>
      <w:r w:rsidRPr="00535ED1">
        <w:rPr>
          <w:rFonts w:ascii="Arial" w:hAnsi="Arial" w:cs="Arial"/>
        </w:rPr>
        <w:t xml:space="preserve"> March 2026).</w:t>
      </w:r>
    </w:p>
    <w:p w14:paraId="33BA8B69" w14:textId="182F8DF2" w:rsidR="00535ED1" w:rsidRPr="00535ED1" w:rsidRDefault="00535ED1" w:rsidP="00535ED1">
      <w:pPr>
        <w:rPr>
          <w:rFonts w:ascii="Arial" w:hAnsi="Arial" w:cs="Arial"/>
        </w:rPr>
      </w:pPr>
      <w:r w:rsidRPr="00535ED1">
        <w:rPr>
          <w:rFonts w:ascii="Arial" w:hAnsi="Arial" w:cs="Arial"/>
        </w:rPr>
        <w:t xml:space="preserve">Klarin, J., Hoff, E., Larsson, A. and </w:t>
      </w:r>
      <w:proofErr w:type="spellStart"/>
      <w:r w:rsidRPr="00535ED1">
        <w:rPr>
          <w:rFonts w:ascii="Arial" w:hAnsi="Arial" w:cs="Arial"/>
        </w:rPr>
        <w:t>Daukantaitė</w:t>
      </w:r>
      <w:proofErr w:type="spellEnd"/>
      <w:r w:rsidRPr="00535ED1">
        <w:rPr>
          <w:rFonts w:ascii="Arial" w:hAnsi="Arial" w:cs="Arial"/>
        </w:rPr>
        <w:t xml:space="preserve">, D. (2024) ‘Adolescents’ use and perceived usefulness of generative AI for schoolwork: exploring their relationships with executive functioning and academic achievement’, </w:t>
      </w:r>
      <w:r w:rsidRPr="00535ED1">
        <w:rPr>
          <w:rFonts w:ascii="Arial" w:hAnsi="Arial" w:cs="Arial"/>
          <w:i/>
          <w:iCs/>
        </w:rPr>
        <w:t>Frontiers in Artificial Intelligence</w:t>
      </w:r>
      <w:r w:rsidRPr="00535ED1">
        <w:rPr>
          <w:rFonts w:ascii="Arial" w:hAnsi="Arial" w:cs="Arial"/>
        </w:rPr>
        <w:t xml:space="preserve">, 7, 1415782. Available at: </w:t>
      </w:r>
      <w:r w:rsidRPr="006A52FE">
        <w:rPr>
          <w:rFonts w:ascii="Arial" w:hAnsi="Arial" w:cs="Arial"/>
        </w:rPr>
        <w:t>https://www.frontiersin.org/journals/artificial-intelligence/articles/10.3389/frai.2024.1415782/full</w:t>
      </w:r>
      <w:r w:rsidRPr="00535ED1">
        <w:rPr>
          <w:rFonts w:ascii="Arial" w:hAnsi="Arial" w:cs="Arial"/>
        </w:rPr>
        <w:t xml:space="preserve"> (Accessed: </w:t>
      </w:r>
      <w:r w:rsidR="006A52FE">
        <w:rPr>
          <w:rFonts w:ascii="Arial" w:hAnsi="Arial" w:cs="Arial"/>
        </w:rPr>
        <w:t>2</w:t>
      </w:r>
      <w:r w:rsidRPr="00535ED1">
        <w:rPr>
          <w:rFonts w:ascii="Arial" w:hAnsi="Arial" w:cs="Arial"/>
        </w:rPr>
        <w:t xml:space="preserve"> March 2026).</w:t>
      </w:r>
    </w:p>
    <w:p w14:paraId="16830C72" w14:textId="284D3EBC" w:rsidR="00535ED1" w:rsidRPr="00535ED1" w:rsidRDefault="00535ED1" w:rsidP="00535ED1">
      <w:pPr>
        <w:rPr>
          <w:rFonts w:ascii="Arial" w:hAnsi="Arial" w:cs="Arial"/>
        </w:rPr>
      </w:pPr>
      <w:r w:rsidRPr="00535ED1">
        <w:rPr>
          <w:rFonts w:ascii="Arial" w:hAnsi="Arial" w:cs="Arial"/>
        </w:rPr>
        <w:lastRenderedPageBreak/>
        <w:t xml:space="preserve">Nagata, J.M., Huang, O., Hur, J.O., Li, E.J., Helmer, C.K., Weinstein, E. and Moreno, M.A. (2025) ‘Health benefits of social media use in adolescents and young adults’, </w:t>
      </w:r>
      <w:r w:rsidRPr="00535ED1">
        <w:rPr>
          <w:rFonts w:ascii="Arial" w:hAnsi="Arial" w:cs="Arial"/>
          <w:i/>
          <w:iCs/>
        </w:rPr>
        <w:t xml:space="preserve">Current </w:t>
      </w:r>
      <w:proofErr w:type="spellStart"/>
      <w:r w:rsidRPr="00535ED1">
        <w:rPr>
          <w:rFonts w:ascii="Arial" w:hAnsi="Arial" w:cs="Arial"/>
          <w:i/>
          <w:iCs/>
        </w:rPr>
        <w:t>Pediatrics</w:t>
      </w:r>
      <w:proofErr w:type="spellEnd"/>
      <w:r w:rsidRPr="00535ED1">
        <w:rPr>
          <w:rFonts w:ascii="Arial" w:hAnsi="Arial" w:cs="Arial"/>
          <w:i/>
          <w:iCs/>
        </w:rPr>
        <w:t xml:space="preserve"> Reports</w:t>
      </w:r>
      <w:r w:rsidRPr="00535ED1">
        <w:rPr>
          <w:rFonts w:ascii="Arial" w:hAnsi="Arial" w:cs="Arial"/>
        </w:rPr>
        <w:t xml:space="preserve">, 13(1), article 22. Available at: </w:t>
      </w:r>
      <w:r w:rsidRPr="006A52FE">
        <w:rPr>
          <w:rFonts w:ascii="Arial" w:hAnsi="Arial" w:cs="Arial"/>
        </w:rPr>
        <w:t>https://link.springer.com/article/10.1007/s40124-025-00357-7</w:t>
      </w:r>
      <w:r w:rsidRPr="00535ED1">
        <w:rPr>
          <w:rFonts w:ascii="Arial" w:hAnsi="Arial" w:cs="Arial"/>
        </w:rPr>
        <w:t xml:space="preserve"> (Accessed: </w:t>
      </w:r>
      <w:r w:rsidR="006A52FE">
        <w:rPr>
          <w:rFonts w:ascii="Arial" w:hAnsi="Arial" w:cs="Arial"/>
        </w:rPr>
        <w:t>5</w:t>
      </w:r>
      <w:r w:rsidRPr="00535ED1">
        <w:rPr>
          <w:rFonts w:ascii="Arial" w:hAnsi="Arial" w:cs="Arial"/>
        </w:rPr>
        <w:t xml:space="preserve"> March 2026).</w:t>
      </w:r>
    </w:p>
    <w:p w14:paraId="3C8127F6" w14:textId="7D48AE68" w:rsidR="00535ED1" w:rsidRPr="00535ED1" w:rsidRDefault="00535ED1" w:rsidP="00535ED1">
      <w:pPr>
        <w:rPr>
          <w:rFonts w:ascii="Arial" w:hAnsi="Arial" w:cs="Arial"/>
        </w:rPr>
      </w:pPr>
      <w:r w:rsidRPr="00535ED1">
        <w:rPr>
          <w:rFonts w:ascii="Arial" w:hAnsi="Arial" w:cs="Arial"/>
        </w:rPr>
        <w:t xml:space="preserve">Nesi, J., </w:t>
      </w:r>
      <w:proofErr w:type="spellStart"/>
      <w:r w:rsidRPr="00535ED1">
        <w:rPr>
          <w:rFonts w:ascii="Arial" w:hAnsi="Arial" w:cs="Arial"/>
        </w:rPr>
        <w:t>Telzer</w:t>
      </w:r>
      <w:proofErr w:type="spellEnd"/>
      <w:r w:rsidRPr="00535ED1">
        <w:rPr>
          <w:rFonts w:ascii="Arial" w:hAnsi="Arial" w:cs="Arial"/>
        </w:rPr>
        <w:t xml:space="preserve">, E.H. and </w:t>
      </w:r>
      <w:proofErr w:type="spellStart"/>
      <w:r w:rsidRPr="00535ED1">
        <w:rPr>
          <w:rFonts w:ascii="Arial" w:hAnsi="Arial" w:cs="Arial"/>
        </w:rPr>
        <w:t>Prinstein</w:t>
      </w:r>
      <w:proofErr w:type="spellEnd"/>
      <w:r w:rsidRPr="00535ED1">
        <w:rPr>
          <w:rFonts w:ascii="Arial" w:hAnsi="Arial" w:cs="Arial"/>
        </w:rPr>
        <w:t xml:space="preserve">, M.J. (eds.) (2022) </w:t>
      </w:r>
      <w:r w:rsidRPr="00535ED1">
        <w:rPr>
          <w:rFonts w:ascii="Arial" w:hAnsi="Arial" w:cs="Arial"/>
          <w:i/>
          <w:iCs/>
        </w:rPr>
        <w:t>Handbook of Adolescent Digital Media Use and Mental Health</w:t>
      </w:r>
      <w:r w:rsidRPr="00535ED1">
        <w:rPr>
          <w:rFonts w:ascii="Arial" w:hAnsi="Arial" w:cs="Arial"/>
        </w:rPr>
        <w:t xml:space="preserve">. Cambridge: Cambridge University Press. Available at: </w:t>
      </w:r>
      <w:r w:rsidR="002B75B4" w:rsidRPr="002B75B4">
        <w:rPr>
          <w:rFonts w:ascii="Arial" w:hAnsi="Arial" w:cs="Arial"/>
        </w:rPr>
        <w:t>https://www.cambridge.org/core/services/aop-cambridge-core/content/view/91853243C8B7900B46EA26C3570577B2/9781108838726AR.pdf/Handbook_of_Adolescent_Digital_Media_Use_and_Mental_Health.pdf?event-type=FTLA</w:t>
      </w:r>
      <w:r w:rsidR="002B75B4" w:rsidRPr="002B75B4">
        <w:rPr>
          <w:rFonts w:ascii="Arial" w:hAnsi="Arial" w:cs="Arial"/>
        </w:rPr>
        <w:t xml:space="preserve"> </w:t>
      </w:r>
      <w:r w:rsidRPr="00535ED1">
        <w:rPr>
          <w:rFonts w:ascii="Arial" w:hAnsi="Arial" w:cs="Arial"/>
        </w:rPr>
        <w:t xml:space="preserve">(Accessed: </w:t>
      </w:r>
      <w:r w:rsidR="006A52FE">
        <w:rPr>
          <w:rFonts w:ascii="Arial" w:hAnsi="Arial" w:cs="Arial"/>
        </w:rPr>
        <w:t>6</w:t>
      </w:r>
      <w:r w:rsidRPr="00535ED1">
        <w:rPr>
          <w:rFonts w:ascii="Arial" w:hAnsi="Arial" w:cs="Arial"/>
        </w:rPr>
        <w:t xml:space="preserve"> March 2026).</w:t>
      </w:r>
    </w:p>
    <w:p w14:paraId="41E6EB33" w14:textId="4DB9D94A" w:rsidR="00535ED1" w:rsidRPr="00535ED1" w:rsidRDefault="001C65C8" w:rsidP="00535ED1">
      <w:pPr>
        <w:rPr>
          <w:rFonts w:ascii="Arial" w:hAnsi="Arial" w:cs="Arial"/>
        </w:rPr>
      </w:pPr>
      <w:r w:rsidRPr="001C65C8">
        <w:rPr>
          <w:rFonts w:ascii="Arial" w:hAnsi="Arial" w:cs="Arial"/>
        </w:rPr>
        <w:t>The Organisation for Economic Co-operation and Development (OECD)</w:t>
      </w:r>
      <w:r w:rsidR="00535ED1" w:rsidRPr="00535ED1">
        <w:rPr>
          <w:rFonts w:ascii="Arial" w:hAnsi="Arial" w:cs="Arial"/>
        </w:rPr>
        <w:t xml:space="preserve"> (2025) </w:t>
      </w:r>
      <w:r w:rsidR="00535ED1" w:rsidRPr="00535ED1">
        <w:rPr>
          <w:rFonts w:ascii="Arial" w:hAnsi="Arial" w:cs="Arial"/>
          <w:i/>
          <w:iCs/>
        </w:rPr>
        <w:t>How’s life for children in the digital age?</w:t>
      </w:r>
      <w:r w:rsidR="00535ED1" w:rsidRPr="00535ED1">
        <w:rPr>
          <w:rFonts w:ascii="Arial" w:hAnsi="Arial" w:cs="Arial"/>
        </w:rPr>
        <w:t xml:space="preserve"> Paris: OECD Publishing. Available at: </w:t>
      </w:r>
      <w:r w:rsidR="00535ED1" w:rsidRPr="006A52FE">
        <w:rPr>
          <w:rFonts w:ascii="Arial" w:hAnsi="Arial" w:cs="Arial"/>
        </w:rPr>
        <w:t>https://www.oecd.org/en/publications/2025/05/how-s-life-for-children-in-the-digital-age_c4a22655.html</w:t>
      </w:r>
      <w:r w:rsidR="00535ED1" w:rsidRPr="00535ED1">
        <w:rPr>
          <w:rFonts w:ascii="Arial" w:hAnsi="Arial" w:cs="Arial"/>
        </w:rPr>
        <w:t xml:space="preserve"> (Accessed: </w:t>
      </w:r>
      <w:r w:rsidR="006A52FE">
        <w:rPr>
          <w:rFonts w:ascii="Arial" w:hAnsi="Arial" w:cs="Arial"/>
        </w:rPr>
        <w:t>5</w:t>
      </w:r>
      <w:r w:rsidR="00535ED1" w:rsidRPr="00535ED1">
        <w:rPr>
          <w:rFonts w:ascii="Arial" w:hAnsi="Arial" w:cs="Arial"/>
        </w:rPr>
        <w:t xml:space="preserve"> March 2026).</w:t>
      </w:r>
    </w:p>
    <w:p w14:paraId="52D9CD68" w14:textId="7A9A77B2" w:rsidR="00535ED1" w:rsidRPr="00535ED1" w:rsidRDefault="00535ED1" w:rsidP="00535ED1">
      <w:pPr>
        <w:rPr>
          <w:rFonts w:ascii="Arial" w:hAnsi="Arial" w:cs="Arial"/>
        </w:rPr>
      </w:pPr>
      <w:r w:rsidRPr="00535ED1">
        <w:rPr>
          <w:rFonts w:ascii="Arial" w:hAnsi="Arial" w:cs="Arial"/>
        </w:rPr>
        <w:t xml:space="preserve">Office for National Statistics (2024) </w:t>
      </w:r>
      <w:r w:rsidRPr="00535ED1">
        <w:rPr>
          <w:rFonts w:ascii="Arial" w:hAnsi="Arial" w:cs="Arial"/>
          <w:i/>
          <w:iCs/>
        </w:rPr>
        <w:t>Bullying and online experiences among children in England and Wales: year ending March 2023</w:t>
      </w:r>
      <w:r w:rsidRPr="00535ED1">
        <w:rPr>
          <w:rFonts w:ascii="Arial" w:hAnsi="Arial" w:cs="Arial"/>
        </w:rPr>
        <w:t xml:space="preserve">. Newport: Office for National Statistics. Available at: </w:t>
      </w:r>
      <w:r w:rsidRPr="006A52FE">
        <w:rPr>
          <w:rFonts w:ascii="Arial" w:hAnsi="Arial" w:cs="Arial"/>
        </w:rPr>
        <w:t>https://www.ons.gov.uk/peoplepopulationandcommunity/crimeandjustice/bulletins/bullyingandonlineexperiencesamongchildreninenglandandwales/yearendingmarch2023</w:t>
      </w:r>
      <w:r w:rsidRPr="00535ED1">
        <w:rPr>
          <w:rFonts w:ascii="Arial" w:hAnsi="Arial" w:cs="Arial"/>
        </w:rPr>
        <w:t xml:space="preserve"> (Accessed: </w:t>
      </w:r>
      <w:r w:rsidR="006A52FE">
        <w:rPr>
          <w:rFonts w:ascii="Arial" w:hAnsi="Arial" w:cs="Arial"/>
        </w:rPr>
        <w:t>6</w:t>
      </w:r>
      <w:r w:rsidRPr="00535ED1">
        <w:rPr>
          <w:rFonts w:ascii="Arial" w:hAnsi="Arial" w:cs="Arial"/>
        </w:rPr>
        <w:t xml:space="preserve"> March 2026).</w:t>
      </w:r>
    </w:p>
    <w:p w14:paraId="08A9EC5F" w14:textId="5BC31F7D" w:rsidR="00535ED1" w:rsidRPr="00535ED1" w:rsidRDefault="00535ED1" w:rsidP="00535ED1">
      <w:pPr>
        <w:rPr>
          <w:rFonts w:ascii="Arial" w:hAnsi="Arial" w:cs="Arial"/>
        </w:rPr>
      </w:pPr>
      <w:r w:rsidRPr="00535ED1">
        <w:rPr>
          <w:rFonts w:ascii="Arial" w:hAnsi="Arial" w:cs="Arial"/>
        </w:rPr>
        <w:t xml:space="preserve">Ofcom (2025) </w:t>
      </w:r>
      <w:r w:rsidRPr="00535ED1">
        <w:rPr>
          <w:rFonts w:ascii="Arial" w:hAnsi="Arial" w:cs="Arial"/>
          <w:i/>
          <w:iCs/>
        </w:rPr>
        <w:t>Children and parents: media use and attitudes report 2025</w:t>
      </w:r>
      <w:r w:rsidRPr="00535ED1">
        <w:rPr>
          <w:rFonts w:ascii="Arial" w:hAnsi="Arial" w:cs="Arial"/>
        </w:rPr>
        <w:t xml:space="preserve">. London: Ofcom. Available at: </w:t>
      </w:r>
      <w:r w:rsidR="002B75B4" w:rsidRPr="002B75B4">
        <w:rPr>
          <w:rFonts w:ascii="Arial" w:hAnsi="Arial" w:cs="Arial"/>
        </w:rPr>
        <w:t>https://www.ofcom.org.uk/siteassets/resources/documents/research-and-data/media-literacy-research/children/childrens-media-use-and-attitudes-report-2025/childrens-media-literacy-report-2025.pdf?v=396621</w:t>
      </w:r>
      <w:r w:rsidR="002B75B4" w:rsidRPr="002B75B4">
        <w:rPr>
          <w:rFonts w:ascii="Arial" w:hAnsi="Arial" w:cs="Arial"/>
        </w:rPr>
        <w:t xml:space="preserve"> </w:t>
      </w:r>
      <w:r w:rsidRPr="00535ED1">
        <w:rPr>
          <w:rFonts w:ascii="Arial" w:hAnsi="Arial" w:cs="Arial"/>
        </w:rPr>
        <w:t xml:space="preserve">(Accessed: </w:t>
      </w:r>
      <w:r w:rsidR="006A52FE">
        <w:rPr>
          <w:rFonts w:ascii="Arial" w:hAnsi="Arial" w:cs="Arial"/>
        </w:rPr>
        <w:t>6</w:t>
      </w:r>
      <w:r w:rsidRPr="00535ED1">
        <w:rPr>
          <w:rFonts w:ascii="Arial" w:hAnsi="Arial" w:cs="Arial"/>
        </w:rPr>
        <w:t xml:space="preserve"> March 2026).</w:t>
      </w:r>
    </w:p>
    <w:p w14:paraId="79DDA6F7" w14:textId="64E2D175" w:rsidR="00535ED1" w:rsidRPr="00535ED1" w:rsidRDefault="00535ED1" w:rsidP="00535ED1">
      <w:pPr>
        <w:rPr>
          <w:rFonts w:ascii="Arial" w:hAnsi="Arial" w:cs="Arial"/>
        </w:rPr>
      </w:pPr>
      <w:r w:rsidRPr="00535ED1">
        <w:rPr>
          <w:rFonts w:ascii="Arial" w:hAnsi="Arial" w:cs="Arial"/>
        </w:rPr>
        <w:t xml:space="preserve">O’Reilly, M., Dogra, N., Levine, D. and Donoso, V. (2021) </w:t>
      </w:r>
      <w:r w:rsidRPr="00535ED1">
        <w:rPr>
          <w:rFonts w:ascii="Arial" w:hAnsi="Arial" w:cs="Arial"/>
          <w:i/>
          <w:iCs/>
        </w:rPr>
        <w:t>Digital Media and Child and Adolescent Mental Health: A Practical Guide to Understanding the Evidence</w:t>
      </w:r>
      <w:r w:rsidRPr="00535ED1">
        <w:rPr>
          <w:rFonts w:ascii="Arial" w:hAnsi="Arial" w:cs="Arial"/>
        </w:rPr>
        <w:t xml:space="preserve">. London: SAGE. </w:t>
      </w:r>
    </w:p>
    <w:p w14:paraId="475B433F" w14:textId="6C8A64FF" w:rsidR="00535ED1" w:rsidRPr="00535ED1" w:rsidRDefault="00535ED1" w:rsidP="00535ED1">
      <w:pPr>
        <w:rPr>
          <w:rFonts w:ascii="Arial" w:hAnsi="Arial" w:cs="Arial"/>
        </w:rPr>
      </w:pPr>
      <w:r w:rsidRPr="00535ED1">
        <w:rPr>
          <w:rFonts w:ascii="Arial" w:hAnsi="Arial" w:cs="Arial"/>
        </w:rPr>
        <w:t xml:space="preserve">Phippen, A. and Street, L. (2022) </w:t>
      </w:r>
      <w:r w:rsidRPr="00535ED1">
        <w:rPr>
          <w:rFonts w:ascii="Arial" w:hAnsi="Arial" w:cs="Arial"/>
          <w:i/>
          <w:iCs/>
        </w:rPr>
        <w:t>Online Resilience and Wellbeing in Young People: Representing the Youth Voice</w:t>
      </w:r>
      <w:r w:rsidRPr="00535ED1">
        <w:rPr>
          <w:rFonts w:ascii="Arial" w:hAnsi="Arial" w:cs="Arial"/>
        </w:rPr>
        <w:t>. Cham: Palgrave Macmillan.</w:t>
      </w:r>
    </w:p>
    <w:p w14:paraId="132FA8EC" w14:textId="3060E0D0" w:rsidR="00535ED1" w:rsidRPr="00535ED1" w:rsidRDefault="00535ED1" w:rsidP="00535ED1">
      <w:pPr>
        <w:rPr>
          <w:rFonts w:ascii="Arial" w:hAnsi="Arial" w:cs="Arial"/>
        </w:rPr>
      </w:pPr>
      <w:r w:rsidRPr="00535ED1">
        <w:rPr>
          <w:rFonts w:ascii="Arial" w:hAnsi="Arial" w:cs="Arial"/>
        </w:rPr>
        <w:t xml:space="preserve">Sala, A., Porcaro, L. and Gómez, E. (2024) ‘Social media use and adolescents’ mental health and well-being: an umbrella review’, </w:t>
      </w:r>
      <w:r w:rsidRPr="00535ED1">
        <w:rPr>
          <w:rFonts w:ascii="Arial" w:hAnsi="Arial" w:cs="Arial"/>
          <w:i/>
          <w:iCs/>
        </w:rPr>
        <w:t xml:space="preserve">Computers in Human </w:t>
      </w:r>
      <w:proofErr w:type="spellStart"/>
      <w:r w:rsidRPr="00535ED1">
        <w:rPr>
          <w:rFonts w:ascii="Arial" w:hAnsi="Arial" w:cs="Arial"/>
          <w:i/>
          <w:iCs/>
        </w:rPr>
        <w:t>Behavior</w:t>
      </w:r>
      <w:proofErr w:type="spellEnd"/>
      <w:r w:rsidRPr="00535ED1">
        <w:rPr>
          <w:rFonts w:ascii="Arial" w:hAnsi="Arial" w:cs="Arial"/>
          <w:i/>
          <w:iCs/>
        </w:rPr>
        <w:t xml:space="preserve"> Reports</w:t>
      </w:r>
      <w:r w:rsidRPr="00535ED1">
        <w:rPr>
          <w:rFonts w:ascii="Arial" w:hAnsi="Arial" w:cs="Arial"/>
        </w:rPr>
        <w:t xml:space="preserve">, 14, 100404. Available at: </w:t>
      </w:r>
      <w:r w:rsidRPr="006A52FE">
        <w:rPr>
          <w:rFonts w:ascii="Arial" w:hAnsi="Arial" w:cs="Arial"/>
        </w:rPr>
        <w:t>https://www.sciencedirect.com/science/article/pii/S245195882400037X</w:t>
      </w:r>
      <w:r w:rsidRPr="00535ED1">
        <w:rPr>
          <w:rFonts w:ascii="Arial" w:hAnsi="Arial" w:cs="Arial"/>
        </w:rPr>
        <w:t xml:space="preserve"> (Accessed: </w:t>
      </w:r>
      <w:r w:rsidR="006A52FE">
        <w:rPr>
          <w:rFonts w:ascii="Arial" w:hAnsi="Arial" w:cs="Arial"/>
        </w:rPr>
        <w:t>9</w:t>
      </w:r>
      <w:r w:rsidRPr="00535ED1">
        <w:rPr>
          <w:rFonts w:ascii="Arial" w:hAnsi="Arial" w:cs="Arial"/>
        </w:rPr>
        <w:t xml:space="preserve"> March 2026).</w:t>
      </w:r>
    </w:p>
    <w:p w14:paraId="267021D4" w14:textId="79D57898" w:rsidR="00535ED1" w:rsidRPr="00535ED1" w:rsidRDefault="00535ED1" w:rsidP="00535ED1">
      <w:pPr>
        <w:rPr>
          <w:rFonts w:ascii="Arial" w:hAnsi="Arial" w:cs="Arial"/>
        </w:rPr>
      </w:pPr>
      <w:r w:rsidRPr="00535ED1">
        <w:rPr>
          <w:rFonts w:ascii="Arial" w:hAnsi="Arial" w:cs="Arial"/>
        </w:rPr>
        <w:t xml:space="preserve">Trezise, B. (2023) </w:t>
      </w:r>
      <w:r w:rsidRPr="00535ED1">
        <w:rPr>
          <w:rFonts w:ascii="Arial" w:hAnsi="Arial" w:cs="Arial"/>
          <w:i/>
          <w:iCs/>
        </w:rPr>
        <w:t>Performing Contemporary Childhoods: Being and Becoming a Viral Child</w:t>
      </w:r>
      <w:r w:rsidRPr="00535ED1">
        <w:rPr>
          <w:rFonts w:ascii="Arial" w:hAnsi="Arial" w:cs="Arial"/>
        </w:rPr>
        <w:t>.</w:t>
      </w:r>
      <w:r w:rsidR="002B75B4">
        <w:rPr>
          <w:rFonts w:ascii="Arial" w:hAnsi="Arial" w:cs="Arial"/>
        </w:rPr>
        <w:t xml:space="preserve"> 1</w:t>
      </w:r>
      <w:r w:rsidR="002B75B4" w:rsidRPr="002B75B4">
        <w:rPr>
          <w:rFonts w:ascii="Arial" w:hAnsi="Arial" w:cs="Arial"/>
          <w:vertAlign w:val="superscript"/>
        </w:rPr>
        <w:t>st</w:t>
      </w:r>
      <w:r w:rsidR="002B75B4">
        <w:rPr>
          <w:rFonts w:ascii="Arial" w:hAnsi="Arial" w:cs="Arial"/>
        </w:rPr>
        <w:t xml:space="preserve"> </w:t>
      </w:r>
      <w:proofErr w:type="spellStart"/>
      <w:r w:rsidR="002B75B4">
        <w:rPr>
          <w:rFonts w:ascii="Arial" w:hAnsi="Arial" w:cs="Arial"/>
        </w:rPr>
        <w:t>edn</w:t>
      </w:r>
      <w:proofErr w:type="spellEnd"/>
      <w:r w:rsidR="002B75B4">
        <w:rPr>
          <w:rFonts w:ascii="Arial" w:hAnsi="Arial" w:cs="Arial"/>
        </w:rPr>
        <w:t xml:space="preserve">. </w:t>
      </w:r>
      <w:r w:rsidRPr="00535ED1">
        <w:rPr>
          <w:rFonts w:ascii="Arial" w:hAnsi="Arial" w:cs="Arial"/>
        </w:rPr>
        <w:t xml:space="preserve"> Abingdon: Routledge. </w:t>
      </w:r>
    </w:p>
    <w:p w14:paraId="36CE8F6B" w14:textId="0CE1D1A3" w:rsidR="00535ED1" w:rsidRPr="00535ED1" w:rsidRDefault="00535ED1" w:rsidP="00535ED1">
      <w:pPr>
        <w:rPr>
          <w:rFonts w:ascii="Arial" w:hAnsi="Arial" w:cs="Arial"/>
        </w:rPr>
      </w:pPr>
      <w:r w:rsidRPr="00535ED1">
        <w:rPr>
          <w:rFonts w:ascii="Arial" w:hAnsi="Arial" w:cs="Arial"/>
        </w:rPr>
        <w:lastRenderedPageBreak/>
        <w:t xml:space="preserve">UK Government (2025) </w:t>
      </w:r>
      <w:r w:rsidRPr="00535ED1">
        <w:rPr>
          <w:rFonts w:ascii="Arial" w:hAnsi="Arial" w:cs="Arial"/>
          <w:i/>
          <w:iCs/>
        </w:rPr>
        <w:t>Online Safety Act: explainer</w:t>
      </w:r>
      <w:r w:rsidRPr="00535ED1">
        <w:rPr>
          <w:rFonts w:ascii="Arial" w:hAnsi="Arial" w:cs="Arial"/>
        </w:rPr>
        <w:t xml:space="preserve">. London: Department for Science, Innovation and Technology. Available at: </w:t>
      </w:r>
      <w:r w:rsidRPr="006A52FE">
        <w:rPr>
          <w:rFonts w:ascii="Arial" w:hAnsi="Arial" w:cs="Arial"/>
        </w:rPr>
        <w:t>https://www.gov.uk/government/publications/online-safety-act-explainer/online-safety-act-explainer</w:t>
      </w:r>
      <w:r w:rsidRPr="00535ED1">
        <w:rPr>
          <w:rFonts w:ascii="Arial" w:hAnsi="Arial" w:cs="Arial"/>
        </w:rPr>
        <w:t xml:space="preserve"> (Accessed: </w:t>
      </w:r>
      <w:r w:rsidR="006A52FE">
        <w:rPr>
          <w:rFonts w:ascii="Arial" w:hAnsi="Arial" w:cs="Arial"/>
        </w:rPr>
        <w:t>6</w:t>
      </w:r>
      <w:r w:rsidRPr="00535ED1">
        <w:rPr>
          <w:rFonts w:ascii="Arial" w:hAnsi="Arial" w:cs="Arial"/>
        </w:rPr>
        <w:t>March 2026).</w:t>
      </w:r>
    </w:p>
    <w:p w14:paraId="2D60C7B3" w14:textId="24676DE9" w:rsidR="00535ED1" w:rsidRPr="00535ED1" w:rsidRDefault="00535ED1" w:rsidP="00535ED1">
      <w:pPr>
        <w:rPr>
          <w:rFonts w:ascii="Arial" w:hAnsi="Arial" w:cs="Arial"/>
        </w:rPr>
      </w:pPr>
      <w:r w:rsidRPr="00535ED1">
        <w:rPr>
          <w:rFonts w:ascii="Arial" w:hAnsi="Arial" w:cs="Arial"/>
        </w:rPr>
        <w:t>UNICEF</w:t>
      </w:r>
      <w:r w:rsidR="00EF30CE">
        <w:rPr>
          <w:rFonts w:ascii="Arial" w:hAnsi="Arial" w:cs="Arial"/>
        </w:rPr>
        <w:t xml:space="preserve"> </w:t>
      </w:r>
      <w:r w:rsidRPr="00535ED1">
        <w:rPr>
          <w:rFonts w:ascii="Arial" w:hAnsi="Arial" w:cs="Arial"/>
        </w:rPr>
        <w:t xml:space="preserve">(2025) </w:t>
      </w:r>
      <w:r w:rsidRPr="00535ED1">
        <w:rPr>
          <w:rFonts w:ascii="Arial" w:hAnsi="Arial" w:cs="Arial"/>
          <w:i/>
          <w:iCs/>
        </w:rPr>
        <w:t>Childhood in a digital world</w:t>
      </w:r>
      <w:r w:rsidRPr="00535ED1">
        <w:rPr>
          <w:rFonts w:ascii="Arial" w:hAnsi="Arial" w:cs="Arial"/>
        </w:rPr>
        <w:t xml:space="preserve">. Florence: UNICEF Innocenti – Global Office of Research and Foresight. Available at: </w:t>
      </w:r>
      <w:r w:rsidRPr="006A52FE">
        <w:rPr>
          <w:rFonts w:ascii="Arial" w:hAnsi="Arial" w:cs="Arial"/>
        </w:rPr>
        <w:t>https://www.unicef.org/innocenti/reports/childhood-digital-world</w:t>
      </w:r>
      <w:r w:rsidRPr="00535ED1">
        <w:rPr>
          <w:rFonts w:ascii="Arial" w:hAnsi="Arial" w:cs="Arial"/>
        </w:rPr>
        <w:t xml:space="preserve"> (Accessed: </w:t>
      </w:r>
      <w:r w:rsidR="006A52FE">
        <w:rPr>
          <w:rFonts w:ascii="Arial" w:hAnsi="Arial" w:cs="Arial"/>
        </w:rPr>
        <w:t>7</w:t>
      </w:r>
      <w:r w:rsidRPr="00535ED1">
        <w:rPr>
          <w:rFonts w:ascii="Arial" w:hAnsi="Arial" w:cs="Arial"/>
        </w:rPr>
        <w:t xml:space="preserve"> March 2026).</w:t>
      </w:r>
    </w:p>
    <w:p w14:paraId="74D9F0F8" w14:textId="55CC2DF4" w:rsidR="00535ED1" w:rsidRPr="00535ED1" w:rsidRDefault="00535ED1" w:rsidP="00535ED1">
      <w:pPr>
        <w:rPr>
          <w:rFonts w:ascii="Arial" w:hAnsi="Arial" w:cs="Arial"/>
        </w:rPr>
      </w:pPr>
      <w:proofErr w:type="spellStart"/>
      <w:r w:rsidRPr="00535ED1">
        <w:rPr>
          <w:rFonts w:ascii="Arial" w:hAnsi="Arial" w:cs="Arial"/>
        </w:rPr>
        <w:t>Vandenbosch</w:t>
      </w:r>
      <w:proofErr w:type="spellEnd"/>
      <w:r w:rsidRPr="00535ED1">
        <w:rPr>
          <w:rFonts w:ascii="Arial" w:hAnsi="Arial" w:cs="Arial"/>
        </w:rPr>
        <w:t xml:space="preserve">, L., </w:t>
      </w:r>
      <w:proofErr w:type="spellStart"/>
      <w:r w:rsidRPr="00535ED1">
        <w:rPr>
          <w:rFonts w:ascii="Arial" w:hAnsi="Arial" w:cs="Arial"/>
        </w:rPr>
        <w:t>Fardouly</w:t>
      </w:r>
      <w:proofErr w:type="spellEnd"/>
      <w:r w:rsidRPr="00535ED1">
        <w:rPr>
          <w:rFonts w:ascii="Arial" w:hAnsi="Arial" w:cs="Arial"/>
        </w:rPr>
        <w:t>, J. and Tiggemann, M. (2022) ‘</w:t>
      </w:r>
      <w:proofErr w:type="gramStart"/>
      <w:r w:rsidRPr="00535ED1">
        <w:rPr>
          <w:rFonts w:ascii="Arial" w:hAnsi="Arial" w:cs="Arial"/>
        </w:rPr>
        <w:t>Social media</w:t>
      </w:r>
      <w:proofErr w:type="gramEnd"/>
      <w:r w:rsidRPr="00535ED1">
        <w:rPr>
          <w:rFonts w:ascii="Arial" w:hAnsi="Arial" w:cs="Arial"/>
        </w:rPr>
        <w:t xml:space="preserve"> and body image: recent trends and future directions’, </w:t>
      </w:r>
      <w:r w:rsidRPr="00535ED1">
        <w:rPr>
          <w:rFonts w:ascii="Arial" w:hAnsi="Arial" w:cs="Arial"/>
          <w:i/>
          <w:iCs/>
        </w:rPr>
        <w:t>Current Opinion in Psychology</w:t>
      </w:r>
      <w:r w:rsidRPr="00535ED1">
        <w:rPr>
          <w:rFonts w:ascii="Arial" w:hAnsi="Arial" w:cs="Arial"/>
        </w:rPr>
        <w:t xml:space="preserve">, 45, 101289. Available at: </w:t>
      </w:r>
      <w:r w:rsidRPr="006A52FE">
        <w:rPr>
          <w:rFonts w:ascii="Arial" w:hAnsi="Arial" w:cs="Arial"/>
        </w:rPr>
        <w:t>https://www.sciencedirect.com/science/article/abs/pii/S2352250X21002414</w:t>
      </w:r>
      <w:r w:rsidRPr="00535ED1">
        <w:rPr>
          <w:rFonts w:ascii="Arial" w:hAnsi="Arial" w:cs="Arial"/>
        </w:rPr>
        <w:t xml:space="preserve"> (Accessed: </w:t>
      </w:r>
      <w:r w:rsidR="006A52FE">
        <w:rPr>
          <w:rFonts w:ascii="Arial" w:hAnsi="Arial" w:cs="Arial"/>
        </w:rPr>
        <w:t>8</w:t>
      </w:r>
      <w:r w:rsidRPr="00535ED1">
        <w:rPr>
          <w:rFonts w:ascii="Arial" w:hAnsi="Arial" w:cs="Arial"/>
        </w:rPr>
        <w:t xml:space="preserve"> March 2026).</w:t>
      </w:r>
    </w:p>
    <w:p w14:paraId="67FE5D37" w14:textId="40570562" w:rsidR="00535ED1" w:rsidRPr="00535ED1" w:rsidRDefault="00535ED1" w:rsidP="00535ED1">
      <w:pPr>
        <w:rPr>
          <w:rFonts w:ascii="Arial" w:hAnsi="Arial" w:cs="Arial"/>
        </w:rPr>
      </w:pPr>
      <w:r w:rsidRPr="00535ED1">
        <w:rPr>
          <w:rFonts w:ascii="Arial" w:hAnsi="Arial" w:cs="Arial"/>
        </w:rPr>
        <w:t xml:space="preserve">Welsh Government (2023) </w:t>
      </w:r>
      <w:r w:rsidRPr="00535ED1">
        <w:rPr>
          <w:rFonts w:ascii="Arial" w:hAnsi="Arial" w:cs="Arial"/>
          <w:i/>
          <w:iCs/>
        </w:rPr>
        <w:t>Curriculum for Wales: statements of what matters code</w:t>
      </w:r>
      <w:r w:rsidRPr="00535ED1">
        <w:rPr>
          <w:rFonts w:ascii="Arial" w:hAnsi="Arial" w:cs="Arial"/>
        </w:rPr>
        <w:t xml:space="preserve">. Cardiff: Welsh Government. Available at: </w:t>
      </w:r>
      <w:r w:rsidRPr="006A52FE">
        <w:rPr>
          <w:rFonts w:ascii="Arial" w:hAnsi="Arial" w:cs="Arial"/>
        </w:rPr>
        <w:t>https://www.gov.wales/curriculum-wales-statements-what-matters-code</w:t>
      </w:r>
      <w:r w:rsidRPr="00535ED1">
        <w:rPr>
          <w:rFonts w:ascii="Arial" w:hAnsi="Arial" w:cs="Arial"/>
        </w:rPr>
        <w:t xml:space="preserve"> (Accessed: </w:t>
      </w:r>
      <w:r w:rsidR="006A52FE">
        <w:rPr>
          <w:rFonts w:ascii="Arial" w:hAnsi="Arial" w:cs="Arial"/>
        </w:rPr>
        <w:t>5</w:t>
      </w:r>
      <w:r w:rsidRPr="00535ED1">
        <w:rPr>
          <w:rFonts w:ascii="Arial" w:hAnsi="Arial" w:cs="Arial"/>
        </w:rPr>
        <w:t xml:space="preserve"> March 2026).</w:t>
      </w:r>
    </w:p>
    <w:p w14:paraId="244B0264" w14:textId="5B2D7391" w:rsidR="00535ED1" w:rsidRPr="00535ED1" w:rsidRDefault="00535ED1" w:rsidP="00535ED1">
      <w:pPr>
        <w:rPr>
          <w:rFonts w:ascii="Arial" w:hAnsi="Arial" w:cs="Arial"/>
        </w:rPr>
      </w:pPr>
      <w:r w:rsidRPr="00535ED1">
        <w:rPr>
          <w:rFonts w:ascii="Arial" w:hAnsi="Arial" w:cs="Arial"/>
        </w:rPr>
        <w:t>Welsh Government (</w:t>
      </w:r>
      <w:r w:rsidR="001C65C8">
        <w:rPr>
          <w:rFonts w:ascii="Arial" w:hAnsi="Arial" w:cs="Arial"/>
        </w:rPr>
        <w:t>2024</w:t>
      </w:r>
      <w:r w:rsidRPr="00535ED1">
        <w:rPr>
          <w:rFonts w:ascii="Arial" w:hAnsi="Arial" w:cs="Arial"/>
        </w:rPr>
        <w:t xml:space="preserve">) </w:t>
      </w:r>
      <w:r w:rsidRPr="00535ED1">
        <w:rPr>
          <w:rFonts w:ascii="Arial" w:hAnsi="Arial" w:cs="Arial"/>
          <w:i/>
          <w:iCs/>
        </w:rPr>
        <w:t>Digital Competence Framework</w:t>
      </w:r>
      <w:r w:rsidRPr="00535ED1">
        <w:rPr>
          <w:rFonts w:ascii="Arial" w:hAnsi="Arial" w:cs="Arial"/>
        </w:rPr>
        <w:t xml:space="preserve">. Cardiff: Welsh Government. Available at: </w:t>
      </w:r>
      <w:r w:rsidRPr="006A52FE">
        <w:rPr>
          <w:rFonts w:ascii="Arial" w:hAnsi="Arial" w:cs="Arial"/>
        </w:rPr>
        <w:t>https://hwb.gov.wales/curriculum-for-wales/cross-curricular-skills-frameworks/digital-competence-framework-dcf</w:t>
      </w:r>
      <w:r w:rsidRPr="00535ED1">
        <w:rPr>
          <w:rFonts w:ascii="Arial" w:hAnsi="Arial" w:cs="Arial"/>
        </w:rPr>
        <w:t xml:space="preserve"> (Accessed: </w:t>
      </w:r>
      <w:r w:rsidR="006A52FE">
        <w:rPr>
          <w:rFonts w:ascii="Arial" w:hAnsi="Arial" w:cs="Arial"/>
        </w:rPr>
        <w:t>2</w:t>
      </w:r>
      <w:r w:rsidRPr="00535ED1">
        <w:rPr>
          <w:rFonts w:ascii="Arial" w:hAnsi="Arial" w:cs="Arial"/>
        </w:rPr>
        <w:t xml:space="preserve"> March 2026).</w:t>
      </w:r>
    </w:p>
    <w:p w14:paraId="6CA77005" w14:textId="39575F6E" w:rsidR="00535ED1" w:rsidRPr="00535ED1" w:rsidRDefault="00535ED1" w:rsidP="00535ED1">
      <w:pPr>
        <w:rPr>
          <w:rFonts w:ascii="Arial" w:hAnsi="Arial" w:cs="Arial"/>
        </w:rPr>
      </w:pPr>
      <w:r w:rsidRPr="00535ED1">
        <w:rPr>
          <w:rFonts w:ascii="Arial" w:hAnsi="Arial" w:cs="Arial"/>
        </w:rPr>
        <w:t xml:space="preserve">World Health Organization (2025) </w:t>
      </w:r>
      <w:r w:rsidRPr="00535ED1">
        <w:rPr>
          <w:rFonts w:ascii="Arial" w:hAnsi="Arial" w:cs="Arial"/>
          <w:i/>
          <w:iCs/>
        </w:rPr>
        <w:t>Mental health of adolescents</w:t>
      </w:r>
      <w:r w:rsidRPr="00535ED1">
        <w:rPr>
          <w:rFonts w:ascii="Arial" w:hAnsi="Arial" w:cs="Arial"/>
        </w:rPr>
        <w:t xml:space="preserve">. Geneva: World Health Organization. Available at: </w:t>
      </w:r>
      <w:r w:rsidRPr="006A52FE">
        <w:rPr>
          <w:rFonts w:ascii="Arial" w:hAnsi="Arial" w:cs="Arial"/>
        </w:rPr>
        <w:t>https://www.who.int/news-room/fact-sheets/detail/adolescent-mental-health</w:t>
      </w:r>
      <w:r w:rsidRPr="00535ED1">
        <w:rPr>
          <w:rFonts w:ascii="Arial" w:hAnsi="Arial" w:cs="Arial"/>
        </w:rPr>
        <w:t xml:space="preserve"> (Accessed: </w:t>
      </w:r>
      <w:r w:rsidR="006A52FE">
        <w:rPr>
          <w:rFonts w:ascii="Arial" w:hAnsi="Arial" w:cs="Arial"/>
        </w:rPr>
        <w:t>7</w:t>
      </w:r>
      <w:r w:rsidRPr="00535ED1">
        <w:rPr>
          <w:rFonts w:ascii="Arial" w:hAnsi="Arial" w:cs="Arial"/>
        </w:rPr>
        <w:t xml:space="preserve"> March 2026).</w:t>
      </w:r>
    </w:p>
    <w:p w14:paraId="362C92CD" w14:textId="77777777" w:rsidR="009F3A4D" w:rsidRPr="00074DA9" w:rsidRDefault="009F3A4D">
      <w:pPr>
        <w:rPr>
          <w:rFonts w:ascii="Arial" w:hAnsi="Arial" w:cs="Arial"/>
        </w:rPr>
      </w:pPr>
    </w:p>
    <w:sectPr w:rsidR="009F3A4D" w:rsidRPr="00074D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4D"/>
    <w:rsid w:val="00074DA9"/>
    <w:rsid w:val="000F3C04"/>
    <w:rsid w:val="001C65C8"/>
    <w:rsid w:val="002B75B4"/>
    <w:rsid w:val="00535ED1"/>
    <w:rsid w:val="006A52FE"/>
    <w:rsid w:val="006B1A68"/>
    <w:rsid w:val="006D7036"/>
    <w:rsid w:val="00990025"/>
    <w:rsid w:val="009F3A4D"/>
    <w:rsid w:val="00EF30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A7E94"/>
  <w15:chartTrackingRefBased/>
  <w15:docId w15:val="{68C5DE4C-74A5-4A0B-85A2-11E951277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3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3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3A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3A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3A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3A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3A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3A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3A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A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3A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3A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3A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3A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3A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3A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3A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3A4D"/>
    <w:rPr>
      <w:rFonts w:eastAsiaTheme="majorEastAsia" w:cstheme="majorBidi"/>
      <w:color w:val="272727" w:themeColor="text1" w:themeTint="D8"/>
    </w:rPr>
  </w:style>
  <w:style w:type="paragraph" w:styleId="Title">
    <w:name w:val="Title"/>
    <w:basedOn w:val="Normal"/>
    <w:next w:val="Normal"/>
    <w:link w:val="TitleChar"/>
    <w:uiPriority w:val="10"/>
    <w:qFormat/>
    <w:rsid w:val="009F3A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3A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3A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3A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3A4D"/>
    <w:pPr>
      <w:spacing w:before="160"/>
      <w:jc w:val="center"/>
    </w:pPr>
    <w:rPr>
      <w:i/>
      <w:iCs/>
      <w:color w:val="404040" w:themeColor="text1" w:themeTint="BF"/>
    </w:rPr>
  </w:style>
  <w:style w:type="character" w:customStyle="1" w:styleId="QuoteChar">
    <w:name w:val="Quote Char"/>
    <w:basedOn w:val="DefaultParagraphFont"/>
    <w:link w:val="Quote"/>
    <w:uiPriority w:val="29"/>
    <w:rsid w:val="009F3A4D"/>
    <w:rPr>
      <w:i/>
      <w:iCs/>
      <w:color w:val="404040" w:themeColor="text1" w:themeTint="BF"/>
    </w:rPr>
  </w:style>
  <w:style w:type="paragraph" w:styleId="ListParagraph">
    <w:name w:val="List Paragraph"/>
    <w:basedOn w:val="Normal"/>
    <w:uiPriority w:val="34"/>
    <w:qFormat/>
    <w:rsid w:val="009F3A4D"/>
    <w:pPr>
      <w:ind w:left="720"/>
      <w:contextualSpacing/>
    </w:pPr>
  </w:style>
  <w:style w:type="character" w:styleId="IntenseEmphasis">
    <w:name w:val="Intense Emphasis"/>
    <w:basedOn w:val="DefaultParagraphFont"/>
    <w:uiPriority w:val="21"/>
    <w:qFormat/>
    <w:rsid w:val="009F3A4D"/>
    <w:rPr>
      <w:i/>
      <w:iCs/>
      <w:color w:val="0F4761" w:themeColor="accent1" w:themeShade="BF"/>
    </w:rPr>
  </w:style>
  <w:style w:type="paragraph" w:styleId="IntenseQuote">
    <w:name w:val="Intense Quote"/>
    <w:basedOn w:val="Normal"/>
    <w:next w:val="Normal"/>
    <w:link w:val="IntenseQuoteChar"/>
    <w:uiPriority w:val="30"/>
    <w:qFormat/>
    <w:rsid w:val="009F3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3A4D"/>
    <w:rPr>
      <w:i/>
      <w:iCs/>
      <w:color w:val="0F4761" w:themeColor="accent1" w:themeShade="BF"/>
    </w:rPr>
  </w:style>
  <w:style w:type="character" w:styleId="IntenseReference">
    <w:name w:val="Intense Reference"/>
    <w:basedOn w:val="DefaultParagraphFont"/>
    <w:uiPriority w:val="32"/>
    <w:qFormat/>
    <w:rsid w:val="009F3A4D"/>
    <w:rPr>
      <w:b/>
      <w:bCs/>
      <w:smallCaps/>
      <w:color w:val="0F4761" w:themeColor="accent1" w:themeShade="BF"/>
      <w:spacing w:val="5"/>
    </w:rPr>
  </w:style>
  <w:style w:type="character" w:styleId="Hyperlink">
    <w:name w:val="Hyperlink"/>
    <w:basedOn w:val="DefaultParagraphFont"/>
    <w:uiPriority w:val="99"/>
    <w:unhideWhenUsed/>
    <w:rsid w:val="00535ED1"/>
    <w:rPr>
      <w:color w:val="467886" w:themeColor="hyperlink"/>
      <w:u w:val="single"/>
    </w:rPr>
  </w:style>
  <w:style w:type="character" w:styleId="UnresolvedMention">
    <w:name w:val="Unresolved Mention"/>
    <w:basedOn w:val="DefaultParagraphFont"/>
    <w:uiPriority w:val="99"/>
    <w:semiHidden/>
    <w:unhideWhenUsed/>
    <w:rsid w:val="00535ED1"/>
    <w:rPr>
      <w:color w:val="605E5C"/>
      <w:shd w:val="clear" w:color="auto" w:fill="E1DFDD"/>
    </w:rPr>
  </w:style>
  <w:style w:type="character" w:styleId="FollowedHyperlink">
    <w:name w:val="FollowedHyperlink"/>
    <w:basedOn w:val="DefaultParagraphFont"/>
    <w:uiPriority w:val="99"/>
    <w:semiHidden/>
    <w:unhideWhenUsed/>
    <w:rsid w:val="001C65C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56</TotalTime>
  <Pages>7</Pages>
  <Words>2932</Words>
  <Characters>16715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Cojocaru</dc:creator>
  <cp:keywords/>
  <dc:description/>
  <cp:lastModifiedBy>Paul Cojocaru</cp:lastModifiedBy>
  <cp:revision>6</cp:revision>
  <dcterms:created xsi:type="dcterms:W3CDTF">2026-03-16T13:24:00Z</dcterms:created>
  <dcterms:modified xsi:type="dcterms:W3CDTF">2026-03-16T19:22:00Z</dcterms:modified>
</cp:coreProperties>
</file>