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6AB11A" w14:textId="2D5CC6CE" w:rsidR="003237B8" w:rsidRDefault="003237B8" w:rsidP="003237B8">
      <w:r>
        <w:t>Neve Pule 2219959</w:t>
      </w:r>
      <w:r w:rsidR="000B2099">
        <w:br/>
        <w:t>Date: 19/04/2024</w:t>
      </w:r>
      <w:r>
        <w:br/>
        <w:t xml:space="preserve">Word count: 2100 </w:t>
      </w:r>
    </w:p>
    <w:p w14:paraId="479623E6" w14:textId="20864D6A" w:rsidR="00A83DD4" w:rsidRPr="00A83DD4" w:rsidRDefault="00A83DD4" w:rsidP="003237B8">
      <w:r w:rsidRPr="00A83DD4">
        <w:rPr>
          <w:rFonts w:cs="Segoe UI"/>
          <w:b/>
          <w:bCs/>
          <w:color w:val="1D2125"/>
          <w:u w:val="single"/>
          <w:shd w:val="clear" w:color="auto" w:fill="FFFFFF"/>
        </w:rPr>
        <w:t xml:space="preserve">Discuss the distinctive </w:t>
      </w:r>
      <w:r>
        <w:rPr>
          <w:rFonts w:cs="Segoe UI"/>
          <w:b/>
          <w:bCs/>
          <w:color w:val="1D2125"/>
          <w:u w:val="single"/>
          <w:shd w:val="clear" w:color="auto" w:fill="FFFFFF"/>
        </w:rPr>
        <w:t>C</w:t>
      </w:r>
      <w:r w:rsidRPr="00A83DD4">
        <w:rPr>
          <w:rFonts w:cs="Segoe UI"/>
          <w:b/>
          <w:bCs/>
          <w:color w:val="1D2125"/>
          <w:u w:val="single"/>
          <w:shd w:val="clear" w:color="auto" w:fill="FFFFFF"/>
        </w:rPr>
        <w:t>hristological features of one of the four canonical gospels and their contribution to the overall presentation of Jesus within that gospel narrative</w:t>
      </w:r>
      <w:r w:rsidRPr="00A83DD4">
        <w:rPr>
          <w:rFonts w:cs="Segoe UI"/>
          <w:color w:val="1D2125"/>
          <w:shd w:val="clear" w:color="auto" w:fill="FFFFFF"/>
        </w:rPr>
        <w:t>.</w:t>
      </w:r>
    </w:p>
    <w:p w14:paraId="53D4445C" w14:textId="5676BFB7" w:rsidR="00F04D61" w:rsidRDefault="00C57A6F" w:rsidP="00F04D61">
      <w:r>
        <w:t>Luke’s Gospel has a unique portrayal of Jesus in contrast with the other Gospels with a focus on his humani</w:t>
      </w:r>
      <w:r w:rsidR="00105246">
        <w:t xml:space="preserve">ty and his role as a universal saviour. </w:t>
      </w:r>
      <w:r>
        <w:t xml:space="preserve">This essay will explore the various distinct </w:t>
      </w:r>
      <w:r w:rsidR="00105246">
        <w:t xml:space="preserve">Christological features in the Gospel of Luke and how they contribute to the Lukan presentation of Jesus’ identity and significance. Of particular focus will be the characterisation of Jesus as a prophet, and the adaptation of the figure of the Jewish Davidic Messiah into a new Son of Man, the Christ who is a saviour to Gentiles as well as Jews. </w:t>
      </w:r>
    </w:p>
    <w:p w14:paraId="78473CD7" w14:textId="5404998C" w:rsidR="00F04D61" w:rsidRDefault="00DB5571" w:rsidP="00F04D61">
      <w:r>
        <w:t xml:space="preserve">Firstly, </w:t>
      </w:r>
      <w:r w:rsidR="0032277E">
        <w:t xml:space="preserve">Luke </w:t>
      </w:r>
      <w:r w:rsidR="00235D0F">
        <w:t xml:space="preserve">depicts Luke </w:t>
      </w:r>
      <w:r w:rsidR="00946781">
        <w:t xml:space="preserve">as a learned man, a teacher with education enough to </w:t>
      </w:r>
      <w:r w:rsidR="00AB5D82">
        <w:t xml:space="preserve">preach to the masses. </w:t>
      </w:r>
      <w:r w:rsidR="00D3610D">
        <w:t xml:space="preserve">From Luke’s unique narrative on Jesus as a child, </w:t>
      </w:r>
      <w:r w:rsidR="00670278">
        <w:t xml:space="preserve">we </w:t>
      </w:r>
      <w:r w:rsidR="007845B3">
        <w:t>learn that he debate</w:t>
      </w:r>
      <w:r w:rsidR="00A977DA">
        <w:t>d</w:t>
      </w:r>
      <w:r w:rsidR="007845B3">
        <w:t xml:space="preserve"> in the Temple as a child (</w:t>
      </w:r>
      <w:r w:rsidR="001A6046">
        <w:t xml:space="preserve">2:41-52) </w:t>
      </w:r>
      <w:r w:rsidR="007845B3">
        <w:t>and later as an adult in synagogues</w:t>
      </w:r>
      <w:r w:rsidR="001A6046">
        <w:t xml:space="preserve"> (e.g. </w:t>
      </w:r>
      <w:r w:rsidR="00A977DA">
        <w:t>4:16-30). The preferred venue for addressing the public for educated men was the local synagogue, and Jesus used this public assembly location to spread his message.</w:t>
      </w:r>
      <w:r w:rsidR="00283CE4">
        <w:rPr>
          <w:rStyle w:val="FootnoteReference"/>
        </w:rPr>
        <w:footnoteReference w:id="1"/>
      </w:r>
      <w:r w:rsidR="00283CE4">
        <w:t xml:space="preserve"> Luke, distinctly from the other gospels, has Jesus explicitly teaching a crowd, therefore showcasing his </w:t>
      </w:r>
      <w:r w:rsidR="003E73E7">
        <w:t xml:space="preserve">reputation as a publicly educated figure. Perhaps most conclusively, Jesus is addressed as teacher, </w:t>
      </w:r>
      <w:r w:rsidR="0067299A">
        <w:t>‘</w:t>
      </w:r>
      <w:proofErr w:type="spellStart"/>
      <w:r w:rsidR="0067299A" w:rsidRPr="0067299A">
        <w:rPr>
          <w:i/>
          <w:iCs/>
        </w:rPr>
        <w:t>didaskalos</w:t>
      </w:r>
      <w:proofErr w:type="spellEnd"/>
      <w:r w:rsidR="0067299A" w:rsidRPr="0067299A">
        <w:rPr>
          <w:i/>
          <w:iCs/>
        </w:rPr>
        <w:t>’</w:t>
      </w:r>
      <w:r w:rsidR="0067299A">
        <w:t>, and acknowledged with this role consistently,</w:t>
      </w:r>
      <w:r w:rsidR="0067299A">
        <w:rPr>
          <w:rStyle w:val="FootnoteReference"/>
        </w:rPr>
        <w:footnoteReference w:id="2"/>
      </w:r>
      <w:r w:rsidR="0067299A">
        <w:t xml:space="preserve"> not just by the public (e.g. 9:38; 12:13), but also by members of elite groups like the Pharisees (7:40), the ruling class (18:18), scribes (20:21) and lawyers (10:25). </w:t>
      </w:r>
    </w:p>
    <w:p w14:paraId="11EF085A" w14:textId="2F3AEE9E" w:rsidR="00CE052F" w:rsidRDefault="00CE052F" w:rsidP="00F04D61">
      <w:r>
        <w:t xml:space="preserve">One of the most prominent </w:t>
      </w:r>
      <w:r w:rsidR="00126177">
        <w:t xml:space="preserve">characteristics of the Lukan portrayal of Jesus is that of his </w:t>
      </w:r>
      <w:r w:rsidR="00CC75F4">
        <w:t xml:space="preserve">depiction </w:t>
      </w:r>
      <w:r w:rsidR="00126177">
        <w:t xml:space="preserve">as a prophet. </w:t>
      </w:r>
      <w:r w:rsidR="00E00E69">
        <w:t xml:space="preserve">Luke highlights </w:t>
      </w:r>
      <w:r w:rsidR="000C76B3">
        <w:t>how Jesus, throughout debates and disputes, his trial and last words, “utters oracles and discerns thoughts.”</w:t>
      </w:r>
      <w:r w:rsidR="000C76B3">
        <w:rPr>
          <w:rStyle w:val="FootnoteReference"/>
        </w:rPr>
        <w:footnoteReference w:id="3"/>
      </w:r>
      <w:r w:rsidR="000C76B3">
        <w:t xml:space="preserve"> His character can be interpreted as specifically constructed </w:t>
      </w:r>
      <w:r w:rsidR="00E85296">
        <w:t>to follow the precedent set by Israel’s previously rejected prophets.</w:t>
      </w:r>
      <w:r w:rsidR="00E85296">
        <w:rPr>
          <w:rStyle w:val="FootnoteReference"/>
        </w:rPr>
        <w:footnoteReference w:id="4"/>
      </w:r>
    </w:p>
    <w:p w14:paraId="34209112" w14:textId="3710E0B3" w:rsidR="00E8779D" w:rsidRDefault="00A9007E" w:rsidP="00E8779D">
      <w:r>
        <w:t xml:space="preserve">Luke’s Gospel has the story of Jesus’ rejection in the synagogue located at the beginning of his ministry. This is a deliberate change from Mark and Matthew, where the story is situated at a midpoint in his ministry; Luke then sets up Jesus’ rejection and execution, along with his status as a prophet, with all of his later actions then </w:t>
      </w:r>
      <w:r w:rsidR="00AA61FE">
        <w:t xml:space="preserve">fulfilling </w:t>
      </w:r>
      <w:r>
        <w:t>Jesus’ declaration that no prophet is accepted in his hometown (Luke 4:24).</w:t>
      </w:r>
      <w:r>
        <w:rPr>
          <w:rStyle w:val="FootnoteReference"/>
        </w:rPr>
        <w:footnoteReference w:id="5"/>
      </w:r>
      <w:r>
        <w:t xml:space="preserve"> The emphasis is then, in Luke, distinctly placed on Jesus as a prophet from the start of his ministry. McWhirter argues that </w:t>
      </w:r>
      <w:r w:rsidR="00E8779D">
        <w:t>Luke furthers this by creating specific parallels with Jesus and Israel’s prophets: a birth similar to Samuel, rejections like Moses and Jeremiah</w:t>
      </w:r>
      <w:r w:rsidR="00B701F8">
        <w:t>,</w:t>
      </w:r>
      <w:r w:rsidR="00E8779D">
        <w:t xml:space="preserve"> and predictions of the destruction of Jerusalem like Ezekiel.</w:t>
      </w:r>
      <w:r w:rsidR="00E8779D">
        <w:rPr>
          <w:rStyle w:val="FootnoteReference"/>
        </w:rPr>
        <w:footnoteReference w:id="6"/>
      </w:r>
    </w:p>
    <w:p w14:paraId="1FA74231" w14:textId="39610CB1" w:rsidR="00A90523" w:rsidRDefault="00E8779D" w:rsidP="00A90523">
      <w:r>
        <w:t xml:space="preserve">Luke also uses parables to highlight Jesus’ prophetic role, with the most crucial being the parable of the wicked tenants, found in Luke 20. This parable is a symbolic portrayal of the idea God sent Jesus not to die, but, like all of his other prophets, to send a message, and that he died </w:t>
      </w:r>
      <w:r>
        <w:lastRenderedPageBreak/>
        <w:t>for the same reason as well, that those he was sent to rejected his message.</w:t>
      </w:r>
      <w:r>
        <w:rPr>
          <w:rStyle w:val="FootnoteReference"/>
        </w:rPr>
        <w:footnoteReference w:id="7"/>
      </w:r>
      <w:r>
        <w:t xml:space="preserve"> As the owner of the vineyard’s beloved son is killed by builders, </w:t>
      </w:r>
      <w:r w:rsidR="007453AB">
        <w:t xml:space="preserve">Jesus too is the ‘cornerstone’ whose rejection will lead to the destruction of his rejectors and the reallocation of the owner, God’s, creation (20:9-17). </w:t>
      </w:r>
    </w:p>
    <w:p w14:paraId="45383E1F" w14:textId="7099895D" w:rsidR="00DE1189" w:rsidRDefault="00BA5551" w:rsidP="00B749B5">
      <w:r>
        <w:t xml:space="preserve">In addition, Luke alone out of the Gospels has the story of Jesus raising the widow of Nain’s only son from the dead (7:11-17). </w:t>
      </w:r>
      <w:r w:rsidR="00311BAD">
        <w:t xml:space="preserve">Not only does this lead to the acknowledgement of </w:t>
      </w:r>
      <w:r w:rsidR="00E36645">
        <w:t>Je</w:t>
      </w:r>
      <w:r w:rsidR="00B40AAF">
        <w:t>s</w:t>
      </w:r>
      <w:r w:rsidR="00E36645">
        <w:t>us as a “great prophet” by the onlookers (7:16</w:t>
      </w:r>
      <w:r w:rsidR="00C66CBD">
        <w:t>) but</w:t>
      </w:r>
      <w:r w:rsidR="00E36645">
        <w:t xml:space="preserve"> is also clearly reminiscent of a miracle accomplished by the prophet Elijah who raised the only son of the widow from </w:t>
      </w:r>
      <w:proofErr w:type="spellStart"/>
      <w:r w:rsidR="00E36645">
        <w:t>Zerephath</w:t>
      </w:r>
      <w:proofErr w:type="spellEnd"/>
      <w:r w:rsidR="00E36645">
        <w:t xml:space="preserve"> from the dead (1 Kgs. 17:17-24). </w:t>
      </w:r>
      <w:r w:rsidR="00C7233D">
        <w:t>Another comparison with Old Testament prophets can be drawn between Elisha’s feeding of one hundred men (2 Kgs. 4:42-44) and Jesus’ feeding of the five thousand (Luke 9)</w:t>
      </w:r>
      <w:r w:rsidR="00BD391F">
        <w:t>, as both include a small amount of food miraculously providing for a large number of people with leftovers to spare.</w:t>
      </w:r>
      <w:r w:rsidR="00BD391F">
        <w:rPr>
          <w:rStyle w:val="FootnoteReference"/>
        </w:rPr>
        <w:footnoteReference w:id="8"/>
      </w:r>
      <w:r w:rsidR="00BD391F">
        <w:t xml:space="preserve"> </w:t>
      </w:r>
      <w:r w:rsidR="003B2BD6">
        <w:t xml:space="preserve">Ravens describes the allusions to and mentions of Israel’s prophets as examples that are then used as antetypes for the role of Jesus, to demonstrate </w:t>
      </w:r>
      <w:r w:rsidR="00D958A3">
        <w:t>his prophetic identity.</w:t>
      </w:r>
      <w:r w:rsidR="003B2BD6">
        <w:rPr>
          <w:rStyle w:val="FootnoteReference"/>
        </w:rPr>
        <w:footnoteReference w:id="9"/>
      </w:r>
      <w:r w:rsidR="00B749B5">
        <w:t xml:space="preserve"> </w:t>
      </w:r>
      <w:r w:rsidR="00C66CBD">
        <w:t>Luke’s account of the Transfiguration</w:t>
      </w:r>
      <w:r w:rsidR="00A159B6">
        <w:t xml:space="preserve"> is significant</w:t>
      </w:r>
      <w:r w:rsidR="00A1616B">
        <w:t>, Ravens argues, as it brings a marked change in his use of Hebrew prophets.</w:t>
      </w:r>
      <w:r w:rsidR="00A1616B">
        <w:rPr>
          <w:rStyle w:val="FootnoteReference"/>
        </w:rPr>
        <w:footnoteReference w:id="10"/>
      </w:r>
      <w:r w:rsidR="00A67E91">
        <w:t xml:space="preserve"> </w:t>
      </w:r>
      <w:r w:rsidR="00490B4D">
        <w:t>Moses and Elijah are portrayed in their ascended, glorified forms, a</w:t>
      </w:r>
      <w:r w:rsidR="005528B2">
        <w:t xml:space="preserve">nd the heavenly voice of God </w:t>
      </w:r>
      <w:r w:rsidR="003A5A70">
        <w:t>points to Jesus as the prophet like Moses in Deut. 18:15.</w:t>
      </w:r>
      <w:r w:rsidR="009C2BDD">
        <w:rPr>
          <w:rStyle w:val="FootnoteReference"/>
        </w:rPr>
        <w:footnoteReference w:id="11"/>
      </w:r>
    </w:p>
    <w:p w14:paraId="38DEB4E7" w14:textId="68A6F3B4" w:rsidR="00EC420A" w:rsidRPr="000E4793" w:rsidRDefault="000E4793" w:rsidP="004E4195">
      <w:r>
        <w:t>Williams mentions the inclusion in the transfiguration scene of an unparalleled reference to Moses and Elijah speaking about Jesus’ imminent ‘departure’ (</w:t>
      </w:r>
      <w:r>
        <w:rPr>
          <w:i/>
          <w:iCs/>
        </w:rPr>
        <w:t>exodos)</w:t>
      </w:r>
      <w:r>
        <w:t xml:space="preserve"> (9:31)</w:t>
      </w:r>
      <w:r w:rsidR="00657811">
        <w:t xml:space="preserve">. He argues that the understanding of Jesus as a </w:t>
      </w:r>
      <w:proofErr w:type="gramStart"/>
      <w:r w:rsidR="009719B8">
        <w:t>prophet points</w:t>
      </w:r>
      <w:proofErr w:type="gramEnd"/>
      <w:r w:rsidR="00657811">
        <w:t xml:space="preserve"> to his death and resurrection as a ‘new exodus’</w:t>
      </w:r>
      <w:r w:rsidR="00294904">
        <w:t>.</w:t>
      </w:r>
      <w:r w:rsidR="00294904">
        <w:rPr>
          <w:rStyle w:val="FootnoteReference"/>
        </w:rPr>
        <w:footnoteReference w:id="12"/>
      </w:r>
      <w:r w:rsidR="009541E9">
        <w:t xml:space="preserve"> Jesus is also shown to have surpassed Elijah in his strength through Luke’s deliberate paralleling of</w:t>
      </w:r>
      <w:r w:rsidR="009945CE">
        <w:t xml:space="preserve"> James and John’s request for the calling down of fire from heaven on the unreceptive Samaritans (9:54) in the same way Elijah did on messengers of King Ahaziah of Samaria (2 Kgs. 1:9-12</w:t>
      </w:r>
      <w:r w:rsidR="00866105">
        <w:t>). Jesus refutes this action as no</w:t>
      </w:r>
      <w:r w:rsidR="00E34F76">
        <w:t xml:space="preserve"> longer the appropriate way to treat Samaritans, </w:t>
      </w:r>
      <w:r w:rsidR="009449D9">
        <w:t>confirmed later by the parable of the Samaritan (10:29-37). Ravens argues that this incident shows the limitations of the earthly Elijah as an antetype for Jesus; Jesus is shown to have re</w:t>
      </w:r>
      <w:r w:rsidR="00FC024B">
        <w:t xml:space="preserve">formed </w:t>
      </w:r>
      <w:r w:rsidR="00425008">
        <w:t>the ways of the old prophet</w:t>
      </w:r>
      <w:r w:rsidR="00A03A49">
        <w:t>s and acts as a messenger for God’s love and salvation.</w:t>
      </w:r>
      <w:r w:rsidR="009056A9">
        <w:rPr>
          <w:rStyle w:val="FootnoteReference"/>
        </w:rPr>
        <w:footnoteReference w:id="13"/>
      </w:r>
    </w:p>
    <w:p w14:paraId="15FB3123" w14:textId="743C13FD" w:rsidR="00B749B5" w:rsidRDefault="007453AB" w:rsidP="00B749B5">
      <w:pPr>
        <w:pBdr>
          <w:bottom w:val="single" w:sz="6" w:space="1" w:color="auto"/>
        </w:pBdr>
      </w:pPr>
      <w:r>
        <w:t>At Jesus’ arrest, McWhirter argues his prophetic status is made clear by the nature of his persecution by the guards.</w:t>
      </w:r>
      <w:r>
        <w:rPr>
          <w:rStyle w:val="FootnoteReference"/>
        </w:rPr>
        <w:footnoteReference w:id="14"/>
      </w:r>
      <w:r>
        <w:t xml:space="preserve"> His prophetic abilities are mocked by the Jerusalem officials by blindfolding and beating him, commanding him to, “Prophesy! Who is it that struck you?” (22:63). Even this action </w:t>
      </w:r>
      <w:r w:rsidR="002D0FBA">
        <w:t>fulfils</w:t>
      </w:r>
      <w:r>
        <w:t xml:space="preserve"> one of his earlier pronouncements that he, the Son of Man, “will be mocked and insulted and spat upon,” (18:32). </w:t>
      </w:r>
      <w:r w:rsidR="00A74ABC">
        <w:t xml:space="preserve">Luke portrays </w:t>
      </w:r>
      <w:r w:rsidR="00E60914">
        <w:t>Jesus as a righteous martyr, who has suffered from a miscarriage of justice.</w:t>
      </w:r>
      <w:r w:rsidR="00E60914">
        <w:rPr>
          <w:rStyle w:val="FootnoteReference"/>
        </w:rPr>
        <w:footnoteReference w:id="15"/>
      </w:r>
      <w:r w:rsidR="00834527">
        <w:t xml:space="preserve"> </w:t>
      </w:r>
      <w:r w:rsidR="00A74ABC">
        <w:t xml:space="preserve">Ehrman argues that the narrative of Luke explains “the movement of God’s salvation from Jew to Gentile by portraying Jesus as a Jewish prophet, </w:t>
      </w:r>
      <w:r w:rsidR="00A74ABC">
        <w:lastRenderedPageBreak/>
        <w:t>rejected by his own people.”</w:t>
      </w:r>
      <w:r w:rsidR="00A74ABC">
        <w:rPr>
          <w:rStyle w:val="FootnoteReference"/>
        </w:rPr>
        <w:footnoteReference w:id="16"/>
      </w:r>
      <w:r w:rsidR="00A74ABC">
        <w:t xml:space="preserve"> </w:t>
      </w:r>
      <w:r w:rsidR="003D488E">
        <w:t xml:space="preserve">Jesus then surpasses </w:t>
      </w:r>
      <w:r w:rsidR="00C402F6">
        <w:t>being solely a prophet to the people of Israel and becomes a messenger</w:t>
      </w:r>
      <w:r w:rsidR="007C418C">
        <w:t xml:space="preserve"> of God’s salvation</w:t>
      </w:r>
      <w:r w:rsidR="00C402F6">
        <w:t xml:space="preserve"> to all people</w:t>
      </w:r>
      <w:r w:rsidR="007C418C">
        <w:t xml:space="preserve">. </w:t>
      </w:r>
    </w:p>
    <w:p w14:paraId="4E4205A0" w14:textId="77777777" w:rsidR="00D15E52" w:rsidRDefault="002960B8" w:rsidP="00D15E52">
      <w:pPr>
        <w:pBdr>
          <w:bottom w:val="single" w:sz="6" w:space="1" w:color="auto"/>
        </w:pBdr>
      </w:pPr>
      <w:r>
        <w:t xml:space="preserve">Luke also characterises Jesus using the framework of the Jewish Messiah. </w:t>
      </w:r>
      <w:r w:rsidR="009C3FF5">
        <w:t xml:space="preserve">The </w:t>
      </w:r>
      <w:r w:rsidR="00346D84">
        <w:t xml:space="preserve">Hebrew title </w:t>
      </w:r>
      <w:r w:rsidR="009C3FF5">
        <w:t>Messiah refers to a person “anointed with sacred oil for a particular purpose or mission”</w:t>
      </w:r>
      <w:r w:rsidR="00346D84">
        <w:t>,</w:t>
      </w:r>
      <w:r w:rsidR="009C3FF5">
        <w:rPr>
          <w:rStyle w:val="FootnoteReference"/>
        </w:rPr>
        <w:footnoteReference w:id="17"/>
      </w:r>
      <w:r w:rsidR="00346D84">
        <w:t xml:space="preserve"> and was used most prominently</w:t>
      </w:r>
      <w:r w:rsidR="001B3185">
        <w:t xml:space="preserve"> for the reigning monarch, beginning in Israel with Saul and pre-eminently with David.</w:t>
      </w:r>
      <w:r w:rsidR="001B3185">
        <w:rPr>
          <w:rStyle w:val="FootnoteReference"/>
        </w:rPr>
        <w:footnoteReference w:id="18"/>
      </w:r>
      <w:r w:rsidR="001B3185">
        <w:t xml:space="preserve"> </w:t>
      </w:r>
      <w:r w:rsidR="000F5B67">
        <w:t xml:space="preserve">Other titles given to Jesus, such as “Son of God” (1:3), </w:t>
      </w:r>
      <w:r w:rsidR="004C71C5">
        <w:t>“Beloved Son” (3:22), and “Lord Most High” (1:12)</w:t>
      </w:r>
      <w:r w:rsidR="007A284F">
        <w:t xml:space="preserve"> are also consistent with titles given to royalty in ancient Israel.</w:t>
      </w:r>
      <w:r w:rsidR="007A284F">
        <w:rPr>
          <w:rStyle w:val="FootnoteReference"/>
        </w:rPr>
        <w:footnoteReference w:id="19"/>
      </w:r>
      <w:r w:rsidR="007A284F">
        <w:t xml:space="preserve"> </w:t>
      </w:r>
      <w:r w:rsidR="009A766E">
        <w:t xml:space="preserve">The ideology of a liberating Messiah comes from </w:t>
      </w:r>
      <w:r w:rsidR="007F764F">
        <w:t>2 Samuel 7, in which the prophet Nathan explains to King David that God would establish “kingdom of David’s offspring forever” (2 Sam. 7:12)</w:t>
      </w:r>
      <w:r w:rsidR="004126B8">
        <w:t xml:space="preserve">. </w:t>
      </w:r>
      <w:r w:rsidR="00557EE9">
        <w:t xml:space="preserve">This descendant of David would be related personally to God, who </w:t>
      </w:r>
      <w:r w:rsidR="00E708C7">
        <w:t>said</w:t>
      </w:r>
      <w:r w:rsidR="00557EE9">
        <w:t xml:space="preserve"> “I will be a father to him, and he shall be a son to me” (2 Sam. 7:14)</w:t>
      </w:r>
      <w:r w:rsidR="0023680C">
        <w:t xml:space="preserve">, just as Jesus is portrayed in Luke as being </w:t>
      </w:r>
      <w:r w:rsidR="001B3E6F">
        <w:t>God’s Son</w:t>
      </w:r>
      <w:r w:rsidR="00557EE9">
        <w:t xml:space="preserve">. </w:t>
      </w:r>
      <w:r w:rsidR="00E708C7">
        <w:t>Williams highlights that Gabriel’s announcement of Jesus’ conception is full of this language of royal messianic aspirations</w:t>
      </w:r>
      <w:r w:rsidR="0023680C">
        <w:t>.</w:t>
      </w:r>
      <w:r w:rsidR="00FE7613">
        <w:rPr>
          <w:rStyle w:val="FootnoteReference"/>
        </w:rPr>
        <w:footnoteReference w:id="20"/>
      </w:r>
      <w:r w:rsidR="00BA4B8E">
        <w:t xml:space="preserve"> Gabriel announces the birth of a saviour in the city of David “who is Messiah, Lord” (Luke 2:11). </w:t>
      </w:r>
    </w:p>
    <w:p w14:paraId="52101298" w14:textId="77777777" w:rsidR="009F60CA" w:rsidRDefault="005B5E27" w:rsidP="009F60CA">
      <w:pPr>
        <w:pBdr>
          <w:bottom w:val="single" w:sz="6" w:space="1" w:color="auto"/>
        </w:pBdr>
      </w:pPr>
      <w:r>
        <w:t>However, the depiction of Jesus in Luke’s Gospel is not wholl</w:t>
      </w:r>
      <w:r w:rsidR="00AC5112">
        <w:t>y parallel with the traditional Jewish Messianic figure. In the Jewish conception, the Messiah was a king anointed with the spirit of God who would be triumphant over Israel’s oppressor to establish a future independent kingdom for the Jewish people.</w:t>
      </w:r>
      <w:r w:rsidR="003B308A">
        <w:rPr>
          <w:rStyle w:val="FootnoteReference"/>
        </w:rPr>
        <w:footnoteReference w:id="21"/>
      </w:r>
      <w:r w:rsidR="003B308A">
        <w:t xml:space="preserve"> The hope of the Jews at the time of Jesus was for a Davidic Messiah who would deliver them from the oppression of the Romans who ruled over them.</w:t>
      </w:r>
      <w:r w:rsidR="003B308A">
        <w:rPr>
          <w:rStyle w:val="FootnoteReference"/>
        </w:rPr>
        <w:footnoteReference w:id="22"/>
      </w:r>
      <w:r w:rsidR="003B308A">
        <w:t xml:space="preserve"> </w:t>
      </w:r>
      <w:r w:rsidR="008B18D3">
        <w:t xml:space="preserve">Jesus does not fulfil ideas about this messianic figure: he is humiliated and executed by the oppressors instead of liberating the Jews from Roman control. </w:t>
      </w:r>
      <w:r w:rsidR="00DF0344">
        <w:t>Luke uses a distinctive title, ‘Son of Man’ (</w:t>
      </w:r>
      <w:r w:rsidR="00DF0344">
        <w:rPr>
          <w:i/>
          <w:iCs/>
        </w:rPr>
        <w:t>ben adam)</w:t>
      </w:r>
      <w:r w:rsidR="00D11E3D">
        <w:rPr>
          <w:i/>
          <w:iCs/>
        </w:rPr>
        <w:t>,</w:t>
      </w:r>
      <w:r w:rsidR="00DF0344">
        <w:rPr>
          <w:i/>
          <w:iCs/>
        </w:rPr>
        <w:t xml:space="preserve"> </w:t>
      </w:r>
      <w:r w:rsidR="00D11E3D">
        <w:t xml:space="preserve">sourced from the book of Daniel, in which the son of man comes to God in heaven and receives an “everlasting kingdom” (Dan. 7:13-14). </w:t>
      </w:r>
      <w:r w:rsidR="00AD668E">
        <w:t>Describing Jesus as the Son of Man, who ascended to God in heaven to receive that kingdom, explains why he did not drive out the Romans to establish God’s kingdom as the Jewish Messiah was expected to – he first had to ascend to heaven.</w:t>
      </w:r>
      <w:r w:rsidR="00AD668E">
        <w:rPr>
          <w:rStyle w:val="FootnoteReference"/>
        </w:rPr>
        <w:footnoteReference w:id="23"/>
      </w:r>
      <w:r w:rsidR="00AD668E">
        <w:t xml:space="preserve"> </w:t>
      </w:r>
      <w:r w:rsidR="00416436">
        <w:t>Early Christians identified Jesus as this son of Man figure and created a new figure of the Messiah, written in Greek as ‘Christos’</w:t>
      </w:r>
      <w:r w:rsidR="000F7D69">
        <w:t xml:space="preserve"> or Christ, to serve as an alternative to the traditional Davidic Messiah concept.</w:t>
      </w:r>
      <w:r w:rsidR="000F7D69">
        <w:rPr>
          <w:rStyle w:val="FootnoteReference"/>
        </w:rPr>
        <w:footnoteReference w:id="24"/>
      </w:r>
    </w:p>
    <w:p w14:paraId="4F2A1CF2" w14:textId="77777777" w:rsidR="009F60CA" w:rsidRDefault="00F73BEB" w:rsidP="009F60CA">
      <w:pPr>
        <w:pBdr>
          <w:bottom w:val="single" w:sz="6" w:space="1" w:color="auto"/>
        </w:pBdr>
      </w:pPr>
      <w:r>
        <w:t xml:space="preserve">Not only does the title ‘Son of Man’ connote his humanity, as in Hebrew the second title signifies at the most basic level ‘a human being’, but for Jesus it also represents </w:t>
      </w:r>
      <w:r w:rsidR="008C40AD">
        <w:t>a human being destined to suffer rejection and be murdered at the hands of other humans.</w:t>
      </w:r>
      <w:r w:rsidR="008C40AD">
        <w:rPr>
          <w:rStyle w:val="FootnoteReference"/>
        </w:rPr>
        <w:footnoteReference w:id="25"/>
      </w:r>
      <w:r w:rsidR="00D15E52">
        <w:t xml:space="preserve"> </w:t>
      </w:r>
      <w:r w:rsidR="008C40AD">
        <w:t xml:space="preserve">Later, in the passion narrative, </w:t>
      </w:r>
      <w:r w:rsidR="00DB5B43">
        <w:t xml:space="preserve">Jesus “resists being identified with traditional conceptions of the Messiah” when he replies to questioning from the Sanhedrin </w:t>
      </w:r>
      <w:r w:rsidR="00E27264">
        <w:t>about his Messiahship ambiguou</w:t>
      </w:r>
      <w:r w:rsidR="00D25172">
        <w:t>sly.</w:t>
      </w:r>
      <w:r w:rsidR="00D25172">
        <w:rPr>
          <w:rStyle w:val="FootnoteReference"/>
        </w:rPr>
        <w:footnoteReference w:id="26"/>
      </w:r>
    </w:p>
    <w:p w14:paraId="2AFD3DFB" w14:textId="7D5AD1A6" w:rsidR="009F60CA" w:rsidRDefault="005E6420" w:rsidP="009F60CA">
      <w:pPr>
        <w:pBdr>
          <w:bottom w:val="single" w:sz="6" w:space="1" w:color="auto"/>
        </w:pBdr>
      </w:pPr>
      <w:r>
        <w:t>Furthermore,</w:t>
      </w:r>
      <w:r w:rsidR="00340FF1">
        <w:t xml:space="preserve"> </w:t>
      </w:r>
      <w:r w:rsidR="001A3336">
        <w:t xml:space="preserve">Luke’s Jesus </w:t>
      </w:r>
      <w:r w:rsidR="00656AC3">
        <w:t>is presented as a saviour to all, including Gentiles</w:t>
      </w:r>
      <w:r w:rsidR="00D75260">
        <w:t xml:space="preserve">, who are presented as a </w:t>
      </w:r>
      <w:r w:rsidR="000A5A9A">
        <w:t>distinct focus of Jesus’ mission.</w:t>
      </w:r>
      <w:r w:rsidR="00FD5A12">
        <w:t xml:space="preserve"> Luke constructs the narrative of Jesus’ </w:t>
      </w:r>
      <w:r w:rsidR="00C91B5F">
        <w:t xml:space="preserve">ministry in a form </w:t>
      </w:r>
      <w:r w:rsidR="00C91B5F">
        <w:lastRenderedPageBreak/>
        <w:t xml:space="preserve">that would appeal to and be understood by Gentile audiences in order to showcase Jesus’ saving power </w:t>
      </w:r>
      <w:r w:rsidR="007572C7">
        <w:t>over them as well as the Jews.</w:t>
      </w:r>
      <w:r w:rsidR="000A5A9A">
        <w:t xml:space="preserve"> </w:t>
      </w:r>
      <w:r w:rsidR="000B6F82">
        <w:t>Firstly, Jesus’ deliberate violation of</w:t>
      </w:r>
      <w:r w:rsidR="00BF42FA">
        <w:t xml:space="preserve"> enforced social boundaries</w:t>
      </w:r>
      <w:r w:rsidR="00A64F7B">
        <w:t xml:space="preserve">, such as including women and social outcasts in his teaching, </w:t>
      </w:r>
      <w:r w:rsidR="00BF42FA">
        <w:t>in order to remove barriers of division can be viewed</w:t>
      </w:r>
      <w:r w:rsidR="00F808AE">
        <w:t xml:space="preserve"> as preparing the way for the Gentile mission of the apostles as recorded in 24:47.</w:t>
      </w:r>
      <w:r w:rsidR="00F808AE">
        <w:rPr>
          <w:rStyle w:val="FootnoteReference"/>
        </w:rPr>
        <w:footnoteReference w:id="27"/>
      </w:r>
      <w:r w:rsidR="00F808AE">
        <w:t xml:space="preserve"> </w:t>
      </w:r>
      <w:r w:rsidR="001A6785">
        <w:t xml:space="preserve">Secondly, </w:t>
      </w:r>
      <w:r w:rsidR="00A64F7B">
        <w:t>Luke move</w:t>
      </w:r>
      <w:r w:rsidR="009F410A">
        <w:t>s Jesus’ genealogy to chapter 3, unlike Matthew who locates it in chapter 1</w:t>
      </w:r>
      <w:r w:rsidR="0041392E">
        <w:t>, and there is another more pressing variation between the two Gospe</w:t>
      </w:r>
      <w:r w:rsidR="00074259">
        <w:t xml:space="preserve">ls: Matthew’s genealogy goes back to Abraham, the father of Israel, whereas Luke </w:t>
      </w:r>
      <w:r w:rsidR="008C7212">
        <w:t xml:space="preserve">links </w:t>
      </w:r>
      <w:r w:rsidR="002A639D">
        <w:t xml:space="preserve">his ancestry back to Adam, the father of the human race. </w:t>
      </w:r>
      <w:r w:rsidR="007100CA">
        <w:t>The choice to trace Jesus back to the beginning of humanity would make his ancestry far more important for Gentiles who would be unaffected by an Israelite lineage.</w:t>
      </w:r>
      <w:r w:rsidR="007100CA">
        <w:rPr>
          <w:rStyle w:val="FootnoteReference"/>
        </w:rPr>
        <w:footnoteReference w:id="28"/>
      </w:r>
      <w:r w:rsidR="008C7212">
        <w:t xml:space="preserve"> Adam is therefore “the organic relation of Christ to all humanity”</w:t>
      </w:r>
      <w:r w:rsidR="008C7212">
        <w:rPr>
          <w:rStyle w:val="FootnoteReference"/>
        </w:rPr>
        <w:footnoteReference w:id="29"/>
      </w:r>
      <w:r w:rsidR="008C7212">
        <w:t xml:space="preserve"> and this highlights that Jesus’ mission</w:t>
      </w:r>
      <w:r w:rsidR="00861F9E">
        <w:t>, for Luke,</w:t>
      </w:r>
      <w:r w:rsidR="008C7212">
        <w:t xml:space="preserve"> is ultimately to all mankind.</w:t>
      </w:r>
      <w:r w:rsidR="008C7212">
        <w:rPr>
          <w:rStyle w:val="FootnoteReference"/>
        </w:rPr>
        <w:footnoteReference w:id="30"/>
      </w:r>
    </w:p>
    <w:p w14:paraId="22EFFFBB" w14:textId="001A193E" w:rsidR="00AE6929" w:rsidRDefault="00840E92" w:rsidP="00AE6929">
      <w:pPr>
        <w:pBdr>
          <w:bottom w:val="single" w:sz="6" w:space="1" w:color="auto"/>
        </w:pBdr>
      </w:pPr>
      <w:r>
        <w:t xml:space="preserve">There are several distinct </w:t>
      </w:r>
      <w:r w:rsidR="006B42BB">
        <w:t>stories</w:t>
      </w:r>
      <w:r>
        <w:t xml:space="preserve"> found in Luke’s Gospel that point towards Jesus being open to the inclusion of Gentiles in his ministry. The first and perhaps most crucial is the healing of the centurion’s servant (7:1-10)</w:t>
      </w:r>
      <w:r w:rsidR="00334A75">
        <w:t xml:space="preserve">. The centurion exhibits such </w:t>
      </w:r>
      <w:r w:rsidR="008E408F">
        <w:t>trust in Jesus’ abilities that Jesus is left amazed, and exclaims, “I tell you, not even in Israel have I found such faith” (</w:t>
      </w:r>
      <w:r w:rsidR="006B42BB">
        <w:t xml:space="preserve">7:9). Luke’s motivation for this portrait of a faithful Gentile </w:t>
      </w:r>
      <w:r w:rsidR="00200469">
        <w:t>was potentially a pragmatic approach to the Jew-Gentile problem, and</w:t>
      </w:r>
      <w:r w:rsidR="00470318">
        <w:t xml:space="preserve"> Wilson argues that</w:t>
      </w:r>
      <w:r w:rsidR="00200469">
        <w:t xml:space="preserve"> his changes from Matthew</w:t>
      </w:r>
      <w:r w:rsidR="00B374D3">
        <w:t xml:space="preserve"> alter the narrative with the purpose of emphasising rather than toning down the implicit universalism.</w:t>
      </w:r>
      <w:r w:rsidR="00B374D3">
        <w:rPr>
          <w:rStyle w:val="FootnoteReference"/>
        </w:rPr>
        <w:footnoteReference w:id="31"/>
      </w:r>
      <w:r w:rsidR="00552FD5">
        <w:t>The second key passage comes from Jesus’ rejection at the synagogue in Nazareth, where he cites the stories of Elisha and Elijah saving Gentile widows instead of those of Israel (4:25-27)</w:t>
      </w:r>
      <w:r w:rsidR="004506AA">
        <w:t>. Wilson argues that this reference not only provides a Jewish precedent for the performance of miracles around and for Gentiles</w:t>
      </w:r>
      <w:r w:rsidR="00057508">
        <w:t xml:space="preserve"> but are also prophetic of the positive result of Jews’ rejection – the inclusion of the Gentiles</w:t>
      </w:r>
      <w:r w:rsidR="004506AA">
        <w:t>.</w:t>
      </w:r>
      <w:r w:rsidR="00057508">
        <w:rPr>
          <w:rStyle w:val="FootnoteReference"/>
        </w:rPr>
        <w:footnoteReference w:id="32"/>
      </w:r>
      <w:r w:rsidR="00E100E9">
        <w:t xml:space="preserve"> There are other sayings in the Gospel of Luke</w:t>
      </w:r>
      <w:r w:rsidR="00352580">
        <w:t xml:space="preserve"> that indicate this, including John the Baptist’s proclamation that “all flesh shall see the salvation of God” (3:6)</w:t>
      </w:r>
      <w:r w:rsidR="00090BAB">
        <w:t xml:space="preserve">. Jesus’ </w:t>
      </w:r>
      <w:r w:rsidR="0027045E">
        <w:t xml:space="preserve">commandment to his </w:t>
      </w:r>
      <w:r w:rsidR="001F635C">
        <w:t xml:space="preserve">disciples </w:t>
      </w:r>
      <w:r w:rsidR="00090BAB">
        <w:t>before his ascension at the end of Luke’s Gospel</w:t>
      </w:r>
      <w:r w:rsidR="0027045E">
        <w:t xml:space="preserve"> is arguably the most conclusive</w:t>
      </w:r>
      <w:r w:rsidR="001F635C">
        <w:t xml:space="preserve">: </w:t>
      </w:r>
      <w:r w:rsidR="0027045E">
        <w:t>“repentance and forgiveness of sins is to be proclaimed in his name to all nations, beginning from Jerusalem</w:t>
      </w:r>
      <w:r w:rsidR="001F635C">
        <w:t xml:space="preserve">” (24:47). </w:t>
      </w:r>
      <w:r w:rsidR="00AA61FE">
        <w:t xml:space="preserve">The character of Jesus’ ministry and the statements he </w:t>
      </w:r>
      <w:r w:rsidR="00AE6929">
        <w:t xml:space="preserve">and other characters </w:t>
      </w:r>
      <w:r w:rsidR="00AA61FE">
        <w:t xml:space="preserve">make </w:t>
      </w:r>
      <w:r w:rsidR="00753E4F">
        <w:t>all point towards his identity as a saviour to all, including Gentile</w:t>
      </w:r>
      <w:r w:rsidR="00AE6929">
        <w:t xml:space="preserve">s. </w:t>
      </w:r>
    </w:p>
    <w:p w14:paraId="390DD33C" w14:textId="15FA8F56" w:rsidR="00B20D63" w:rsidRDefault="00037938" w:rsidP="0098082A">
      <w:pPr>
        <w:pBdr>
          <w:bottom w:val="single" w:sz="6" w:space="1" w:color="auto"/>
        </w:pBdr>
      </w:pPr>
      <w:r>
        <w:t xml:space="preserve">In conclusion, </w:t>
      </w:r>
      <w:r w:rsidR="003B4F43">
        <w:t xml:space="preserve">the distinctive </w:t>
      </w:r>
      <w:r w:rsidR="0068624B">
        <w:t xml:space="preserve">Christological </w:t>
      </w:r>
      <w:r w:rsidR="003B4F43">
        <w:t>features of Luke’s Gospel includ</w:t>
      </w:r>
      <w:r w:rsidR="00010330">
        <w:t xml:space="preserve">e </w:t>
      </w:r>
      <w:r w:rsidR="003B4F43">
        <w:t xml:space="preserve">the </w:t>
      </w:r>
      <w:r w:rsidR="009E491A">
        <w:t>utilisation of the title ‘Son of Man’</w:t>
      </w:r>
      <w:r w:rsidR="00AE1981">
        <w:t xml:space="preserve"> to create a new Christian form of Messiah</w:t>
      </w:r>
      <w:r w:rsidR="009E491A">
        <w:t>, the inclusion of Gentiles in Jesus’ saving</w:t>
      </w:r>
      <w:r w:rsidR="0098082A">
        <w:t xml:space="preserve"> message,</w:t>
      </w:r>
      <w:r w:rsidR="00AE1981">
        <w:t xml:space="preserve"> and</w:t>
      </w:r>
      <w:r w:rsidR="009E491A">
        <w:t xml:space="preserve"> the</w:t>
      </w:r>
      <w:r w:rsidR="009B6E1D">
        <w:t xml:space="preserve"> characterisation of him </w:t>
      </w:r>
      <w:r w:rsidR="00DB3487">
        <w:t>using Israelite prophetic examples</w:t>
      </w:r>
      <w:r w:rsidR="000A6422">
        <w:t xml:space="preserve">. </w:t>
      </w:r>
      <w:r w:rsidR="00010330">
        <w:t xml:space="preserve">These features </w:t>
      </w:r>
      <w:r w:rsidR="0068624B">
        <w:t>all contribute to the overall presentation of Jesus within the Gospel as a</w:t>
      </w:r>
      <w:r w:rsidR="00DB3487">
        <w:t xml:space="preserve"> prophet who died a martyr under corrupt Jewish authorities,</w:t>
      </w:r>
      <w:r w:rsidR="006845E6">
        <w:t xml:space="preserve"> and a teacher who worke</w:t>
      </w:r>
      <w:r w:rsidR="00D14E0B">
        <w:t>d to spread a saving message to all</w:t>
      </w:r>
      <w:r w:rsidR="00F412F6">
        <w:t>, not just people who shared his Jewish faith.</w:t>
      </w:r>
    </w:p>
    <w:p w14:paraId="7157460D" w14:textId="77777777" w:rsidR="009E5BB2" w:rsidRDefault="009E5BB2" w:rsidP="009F60CA">
      <w:pPr>
        <w:pBdr>
          <w:bottom w:val="single" w:sz="6" w:space="1" w:color="auto"/>
        </w:pBdr>
      </w:pPr>
    </w:p>
    <w:p w14:paraId="16C8D73A" w14:textId="77777777" w:rsidR="0084450E" w:rsidRDefault="0084450E" w:rsidP="009F60CA">
      <w:pPr>
        <w:pBdr>
          <w:bottom w:val="single" w:sz="6" w:space="1" w:color="auto"/>
        </w:pBdr>
      </w:pPr>
    </w:p>
    <w:p w14:paraId="065D5DF9" w14:textId="77777777" w:rsidR="008B3EA7" w:rsidRDefault="008B3EA7" w:rsidP="009F60CA">
      <w:pPr>
        <w:pBdr>
          <w:bottom w:val="single" w:sz="6" w:space="1" w:color="auto"/>
        </w:pBdr>
      </w:pPr>
    </w:p>
    <w:p w14:paraId="08399A13" w14:textId="77777777" w:rsidR="0084450E" w:rsidRPr="0084450E" w:rsidRDefault="0084450E" w:rsidP="0084450E">
      <w:pPr>
        <w:spacing w:after="240" w:line="360" w:lineRule="auto"/>
        <w:outlineLvl w:val="0"/>
        <w:rPr>
          <w:rFonts w:eastAsia="Times New Roman" w:cs="Times New Roman"/>
          <w:b/>
          <w:bCs/>
          <w:kern w:val="36"/>
          <w:sz w:val="36"/>
          <w:szCs w:val="36"/>
          <w:lang w:eastAsia="en-GB" w:bidi="he-IL"/>
          <w14:ligatures w14:val="none"/>
        </w:rPr>
      </w:pPr>
      <w:r w:rsidRPr="0084450E">
        <w:rPr>
          <w:rFonts w:eastAsia="Times New Roman" w:cs="Times New Roman"/>
          <w:b/>
          <w:bCs/>
          <w:kern w:val="36"/>
          <w:sz w:val="36"/>
          <w:szCs w:val="36"/>
          <w:lang w:eastAsia="en-GB" w:bidi="he-IL"/>
          <w14:ligatures w14:val="none"/>
        </w:rPr>
        <w:t>Bibliography</w:t>
      </w:r>
    </w:p>
    <w:p w14:paraId="24D87EAE" w14:textId="77777777" w:rsidR="0084450E" w:rsidRPr="0084450E" w:rsidRDefault="0084450E" w:rsidP="0084450E">
      <w:pPr>
        <w:spacing w:after="240" w:line="360" w:lineRule="auto"/>
        <w:ind w:hanging="720"/>
        <w:rPr>
          <w:rFonts w:eastAsia="Times New Roman" w:cs="Times New Roman"/>
          <w:kern w:val="0"/>
          <w:sz w:val="24"/>
          <w:szCs w:val="24"/>
          <w:lang w:eastAsia="en-GB" w:bidi="he-IL"/>
          <w14:ligatures w14:val="none"/>
        </w:rPr>
      </w:pPr>
      <w:r w:rsidRPr="0084450E">
        <w:rPr>
          <w:rFonts w:eastAsia="Times New Roman" w:cs="Times New Roman"/>
          <w:kern w:val="0"/>
          <w:sz w:val="24"/>
          <w:szCs w:val="24"/>
          <w:lang w:eastAsia="en-GB" w:bidi="he-IL"/>
          <w14:ligatures w14:val="none"/>
        </w:rPr>
        <w:t xml:space="preserve">Blenkinsopp, Joseph, </w:t>
      </w:r>
      <w:r w:rsidRPr="0084450E">
        <w:rPr>
          <w:rFonts w:eastAsia="Times New Roman" w:cs="Times New Roman"/>
          <w:i/>
          <w:iCs/>
          <w:kern w:val="0"/>
          <w:sz w:val="24"/>
          <w:szCs w:val="24"/>
          <w:lang w:eastAsia="en-GB" w:bidi="he-IL"/>
          <w14:ligatures w14:val="none"/>
        </w:rPr>
        <w:t>Luke’s Jesus: Between Incarnation and Crucifixion</w:t>
      </w:r>
      <w:r w:rsidRPr="0084450E">
        <w:rPr>
          <w:rFonts w:eastAsia="Times New Roman" w:cs="Times New Roman"/>
          <w:kern w:val="0"/>
          <w:sz w:val="24"/>
          <w:szCs w:val="24"/>
          <w:lang w:eastAsia="en-GB" w:bidi="he-IL"/>
          <w14:ligatures w14:val="none"/>
        </w:rPr>
        <w:t xml:space="preserve"> (Fortress Press, 2021)</w:t>
      </w:r>
    </w:p>
    <w:p w14:paraId="2080A065" w14:textId="77777777" w:rsidR="0084450E" w:rsidRPr="0084450E" w:rsidRDefault="0084450E" w:rsidP="0084450E">
      <w:pPr>
        <w:spacing w:after="240" w:line="360" w:lineRule="auto"/>
        <w:ind w:hanging="720"/>
        <w:rPr>
          <w:rFonts w:eastAsia="Times New Roman" w:cs="Times New Roman"/>
          <w:kern w:val="0"/>
          <w:sz w:val="24"/>
          <w:szCs w:val="24"/>
          <w:lang w:eastAsia="en-GB" w:bidi="he-IL"/>
          <w14:ligatures w14:val="none"/>
        </w:rPr>
      </w:pPr>
      <w:r w:rsidRPr="0084450E">
        <w:rPr>
          <w:rFonts w:eastAsia="Times New Roman" w:cs="Times New Roman"/>
          <w:kern w:val="0"/>
          <w:sz w:val="24"/>
          <w:szCs w:val="24"/>
          <w:lang w:eastAsia="en-GB" w:bidi="he-IL"/>
          <w14:ligatures w14:val="none"/>
        </w:rPr>
        <w:t xml:space="preserve">Burkett, Delbert, ‘Jesus in Luke-Acts’, in </w:t>
      </w:r>
      <w:r w:rsidRPr="0084450E">
        <w:rPr>
          <w:rFonts w:eastAsia="Times New Roman" w:cs="Times New Roman"/>
          <w:i/>
          <w:iCs/>
          <w:kern w:val="0"/>
          <w:sz w:val="24"/>
          <w:szCs w:val="24"/>
          <w:lang w:eastAsia="en-GB" w:bidi="he-IL"/>
          <w14:ligatures w14:val="none"/>
        </w:rPr>
        <w:t>The Blackwell Companion to Jesus</w:t>
      </w:r>
      <w:r w:rsidRPr="0084450E">
        <w:rPr>
          <w:rFonts w:eastAsia="Times New Roman" w:cs="Times New Roman"/>
          <w:kern w:val="0"/>
          <w:sz w:val="24"/>
          <w:szCs w:val="24"/>
          <w:lang w:eastAsia="en-GB" w:bidi="he-IL"/>
          <w14:ligatures w14:val="none"/>
        </w:rPr>
        <w:t xml:space="preserve"> (Wiley Blackwell, 2013), pp. 47–63</w:t>
      </w:r>
    </w:p>
    <w:p w14:paraId="01960B9A" w14:textId="77777777" w:rsidR="0084450E" w:rsidRPr="0084450E" w:rsidRDefault="0084450E" w:rsidP="0084450E">
      <w:pPr>
        <w:spacing w:after="240" w:line="360" w:lineRule="auto"/>
        <w:ind w:hanging="720"/>
        <w:rPr>
          <w:rFonts w:eastAsia="Times New Roman" w:cs="Times New Roman"/>
          <w:kern w:val="0"/>
          <w:sz w:val="24"/>
          <w:szCs w:val="24"/>
          <w:lang w:eastAsia="en-GB" w:bidi="he-IL"/>
          <w14:ligatures w14:val="none"/>
        </w:rPr>
      </w:pPr>
      <w:r w:rsidRPr="0084450E">
        <w:rPr>
          <w:rFonts w:eastAsia="Times New Roman" w:cs="Times New Roman"/>
          <w:kern w:val="0"/>
          <w:sz w:val="24"/>
          <w:szCs w:val="24"/>
          <w:lang w:eastAsia="en-GB" w:bidi="he-IL"/>
          <w14:ligatures w14:val="none"/>
        </w:rPr>
        <w:t xml:space="preserve">Ehrman, Bart D, </w:t>
      </w:r>
      <w:r w:rsidRPr="0084450E">
        <w:rPr>
          <w:rFonts w:eastAsia="Times New Roman" w:cs="Times New Roman"/>
          <w:i/>
          <w:iCs/>
          <w:kern w:val="0"/>
          <w:sz w:val="24"/>
          <w:szCs w:val="24"/>
          <w:lang w:eastAsia="en-GB" w:bidi="he-IL"/>
          <w14:ligatures w14:val="none"/>
        </w:rPr>
        <w:t>Brief Introduction to the New Testament.</w:t>
      </w:r>
      <w:r w:rsidRPr="0084450E">
        <w:rPr>
          <w:rFonts w:eastAsia="Times New Roman" w:cs="Times New Roman"/>
          <w:kern w:val="0"/>
          <w:sz w:val="24"/>
          <w:szCs w:val="24"/>
          <w:lang w:eastAsia="en-GB" w:bidi="he-IL"/>
          <w14:ligatures w14:val="none"/>
        </w:rPr>
        <w:t xml:space="preserve"> (S.L.: Oxford </w:t>
      </w:r>
      <w:proofErr w:type="spellStart"/>
      <w:r w:rsidRPr="0084450E">
        <w:rPr>
          <w:rFonts w:eastAsia="Times New Roman" w:cs="Times New Roman"/>
          <w:kern w:val="0"/>
          <w:sz w:val="24"/>
          <w:szCs w:val="24"/>
          <w:lang w:eastAsia="en-GB" w:bidi="he-IL"/>
          <w14:ligatures w14:val="none"/>
        </w:rPr>
        <w:t>Univ</w:t>
      </w:r>
      <w:proofErr w:type="spellEnd"/>
      <w:r w:rsidRPr="0084450E">
        <w:rPr>
          <w:rFonts w:eastAsia="Times New Roman" w:cs="Times New Roman"/>
          <w:kern w:val="0"/>
          <w:sz w:val="24"/>
          <w:szCs w:val="24"/>
          <w:lang w:eastAsia="en-GB" w:bidi="he-IL"/>
          <w14:ligatures w14:val="none"/>
        </w:rPr>
        <w:t xml:space="preserve"> Press Us, 2020)</w:t>
      </w:r>
    </w:p>
    <w:p w14:paraId="7447BC4E" w14:textId="77777777" w:rsidR="0084450E" w:rsidRPr="0084450E" w:rsidRDefault="0084450E" w:rsidP="0084450E">
      <w:pPr>
        <w:spacing w:after="240" w:line="360" w:lineRule="auto"/>
        <w:ind w:hanging="720"/>
        <w:rPr>
          <w:rFonts w:eastAsia="Times New Roman" w:cs="Times New Roman"/>
          <w:kern w:val="0"/>
          <w:sz w:val="24"/>
          <w:szCs w:val="24"/>
          <w:lang w:eastAsia="en-GB" w:bidi="he-IL"/>
          <w14:ligatures w14:val="none"/>
        </w:rPr>
      </w:pPr>
      <w:r w:rsidRPr="0084450E">
        <w:rPr>
          <w:rFonts w:eastAsia="Times New Roman" w:cs="Times New Roman"/>
          <w:kern w:val="0"/>
          <w:sz w:val="24"/>
          <w:szCs w:val="24"/>
          <w:lang w:eastAsia="en-GB" w:bidi="he-IL"/>
          <w14:ligatures w14:val="none"/>
        </w:rPr>
        <w:t xml:space="preserve">Green, Joel B, </w:t>
      </w:r>
      <w:r w:rsidRPr="0084450E">
        <w:rPr>
          <w:rFonts w:eastAsia="Times New Roman" w:cs="Times New Roman"/>
          <w:i/>
          <w:iCs/>
          <w:kern w:val="0"/>
          <w:sz w:val="24"/>
          <w:szCs w:val="24"/>
          <w:lang w:eastAsia="en-GB" w:bidi="he-IL"/>
          <w14:ligatures w14:val="none"/>
        </w:rPr>
        <w:t>The Gospel of Luke</w:t>
      </w:r>
      <w:r w:rsidRPr="0084450E">
        <w:rPr>
          <w:rFonts w:eastAsia="Times New Roman" w:cs="Times New Roman"/>
          <w:kern w:val="0"/>
          <w:sz w:val="24"/>
          <w:szCs w:val="24"/>
          <w:lang w:eastAsia="en-GB" w:bidi="he-IL"/>
          <w14:ligatures w14:val="none"/>
        </w:rPr>
        <w:t xml:space="preserve"> (Grand Rapids, MI: W.B. Eerdmans Pub. Co, 1997)</w:t>
      </w:r>
    </w:p>
    <w:p w14:paraId="7F0FE05D" w14:textId="77777777" w:rsidR="0084450E" w:rsidRPr="0084450E" w:rsidRDefault="0084450E" w:rsidP="0084450E">
      <w:pPr>
        <w:spacing w:after="240" w:line="360" w:lineRule="auto"/>
        <w:ind w:hanging="720"/>
        <w:rPr>
          <w:rFonts w:eastAsia="Times New Roman" w:cs="Times New Roman"/>
          <w:kern w:val="0"/>
          <w:sz w:val="24"/>
          <w:szCs w:val="24"/>
          <w:lang w:eastAsia="en-GB" w:bidi="he-IL"/>
          <w14:ligatures w14:val="none"/>
        </w:rPr>
      </w:pPr>
      <w:r w:rsidRPr="0084450E">
        <w:rPr>
          <w:rFonts w:eastAsia="Times New Roman" w:cs="Times New Roman"/>
          <w:kern w:val="0"/>
          <w:sz w:val="24"/>
          <w:szCs w:val="24"/>
          <w:lang w:eastAsia="en-GB" w:bidi="he-IL"/>
          <w14:ligatures w14:val="none"/>
        </w:rPr>
        <w:t xml:space="preserve">Johnson, Luke Timothy, and Daniel J Harrington, </w:t>
      </w:r>
      <w:r w:rsidRPr="0084450E">
        <w:rPr>
          <w:rFonts w:eastAsia="Times New Roman" w:cs="Times New Roman"/>
          <w:i/>
          <w:iCs/>
          <w:kern w:val="0"/>
          <w:sz w:val="24"/>
          <w:szCs w:val="24"/>
          <w:lang w:eastAsia="en-GB" w:bidi="he-IL"/>
          <w14:ligatures w14:val="none"/>
        </w:rPr>
        <w:t>The Gospel of Luke</w:t>
      </w:r>
      <w:r w:rsidRPr="0084450E">
        <w:rPr>
          <w:rFonts w:eastAsia="Times New Roman" w:cs="Times New Roman"/>
          <w:kern w:val="0"/>
          <w:sz w:val="24"/>
          <w:szCs w:val="24"/>
          <w:lang w:eastAsia="en-GB" w:bidi="he-IL"/>
          <w14:ligatures w14:val="none"/>
        </w:rPr>
        <w:t xml:space="preserve"> (Collegeville, Minn.: Liturgical Press, 1991)</w:t>
      </w:r>
    </w:p>
    <w:p w14:paraId="1F1F480C" w14:textId="77777777" w:rsidR="0084450E" w:rsidRPr="0084450E" w:rsidRDefault="0084450E" w:rsidP="0084450E">
      <w:pPr>
        <w:spacing w:after="240" w:line="360" w:lineRule="auto"/>
        <w:ind w:hanging="720"/>
        <w:rPr>
          <w:rFonts w:eastAsia="Times New Roman" w:cs="Times New Roman"/>
          <w:kern w:val="0"/>
          <w:sz w:val="24"/>
          <w:szCs w:val="24"/>
          <w:lang w:eastAsia="en-GB" w:bidi="he-IL"/>
          <w14:ligatures w14:val="none"/>
        </w:rPr>
      </w:pPr>
      <w:r w:rsidRPr="0084450E">
        <w:rPr>
          <w:rFonts w:eastAsia="Times New Roman" w:cs="Times New Roman"/>
          <w:kern w:val="0"/>
          <w:sz w:val="24"/>
          <w:szCs w:val="24"/>
          <w:lang w:eastAsia="en-GB" w:bidi="he-IL"/>
          <w14:ligatures w14:val="none"/>
        </w:rPr>
        <w:t xml:space="preserve">Marsh, Clive, and Steve Moyise, </w:t>
      </w:r>
      <w:proofErr w:type="gramStart"/>
      <w:r w:rsidRPr="0084450E">
        <w:rPr>
          <w:rFonts w:eastAsia="Times New Roman" w:cs="Times New Roman"/>
          <w:i/>
          <w:iCs/>
          <w:kern w:val="0"/>
          <w:sz w:val="24"/>
          <w:szCs w:val="24"/>
          <w:lang w:eastAsia="en-GB" w:bidi="he-IL"/>
          <w14:ligatures w14:val="none"/>
        </w:rPr>
        <w:t>Jesus</w:t>
      </w:r>
      <w:proofErr w:type="gramEnd"/>
      <w:r w:rsidRPr="0084450E">
        <w:rPr>
          <w:rFonts w:eastAsia="Times New Roman" w:cs="Times New Roman"/>
          <w:i/>
          <w:iCs/>
          <w:kern w:val="0"/>
          <w:sz w:val="24"/>
          <w:szCs w:val="24"/>
          <w:lang w:eastAsia="en-GB" w:bidi="he-IL"/>
          <w14:ligatures w14:val="none"/>
        </w:rPr>
        <w:t xml:space="preserve"> and the Gospels</w:t>
      </w:r>
      <w:r w:rsidRPr="0084450E">
        <w:rPr>
          <w:rFonts w:eastAsia="Times New Roman" w:cs="Times New Roman"/>
          <w:kern w:val="0"/>
          <w:sz w:val="24"/>
          <w:szCs w:val="24"/>
          <w:lang w:eastAsia="en-GB" w:bidi="he-IL"/>
          <w14:ligatures w14:val="none"/>
        </w:rPr>
        <w:t xml:space="preserve"> (Bloomsbury Publishing, 2015)</w:t>
      </w:r>
    </w:p>
    <w:p w14:paraId="0E1BBC5E" w14:textId="77777777" w:rsidR="0084450E" w:rsidRPr="0084450E" w:rsidRDefault="0084450E" w:rsidP="0084450E">
      <w:pPr>
        <w:spacing w:after="240" w:line="360" w:lineRule="auto"/>
        <w:ind w:hanging="720"/>
        <w:rPr>
          <w:rFonts w:eastAsia="Times New Roman" w:cs="Times New Roman"/>
          <w:kern w:val="0"/>
          <w:sz w:val="24"/>
          <w:szCs w:val="24"/>
          <w:lang w:eastAsia="en-GB" w:bidi="he-IL"/>
          <w14:ligatures w14:val="none"/>
        </w:rPr>
      </w:pPr>
      <w:r w:rsidRPr="0084450E">
        <w:rPr>
          <w:rFonts w:eastAsia="Times New Roman" w:cs="Times New Roman"/>
          <w:kern w:val="0"/>
          <w:sz w:val="24"/>
          <w:szCs w:val="24"/>
          <w:lang w:eastAsia="en-GB" w:bidi="he-IL"/>
          <w14:ligatures w14:val="none"/>
        </w:rPr>
        <w:t xml:space="preserve">McWhirter, Jocelyn, </w:t>
      </w:r>
      <w:r w:rsidRPr="0084450E">
        <w:rPr>
          <w:rFonts w:eastAsia="Times New Roman" w:cs="Times New Roman"/>
          <w:i/>
          <w:iCs/>
          <w:kern w:val="0"/>
          <w:sz w:val="24"/>
          <w:szCs w:val="24"/>
          <w:lang w:eastAsia="en-GB" w:bidi="he-IL"/>
          <w14:ligatures w14:val="none"/>
        </w:rPr>
        <w:t>Rejected Prophets</w:t>
      </w:r>
      <w:r w:rsidRPr="0084450E">
        <w:rPr>
          <w:rFonts w:eastAsia="Times New Roman" w:cs="Times New Roman"/>
          <w:kern w:val="0"/>
          <w:sz w:val="24"/>
          <w:szCs w:val="24"/>
          <w:lang w:eastAsia="en-GB" w:bidi="he-IL"/>
          <w14:ligatures w14:val="none"/>
        </w:rPr>
        <w:t xml:space="preserve"> (Augsburg Fortress Publishers, 2013)</w:t>
      </w:r>
    </w:p>
    <w:p w14:paraId="59162AFA" w14:textId="77777777" w:rsidR="0084450E" w:rsidRPr="0084450E" w:rsidRDefault="0084450E" w:rsidP="0084450E">
      <w:pPr>
        <w:spacing w:after="240" w:line="360" w:lineRule="auto"/>
        <w:ind w:hanging="720"/>
        <w:rPr>
          <w:rFonts w:eastAsia="Times New Roman" w:cs="Times New Roman"/>
          <w:kern w:val="0"/>
          <w:sz w:val="24"/>
          <w:szCs w:val="24"/>
          <w:lang w:eastAsia="en-GB" w:bidi="he-IL"/>
          <w14:ligatures w14:val="none"/>
        </w:rPr>
      </w:pPr>
      <w:r w:rsidRPr="0084450E">
        <w:rPr>
          <w:rFonts w:eastAsia="Times New Roman" w:cs="Times New Roman"/>
          <w:kern w:val="0"/>
          <w:sz w:val="24"/>
          <w:szCs w:val="24"/>
          <w:lang w:eastAsia="en-GB" w:bidi="he-IL"/>
          <w14:ligatures w14:val="none"/>
        </w:rPr>
        <w:t xml:space="preserve">Ravens, D. A. </w:t>
      </w:r>
      <w:proofErr w:type="gramStart"/>
      <w:r w:rsidRPr="0084450E">
        <w:rPr>
          <w:rFonts w:eastAsia="Times New Roman" w:cs="Times New Roman"/>
          <w:kern w:val="0"/>
          <w:sz w:val="24"/>
          <w:szCs w:val="24"/>
          <w:lang w:eastAsia="en-GB" w:bidi="he-IL"/>
          <w14:ligatures w14:val="none"/>
        </w:rPr>
        <w:t>S. ,</w:t>
      </w:r>
      <w:proofErr w:type="gramEnd"/>
      <w:r w:rsidRPr="0084450E">
        <w:rPr>
          <w:rFonts w:eastAsia="Times New Roman" w:cs="Times New Roman"/>
          <w:kern w:val="0"/>
          <w:sz w:val="24"/>
          <w:szCs w:val="24"/>
          <w:lang w:eastAsia="en-GB" w:bidi="he-IL"/>
          <w14:ligatures w14:val="none"/>
        </w:rPr>
        <w:t xml:space="preserve"> ‘Luke 9.7-62 and the Prophetic Role of Jesus’, </w:t>
      </w:r>
      <w:r w:rsidRPr="0084450E">
        <w:rPr>
          <w:rFonts w:eastAsia="Times New Roman" w:cs="Times New Roman"/>
          <w:i/>
          <w:iCs/>
          <w:kern w:val="0"/>
          <w:sz w:val="24"/>
          <w:szCs w:val="24"/>
          <w:lang w:eastAsia="en-GB" w:bidi="he-IL"/>
          <w14:ligatures w14:val="none"/>
        </w:rPr>
        <w:t>New Testament Studies</w:t>
      </w:r>
      <w:r w:rsidRPr="0084450E">
        <w:rPr>
          <w:rFonts w:eastAsia="Times New Roman" w:cs="Times New Roman"/>
          <w:kern w:val="0"/>
          <w:sz w:val="24"/>
          <w:szCs w:val="24"/>
          <w:lang w:eastAsia="en-GB" w:bidi="he-IL"/>
          <w14:ligatures w14:val="none"/>
        </w:rPr>
        <w:t>, 36 (1990), 119–29</w:t>
      </w:r>
    </w:p>
    <w:p w14:paraId="427BA7F0" w14:textId="77777777" w:rsidR="0084450E" w:rsidRPr="0084450E" w:rsidRDefault="0084450E" w:rsidP="0084450E">
      <w:pPr>
        <w:spacing w:after="240" w:line="360" w:lineRule="auto"/>
        <w:ind w:hanging="720"/>
        <w:rPr>
          <w:rFonts w:eastAsia="Times New Roman" w:cs="Times New Roman"/>
          <w:kern w:val="0"/>
          <w:sz w:val="24"/>
          <w:szCs w:val="24"/>
          <w:lang w:eastAsia="en-GB" w:bidi="he-IL"/>
          <w14:ligatures w14:val="none"/>
        </w:rPr>
      </w:pPr>
      <w:r w:rsidRPr="0084450E">
        <w:rPr>
          <w:rFonts w:eastAsia="Times New Roman" w:cs="Times New Roman"/>
          <w:kern w:val="0"/>
          <w:sz w:val="24"/>
          <w:szCs w:val="24"/>
          <w:lang w:eastAsia="en-GB" w:bidi="he-IL"/>
          <w14:ligatures w14:val="none"/>
        </w:rPr>
        <w:t xml:space="preserve">Williams, </w:t>
      </w:r>
      <w:proofErr w:type="gramStart"/>
      <w:r w:rsidRPr="0084450E">
        <w:rPr>
          <w:rFonts w:eastAsia="Times New Roman" w:cs="Times New Roman"/>
          <w:kern w:val="0"/>
          <w:sz w:val="24"/>
          <w:szCs w:val="24"/>
          <w:lang w:eastAsia="en-GB" w:bidi="he-IL"/>
          <w14:ligatures w14:val="none"/>
        </w:rPr>
        <w:t>Catrin ,</w:t>
      </w:r>
      <w:proofErr w:type="gramEnd"/>
      <w:r w:rsidRPr="0084450E">
        <w:rPr>
          <w:rFonts w:eastAsia="Times New Roman" w:cs="Times New Roman"/>
          <w:kern w:val="0"/>
          <w:sz w:val="24"/>
          <w:szCs w:val="24"/>
          <w:lang w:eastAsia="en-GB" w:bidi="he-IL"/>
          <w14:ligatures w14:val="none"/>
        </w:rPr>
        <w:t xml:space="preserve"> ‘New Testament Christology: Interpretations of the Identity and Role of Jesus’, in </w:t>
      </w:r>
      <w:r w:rsidRPr="0084450E">
        <w:rPr>
          <w:rFonts w:eastAsia="Times New Roman" w:cs="Times New Roman"/>
          <w:i/>
          <w:iCs/>
          <w:kern w:val="0"/>
          <w:sz w:val="24"/>
          <w:szCs w:val="24"/>
          <w:lang w:eastAsia="en-GB" w:bidi="he-IL"/>
          <w14:ligatures w14:val="none"/>
        </w:rPr>
        <w:t>The Biblical World</w:t>
      </w:r>
      <w:r w:rsidRPr="0084450E">
        <w:rPr>
          <w:rFonts w:eastAsia="Times New Roman" w:cs="Times New Roman"/>
          <w:kern w:val="0"/>
          <w:sz w:val="24"/>
          <w:szCs w:val="24"/>
          <w:lang w:eastAsia="en-GB" w:bidi="he-IL"/>
          <w14:ligatures w14:val="none"/>
        </w:rPr>
        <w:t xml:space="preserve"> (Routledge, 2021), pp. 813–33</w:t>
      </w:r>
    </w:p>
    <w:p w14:paraId="1CE68A57" w14:textId="77777777" w:rsidR="0084450E" w:rsidRPr="0084450E" w:rsidRDefault="0084450E" w:rsidP="0084450E">
      <w:pPr>
        <w:spacing w:after="240" w:line="360" w:lineRule="auto"/>
        <w:ind w:hanging="720"/>
        <w:rPr>
          <w:rFonts w:eastAsia="Times New Roman" w:cs="Times New Roman"/>
          <w:kern w:val="0"/>
          <w:sz w:val="24"/>
          <w:szCs w:val="24"/>
          <w:lang w:eastAsia="en-GB" w:bidi="he-IL"/>
          <w14:ligatures w14:val="none"/>
        </w:rPr>
      </w:pPr>
      <w:r w:rsidRPr="0084450E">
        <w:rPr>
          <w:rFonts w:eastAsia="Times New Roman" w:cs="Times New Roman"/>
          <w:kern w:val="0"/>
          <w:sz w:val="24"/>
          <w:szCs w:val="24"/>
          <w:lang w:eastAsia="en-GB" w:bidi="he-IL"/>
          <w14:ligatures w14:val="none"/>
        </w:rPr>
        <w:t xml:space="preserve">Wilson, S G, </w:t>
      </w:r>
      <w:r w:rsidRPr="0084450E">
        <w:rPr>
          <w:rFonts w:eastAsia="Times New Roman" w:cs="Times New Roman"/>
          <w:i/>
          <w:iCs/>
          <w:kern w:val="0"/>
          <w:sz w:val="24"/>
          <w:szCs w:val="24"/>
          <w:lang w:eastAsia="en-GB" w:bidi="he-IL"/>
          <w14:ligatures w14:val="none"/>
        </w:rPr>
        <w:t>The Gentiles and the Gentile Mission in Luke-Acts</w:t>
      </w:r>
      <w:r w:rsidRPr="0084450E">
        <w:rPr>
          <w:rFonts w:eastAsia="Times New Roman" w:cs="Times New Roman"/>
          <w:kern w:val="0"/>
          <w:sz w:val="24"/>
          <w:szCs w:val="24"/>
          <w:lang w:eastAsia="en-GB" w:bidi="he-IL"/>
          <w14:ligatures w14:val="none"/>
        </w:rPr>
        <w:t xml:space="preserve"> (</w:t>
      </w:r>
      <w:proofErr w:type="gramStart"/>
      <w:r w:rsidRPr="0084450E">
        <w:rPr>
          <w:rFonts w:eastAsia="Times New Roman" w:cs="Times New Roman"/>
          <w:kern w:val="0"/>
          <w:sz w:val="24"/>
          <w:szCs w:val="24"/>
          <w:lang w:eastAsia="en-GB" w:bidi="he-IL"/>
          <w14:ligatures w14:val="none"/>
        </w:rPr>
        <w:t>Cambridge ;</w:t>
      </w:r>
      <w:proofErr w:type="gramEnd"/>
      <w:r w:rsidRPr="0084450E">
        <w:rPr>
          <w:rFonts w:eastAsia="Times New Roman" w:cs="Times New Roman"/>
          <w:kern w:val="0"/>
          <w:sz w:val="24"/>
          <w:szCs w:val="24"/>
          <w:lang w:eastAsia="en-GB" w:bidi="he-IL"/>
          <w14:ligatures w14:val="none"/>
        </w:rPr>
        <w:t xml:space="preserve"> New York: Cambridge At The University Press, 2005)</w:t>
      </w:r>
    </w:p>
    <w:p w14:paraId="015333C9" w14:textId="77777777" w:rsidR="00C027BB" w:rsidRPr="00C027BB" w:rsidRDefault="00C027BB" w:rsidP="00C027BB"/>
    <w:sectPr w:rsidR="00C027BB" w:rsidRPr="00C027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3D07D5" w14:textId="77777777" w:rsidR="00B6702B" w:rsidRDefault="00B6702B" w:rsidP="00A9007E">
      <w:pPr>
        <w:spacing w:after="0" w:line="240" w:lineRule="auto"/>
      </w:pPr>
      <w:r>
        <w:separator/>
      </w:r>
    </w:p>
  </w:endnote>
  <w:endnote w:type="continuationSeparator" w:id="0">
    <w:p w14:paraId="68A991A7" w14:textId="77777777" w:rsidR="00B6702B" w:rsidRDefault="00B6702B" w:rsidP="00A90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6F1CD3" w14:textId="77777777" w:rsidR="00B6702B" w:rsidRDefault="00B6702B" w:rsidP="00A9007E">
      <w:pPr>
        <w:spacing w:after="0" w:line="240" w:lineRule="auto"/>
      </w:pPr>
      <w:r>
        <w:separator/>
      </w:r>
    </w:p>
  </w:footnote>
  <w:footnote w:type="continuationSeparator" w:id="0">
    <w:p w14:paraId="60E4E4D2" w14:textId="77777777" w:rsidR="00B6702B" w:rsidRDefault="00B6702B" w:rsidP="00A9007E">
      <w:pPr>
        <w:spacing w:after="0" w:line="240" w:lineRule="auto"/>
      </w:pPr>
      <w:r>
        <w:continuationSeparator/>
      </w:r>
    </w:p>
  </w:footnote>
  <w:footnote w:id="1">
    <w:p w14:paraId="6E33CC27" w14:textId="463C2F40" w:rsidR="00283CE4" w:rsidRPr="003C15FA" w:rsidRDefault="00283CE4" w:rsidP="003C15FA">
      <w:pPr>
        <w:rPr>
          <w:rFonts w:ascii="Times New Roman" w:eastAsia="Times New Roman" w:hAnsi="Times New Roman" w:cs="Times New Roman"/>
          <w:kern w:val="0"/>
          <w:sz w:val="24"/>
          <w:szCs w:val="24"/>
          <w:lang w:eastAsia="en-GB" w:bidi="he-IL"/>
          <w14:ligatures w14:val="none"/>
        </w:rPr>
      </w:pPr>
      <w:r>
        <w:rPr>
          <w:rStyle w:val="FootnoteReference"/>
        </w:rPr>
        <w:footnoteRef/>
      </w:r>
      <w:r w:rsidR="00386530" w:rsidRPr="003C15FA">
        <w:rPr>
          <w:rFonts w:eastAsia="Times New Roman" w:cs="Times New Roman"/>
          <w:kern w:val="0"/>
          <w:sz w:val="20"/>
          <w:szCs w:val="20"/>
          <w:lang w:eastAsia="en-GB" w:bidi="he-IL"/>
          <w14:ligatures w14:val="none"/>
        </w:rPr>
        <w:t xml:space="preserve">Joseph Blenkinsopp, </w:t>
      </w:r>
      <w:r w:rsidR="00386530" w:rsidRPr="003C15FA">
        <w:rPr>
          <w:rFonts w:eastAsia="Times New Roman" w:cs="Times New Roman"/>
          <w:i/>
          <w:iCs/>
          <w:kern w:val="0"/>
          <w:sz w:val="20"/>
          <w:szCs w:val="20"/>
          <w:lang w:eastAsia="en-GB" w:bidi="he-IL"/>
          <w14:ligatures w14:val="none"/>
        </w:rPr>
        <w:t>Luke’s Jesus: Between Incarnation and Crucifixion</w:t>
      </w:r>
      <w:r w:rsidR="00386530" w:rsidRPr="003C15FA">
        <w:rPr>
          <w:rFonts w:eastAsia="Times New Roman" w:cs="Times New Roman"/>
          <w:kern w:val="0"/>
          <w:sz w:val="20"/>
          <w:szCs w:val="20"/>
          <w:lang w:eastAsia="en-GB" w:bidi="he-IL"/>
          <w14:ligatures w14:val="none"/>
        </w:rPr>
        <w:t xml:space="preserve"> (Fortress Press, 2021)</w:t>
      </w:r>
      <w:r w:rsidR="003C15FA" w:rsidRPr="003C15FA">
        <w:rPr>
          <w:rFonts w:eastAsia="Times New Roman" w:cs="Times New Roman"/>
          <w:kern w:val="0"/>
          <w:sz w:val="20"/>
          <w:szCs w:val="20"/>
          <w:lang w:eastAsia="en-GB" w:bidi="he-IL"/>
          <w14:ligatures w14:val="none"/>
        </w:rPr>
        <w:t xml:space="preserve">, </w:t>
      </w:r>
      <w:r w:rsidRPr="003C15FA">
        <w:rPr>
          <w:sz w:val="20"/>
          <w:szCs w:val="20"/>
        </w:rPr>
        <w:t>51</w:t>
      </w:r>
      <w:r w:rsidR="003C15FA">
        <w:rPr>
          <w:sz w:val="20"/>
          <w:szCs w:val="20"/>
        </w:rPr>
        <w:t>.</w:t>
      </w:r>
    </w:p>
  </w:footnote>
  <w:footnote w:id="2">
    <w:p w14:paraId="38EC91EA" w14:textId="323BACBA" w:rsidR="0067299A" w:rsidRDefault="0067299A">
      <w:pPr>
        <w:pStyle w:val="FootnoteText"/>
      </w:pPr>
      <w:r>
        <w:rPr>
          <w:rStyle w:val="FootnoteReference"/>
        </w:rPr>
        <w:footnoteRef/>
      </w:r>
      <w:r>
        <w:t xml:space="preserve"> </w:t>
      </w:r>
      <w:r w:rsidR="003E6CD4">
        <w:t>Ibid.,</w:t>
      </w:r>
      <w:r>
        <w:t xml:space="preserve"> 51</w:t>
      </w:r>
      <w:r w:rsidR="003E6CD4">
        <w:t>.</w:t>
      </w:r>
    </w:p>
  </w:footnote>
  <w:footnote w:id="3">
    <w:p w14:paraId="7324D68C" w14:textId="040C879E" w:rsidR="000C76B3" w:rsidRPr="003E6CD4" w:rsidRDefault="000C76B3" w:rsidP="003E6CD4">
      <w:pPr>
        <w:rPr>
          <w:rFonts w:ascii="Times New Roman" w:eastAsia="Times New Roman" w:hAnsi="Times New Roman" w:cs="Times New Roman"/>
          <w:kern w:val="0"/>
          <w:sz w:val="20"/>
          <w:szCs w:val="20"/>
          <w:lang w:eastAsia="en-GB" w:bidi="he-IL"/>
          <w14:ligatures w14:val="none"/>
        </w:rPr>
      </w:pPr>
      <w:r>
        <w:rPr>
          <w:rStyle w:val="FootnoteReference"/>
        </w:rPr>
        <w:footnoteRef/>
      </w:r>
      <w:r>
        <w:t xml:space="preserve"> </w:t>
      </w:r>
      <w:r w:rsidR="003E6CD4" w:rsidRPr="003E6CD4">
        <w:rPr>
          <w:rFonts w:ascii="Aptos" w:eastAsia="Times New Roman" w:hAnsi="Aptos" w:cs="Times New Roman"/>
          <w:kern w:val="0"/>
          <w:sz w:val="20"/>
          <w:szCs w:val="20"/>
          <w:lang w:eastAsia="en-GB" w:bidi="he-IL"/>
          <w14:ligatures w14:val="none"/>
        </w:rPr>
        <w:t xml:space="preserve">Jocelyn McWhirter, </w:t>
      </w:r>
      <w:r w:rsidR="003E6CD4" w:rsidRPr="003E6CD4">
        <w:rPr>
          <w:rFonts w:ascii="Aptos" w:eastAsia="Times New Roman" w:hAnsi="Aptos" w:cs="Times New Roman"/>
          <w:i/>
          <w:iCs/>
          <w:kern w:val="0"/>
          <w:sz w:val="20"/>
          <w:szCs w:val="20"/>
          <w:lang w:eastAsia="en-GB" w:bidi="he-IL"/>
          <w14:ligatures w14:val="none"/>
        </w:rPr>
        <w:t>Rejected Prophets</w:t>
      </w:r>
      <w:r w:rsidR="003E6CD4" w:rsidRPr="003E6CD4">
        <w:rPr>
          <w:rFonts w:ascii="Aptos" w:eastAsia="Times New Roman" w:hAnsi="Aptos" w:cs="Times New Roman"/>
          <w:kern w:val="0"/>
          <w:sz w:val="20"/>
          <w:szCs w:val="20"/>
          <w:lang w:eastAsia="en-GB" w:bidi="he-IL"/>
          <w14:ligatures w14:val="none"/>
        </w:rPr>
        <w:t xml:space="preserve"> (Augsburg Fortress Publishers, 2013), </w:t>
      </w:r>
      <w:r w:rsidRPr="003E6CD4">
        <w:rPr>
          <w:sz w:val="20"/>
          <w:szCs w:val="20"/>
        </w:rPr>
        <w:t>57</w:t>
      </w:r>
      <w:r w:rsidR="003E6CD4">
        <w:rPr>
          <w:sz w:val="20"/>
          <w:szCs w:val="20"/>
        </w:rPr>
        <w:t>.</w:t>
      </w:r>
    </w:p>
  </w:footnote>
  <w:footnote w:id="4">
    <w:p w14:paraId="02E100FD" w14:textId="4DE39AC1" w:rsidR="00E85296" w:rsidRDefault="00E85296">
      <w:pPr>
        <w:pStyle w:val="FootnoteText"/>
      </w:pPr>
      <w:r>
        <w:rPr>
          <w:rStyle w:val="FootnoteReference"/>
        </w:rPr>
        <w:footnoteRef/>
      </w:r>
      <w:r>
        <w:t xml:space="preserve"> </w:t>
      </w:r>
      <w:r w:rsidR="004E053C">
        <w:t xml:space="preserve">Ibid., </w:t>
      </w:r>
      <w:r>
        <w:t>57</w:t>
      </w:r>
      <w:r w:rsidR="004E053C">
        <w:t>.</w:t>
      </w:r>
    </w:p>
  </w:footnote>
  <w:footnote w:id="5">
    <w:p w14:paraId="413C29A3" w14:textId="5F7089AE" w:rsidR="00A9007E" w:rsidRPr="004E053C" w:rsidRDefault="00A9007E" w:rsidP="004E053C">
      <w:pPr>
        <w:rPr>
          <w:rFonts w:ascii="Times New Roman" w:eastAsia="Times New Roman" w:hAnsi="Times New Roman" w:cs="Times New Roman"/>
          <w:kern w:val="0"/>
          <w:sz w:val="24"/>
          <w:szCs w:val="24"/>
          <w:lang w:eastAsia="en-GB" w:bidi="he-IL"/>
          <w14:ligatures w14:val="none"/>
        </w:rPr>
      </w:pPr>
      <w:r>
        <w:rPr>
          <w:rStyle w:val="FootnoteReference"/>
        </w:rPr>
        <w:footnoteRef/>
      </w:r>
      <w:r>
        <w:t xml:space="preserve"> </w:t>
      </w:r>
      <w:r w:rsidR="004E053C" w:rsidRPr="004E053C">
        <w:rPr>
          <w:rFonts w:eastAsia="Times New Roman" w:cs="Times New Roman"/>
          <w:kern w:val="0"/>
          <w:sz w:val="20"/>
          <w:szCs w:val="20"/>
          <w:lang w:eastAsia="en-GB" w:bidi="he-IL"/>
          <w14:ligatures w14:val="none"/>
        </w:rPr>
        <w:t xml:space="preserve">Bart D Ehrman, </w:t>
      </w:r>
      <w:r w:rsidR="004E053C" w:rsidRPr="004E053C">
        <w:rPr>
          <w:rFonts w:eastAsia="Times New Roman" w:cs="Times New Roman"/>
          <w:i/>
          <w:iCs/>
          <w:kern w:val="0"/>
          <w:sz w:val="20"/>
          <w:szCs w:val="20"/>
          <w:lang w:eastAsia="en-GB" w:bidi="he-IL"/>
          <w14:ligatures w14:val="none"/>
        </w:rPr>
        <w:t>Brief Introduction to the New Testament.</w:t>
      </w:r>
      <w:r w:rsidR="004E053C" w:rsidRPr="004E053C">
        <w:rPr>
          <w:rFonts w:eastAsia="Times New Roman" w:cs="Times New Roman"/>
          <w:kern w:val="0"/>
          <w:sz w:val="20"/>
          <w:szCs w:val="20"/>
          <w:lang w:eastAsia="en-GB" w:bidi="he-IL"/>
          <w14:ligatures w14:val="none"/>
        </w:rPr>
        <w:t xml:space="preserve"> (S.L.: Oxford </w:t>
      </w:r>
      <w:proofErr w:type="spellStart"/>
      <w:r w:rsidR="004E053C" w:rsidRPr="004E053C">
        <w:rPr>
          <w:rFonts w:eastAsia="Times New Roman" w:cs="Times New Roman"/>
          <w:kern w:val="0"/>
          <w:sz w:val="20"/>
          <w:szCs w:val="20"/>
          <w:lang w:eastAsia="en-GB" w:bidi="he-IL"/>
          <w14:ligatures w14:val="none"/>
        </w:rPr>
        <w:t>Univ</w:t>
      </w:r>
      <w:proofErr w:type="spellEnd"/>
      <w:r w:rsidR="004E053C" w:rsidRPr="004E053C">
        <w:rPr>
          <w:rFonts w:eastAsia="Times New Roman" w:cs="Times New Roman"/>
          <w:kern w:val="0"/>
          <w:sz w:val="20"/>
          <w:szCs w:val="20"/>
          <w:lang w:eastAsia="en-GB" w:bidi="he-IL"/>
          <w14:ligatures w14:val="none"/>
        </w:rPr>
        <w:t xml:space="preserve"> Press Us, 2020),</w:t>
      </w:r>
      <w:r>
        <w:t>107</w:t>
      </w:r>
    </w:p>
  </w:footnote>
  <w:footnote w:id="6">
    <w:p w14:paraId="398AE148" w14:textId="4E109763" w:rsidR="00E8779D" w:rsidRDefault="00E8779D">
      <w:pPr>
        <w:pStyle w:val="FootnoteText"/>
      </w:pPr>
      <w:r>
        <w:rPr>
          <w:rStyle w:val="FootnoteReference"/>
        </w:rPr>
        <w:footnoteRef/>
      </w:r>
      <w:r>
        <w:t xml:space="preserve"> McWhirter,</w:t>
      </w:r>
      <w:r w:rsidR="004E053C">
        <w:t xml:space="preserve"> </w:t>
      </w:r>
      <w:r w:rsidR="004E053C">
        <w:rPr>
          <w:i/>
          <w:iCs/>
        </w:rPr>
        <w:t>Rejected Prophets,</w:t>
      </w:r>
      <w:r>
        <w:t xml:space="preserve"> 11</w:t>
      </w:r>
      <w:r w:rsidR="004E053C">
        <w:t>.</w:t>
      </w:r>
    </w:p>
  </w:footnote>
  <w:footnote w:id="7">
    <w:p w14:paraId="487D55F5" w14:textId="7B14FF54" w:rsidR="00E8779D" w:rsidRPr="004F5A7B" w:rsidRDefault="00E8779D" w:rsidP="004F5A7B">
      <w:pPr>
        <w:rPr>
          <w:rFonts w:ascii="Times New Roman" w:eastAsia="Times New Roman" w:hAnsi="Times New Roman" w:cs="Times New Roman"/>
          <w:kern w:val="0"/>
          <w:sz w:val="24"/>
          <w:szCs w:val="24"/>
          <w:lang w:eastAsia="en-GB" w:bidi="he-IL"/>
          <w14:ligatures w14:val="none"/>
        </w:rPr>
      </w:pPr>
      <w:r>
        <w:rPr>
          <w:rStyle w:val="FootnoteReference"/>
        </w:rPr>
        <w:footnoteRef/>
      </w:r>
      <w:r>
        <w:t xml:space="preserve"> </w:t>
      </w:r>
      <w:r w:rsidR="004F5A7B" w:rsidRPr="004F5A7B">
        <w:rPr>
          <w:rFonts w:ascii="Aptos" w:eastAsia="Times New Roman" w:hAnsi="Aptos" w:cs="Times New Roman"/>
          <w:kern w:val="0"/>
          <w:sz w:val="20"/>
          <w:szCs w:val="20"/>
          <w:lang w:eastAsia="en-GB" w:bidi="he-IL"/>
          <w14:ligatures w14:val="none"/>
        </w:rPr>
        <w:t xml:space="preserve">Delbert Burkett, ‘Jesus in Luke-Acts’, in </w:t>
      </w:r>
      <w:r w:rsidR="004F5A7B" w:rsidRPr="004F5A7B">
        <w:rPr>
          <w:rFonts w:ascii="Aptos" w:eastAsia="Times New Roman" w:hAnsi="Aptos" w:cs="Times New Roman"/>
          <w:i/>
          <w:iCs/>
          <w:kern w:val="0"/>
          <w:sz w:val="20"/>
          <w:szCs w:val="20"/>
          <w:lang w:eastAsia="en-GB" w:bidi="he-IL"/>
          <w14:ligatures w14:val="none"/>
        </w:rPr>
        <w:t>The Blackwell Companion to Jesus</w:t>
      </w:r>
      <w:r w:rsidR="004F5A7B" w:rsidRPr="004F5A7B">
        <w:rPr>
          <w:rFonts w:ascii="Aptos" w:eastAsia="Times New Roman" w:hAnsi="Aptos" w:cs="Times New Roman"/>
          <w:kern w:val="0"/>
          <w:sz w:val="20"/>
          <w:szCs w:val="20"/>
          <w:lang w:eastAsia="en-GB" w:bidi="he-IL"/>
          <w14:ligatures w14:val="none"/>
        </w:rPr>
        <w:t xml:space="preserve"> (Wiley Blackwell, 2013), </w:t>
      </w:r>
      <w:r w:rsidR="004F5A7B">
        <w:rPr>
          <w:rFonts w:ascii="Aptos" w:eastAsia="Times New Roman" w:hAnsi="Aptos" w:cs="Times New Roman"/>
          <w:kern w:val="0"/>
          <w:sz w:val="20"/>
          <w:szCs w:val="20"/>
          <w:lang w:eastAsia="en-GB" w:bidi="he-IL"/>
          <w14:ligatures w14:val="none"/>
        </w:rPr>
        <w:t>57.</w:t>
      </w:r>
    </w:p>
  </w:footnote>
  <w:footnote w:id="8">
    <w:p w14:paraId="201F72A1" w14:textId="460FDF7B" w:rsidR="00BD391F" w:rsidRPr="00DD61CE" w:rsidRDefault="00BD391F" w:rsidP="00DD61CE">
      <w:pPr>
        <w:rPr>
          <w:rFonts w:ascii="Times New Roman" w:eastAsia="Times New Roman" w:hAnsi="Times New Roman" w:cs="Times New Roman"/>
          <w:kern w:val="0"/>
          <w:sz w:val="24"/>
          <w:szCs w:val="24"/>
          <w:lang w:eastAsia="en-GB" w:bidi="he-IL"/>
          <w14:ligatures w14:val="none"/>
        </w:rPr>
      </w:pPr>
      <w:r>
        <w:rPr>
          <w:rStyle w:val="FootnoteReference"/>
        </w:rPr>
        <w:footnoteRef/>
      </w:r>
      <w:r>
        <w:t xml:space="preserve"> </w:t>
      </w:r>
      <w:r w:rsidR="00DD61CE" w:rsidRPr="00DD61CE">
        <w:rPr>
          <w:rFonts w:eastAsia="Times New Roman" w:cs="Times New Roman"/>
          <w:kern w:val="0"/>
          <w:sz w:val="20"/>
          <w:szCs w:val="20"/>
          <w:lang w:eastAsia="en-GB" w:bidi="he-IL"/>
          <w14:ligatures w14:val="none"/>
        </w:rPr>
        <w:t xml:space="preserve">D. A. S. Ravens, ‘Luke 9.7-62 and the Prophetic Role of Jesus’, </w:t>
      </w:r>
      <w:r w:rsidR="00DD61CE" w:rsidRPr="00DD61CE">
        <w:rPr>
          <w:rFonts w:eastAsia="Times New Roman" w:cs="Times New Roman"/>
          <w:i/>
          <w:iCs/>
          <w:kern w:val="0"/>
          <w:sz w:val="20"/>
          <w:szCs w:val="20"/>
          <w:lang w:eastAsia="en-GB" w:bidi="he-IL"/>
          <w14:ligatures w14:val="none"/>
        </w:rPr>
        <w:t>New Testament Studies</w:t>
      </w:r>
      <w:r w:rsidR="00DD61CE" w:rsidRPr="00DD61CE">
        <w:rPr>
          <w:rFonts w:eastAsia="Times New Roman" w:cs="Times New Roman"/>
          <w:kern w:val="0"/>
          <w:sz w:val="20"/>
          <w:szCs w:val="20"/>
          <w:lang w:eastAsia="en-GB" w:bidi="he-IL"/>
          <w14:ligatures w14:val="none"/>
        </w:rPr>
        <w:t xml:space="preserve">, 36 (1990), </w:t>
      </w:r>
      <w:r w:rsidRPr="00DD61CE">
        <w:rPr>
          <w:sz w:val="20"/>
          <w:szCs w:val="20"/>
        </w:rPr>
        <w:t>122</w:t>
      </w:r>
      <w:r w:rsidR="00DD61CE" w:rsidRPr="00DD61CE">
        <w:rPr>
          <w:sz w:val="20"/>
          <w:szCs w:val="20"/>
        </w:rPr>
        <w:t>.</w:t>
      </w:r>
    </w:p>
  </w:footnote>
  <w:footnote w:id="9">
    <w:p w14:paraId="7EE26722" w14:textId="4A2FA00F" w:rsidR="003B2BD6" w:rsidRDefault="003B2BD6" w:rsidP="003B2BD6">
      <w:pPr>
        <w:pStyle w:val="FootnoteText"/>
      </w:pPr>
      <w:r>
        <w:rPr>
          <w:rStyle w:val="FootnoteReference"/>
        </w:rPr>
        <w:footnoteRef/>
      </w:r>
      <w:r>
        <w:t xml:space="preserve"> </w:t>
      </w:r>
      <w:r w:rsidR="00DD61CE">
        <w:t>Ibid.,</w:t>
      </w:r>
      <w:r>
        <w:t>119</w:t>
      </w:r>
      <w:r w:rsidR="00DD61CE">
        <w:t>.</w:t>
      </w:r>
    </w:p>
  </w:footnote>
  <w:footnote w:id="10">
    <w:p w14:paraId="52059598" w14:textId="79F2C991" w:rsidR="00A1616B" w:rsidRDefault="00A1616B">
      <w:pPr>
        <w:pStyle w:val="FootnoteText"/>
      </w:pPr>
      <w:r>
        <w:rPr>
          <w:rStyle w:val="FootnoteReference"/>
        </w:rPr>
        <w:footnoteRef/>
      </w:r>
      <w:r>
        <w:t xml:space="preserve"> </w:t>
      </w:r>
      <w:r w:rsidR="00DD61CE">
        <w:t xml:space="preserve">Ibid., </w:t>
      </w:r>
      <w:r w:rsidR="00A67E91">
        <w:t>124</w:t>
      </w:r>
      <w:r w:rsidR="00DD61CE">
        <w:t>.</w:t>
      </w:r>
    </w:p>
  </w:footnote>
  <w:footnote w:id="11">
    <w:p w14:paraId="36FC7A1B" w14:textId="1F69EE94" w:rsidR="009C2BDD" w:rsidRDefault="009C2BDD">
      <w:pPr>
        <w:pStyle w:val="FootnoteText"/>
      </w:pPr>
      <w:r>
        <w:rPr>
          <w:rStyle w:val="FootnoteReference"/>
        </w:rPr>
        <w:footnoteRef/>
      </w:r>
      <w:r>
        <w:t xml:space="preserve"> </w:t>
      </w:r>
      <w:r w:rsidR="00DD61CE">
        <w:t>Ibid.,</w:t>
      </w:r>
      <w:r>
        <w:t>124</w:t>
      </w:r>
      <w:r w:rsidR="00DD61CE">
        <w:t>.</w:t>
      </w:r>
    </w:p>
  </w:footnote>
  <w:footnote w:id="12">
    <w:p w14:paraId="3266EF09" w14:textId="057EEA80" w:rsidR="00294904" w:rsidRPr="00E86325" w:rsidRDefault="00294904" w:rsidP="00E86325">
      <w:pPr>
        <w:rPr>
          <w:rFonts w:ascii="Times New Roman" w:eastAsia="Times New Roman" w:hAnsi="Times New Roman" w:cs="Times New Roman"/>
          <w:kern w:val="0"/>
          <w:sz w:val="24"/>
          <w:szCs w:val="24"/>
          <w:lang w:eastAsia="en-GB" w:bidi="he-IL"/>
          <w14:ligatures w14:val="none"/>
        </w:rPr>
      </w:pPr>
      <w:r>
        <w:rPr>
          <w:rStyle w:val="FootnoteReference"/>
        </w:rPr>
        <w:footnoteRef/>
      </w:r>
      <w:r>
        <w:t xml:space="preserve"> </w:t>
      </w:r>
      <w:r w:rsidR="00E86325" w:rsidRPr="00E86325">
        <w:rPr>
          <w:rFonts w:eastAsia="Times New Roman" w:cs="Times New Roman"/>
          <w:kern w:val="0"/>
          <w:sz w:val="20"/>
          <w:szCs w:val="20"/>
          <w:lang w:eastAsia="en-GB" w:bidi="he-IL"/>
          <w14:ligatures w14:val="none"/>
        </w:rPr>
        <w:t xml:space="preserve">Catrin Williams, ‘New Testament Christology: Interpretations of the Identity and Role of Jesus’, in </w:t>
      </w:r>
      <w:r w:rsidR="00E86325" w:rsidRPr="00E86325">
        <w:rPr>
          <w:rFonts w:eastAsia="Times New Roman" w:cs="Times New Roman"/>
          <w:i/>
          <w:iCs/>
          <w:kern w:val="0"/>
          <w:sz w:val="20"/>
          <w:szCs w:val="20"/>
          <w:lang w:eastAsia="en-GB" w:bidi="he-IL"/>
          <w14:ligatures w14:val="none"/>
        </w:rPr>
        <w:t>The Biblical World</w:t>
      </w:r>
      <w:r w:rsidR="00E86325" w:rsidRPr="00E86325">
        <w:rPr>
          <w:rFonts w:eastAsia="Times New Roman" w:cs="Times New Roman"/>
          <w:kern w:val="0"/>
          <w:sz w:val="20"/>
          <w:szCs w:val="20"/>
          <w:lang w:eastAsia="en-GB" w:bidi="he-IL"/>
          <w14:ligatures w14:val="none"/>
        </w:rPr>
        <w:t xml:space="preserve"> (Routledge, 2021),</w:t>
      </w:r>
      <w:r w:rsidRPr="00E86325">
        <w:rPr>
          <w:sz w:val="20"/>
          <w:szCs w:val="20"/>
        </w:rPr>
        <w:t xml:space="preserve"> 823</w:t>
      </w:r>
      <w:r w:rsidR="00E86325" w:rsidRPr="00E86325">
        <w:rPr>
          <w:sz w:val="20"/>
          <w:szCs w:val="20"/>
        </w:rPr>
        <w:t>.</w:t>
      </w:r>
    </w:p>
  </w:footnote>
  <w:footnote w:id="13">
    <w:p w14:paraId="5C703631" w14:textId="46DD6E44" w:rsidR="009056A9" w:rsidRDefault="009056A9">
      <w:pPr>
        <w:pStyle w:val="FootnoteText"/>
      </w:pPr>
      <w:r>
        <w:rPr>
          <w:rStyle w:val="FootnoteReference"/>
        </w:rPr>
        <w:footnoteRef/>
      </w:r>
      <w:r>
        <w:t xml:space="preserve"> Ravens,</w:t>
      </w:r>
      <w:r w:rsidR="00E86325">
        <w:t xml:space="preserve"> ‘Luke 9.7-62 and the Prophetic Role of Jesus’,</w:t>
      </w:r>
      <w:r>
        <w:t xml:space="preserve"> 127</w:t>
      </w:r>
      <w:r w:rsidR="00E86325">
        <w:t>.</w:t>
      </w:r>
    </w:p>
  </w:footnote>
  <w:footnote w:id="14">
    <w:p w14:paraId="4545C1AB" w14:textId="3C887B6B" w:rsidR="007453AB" w:rsidRDefault="007453AB">
      <w:pPr>
        <w:pStyle w:val="FootnoteText"/>
      </w:pPr>
      <w:r>
        <w:rPr>
          <w:rStyle w:val="FootnoteReference"/>
        </w:rPr>
        <w:footnoteRef/>
      </w:r>
      <w:r>
        <w:t xml:space="preserve"> McWhirter, </w:t>
      </w:r>
      <w:r w:rsidR="00E86325">
        <w:rPr>
          <w:i/>
          <w:iCs/>
        </w:rPr>
        <w:t xml:space="preserve">Rejected Prophets, </w:t>
      </w:r>
      <w:r>
        <w:t>65</w:t>
      </w:r>
      <w:r w:rsidR="00E86325">
        <w:t>.</w:t>
      </w:r>
    </w:p>
  </w:footnote>
  <w:footnote w:id="15">
    <w:p w14:paraId="52696E8B" w14:textId="6829CCC6" w:rsidR="00E60914" w:rsidRDefault="00E60914">
      <w:pPr>
        <w:pStyle w:val="FootnoteText"/>
      </w:pPr>
      <w:r>
        <w:rPr>
          <w:rStyle w:val="FootnoteReference"/>
        </w:rPr>
        <w:footnoteRef/>
      </w:r>
      <w:r>
        <w:t xml:space="preserve"> Ehrman, </w:t>
      </w:r>
      <w:r w:rsidR="006D3E82">
        <w:rPr>
          <w:i/>
          <w:iCs/>
        </w:rPr>
        <w:t xml:space="preserve">Brief Introduction to the New Testament, </w:t>
      </w:r>
      <w:r>
        <w:t>110</w:t>
      </w:r>
      <w:r w:rsidR="006D3E82">
        <w:t>.</w:t>
      </w:r>
    </w:p>
  </w:footnote>
  <w:footnote w:id="16">
    <w:p w14:paraId="32CF6375" w14:textId="4E4A58BA" w:rsidR="00A74ABC" w:rsidRDefault="00A74ABC">
      <w:pPr>
        <w:pStyle w:val="FootnoteText"/>
      </w:pPr>
      <w:r>
        <w:rPr>
          <w:rStyle w:val="FootnoteReference"/>
        </w:rPr>
        <w:footnoteRef/>
      </w:r>
      <w:r>
        <w:t xml:space="preserve"> </w:t>
      </w:r>
      <w:r w:rsidR="006D3E82">
        <w:t xml:space="preserve">Ehrman, </w:t>
      </w:r>
      <w:r w:rsidR="006D3E82">
        <w:rPr>
          <w:i/>
          <w:iCs/>
        </w:rPr>
        <w:t>Brief Introduction to the New Testament</w:t>
      </w:r>
      <w:r w:rsidR="006D3E82">
        <w:t xml:space="preserve">, </w:t>
      </w:r>
      <w:r>
        <w:t>114</w:t>
      </w:r>
      <w:r w:rsidR="006D3E82">
        <w:t>.</w:t>
      </w:r>
    </w:p>
  </w:footnote>
  <w:footnote w:id="17">
    <w:p w14:paraId="301A7D65" w14:textId="4175AC50" w:rsidR="009C3FF5" w:rsidRDefault="009C3FF5">
      <w:pPr>
        <w:pStyle w:val="FootnoteText"/>
      </w:pPr>
      <w:r>
        <w:rPr>
          <w:rStyle w:val="FootnoteReference"/>
        </w:rPr>
        <w:footnoteRef/>
      </w:r>
      <w:r>
        <w:t xml:space="preserve"> Blenkinsopp, </w:t>
      </w:r>
      <w:r w:rsidR="006D3E82" w:rsidRPr="003C15FA">
        <w:rPr>
          <w:rFonts w:eastAsia="Times New Roman" w:cs="Times New Roman"/>
          <w:i/>
          <w:iCs/>
          <w:kern w:val="0"/>
          <w:lang w:eastAsia="en-GB" w:bidi="he-IL"/>
          <w14:ligatures w14:val="none"/>
        </w:rPr>
        <w:t>Luke’s Jesus: Between Incarnation and Crucifixion</w:t>
      </w:r>
      <w:r w:rsidR="006D3E82">
        <w:rPr>
          <w:rFonts w:eastAsia="Times New Roman" w:cs="Times New Roman"/>
          <w:kern w:val="0"/>
          <w:lang w:eastAsia="en-GB" w:bidi="he-IL"/>
          <w14:ligatures w14:val="none"/>
        </w:rPr>
        <w:t xml:space="preserve">, </w:t>
      </w:r>
      <w:r>
        <w:t>10</w:t>
      </w:r>
      <w:r w:rsidR="006D3E82">
        <w:t>.</w:t>
      </w:r>
    </w:p>
  </w:footnote>
  <w:footnote w:id="18">
    <w:p w14:paraId="29952F31" w14:textId="1DD4EC8D" w:rsidR="001B3185" w:rsidRDefault="001B3185">
      <w:pPr>
        <w:pStyle w:val="FootnoteText"/>
      </w:pPr>
      <w:r>
        <w:rPr>
          <w:rStyle w:val="FootnoteReference"/>
        </w:rPr>
        <w:footnoteRef/>
      </w:r>
      <w:r>
        <w:t xml:space="preserve"> </w:t>
      </w:r>
      <w:r w:rsidR="006D3E82">
        <w:t>Ibid.,</w:t>
      </w:r>
      <w:r>
        <w:t>10</w:t>
      </w:r>
      <w:r w:rsidR="006D3E82">
        <w:t>.</w:t>
      </w:r>
    </w:p>
  </w:footnote>
  <w:footnote w:id="19">
    <w:p w14:paraId="12C6B4BA" w14:textId="3C479563" w:rsidR="007A284F" w:rsidRDefault="007A284F">
      <w:pPr>
        <w:pStyle w:val="FootnoteText"/>
      </w:pPr>
      <w:r>
        <w:rPr>
          <w:rStyle w:val="FootnoteReference"/>
        </w:rPr>
        <w:footnoteRef/>
      </w:r>
      <w:r>
        <w:t xml:space="preserve"> </w:t>
      </w:r>
      <w:r w:rsidR="006D3E82">
        <w:t>Ibid.</w:t>
      </w:r>
      <w:r>
        <w:t>, 11</w:t>
      </w:r>
      <w:r w:rsidR="006D3E82">
        <w:t>.</w:t>
      </w:r>
    </w:p>
  </w:footnote>
  <w:footnote w:id="20">
    <w:p w14:paraId="614E8EC6" w14:textId="11F20F8A" w:rsidR="00FE7613" w:rsidRDefault="00FE7613">
      <w:pPr>
        <w:pStyle w:val="FootnoteText"/>
      </w:pPr>
      <w:r>
        <w:rPr>
          <w:rStyle w:val="FootnoteReference"/>
        </w:rPr>
        <w:footnoteRef/>
      </w:r>
      <w:r>
        <w:t xml:space="preserve"> </w:t>
      </w:r>
      <w:r w:rsidR="006D3E82">
        <w:t xml:space="preserve">Williams, </w:t>
      </w:r>
      <w:r w:rsidR="006D3E82" w:rsidRPr="00E86325">
        <w:rPr>
          <w:rFonts w:eastAsia="Times New Roman" w:cs="Times New Roman"/>
          <w:kern w:val="0"/>
          <w:lang w:eastAsia="en-GB" w:bidi="he-IL"/>
          <w14:ligatures w14:val="none"/>
        </w:rPr>
        <w:t>‘New Testament Christology: Interpretations of the Identity and Role of Jesus’</w:t>
      </w:r>
      <w:r>
        <w:t>, 823</w:t>
      </w:r>
      <w:r w:rsidR="006D3E82">
        <w:t>.</w:t>
      </w:r>
    </w:p>
  </w:footnote>
  <w:footnote w:id="21">
    <w:p w14:paraId="30B98E49" w14:textId="6FC6BB19" w:rsidR="003B308A" w:rsidRDefault="003B308A">
      <w:pPr>
        <w:pStyle w:val="FootnoteText"/>
      </w:pPr>
      <w:r>
        <w:rPr>
          <w:rStyle w:val="FootnoteReference"/>
        </w:rPr>
        <w:footnoteRef/>
      </w:r>
      <w:r>
        <w:t xml:space="preserve"> </w:t>
      </w:r>
      <w:r w:rsidR="006D3E82" w:rsidRPr="004F5A7B">
        <w:rPr>
          <w:rFonts w:ascii="Aptos" w:eastAsia="Times New Roman" w:hAnsi="Aptos" w:cs="Times New Roman"/>
          <w:kern w:val="0"/>
          <w:lang w:eastAsia="en-GB" w:bidi="he-IL"/>
          <w14:ligatures w14:val="none"/>
        </w:rPr>
        <w:t>Burkett, ‘Jesus in Luke-Acts’</w:t>
      </w:r>
      <w:r>
        <w:t>, 56</w:t>
      </w:r>
      <w:r w:rsidR="006D3E82">
        <w:t>.</w:t>
      </w:r>
    </w:p>
  </w:footnote>
  <w:footnote w:id="22">
    <w:p w14:paraId="503B81BC" w14:textId="38F6B15C" w:rsidR="003B308A" w:rsidRDefault="003B308A">
      <w:pPr>
        <w:pStyle w:val="FootnoteText"/>
      </w:pPr>
      <w:r>
        <w:rPr>
          <w:rStyle w:val="FootnoteReference"/>
        </w:rPr>
        <w:footnoteRef/>
      </w:r>
      <w:r>
        <w:t xml:space="preserve"> </w:t>
      </w:r>
      <w:r w:rsidR="006D3E82">
        <w:t xml:space="preserve">Ibid., </w:t>
      </w:r>
      <w:r>
        <w:t>48</w:t>
      </w:r>
      <w:r w:rsidR="006D3E82">
        <w:t>.</w:t>
      </w:r>
    </w:p>
  </w:footnote>
  <w:footnote w:id="23">
    <w:p w14:paraId="7ECFF1DF" w14:textId="4F1D0354" w:rsidR="00AD668E" w:rsidRDefault="00AD668E">
      <w:pPr>
        <w:pStyle w:val="FootnoteText"/>
      </w:pPr>
      <w:r>
        <w:rPr>
          <w:rStyle w:val="FootnoteReference"/>
        </w:rPr>
        <w:footnoteRef/>
      </w:r>
      <w:r w:rsidR="006D3E82">
        <w:t xml:space="preserve"> Ibid.</w:t>
      </w:r>
      <w:r>
        <w:t>, 54</w:t>
      </w:r>
      <w:r w:rsidR="006D3E82">
        <w:t>.</w:t>
      </w:r>
    </w:p>
  </w:footnote>
  <w:footnote w:id="24">
    <w:p w14:paraId="4217551D" w14:textId="1E2B2BB0" w:rsidR="000F7D69" w:rsidRDefault="000F7D69">
      <w:pPr>
        <w:pStyle w:val="FootnoteText"/>
      </w:pPr>
      <w:r>
        <w:rPr>
          <w:rStyle w:val="FootnoteReference"/>
        </w:rPr>
        <w:footnoteRef/>
      </w:r>
      <w:r w:rsidR="006D3E82">
        <w:t xml:space="preserve"> Ibid.</w:t>
      </w:r>
      <w:r>
        <w:t>, 54</w:t>
      </w:r>
      <w:r w:rsidR="006D3E82">
        <w:t>.</w:t>
      </w:r>
    </w:p>
  </w:footnote>
  <w:footnote w:id="25">
    <w:p w14:paraId="2D04A486" w14:textId="71D6AD8B" w:rsidR="008C40AD" w:rsidRDefault="008C40AD">
      <w:pPr>
        <w:pStyle w:val="FootnoteText"/>
      </w:pPr>
      <w:r>
        <w:rPr>
          <w:rStyle w:val="FootnoteReference"/>
        </w:rPr>
        <w:footnoteRef/>
      </w:r>
      <w:r>
        <w:t xml:space="preserve"> Blenkinsopp, </w:t>
      </w:r>
      <w:r w:rsidR="006D3E82" w:rsidRPr="003C15FA">
        <w:rPr>
          <w:rFonts w:eastAsia="Times New Roman" w:cs="Times New Roman"/>
          <w:i/>
          <w:iCs/>
          <w:kern w:val="0"/>
          <w:lang w:eastAsia="en-GB" w:bidi="he-IL"/>
          <w14:ligatures w14:val="none"/>
        </w:rPr>
        <w:t>Luke’s Jesus: Between Incarnation and Crucifixion</w:t>
      </w:r>
      <w:r w:rsidR="006D3E82">
        <w:rPr>
          <w:rFonts w:eastAsia="Times New Roman" w:cs="Times New Roman"/>
          <w:kern w:val="0"/>
          <w:lang w:eastAsia="en-GB" w:bidi="he-IL"/>
          <w14:ligatures w14:val="none"/>
        </w:rPr>
        <w:t xml:space="preserve">, </w:t>
      </w:r>
      <w:r>
        <w:t>13</w:t>
      </w:r>
      <w:r w:rsidR="006D3E82">
        <w:t>.</w:t>
      </w:r>
    </w:p>
  </w:footnote>
  <w:footnote w:id="26">
    <w:p w14:paraId="6A3A9FA8" w14:textId="7F5D840B" w:rsidR="00D25172" w:rsidRDefault="00D25172">
      <w:pPr>
        <w:pStyle w:val="FootnoteText"/>
      </w:pPr>
      <w:r>
        <w:rPr>
          <w:rStyle w:val="FootnoteReference"/>
        </w:rPr>
        <w:footnoteRef/>
      </w:r>
      <w:r>
        <w:t xml:space="preserve"> Burkett,</w:t>
      </w:r>
      <w:r w:rsidR="00EE1B3D" w:rsidRPr="004F5A7B">
        <w:rPr>
          <w:rFonts w:ascii="Aptos" w:eastAsia="Times New Roman" w:hAnsi="Aptos" w:cs="Times New Roman"/>
          <w:kern w:val="0"/>
          <w:lang w:eastAsia="en-GB" w:bidi="he-IL"/>
          <w14:ligatures w14:val="none"/>
        </w:rPr>
        <w:t xml:space="preserve"> ‘Jesus in Luke-Acts’</w:t>
      </w:r>
      <w:r w:rsidR="00EE1B3D">
        <w:rPr>
          <w:rFonts w:ascii="Aptos" w:eastAsia="Times New Roman" w:hAnsi="Aptos" w:cs="Times New Roman"/>
          <w:kern w:val="0"/>
          <w:lang w:eastAsia="en-GB" w:bidi="he-IL"/>
          <w14:ligatures w14:val="none"/>
        </w:rPr>
        <w:t xml:space="preserve">, </w:t>
      </w:r>
      <w:r>
        <w:t>56</w:t>
      </w:r>
      <w:r w:rsidR="00EE1B3D">
        <w:t>.</w:t>
      </w:r>
    </w:p>
  </w:footnote>
  <w:footnote w:id="27">
    <w:p w14:paraId="02FCD4DF" w14:textId="735B5DF9" w:rsidR="00F808AE" w:rsidRDefault="00F808AE">
      <w:pPr>
        <w:pStyle w:val="FootnoteText"/>
      </w:pPr>
      <w:r>
        <w:rPr>
          <w:rStyle w:val="FootnoteReference"/>
        </w:rPr>
        <w:footnoteRef/>
      </w:r>
      <w:r>
        <w:t xml:space="preserve"> Will</w:t>
      </w:r>
      <w:r w:rsidR="00EE1B3D">
        <w:t xml:space="preserve">iams, </w:t>
      </w:r>
      <w:r w:rsidR="00EE1B3D" w:rsidRPr="00E86325">
        <w:rPr>
          <w:rFonts w:eastAsia="Times New Roman" w:cs="Times New Roman"/>
          <w:kern w:val="0"/>
          <w:lang w:eastAsia="en-GB" w:bidi="he-IL"/>
          <w14:ligatures w14:val="none"/>
        </w:rPr>
        <w:t>‘New Testament Christology: Interpretations of the Identity and Role of Jesus’</w:t>
      </w:r>
      <w:r w:rsidR="00EE1B3D">
        <w:rPr>
          <w:rFonts w:eastAsia="Times New Roman" w:cs="Times New Roman"/>
          <w:kern w:val="0"/>
          <w:lang w:eastAsia="en-GB" w:bidi="he-IL"/>
          <w14:ligatures w14:val="none"/>
        </w:rPr>
        <w:t xml:space="preserve">, </w:t>
      </w:r>
      <w:r>
        <w:t>823</w:t>
      </w:r>
      <w:r w:rsidR="00EE1B3D">
        <w:t>.</w:t>
      </w:r>
    </w:p>
  </w:footnote>
  <w:footnote w:id="28">
    <w:p w14:paraId="6DDF8554" w14:textId="4B47743F" w:rsidR="007100CA" w:rsidRDefault="007100CA">
      <w:pPr>
        <w:pStyle w:val="FootnoteText"/>
      </w:pPr>
      <w:r>
        <w:rPr>
          <w:rStyle w:val="FootnoteReference"/>
        </w:rPr>
        <w:footnoteRef/>
      </w:r>
      <w:r>
        <w:t xml:space="preserve"> March and Moyise, 39</w:t>
      </w:r>
    </w:p>
  </w:footnote>
  <w:footnote w:id="29">
    <w:p w14:paraId="1CA613E6" w14:textId="58280E41" w:rsidR="008C7212" w:rsidRPr="008B3EA7" w:rsidRDefault="008C7212" w:rsidP="008B3EA7">
      <w:pPr>
        <w:rPr>
          <w:rFonts w:ascii="Times New Roman" w:eastAsia="Times New Roman" w:hAnsi="Times New Roman" w:cs="Times New Roman"/>
          <w:kern w:val="0"/>
          <w:sz w:val="24"/>
          <w:szCs w:val="24"/>
          <w:lang w:eastAsia="en-GB" w:bidi="he-IL"/>
          <w14:ligatures w14:val="none"/>
        </w:rPr>
      </w:pPr>
      <w:r>
        <w:rPr>
          <w:rStyle w:val="FootnoteReference"/>
        </w:rPr>
        <w:footnoteRef/>
      </w:r>
      <w:r>
        <w:t xml:space="preserve"> </w:t>
      </w:r>
      <w:r w:rsidR="008B3EA7" w:rsidRPr="008B3EA7">
        <w:rPr>
          <w:rFonts w:eastAsia="Times New Roman" w:cs="Times New Roman"/>
          <w:kern w:val="0"/>
          <w:sz w:val="20"/>
          <w:szCs w:val="20"/>
          <w:lang w:eastAsia="en-GB" w:bidi="he-IL"/>
          <w14:ligatures w14:val="none"/>
        </w:rPr>
        <w:t xml:space="preserve">Clive Marsh and Steve Moyise, </w:t>
      </w:r>
      <w:proofErr w:type="gramStart"/>
      <w:r w:rsidR="008B3EA7" w:rsidRPr="008B3EA7">
        <w:rPr>
          <w:rFonts w:eastAsia="Times New Roman" w:cs="Times New Roman"/>
          <w:i/>
          <w:iCs/>
          <w:kern w:val="0"/>
          <w:sz w:val="20"/>
          <w:szCs w:val="20"/>
          <w:lang w:eastAsia="en-GB" w:bidi="he-IL"/>
          <w14:ligatures w14:val="none"/>
        </w:rPr>
        <w:t>Jesus</w:t>
      </w:r>
      <w:proofErr w:type="gramEnd"/>
      <w:r w:rsidR="008B3EA7" w:rsidRPr="008B3EA7">
        <w:rPr>
          <w:rFonts w:eastAsia="Times New Roman" w:cs="Times New Roman"/>
          <w:i/>
          <w:iCs/>
          <w:kern w:val="0"/>
          <w:sz w:val="20"/>
          <w:szCs w:val="20"/>
          <w:lang w:eastAsia="en-GB" w:bidi="he-IL"/>
          <w14:ligatures w14:val="none"/>
        </w:rPr>
        <w:t xml:space="preserve"> and the Gospels</w:t>
      </w:r>
      <w:r w:rsidR="008B3EA7" w:rsidRPr="008B3EA7">
        <w:rPr>
          <w:rFonts w:eastAsia="Times New Roman" w:cs="Times New Roman"/>
          <w:kern w:val="0"/>
          <w:sz w:val="20"/>
          <w:szCs w:val="20"/>
          <w:lang w:eastAsia="en-GB" w:bidi="he-IL"/>
          <w14:ligatures w14:val="none"/>
        </w:rPr>
        <w:t xml:space="preserve"> (Bloomsbury Publishing, 2015), </w:t>
      </w:r>
      <w:r w:rsidRPr="008B3EA7">
        <w:rPr>
          <w:sz w:val="20"/>
          <w:szCs w:val="20"/>
        </w:rPr>
        <w:t>39</w:t>
      </w:r>
      <w:r w:rsidR="008B3EA7" w:rsidRPr="008B3EA7">
        <w:rPr>
          <w:sz w:val="20"/>
          <w:szCs w:val="20"/>
        </w:rPr>
        <w:t>.</w:t>
      </w:r>
    </w:p>
  </w:footnote>
  <w:footnote w:id="30">
    <w:p w14:paraId="170F9C76" w14:textId="64959A25" w:rsidR="008C7212" w:rsidRPr="008B3EA7" w:rsidRDefault="008C7212" w:rsidP="008B3EA7">
      <w:pPr>
        <w:rPr>
          <w:rFonts w:ascii="Times New Roman" w:eastAsia="Times New Roman" w:hAnsi="Times New Roman" w:cs="Times New Roman"/>
          <w:kern w:val="0"/>
          <w:sz w:val="24"/>
          <w:szCs w:val="24"/>
          <w:lang w:eastAsia="en-GB" w:bidi="he-IL"/>
          <w14:ligatures w14:val="none"/>
        </w:rPr>
      </w:pPr>
      <w:r>
        <w:rPr>
          <w:rStyle w:val="FootnoteReference"/>
        </w:rPr>
        <w:footnoteRef/>
      </w:r>
      <w:r>
        <w:t xml:space="preserve"> </w:t>
      </w:r>
      <w:r w:rsidR="008B3EA7" w:rsidRPr="008B3EA7">
        <w:rPr>
          <w:rFonts w:eastAsia="Times New Roman" w:cs="Times New Roman"/>
          <w:kern w:val="0"/>
          <w:sz w:val="20"/>
          <w:szCs w:val="20"/>
          <w:lang w:eastAsia="en-GB" w:bidi="he-IL"/>
          <w14:ligatures w14:val="none"/>
        </w:rPr>
        <w:t xml:space="preserve">S G Wilson, </w:t>
      </w:r>
      <w:r w:rsidR="008B3EA7" w:rsidRPr="008B3EA7">
        <w:rPr>
          <w:rFonts w:eastAsia="Times New Roman" w:cs="Times New Roman"/>
          <w:i/>
          <w:iCs/>
          <w:kern w:val="0"/>
          <w:sz w:val="20"/>
          <w:szCs w:val="20"/>
          <w:lang w:eastAsia="en-GB" w:bidi="he-IL"/>
          <w14:ligatures w14:val="none"/>
        </w:rPr>
        <w:t xml:space="preserve">The </w:t>
      </w:r>
      <w:proofErr w:type="gramStart"/>
      <w:r w:rsidR="008B3EA7" w:rsidRPr="008B3EA7">
        <w:rPr>
          <w:rFonts w:eastAsia="Times New Roman" w:cs="Times New Roman"/>
          <w:i/>
          <w:iCs/>
          <w:kern w:val="0"/>
          <w:sz w:val="20"/>
          <w:szCs w:val="20"/>
          <w:lang w:eastAsia="en-GB" w:bidi="he-IL"/>
          <w14:ligatures w14:val="none"/>
        </w:rPr>
        <w:t>Gentiles</w:t>
      </w:r>
      <w:proofErr w:type="gramEnd"/>
      <w:r w:rsidR="008B3EA7" w:rsidRPr="008B3EA7">
        <w:rPr>
          <w:rFonts w:eastAsia="Times New Roman" w:cs="Times New Roman"/>
          <w:i/>
          <w:iCs/>
          <w:kern w:val="0"/>
          <w:sz w:val="20"/>
          <w:szCs w:val="20"/>
          <w:lang w:eastAsia="en-GB" w:bidi="he-IL"/>
          <w14:ligatures w14:val="none"/>
        </w:rPr>
        <w:t xml:space="preserve"> and the Gentile Mission in Luke-Acts</w:t>
      </w:r>
      <w:r w:rsidR="008B3EA7" w:rsidRPr="008B3EA7">
        <w:rPr>
          <w:rFonts w:eastAsia="Times New Roman" w:cs="Times New Roman"/>
          <w:kern w:val="0"/>
          <w:sz w:val="20"/>
          <w:szCs w:val="20"/>
          <w:lang w:eastAsia="en-GB" w:bidi="he-IL"/>
          <w14:ligatures w14:val="none"/>
        </w:rPr>
        <w:t xml:space="preserve"> (Cambridge; New York: Cambridge At The University Press, 2005),</w:t>
      </w:r>
      <w:r w:rsidRPr="008B3EA7">
        <w:rPr>
          <w:sz w:val="20"/>
          <w:szCs w:val="20"/>
        </w:rPr>
        <w:t xml:space="preserve"> 39</w:t>
      </w:r>
      <w:r w:rsidR="008B3EA7" w:rsidRPr="008B3EA7">
        <w:rPr>
          <w:sz w:val="20"/>
          <w:szCs w:val="20"/>
        </w:rPr>
        <w:t>.</w:t>
      </w:r>
    </w:p>
  </w:footnote>
  <w:footnote w:id="31">
    <w:p w14:paraId="1BD094C1" w14:textId="1ABB5E10" w:rsidR="00B374D3" w:rsidRDefault="00B374D3">
      <w:pPr>
        <w:pStyle w:val="FootnoteText"/>
      </w:pPr>
      <w:r>
        <w:rPr>
          <w:rStyle w:val="FootnoteReference"/>
        </w:rPr>
        <w:footnoteRef/>
      </w:r>
      <w:r>
        <w:t xml:space="preserve"> </w:t>
      </w:r>
      <w:r w:rsidR="008B3EA7">
        <w:t>Ibid.,</w:t>
      </w:r>
      <w:r>
        <w:t xml:space="preserve"> </w:t>
      </w:r>
      <w:r w:rsidR="00470318">
        <w:t>32</w:t>
      </w:r>
      <w:r w:rsidR="008B3EA7">
        <w:t>.</w:t>
      </w:r>
    </w:p>
  </w:footnote>
  <w:footnote w:id="32">
    <w:p w14:paraId="1F587AD6" w14:textId="2AAD6F04" w:rsidR="00057508" w:rsidRDefault="00057508">
      <w:pPr>
        <w:pStyle w:val="FootnoteText"/>
      </w:pPr>
      <w:r>
        <w:rPr>
          <w:rStyle w:val="FootnoteReference"/>
        </w:rPr>
        <w:footnoteRef/>
      </w:r>
      <w:r>
        <w:t xml:space="preserve"> </w:t>
      </w:r>
      <w:r w:rsidR="008B3EA7">
        <w:t>Ibid.</w:t>
      </w:r>
      <w:r>
        <w:t>, 41</w:t>
      </w:r>
      <w:r w:rsidR="008B3EA7">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cwMTIwsDA0NjK2tLBU0lEKTi0uzszPAykwrgUAPjspbiwAAAA="/>
  </w:docVars>
  <w:rsids>
    <w:rsidRoot w:val="00C57A6F"/>
    <w:rsid w:val="00010330"/>
    <w:rsid w:val="000109D9"/>
    <w:rsid w:val="00012FFF"/>
    <w:rsid w:val="00037938"/>
    <w:rsid w:val="000417EE"/>
    <w:rsid w:val="00057508"/>
    <w:rsid w:val="00074259"/>
    <w:rsid w:val="00090BAB"/>
    <w:rsid w:val="000A5A9A"/>
    <w:rsid w:val="000A6422"/>
    <w:rsid w:val="000B2099"/>
    <w:rsid w:val="000B6F82"/>
    <w:rsid w:val="000C76B3"/>
    <w:rsid w:val="000E4793"/>
    <w:rsid w:val="000F5B67"/>
    <w:rsid w:val="000F7D69"/>
    <w:rsid w:val="00105246"/>
    <w:rsid w:val="00126177"/>
    <w:rsid w:val="001A0366"/>
    <w:rsid w:val="001A3336"/>
    <w:rsid w:val="001A6046"/>
    <w:rsid w:val="001A6785"/>
    <w:rsid w:val="001B3185"/>
    <w:rsid w:val="001B3E6F"/>
    <w:rsid w:val="001F2460"/>
    <w:rsid w:val="001F635C"/>
    <w:rsid w:val="00200469"/>
    <w:rsid w:val="00235D0F"/>
    <w:rsid w:val="0023680C"/>
    <w:rsid w:val="002672BE"/>
    <w:rsid w:val="0027045E"/>
    <w:rsid w:val="00283CE4"/>
    <w:rsid w:val="00294904"/>
    <w:rsid w:val="002960B8"/>
    <w:rsid w:val="002A639D"/>
    <w:rsid w:val="002C5F3D"/>
    <w:rsid w:val="002D0FBA"/>
    <w:rsid w:val="00307E18"/>
    <w:rsid w:val="00311BAD"/>
    <w:rsid w:val="00321A6A"/>
    <w:rsid w:val="0032277E"/>
    <w:rsid w:val="003237B8"/>
    <w:rsid w:val="0033325F"/>
    <w:rsid w:val="00334A75"/>
    <w:rsid w:val="00340FF1"/>
    <w:rsid w:val="00346D84"/>
    <w:rsid w:val="00352580"/>
    <w:rsid w:val="00386530"/>
    <w:rsid w:val="003A5A70"/>
    <w:rsid w:val="003B2BD6"/>
    <w:rsid w:val="003B308A"/>
    <w:rsid w:val="003B4F43"/>
    <w:rsid w:val="003C15FA"/>
    <w:rsid w:val="003D488E"/>
    <w:rsid w:val="003E6CD4"/>
    <w:rsid w:val="003E73E7"/>
    <w:rsid w:val="004126B8"/>
    <w:rsid w:val="0041392E"/>
    <w:rsid w:val="00416436"/>
    <w:rsid w:val="00425008"/>
    <w:rsid w:val="004506AA"/>
    <w:rsid w:val="00470318"/>
    <w:rsid w:val="00476A75"/>
    <w:rsid w:val="00490B4D"/>
    <w:rsid w:val="004A372F"/>
    <w:rsid w:val="004B6D4A"/>
    <w:rsid w:val="004C71C5"/>
    <w:rsid w:val="004D328D"/>
    <w:rsid w:val="004E053C"/>
    <w:rsid w:val="004E4195"/>
    <w:rsid w:val="004E57F4"/>
    <w:rsid w:val="004F5A7B"/>
    <w:rsid w:val="004F713C"/>
    <w:rsid w:val="00501F3A"/>
    <w:rsid w:val="005528B2"/>
    <w:rsid w:val="00552FD5"/>
    <w:rsid w:val="00557EE9"/>
    <w:rsid w:val="00572E00"/>
    <w:rsid w:val="00573B11"/>
    <w:rsid w:val="005A0F47"/>
    <w:rsid w:val="005B5E27"/>
    <w:rsid w:val="005E39DC"/>
    <w:rsid w:val="005E6420"/>
    <w:rsid w:val="00604AFE"/>
    <w:rsid w:val="00650296"/>
    <w:rsid w:val="00656AC3"/>
    <w:rsid w:val="00657811"/>
    <w:rsid w:val="00670278"/>
    <w:rsid w:val="0067299A"/>
    <w:rsid w:val="006845E6"/>
    <w:rsid w:val="0068624B"/>
    <w:rsid w:val="006B42BB"/>
    <w:rsid w:val="006C1EBF"/>
    <w:rsid w:val="006D3E82"/>
    <w:rsid w:val="007100CA"/>
    <w:rsid w:val="00722BEA"/>
    <w:rsid w:val="00736C82"/>
    <w:rsid w:val="007453AB"/>
    <w:rsid w:val="00751D98"/>
    <w:rsid w:val="00753E4F"/>
    <w:rsid w:val="007572C7"/>
    <w:rsid w:val="007845B3"/>
    <w:rsid w:val="007A284F"/>
    <w:rsid w:val="007C418C"/>
    <w:rsid w:val="007E258A"/>
    <w:rsid w:val="007F764F"/>
    <w:rsid w:val="00834527"/>
    <w:rsid w:val="008367C8"/>
    <w:rsid w:val="00840E92"/>
    <w:rsid w:val="0084450E"/>
    <w:rsid w:val="00861F9E"/>
    <w:rsid w:val="00866105"/>
    <w:rsid w:val="008A2420"/>
    <w:rsid w:val="008A31F8"/>
    <w:rsid w:val="008B18D3"/>
    <w:rsid w:val="008B3EA7"/>
    <w:rsid w:val="008C40AD"/>
    <w:rsid w:val="008C7212"/>
    <w:rsid w:val="008E408F"/>
    <w:rsid w:val="008F1E13"/>
    <w:rsid w:val="008F363F"/>
    <w:rsid w:val="008F38EB"/>
    <w:rsid w:val="008F51BB"/>
    <w:rsid w:val="00905321"/>
    <w:rsid w:val="009056A9"/>
    <w:rsid w:val="009449D9"/>
    <w:rsid w:val="00946781"/>
    <w:rsid w:val="00951AA8"/>
    <w:rsid w:val="009541E9"/>
    <w:rsid w:val="009567BA"/>
    <w:rsid w:val="009719B8"/>
    <w:rsid w:val="0098082A"/>
    <w:rsid w:val="009814B8"/>
    <w:rsid w:val="009945CE"/>
    <w:rsid w:val="009A766E"/>
    <w:rsid w:val="009B6E1D"/>
    <w:rsid w:val="009C2BDD"/>
    <w:rsid w:val="009C3FF5"/>
    <w:rsid w:val="009E491A"/>
    <w:rsid w:val="009E5BB2"/>
    <w:rsid w:val="009F410A"/>
    <w:rsid w:val="009F60CA"/>
    <w:rsid w:val="00A03A49"/>
    <w:rsid w:val="00A159B6"/>
    <w:rsid w:val="00A1616B"/>
    <w:rsid w:val="00A30CA7"/>
    <w:rsid w:val="00A63203"/>
    <w:rsid w:val="00A64F7B"/>
    <w:rsid w:val="00A67E91"/>
    <w:rsid w:val="00A74ABC"/>
    <w:rsid w:val="00A83DD4"/>
    <w:rsid w:val="00A86E48"/>
    <w:rsid w:val="00A9007E"/>
    <w:rsid w:val="00A90523"/>
    <w:rsid w:val="00A977DA"/>
    <w:rsid w:val="00AA61FE"/>
    <w:rsid w:val="00AB5D82"/>
    <w:rsid w:val="00AC5112"/>
    <w:rsid w:val="00AC5D9C"/>
    <w:rsid w:val="00AD317D"/>
    <w:rsid w:val="00AD668E"/>
    <w:rsid w:val="00AE1981"/>
    <w:rsid w:val="00AE6929"/>
    <w:rsid w:val="00B20D63"/>
    <w:rsid w:val="00B374D3"/>
    <w:rsid w:val="00B40AAF"/>
    <w:rsid w:val="00B4718B"/>
    <w:rsid w:val="00B54635"/>
    <w:rsid w:val="00B6702B"/>
    <w:rsid w:val="00B701F8"/>
    <w:rsid w:val="00B71D81"/>
    <w:rsid w:val="00B749B5"/>
    <w:rsid w:val="00BA4B8E"/>
    <w:rsid w:val="00BA5551"/>
    <w:rsid w:val="00BD391F"/>
    <w:rsid w:val="00BE69A2"/>
    <w:rsid w:val="00BF42FA"/>
    <w:rsid w:val="00C027BB"/>
    <w:rsid w:val="00C402F6"/>
    <w:rsid w:val="00C5684A"/>
    <w:rsid w:val="00C57A6F"/>
    <w:rsid w:val="00C66CBD"/>
    <w:rsid w:val="00C7233D"/>
    <w:rsid w:val="00C91B5F"/>
    <w:rsid w:val="00CC75F4"/>
    <w:rsid w:val="00CE052F"/>
    <w:rsid w:val="00CE34E9"/>
    <w:rsid w:val="00CF06C8"/>
    <w:rsid w:val="00D11E3D"/>
    <w:rsid w:val="00D14E0B"/>
    <w:rsid w:val="00D15E52"/>
    <w:rsid w:val="00D25172"/>
    <w:rsid w:val="00D3610D"/>
    <w:rsid w:val="00D75260"/>
    <w:rsid w:val="00D958A3"/>
    <w:rsid w:val="00DB3487"/>
    <w:rsid w:val="00DB5571"/>
    <w:rsid w:val="00DB5B43"/>
    <w:rsid w:val="00DD61CE"/>
    <w:rsid w:val="00DE0989"/>
    <w:rsid w:val="00DE1189"/>
    <w:rsid w:val="00DF0344"/>
    <w:rsid w:val="00E00E69"/>
    <w:rsid w:val="00E100E9"/>
    <w:rsid w:val="00E27264"/>
    <w:rsid w:val="00E34F76"/>
    <w:rsid w:val="00E36645"/>
    <w:rsid w:val="00E51197"/>
    <w:rsid w:val="00E52126"/>
    <w:rsid w:val="00E60914"/>
    <w:rsid w:val="00E708C7"/>
    <w:rsid w:val="00E7366B"/>
    <w:rsid w:val="00E85296"/>
    <w:rsid w:val="00E86325"/>
    <w:rsid w:val="00E8779D"/>
    <w:rsid w:val="00E97BE5"/>
    <w:rsid w:val="00EC420A"/>
    <w:rsid w:val="00ED57C2"/>
    <w:rsid w:val="00EE1B3D"/>
    <w:rsid w:val="00EF2699"/>
    <w:rsid w:val="00F04D61"/>
    <w:rsid w:val="00F3077A"/>
    <w:rsid w:val="00F412F6"/>
    <w:rsid w:val="00F73BEB"/>
    <w:rsid w:val="00F808AE"/>
    <w:rsid w:val="00FC024B"/>
    <w:rsid w:val="00FD1390"/>
    <w:rsid w:val="00FD5A12"/>
    <w:rsid w:val="00FE643A"/>
    <w:rsid w:val="00FE7613"/>
    <w:rsid w:val="00FF5625"/>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7F67D"/>
  <w15:chartTrackingRefBased/>
  <w15:docId w15:val="{CC550B31-7983-4422-87EB-0F0168E57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7A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7A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7A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7A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7A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7A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7A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7A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7A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A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7A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7A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7A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7A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7A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7A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7A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7A6F"/>
    <w:rPr>
      <w:rFonts w:eastAsiaTheme="majorEastAsia" w:cstheme="majorBidi"/>
      <w:color w:val="272727" w:themeColor="text1" w:themeTint="D8"/>
    </w:rPr>
  </w:style>
  <w:style w:type="paragraph" w:styleId="Title">
    <w:name w:val="Title"/>
    <w:basedOn w:val="Normal"/>
    <w:next w:val="Normal"/>
    <w:link w:val="TitleChar"/>
    <w:uiPriority w:val="10"/>
    <w:qFormat/>
    <w:rsid w:val="00C57A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7A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7A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7A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7A6F"/>
    <w:pPr>
      <w:spacing w:before="160"/>
      <w:jc w:val="center"/>
    </w:pPr>
    <w:rPr>
      <w:i/>
      <w:iCs/>
      <w:color w:val="404040" w:themeColor="text1" w:themeTint="BF"/>
    </w:rPr>
  </w:style>
  <w:style w:type="character" w:customStyle="1" w:styleId="QuoteChar">
    <w:name w:val="Quote Char"/>
    <w:basedOn w:val="DefaultParagraphFont"/>
    <w:link w:val="Quote"/>
    <w:uiPriority w:val="29"/>
    <w:rsid w:val="00C57A6F"/>
    <w:rPr>
      <w:i/>
      <w:iCs/>
      <w:color w:val="404040" w:themeColor="text1" w:themeTint="BF"/>
    </w:rPr>
  </w:style>
  <w:style w:type="paragraph" w:styleId="ListParagraph">
    <w:name w:val="List Paragraph"/>
    <w:basedOn w:val="Normal"/>
    <w:uiPriority w:val="34"/>
    <w:qFormat/>
    <w:rsid w:val="00C57A6F"/>
    <w:pPr>
      <w:ind w:left="720"/>
      <w:contextualSpacing/>
    </w:pPr>
  </w:style>
  <w:style w:type="character" w:styleId="IntenseEmphasis">
    <w:name w:val="Intense Emphasis"/>
    <w:basedOn w:val="DefaultParagraphFont"/>
    <w:uiPriority w:val="21"/>
    <w:qFormat/>
    <w:rsid w:val="00C57A6F"/>
    <w:rPr>
      <w:i/>
      <w:iCs/>
      <w:color w:val="0F4761" w:themeColor="accent1" w:themeShade="BF"/>
    </w:rPr>
  </w:style>
  <w:style w:type="paragraph" w:styleId="IntenseQuote">
    <w:name w:val="Intense Quote"/>
    <w:basedOn w:val="Normal"/>
    <w:next w:val="Normal"/>
    <w:link w:val="IntenseQuoteChar"/>
    <w:uiPriority w:val="30"/>
    <w:qFormat/>
    <w:rsid w:val="00C57A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7A6F"/>
    <w:rPr>
      <w:i/>
      <w:iCs/>
      <w:color w:val="0F4761" w:themeColor="accent1" w:themeShade="BF"/>
    </w:rPr>
  </w:style>
  <w:style w:type="character" w:styleId="IntenseReference">
    <w:name w:val="Intense Reference"/>
    <w:basedOn w:val="DefaultParagraphFont"/>
    <w:uiPriority w:val="32"/>
    <w:qFormat/>
    <w:rsid w:val="00C57A6F"/>
    <w:rPr>
      <w:b/>
      <w:bCs/>
      <w:smallCaps/>
      <w:color w:val="0F4761" w:themeColor="accent1" w:themeShade="BF"/>
      <w:spacing w:val="5"/>
    </w:rPr>
  </w:style>
  <w:style w:type="paragraph" w:styleId="FootnoteText">
    <w:name w:val="footnote text"/>
    <w:basedOn w:val="Normal"/>
    <w:link w:val="FootnoteTextChar"/>
    <w:uiPriority w:val="99"/>
    <w:semiHidden/>
    <w:unhideWhenUsed/>
    <w:rsid w:val="00A9007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9007E"/>
    <w:rPr>
      <w:sz w:val="20"/>
      <w:szCs w:val="20"/>
    </w:rPr>
  </w:style>
  <w:style w:type="character" w:styleId="FootnoteReference">
    <w:name w:val="footnote reference"/>
    <w:basedOn w:val="DefaultParagraphFont"/>
    <w:uiPriority w:val="99"/>
    <w:semiHidden/>
    <w:unhideWhenUsed/>
    <w:rsid w:val="00A9007E"/>
    <w:rPr>
      <w:vertAlign w:val="superscript"/>
    </w:rPr>
  </w:style>
  <w:style w:type="paragraph" w:styleId="Header">
    <w:name w:val="header"/>
    <w:basedOn w:val="Normal"/>
    <w:link w:val="HeaderChar"/>
    <w:uiPriority w:val="99"/>
    <w:unhideWhenUsed/>
    <w:rsid w:val="008367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67C8"/>
  </w:style>
  <w:style w:type="paragraph" w:styleId="Footer">
    <w:name w:val="footer"/>
    <w:basedOn w:val="Normal"/>
    <w:link w:val="FooterChar"/>
    <w:uiPriority w:val="99"/>
    <w:unhideWhenUsed/>
    <w:rsid w:val="008367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67C8"/>
  </w:style>
  <w:style w:type="paragraph" w:styleId="NormalWeb">
    <w:name w:val="Normal (Web)"/>
    <w:basedOn w:val="Normal"/>
    <w:uiPriority w:val="99"/>
    <w:semiHidden/>
    <w:unhideWhenUsed/>
    <w:rsid w:val="0084450E"/>
    <w:pPr>
      <w:spacing w:before="100" w:beforeAutospacing="1" w:after="100" w:afterAutospacing="1" w:line="240" w:lineRule="auto"/>
    </w:pPr>
    <w:rPr>
      <w:rFonts w:ascii="Times New Roman" w:eastAsia="Times New Roman" w:hAnsi="Times New Roman" w:cs="Times New Roman"/>
      <w:kern w:val="0"/>
      <w:sz w:val="24"/>
      <w:szCs w:val="24"/>
      <w:lang w:eastAsia="en-GB" w:bidi="he-IL"/>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48807">
      <w:bodyDiv w:val="1"/>
      <w:marLeft w:val="0"/>
      <w:marRight w:val="0"/>
      <w:marTop w:val="0"/>
      <w:marBottom w:val="0"/>
      <w:divBdr>
        <w:top w:val="none" w:sz="0" w:space="0" w:color="auto"/>
        <w:left w:val="none" w:sz="0" w:space="0" w:color="auto"/>
        <w:bottom w:val="none" w:sz="0" w:space="0" w:color="auto"/>
        <w:right w:val="none" w:sz="0" w:space="0" w:color="auto"/>
      </w:divBdr>
    </w:div>
    <w:div w:id="119691322">
      <w:bodyDiv w:val="1"/>
      <w:marLeft w:val="0"/>
      <w:marRight w:val="0"/>
      <w:marTop w:val="0"/>
      <w:marBottom w:val="0"/>
      <w:divBdr>
        <w:top w:val="none" w:sz="0" w:space="0" w:color="auto"/>
        <w:left w:val="none" w:sz="0" w:space="0" w:color="auto"/>
        <w:bottom w:val="none" w:sz="0" w:space="0" w:color="auto"/>
        <w:right w:val="none" w:sz="0" w:space="0" w:color="auto"/>
      </w:divBdr>
    </w:div>
    <w:div w:id="221648150">
      <w:bodyDiv w:val="1"/>
      <w:marLeft w:val="0"/>
      <w:marRight w:val="0"/>
      <w:marTop w:val="0"/>
      <w:marBottom w:val="0"/>
      <w:divBdr>
        <w:top w:val="none" w:sz="0" w:space="0" w:color="auto"/>
        <w:left w:val="none" w:sz="0" w:space="0" w:color="auto"/>
        <w:bottom w:val="none" w:sz="0" w:space="0" w:color="auto"/>
        <w:right w:val="none" w:sz="0" w:space="0" w:color="auto"/>
      </w:divBdr>
    </w:div>
    <w:div w:id="538785916">
      <w:bodyDiv w:val="1"/>
      <w:marLeft w:val="0"/>
      <w:marRight w:val="0"/>
      <w:marTop w:val="0"/>
      <w:marBottom w:val="0"/>
      <w:divBdr>
        <w:top w:val="none" w:sz="0" w:space="0" w:color="auto"/>
        <w:left w:val="none" w:sz="0" w:space="0" w:color="auto"/>
        <w:bottom w:val="none" w:sz="0" w:space="0" w:color="auto"/>
        <w:right w:val="none" w:sz="0" w:space="0" w:color="auto"/>
      </w:divBdr>
      <w:divsChild>
        <w:div w:id="1363746642">
          <w:marLeft w:val="-720"/>
          <w:marRight w:val="0"/>
          <w:marTop w:val="0"/>
          <w:marBottom w:val="0"/>
          <w:divBdr>
            <w:top w:val="none" w:sz="0" w:space="0" w:color="auto"/>
            <w:left w:val="none" w:sz="0" w:space="0" w:color="auto"/>
            <w:bottom w:val="none" w:sz="0" w:space="0" w:color="auto"/>
            <w:right w:val="none" w:sz="0" w:space="0" w:color="auto"/>
          </w:divBdr>
        </w:div>
      </w:divsChild>
    </w:div>
    <w:div w:id="571892875">
      <w:bodyDiv w:val="1"/>
      <w:marLeft w:val="0"/>
      <w:marRight w:val="0"/>
      <w:marTop w:val="0"/>
      <w:marBottom w:val="0"/>
      <w:divBdr>
        <w:top w:val="none" w:sz="0" w:space="0" w:color="auto"/>
        <w:left w:val="none" w:sz="0" w:space="0" w:color="auto"/>
        <w:bottom w:val="none" w:sz="0" w:space="0" w:color="auto"/>
        <w:right w:val="none" w:sz="0" w:space="0" w:color="auto"/>
      </w:divBdr>
    </w:div>
    <w:div w:id="593974607">
      <w:bodyDiv w:val="1"/>
      <w:marLeft w:val="0"/>
      <w:marRight w:val="0"/>
      <w:marTop w:val="0"/>
      <w:marBottom w:val="0"/>
      <w:divBdr>
        <w:top w:val="none" w:sz="0" w:space="0" w:color="auto"/>
        <w:left w:val="none" w:sz="0" w:space="0" w:color="auto"/>
        <w:bottom w:val="none" w:sz="0" w:space="0" w:color="auto"/>
        <w:right w:val="none" w:sz="0" w:space="0" w:color="auto"/>
      </w:divBdr>
    </w:div>
    <w:div w:id="979068680">
      <w:bodyDiv w:val="1"/>
      <w:marLeft w:val="0"/>
      <w:marRight w:val="0"/>
      <w:marTop w:val="0"/>
      <w:marBottom w:val="0"/>
      <w:divBdr>
        <w:top w:val="none" w:sz="0" w:space="0" w:color="auto"/>
        <w:left w:val="none" w:sz="0" w:space="0" w:color="auto"/>
        <w:bottom w:val="none" w:sz="0" w:space="0" w:color="auto"/>
        <w:right w:val="none" w:sz="0" w:space="0" w:color="auto"/>
      </w:divBdr>
    </w:div>
    <w:div w:id="1640958317">
      <w:bodyDiv w:val="1"/>
      <w:marLeft w:val="0"/>
      <w:marRight w:val="0"/>
      <w:marTop w:val="0"/>
      <w:marBottom w:val="0"/>
      <w:divBdr>
        <w:top w:val="none" w:sz="0" w:space="0" w:color="auto"/>
        <w:left w:val="none" w:sz="0" w:space="0" w:color="auto"/>
        <w:bottom w:val="none" w:sz="0" w:space="0" w:color="auto"/>
        <w:right w:val="none" w:sz="0" w:space="0" w:color="auto"/>
      </w:divBdr>
    </w:div>
    <w:div w:id="1721631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1561</TotalTime>
  <Pages>5</Pages>
  <Words>2011</Words>
  <Characters>11469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Neve Pule</dc:creator>
  <cp:keywords/>
  <dc:description/>
  <cp:lastModifiedBy>Neve Pule</cp:lastModifiedBy>
  <cp:revision>226</cp:revision>
  <cp:lastPrinted>2024-04-18T14:36:00Z</cp:lastPrinted>
  <dcterms:created xsi:type="dcterms:W3CDTF">2024-04-17T15:40:00Z</dcterms:created>
  <dcterms:modified xsi:type="dcterms:W3CDTF">2024-04-21T13:06:00Z</dcterms:modified>
</cp:coreProperties>
</file>