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674923" w14:textId="2E464686" w:rsidR="00C22FAC" w:rsidRDefault="00C22FAC" w:rsidP="00C22FAC">
      <w:r>
        <w:t>This paper is the product of over twenty-year study on the changing political and economic climate regarding traditional Chinese crafts</w:t>
      </w:r>
      <w:r w:rsidR="009F6200" w:rsidRPr="009F6200">
        <w:t xml:space="preserve"> </w:t>
      </w:r>
      <w:r w:rsidR="009F6200" w:rsidRPr="009F6200">
        <w:t>(Bluminfield, 2018</w:t>
      </w:r>
      <w:r w:rsidR="009F6200">
        <w:t>,</w:t>
      </w:r>
      <w:r w:rsidR="002314F6">
        <w:t xml:space="preserve"> </w:t>
      </w:r>
      <w:r w:rsidR="009F6200">
        <w:t>p.2)</w:t>
      </w:r>
      <w:r>
        <w:t>. Mainly, in consideration to Yunnan and Mosuo matriarchal weaving</w:t>
      </w:r>
      <w:r w:rsidR="002314F6">
        <w:t xml:space="preserve"> legacy</w:t>
      </w:r>
      <w:r>
        <w:t xml:space="preserve">. Nevertheless, including other examples such as </w:t>
      </w:r>
      <w:r w:rsidRPr="00C22FAC">
        <w:rPr>
          <w:i/>
          <w:iCs/>
        </w:rPr>
        <w:t>dab</w:t>
      </w:r>
      <w:r>
        <w:t xml:space="preserve">a </w:t>
      </w:r>
      <w:r w:rsidR="002314F6">
        <w:t>(</w:t>
      </w:r>
      <w:r>
        <w:t>ritual</w:t>
      </w:r>
      <w:r w:rsidR="002314F6">
        <w:t>)</w:t>
      </w:r>
      <w:r>
        <w:t xml:space="preserve">, </w:t>
      </w:r>
      <w:r w:rsidRPr="00C22FAC">
        <w:rPr>
          <w:i/>
          <w:iCs/>
        </w:rPr>
        <w:t xml:space="preserve">zhubiaorou </w:t>
      </w:r>
      <w:r w:rsidR="002314F6" w:rsidRPr="002314F6">
        <w:t>(</w:t>
      </w:r>
      <w:r>
        <w:t>pork preservation</w:t>
      </w:r>
      <w:r w:rsidR="002314F6">
        <w:t>)</w:t>
      </w:r>
      <w:r>
        <w:t xml:space="preserve">, </w:t>
      </w:r>
      <w:r w:rsidRPr="00C22FAC">
        <w:rPr>
          <w:i/>
          <w:iCs/>
        </w:rPr>
        <w:t>pige</w:t>
      </w:r>
      <w:r w:rsidR="002314F6">
        <w:rPr>
          <w:i/>
          <w:iCs/>
        </w:rPr>
        <w:t xml:space="preserve"> </w:t>
      </w:r>
      <w:r w:rsidR="002314F6" w:rsidRPr="002314F6">
        <w:t>(</w:t>
      </w:r>
      <w:r w:rsidR="002314F6">
        <w:rPr>
          <w:i/>
          <w:iCs/>
        </w:rPr>
        <w:t>l</w:t>
      </w:r>
      <w:r>
        <w:t>eather</w:t>
      </w:r>
      <w:r w:rsidR="002314F6">
        <w:t>)</w:t>
      </w:r>
      <w:r>
        <w:t xml:space="preserve">, </w:t>
      </w:r>
      <w:r w:rsidRPr="00C22FAC">
        <w:rPr>
          <w:i/>
          <w:iCs/>
        </w:rPr>
        <w:t>sulima</w:t>
      </w:r>
      <w:r>
        <w:t xml:space="preserve"> </w:t>
      </w:r>
      <w:r w:rsidR="002314F6">
        <w:t>(</w:t>
      </w:r>
      <w:r>
        <w:t>alcohol</w:t>
      </w:r>
      <w:r w:rsidR="002314F6">
        <w:t>)</w:t>
      </w:r>
      <w:r>
        <w:t xml:space="preserve"> and </w:t>
      </w:r>
      <w:r w:rsidRPr="00C22FAC">
        <w:rPr>
          <w:i/>
          <w:iCs/>
        </w:rPr>
        <w:t>haba</w:t>
      </w:r>
      <w:r>
        <w:t xml:space="preserve"> </w:t>
      </w:r>
      <w:r w:rsidR="002314F6">
        <w:t>(</w:t>
      </w:r>
      <w:r>
        <w:t>dancing</w:t>
      </w:r>
      <w:r w:rsidR="002314F6">
        <w:t>)</w:t>
      </w:r>
      <w:r w:rsidR="009F6200" w:rsidRPr="009F6200">
        <w:t xml:space="preserve"> </w:t>
      </w:r>
      <w:r w:rsidR="009F6200" w:rsidRPr="009F6200">
        <w:t>(Bluminfield, 2018</w:t>
      </w:r>
      <w:r w:rsidR="009F6200">
        <w:t>, p.14)</w:t>
      </w:r>
      <w:r>
        <w:t>. This chapter considers what is considered traditional heritage and why they are chosen. Furthermore, asking what can be done by the government to retain Chinas intangible heritage in its original context.</w:t>
      </w:r>
    </w:p>
    <w:p w14:paraId="146D81AF" w14:textId="77777777" w:rsidR="00C22FAC" w:rsidRDefault="00C22FAC" w:rsidP="00C22FAC"/>
    <w:p w14:paraId="4814D25E" w14:textId="77777777" w:rsidR="00C22FAC" w:rsidRDefault="00C22FAC" w:rsidP="00C22FAC">
      <w:r>
        <w:t>Bluminfields focuses on the effects of intangible heritage recognition on individuals, communities and on traditional practices. Asking what is defined as intangible cultural heritage in China, specifically Northwest Yunnan, who oversees designating heritage sanction at an international, national and regional level. (Chinese government, or regional council or UNESCO at an international level) However, this introduces questions of who and what practice is selected and who should be left out? Subsequently, provisions are largely provided to practices that will increase tourism and boost the local and national economy.</w:t>
      </w:r>
    </w:p>
    <w:p w14:paraId="61D7380A" w14:textId="77777777" w:rsidR="00C22FAC" w:rsidRDefault="00C22FAC" w:rsidP="00C22FAC"/>
    <w:p w14:paraId="188DB3F2" w14:textId="6E11A81E" w:rsidR="00C22FAC" w:rsidRDefault="00C22FAC" w:rsidP="00C22FAC">
      <w:r>
        <w:t>Furthermore, the paper concentrates on the effects of these decisions on families and communities, both chosen and disregarded. Such as discussing how popularity will encourage industrial competitors to create mimics for tourist sales, subsequently damaging the practice by reducing sales</w:t>
      </w:r>
      <w:r w:rsidR="00EA6ECE" w:rsidRPr="00EA6ECE">
        <w:t xml:space="preserve"> </w:t>
      </w:r>
      <w:r w:rsidR="00EA6ECE" w:rsidRPr="00EA6ECE">
        <w:t>(Bluminfield, 2018</w:t>
      </w:r>
      <w:r w:rsidR="00EA6ECE">
        <w:t>, p.08)</w:t>
      </w:r>
      <w:r>
        <w:t xml:space="preserve">. </w:t>
      </w:r>
      <w:r w:rsidRPr="004200AC">
        <w:t xml:space="preserve">In addition, </w:t>
      </w:r>
      <w:r w:rsidR="00AC4C9D" w:rsidRPr="004200AC">
        <w:t>conveying</w:t>
      </w:r>
      <w:r w:rsidRPr="004200AC">
        <w:t xml:space="preserve"> reinforcement of traditional gendered roles to preserve intangible</w:t>
      </w:r>
      <w:r>
        <w:t xml:space="preserve"> cultural heritage context. At the cost of the heritage system limiting each gender to only fulfil that job, men butchering (</w:t>
      </w:r>
      <w:r w:rsidRPr="00C22FAC">
        <w:rPr>
          <w:i/>
          <w:iCs/>
        </w:rPr>
        <w:t>zhubiaorou)</w:t>
      </w:r>
      <w:r>
        <w:t xml:space="preserve"> and women brewing alcohol (</w:t>
      </w:r>
      <w:r w:rsidRPr="00C22FAC">
        <w:rPr>
          <w:i/>
          <w:iCs/>
        </w:rPr>
        <w:t>sulima</w:t>
      </w:r>
      <w:r>
        <w:t>)</w:t>
      </w:r>
      <w:r w:rsidR="00330A88" w:rsidRPr="00330A88">
        <w:t xml:space="preserve"> </w:t>
      </w:r>
      <w:r w:rsidR="00330A88" w:rsidRPr="00330A88">
        <w:t>(Bluminfield, 2018</w:t>
      </w:r>
      <w:r w:rsidR="00330A88">
        <w:t>, p.22-23)</w:t>
      </w:r>
      <w:r>
        <w:t>. The author consider</w:t>
      </w:r>
      <w:r>
        <w:t xml:space="preserve">s </w:t>
      </w:r>
      <w:r>
        <w:t>the benefits of publicity such as boosted sales, stability for families and communities and expansion of the skill of the crafts, preventing from short term dying out, however, at the cost of reduced innovation and modernisation. Creating reluctancy for new infrastructure to prevent contextual damage.</w:t>
      </w:r>
    </w:p>
    <w:p w14:paraId="0F3D1C5D" w14:textId="77777777" w:rsidR="00C22FAC" w:rsidRDefault="00C22FAC" w:rsidP="00C22FAC"/>
    <w:p w14:paraId="3DF1DC0B" w14:textId="77777777" w:rsidR="00B94383" w:rsidRDefault="00B94383" w:rsidP="00C22FAC"/>
    <w:p w14:paraId="6DC4EC18" w14:textId="77777777" w:rsidR="00B94383" w:rsidRDefault="00B94383" w:rsidP="00C22FAC"/>
    <w:p w14:paraId="0AD4DF1B" w14:textId="77777777" w:rsidR="00B94383" w:rsidRDefault="00B94383" w:rsidP="00C22FAC"/>
    <w:p w14:paraId="76F42033" w14:textId="77777777" w:rsidR="00B94383" w:rsidRDefault="00B94383" w:rsidP="00C22FAC"/>
    <w:p w14:paraId="7F6258E3" w14:textId="77777777" w:rsidR="00B94383" w:rsidRDefault="00B94383" w:rsidP="00C22FAC"/>
    <w:p w14:paraId="3C19286B" w14:textId="77777777" w:rsidR="00B94383" w:rsidRDefault="00B94383" w:rsidP="00C22FAC"/>
    <w:p w14:paraId="58CB162B" w14:textId="77777777" w:rsidR="00B94383" w:rsidRDefault="00B94383" w:rsidP="00C22FAC"/>
    <w:p w14:paraId="5ED846D5" w14:textId="77777777" w:rsidR="00B94383" w:rsidRDefault="00B94383" w:rsidP="00C22FAC"/>
    <w:p w14:paraId="3675E045" w14:textId="56FC914D" w:rsidR="00C22FAC" w:rsidRDefault="00C22FAC" w:rsidP="00C22FAC">
      <w:r>
        <w:lastRenderedPageBreak/>
        <w:t xml:space="preserve">This text is from a pro intangible heritage perspective, one that is employed to promote heritage practitioners. Primarily, due to authors own heritage research career. Furthermore, this author  </w:t>
      </w:r>
      <w:r w:rsidR="00167486">
        <w:t>proposes multiple questions in response to interviews, for example,</w:t>
      </w:r>
      <w:r>
        <w:t xml:space="preserve"> that intangible heritage practices should be less political and revolving around monetary value, with more protection in place to protect the products from industrial mimics and protection for the individual to ensure financial stability, thus, protecting the craft along with the cultural context, such as the town and the historic participants. However, with mainstream eyes on the practice, the author questions when the craft can adapt and remain intact culturally. Such as, can the items be sold online and not in person. Can patterns be designed and patented to protect the craft from machine-woven competitors</w:t>
      </w:r>
      <w:r w:rsidR="00167486">
        <w:t>? B</w:t>
      </w:r>
      <w:r>
        <w:t>ut this brings problems with a previously communal based craft</w:t>
      </w:r>
      <w:r w:rsidR="00167486">
        <w:t>s</w:t>
      </w:r>
      <w:r w:rsidR="001447A9" w:rsidRPr="001447A9">
        <w:t xml:space="preserve"> </w:t>
      </w:r>
      <w:r w:rsidR="001447A9" w:rsidRPr="001447A9">
        <w:t>(Bluminfield, 2018</w:t>
      </w:r>
      <w:r w:rsidR="001447A9">
        <w:t>, p.11)</w:t>
      </w:r>
      <w:r>
        <w:t xml:space="preserve">. </w:t>
      </w:r>
      <w:r w:rsidR="00904FDC">
        <w:t xml:space="preserve">With enough protection and support from government, tourists and locals </w:t>
      </w:r>
      <w:r w:rsidR="00F61228">
        <w:t>I believe that enough</w:t>
      </w:r>
      <w:r w:rsidR="00904FDC">
        <w:t xml:space="preserve"> of the intangible heritage will thrive but changes in media </w:t>
      </w:r>
      <w:r w:rsidR="00F61228">
        <w:t xml:space="preserve">and culture </w:t>
      </w:r>
      <w:r w:rsidR="00904FDC">
        <w:t>will inevitably change some aspect of the craft.</w:t>
      </w:r>
      <w:r w:rsidR="00F61228">
        <w:t xml:space="preserve"> Such as, it no longer being family businesses or that international clients are relied on for </w:t>
      </w:r>
      <w:r w:rsidR="003D4610">
        <w:t>profit.</w:t>
      </w:r>
    </w:p>
    <w:p w14:paraId="4CC5A4A9" w14:textId="5868949C" w:rsidR="00C22FAC" w:rsidRDefault="00C22FAC" w:rsidP="00C22FAC">
      <w:r>
        <w:t>Primarily this paper relies on comparative interviews from 2013 during the original investigation and 2016 with follow up. Interviewees include newly dubbed intangible cultural heritage transmitters and practitioners. Such as, Ms Yang designated intangible heritage transmitter for Mosuo weaving, who was interviewed multiple times as far back as 2002</w:t>
      </w:r>
      <w:r w:rsidR="00C36987" w:rsidRPr="00C36987">
        <w:t xml:space="preserve"> </w:t>
      </w:r>
      <w:r w:rsidR="00C36987" w:rsidRPr="00C36987">
        <w:t>(Bluminfield, 2018</w:t>
      </w:r>
      <w:r w:rsidR="00C36987">
        <w:t>, p.3-23)</w:t>
      </w:r>
      <w:r>
        <w:t xml:space="preserve">. Another example, Ahwo Tuodi a transmitter for </w:t>
      </w:r>
      <w:r w:rsidRPr="00AA492E">
        <w:rPr>
          <w:i/>
          <w:iCs/>
        </w:rPr>
        <w:t>daba</w:t>
      </w:r>
      <w:r>
        <w:t xml:space="preserve"> ritual specialism</w:t>
      </w:r>
      <w:r w:rsidR="00BA4401" w:rsidRPr="00BA4401">
        <w:t xml:space="preserve"> </w:t>
      </w:r>
      <w:r w:rsidR="00BA4401" w:rsidRPr="00BA4401">
        <w:t>(Bluminfield, 2018</w:t>
      </w:r>
      <w:r w:rsidR="00BA4401">
        <w:t>, p.15)</w:t>
      </w:r>
      <w:r>
        <w:t xml:space="preserve">. Dashih Dudjih a cultural centre </w:t>
      </w:r>
      <w:r w:rsidR="00AA492E">
        <w:t>curator</w:t>
      </w:r>
      <w:r>
        <w:t xml:space="preserve"> was showcasing traditional textiles from Mosuo</w:t>
      </w:r>
      <w:r w:rsidR="00BA4401" w:rsidRPr="00BA4401">
        <w:t xml:space="preserve"> </w:t>
      </w:r>
      <w:r w:rsidR="00BA4401" w:rsidRPr="00BA4401">
        <w:t>(Bluminfield, 2018</w:t>
      </w:r>
      <w:r w:rsidR="00BA4401">
        <w:t>, p.17-18)</w:t>
      </w:r>
      <w:r>
        <w:t xml:space="preserve">. Though relying on these interviews to provide a </w:t>
      </w:r>
      <w:r w:rsidR="00AA492E">
        <w:t>first-hand</w:t>
      </w:r>
      <w:r>
        <w:t xml:space="preserve"> account of the social effects of new legislation, they were unfortunately brief in some accounts and mainly focusing on Ms Yang. Such as only one quote available from Dashih Dudjih. Therefore, reducing the anthropological accounts available for future study.</w:t>
      </w:r>
    </w:p>
    <w:p w14:paraId="554ABDF0" w14:textId="77777777" w:rsidR="00C22FAC" w:rsidRDefault="00C22FAC" w:rsidP="00C22FAC"/>
    <w:p w14:paraId="2F657229" w14:textId="4F06A232" w:rsidR="00C22FAC" w:rsidRDefault="00C22FAC" w:rsidP="00C22FAC">
      <w:r>
        <w:t>In connection, the author has included quotes from papers on Chinese cultural heritage as well as various official papers on the international heritage discourse. Consequently, introducing and expanding upon a new topic with figures and statements to describe the subject thoroughly. Such as UNESCO decision to decline Chinas torch festival as a world intangible cultural heritage member, this was broadened by describing the vast amount of resources funnelled into the proposal, with overviews of nomination transcripts 00654</w:t>
      </w:r>
      <w:r w:rsidR="009168F0" w:rsidRPr="009168F0">
        <w:t xml:space="preserve"> (Tu An et a</w:t>
      </w:r>
      <w:r w:rsidR="00104BC2">
        <w:t>l,</w:t>
      </w:r>
      <w:r w:rsidR="009168F0" w:rsidRPr="009168F0">
        <w:t xml:space="preserve"> 2013)</w:t>
      </w:r>
      <w:r w:rsidR="00024A77" w:rsidRPr="00024A77">
        <w:t xml:space="preserve"> </w:t>
      </w:r>
      <w:r w:rsidR="00024A77" w:rsidRPr="00024A77">
        <w:t>(Bluminfield, 2018</w:t>
      </w:r>
      <w:r w:rsidR="00024A77">
        <w:t>, p.19)</w:t>
      </w:r>
      <w:r>
        <w:t>. Including these accounts create a more enjoyable read and adding credibility due to the amount of peer-reviewed papers, official reports and oral accounts.</w:t>
      </w:r>
    </w:p>
    <w:p w14:paraId="6AF018D9" w14:textId="6597F162" w:rsidR="00C22FAC" w:rsidRDefault="00C22FAC" w:rsidP="00C22FAC">
      <w:r>
        <w:t>Similarly, Bluminfield has gone to lengths to include multiple mediums revolving around international heritage discourse, such as transcripts from UNESCO conferences, newspaper releases and press interviews. Inclusion of global accounts provides opposing viewpoints to Chinas international heritage recognition. Such as the Fire festival discussed above with declination due to animal fights and sacrifice</w:t>
      </w:r>
      <w:r w:rsidR="00C9425E" w:rsidRPr="00C9425E">
        <w:t xml:space="preserve"> </w:t>
      </w:r>
      <w:r w:rsidR="00C9425E" w:rsidRPr="00C9425E">
        <w:t>(UNESCO - Decision of the Intergovernmental Committee: 9.COM 10.12, 2014)</w:t>
      </w:r>
      <w:r w:rsidR="00C9425E" w:rsidRPr="00C9425E">
        <w:t xml:space="preserve"> </w:t>
      </w:r>
      <w:r w:rsidR="00C9425E" w:rsidRPr="00C9425E">
        <w:t>(Bluminfield, 2018</w:t>
      </w:r>
      <w:r w:rsidR="00C9425E">
        <w:t>, p.20</w:t>
      </w:r>
      <w:r w:rsidR="00C9425E" w:rsidRPr="00C9425E">
        <w:t>)</w:t>
      </w:r>
      <w:r>
        <w:t xml:space="preserve">. They were bringing forth discussion of why China would want international acknowledgement </w:t>
      </w:r>
      <w:r w:rsidR="00895CEA">
        <w:t>with state recognition already.</w:t>
      </w:r>
      <w:r>
        <w:t xml:space="preserve"> Likewise, the effects of culture in approving a heritage practice, questioning who has the authority to decide on one sites legitimacy against another because on the part of a whole goes against another country’s social norm. The use </w:t>
      </w:r>
      <w:r>
        <w:lastRenderedPageBreak/>
        <w:t>of international distributions introduces the problems of who has the right to approve and hold the responsibility of Chinas intangible heritage.</w:t>
      </w:r>
    </w:p>
    <w:p w14:paraId="17F63073" w14:textId="77777777" w:rsidR="00C22FAC" w:rsidRDefault="00C22FAC" w:rsidP="00C22FAC"/>
    <w:p w14:paraId="5AAD69BE" w14:textId="77777777" w:rsidR="00C22FAC" w:rsidRDefault="00C22FAC" w:rsidP="00C22FAC">
      <w:r>
        <w:t>In consideration of the research presented I would make changes in including more interviews of intangible cultural heritage practitioners, not officially named but still offer discourse on the difficulties faced in owning a dying practice and what happens without any protection to the craft.  Such as, instead of intently focusing on Ms Yang, I would have included a comparison interview with a weaver not designated transmitter and the discuss the privileges and difficulties faced in Mosuo.</w:t>
      </w:r>
    </w:p>
    <w:p w14:paraId="49BE802E" w14:textId="77777777" w:rsidR="00C22FAC" w:rsidRDefault="00C22FAC" w:rsidP="00C22FAC"/>
    <w:p w14:paraId="2C483C9A" w14:textId="2B88979C" w:rsidR="00C22FAC" w:rsidRDefault="00C22FAC" w:rsidP="00C22FAC">
      <w:r>
        <w:t>In conclusion, this paper is relevant in intangible heritage discourse, especially with dying heritage practices and quickly evolving communication. Both introducing the craft globally and allowing for international recognition and potential financial growth and teachings but introducing difficulties in maintaining its cultural context and questioning who should oversee protecting its integrity.</w:t>
      </w:r>
      <w:r w:rsidR="00167486">
        <w:t xml:space="preserve"> </w:t>
      </w:r>
      <w:r w:rsidR="00210089">
        <w:t xml:space="preserve">These effects can be split on providing liberation to some families to </w:t>
      </w:r>
      <w:r w:rsidR="00596A09">
        <w:t>work</w:t>
      </w:r>
      <w:r w:rsidR="00210089">
        <w:t xml:space="preserve"> from home, typically women with children</w:t>
      </w:r>
      <w:r w:rsidR="00E44713" w:rsidRPr="00E44713">
        <w:t xml:space="preserve"> </w:t>
      </w:r>
      <w:r w:rsidR="00E44713" w:rsidRPr="00E44713">
        <w:t>(Bluminfield, 2018</w:t>
      </w:r>
      <w:r w:rsidR="00E44713">
        <w:t>, p.22)</w:t>
      </w:r>
      <w:r w:rsidR="00210089">
        <w:t>. Allowing for a family craft to be preserved not in museums but in everyday life, retaining value outside of historical and to bring recognition to these families and communities. However, in comparison, new waves of tourism can overload the communities with item demands, and limited protective regulations allowing for knock offs to appea</w:t>
      </w:r>
      <w:r w:rsidR="00EA6ECE">
        <w:t>r</w:t>
      </w:r>
      <w:r w:rsidR="00EA6ECE" w:rsidRPr="00EA6ECE">
        <w:t xml:space="preserve"> </w:t>
      </w:r>
      <w:r w:rsidR="00EA6ECE" w:rsidRPr="00EA6ECE">
        <w:t>(Bluminfield, 2018</w:t>
      </w:r>
      <w:r w:rsidR="00EA6ECE">
        <w:t>, p.08)</w:t>
      </w:r>
      <w:r w:rsidR="00596A09">
        <w:t>. Also,</w:t>
      </w:r>
      <w:r w:rsidR="00210089">
        <w:t xml:space="preserve"> heightened infrastructure demands, such as road damages, accommodation and food demands for both tourists and locals </w:t>
      </w:r>
      <w:r w:rsidR="00596A09">
        <w:t>putting pressures on locals to provide to maintain clients. However, at the cost of the community.</w:t>
      </w:r>
    </w:p>
    <w:p w14:paraId="106A480B" w14:textId="22013C22" w:rsidR="00596A09" w:rsidRDefault="00596A09" w:rsidP="00C22FAC">
      <w:r>
        <w:t>Coexistence is possible for identity preservation while expanding into global recognition. Such as, with active government protection in creating legislation to protect authenticity as well as provide support and resources to compensate crafters to prevent abandonment as well as new teachings so that it will not dye out.</w:t>
      </w:r>
    </w:p>
    <w:p w14:paraId="68C739C9" w14:textId="77777777" w:rsidR="006E6B23" w:rsidRPr="00861E3E" w:rsidRDefault="006E6B23" w:rsidP="006E6B23">
      <w:pPr>
        <w:rPr>
          <w:highlight w:val="yellow"/>
        </w:rPr>
      </w:pPr>
    </w:p>
    <w:p w14:paraId="110D68E1" w14:textId="196C8A29" w:rsidR="00B94383" w:rsidRDefault="00B94383" w:rsidP="006E6B23"/>
    <w:p w14:paraId="73FD08C1" w14:textId="4D45C75A" w:rsidR="002168EA" w:rsidRDefault="002168EA" w:rsidP="006E6B23"/>
    <w:p w14:paraId="08FDAFA0" w14:textId="07473E22" w:rsidR="002168EA" w:rsidRDefault="002168EA" w:rsidP="006E6B23"/>
    <w:p w14:paraId="532749E2" w14:textId="254A5166" w:rsidR="002168EA" w:rsidRDefault="002168EA" w:rsidP="006E6B23"/>
    <w:p w14:paraId="2F2177EB" w14:textId="32023F40" w:rsidR="002168EA" w:rsidRDefault="002168EA" w:rsidP="006E6B23"/>
    <w:p w14:paraId="1B413BAA" w14:textId="309AB230" w:rsidR="002168EA" w:rsidRDefault="002168EA" w:rsidP="006E6B23"/>
    <w:p w14:paraId="39B2B594" w14:textId="17ECB5F3" w:rsidR="002168EA" w:rsidRDefault="002168EA" w:rsidP="006E6B23"/>
    <w:p w14:paraId="6F0CF42E" w14:textId="5F007ECC" w:rsidR="002168EA" w:rsidRDefault="002168EA" w:rsidP="006E6B23"/>
    <w:p w14:paraId="310D3C24" w14:textId="63C8F75C" w:rsidR="002168EA" w:rsidRDefault="002168EA" w:rsidP="006E6B23"/>
    <w:p w14:paraId="2FC66CCC" w14:textId="6A48A8EC" w:rsidR="002168EA" w:rsidRDefault="002168EA" w:rsidP="006E6B23"/>
    <w:p w14:paraId="00854546" w14:textId="13BF3240" w:rsidR="002168EA" w:rsidRDefault="002168EA" w:rsidP="006E6B23"/>
    <w:p w14:paraId="28F76DFC" w14:textId="2ABEA09C" w:rsidR="002168EA" w:rsidRDefault="002168EA" w:rsidP="006E6B23">
      <w:r>
        <w:t>BIBLIOGRAPHY</w:t>
      </w:r>
    </w:p>
    <w:p w14:paraId="6E245C4F" w14:textId="04DD5C79" w:rsidR="002168EA" w:rsidRDefault="002168EA" w:rsidP="006E6B23">
      <w:r w:rsidRPr="002168EA">
        <w:t xml:space="preserve">Bluminfield, T., 2018. </w:t>
      </w:r>
      <w:r w:rsidR="009B510A">
        <w:t xml:space="preserve">‘Recognition and Misrecognition The politics of intangible cultural heritage in southwest China.’ </w:t>
      </w:r>
      <w:r w:rsidRPr="002168EA">
        <w:t xml:space="preserve">Chinese Heritage </w:t>
      </w:r>
      <w:r>
        <w:t>i</w:t>
      </w:r>
      <w:r w:rsidRPr="002168EA">
        <w:t xml:space="preserve">n The Making: Experiences, Negotiations </w:t>
      </w:r>
      <w:r w:rsidR="009B510A">
        <w:t>a</w:t>
      </w:r>
      <w:r w:rsidRPr="002168EA">
        <w:t>nd Contestations On JSTOR. [online] Jstor.org. Available at: &lt;https://www.jstor.org/stable/j.ctt2204rz8&gt; [Accessed 7 April 2020].</w:t>
      </w:r>
    </w:p>
    <w:p w14:paraId="5DE7DD0E" w14:textId="48C9D213" w:rsidR="009168F0" w:rsidRDefault="009168F0" w:rsidP="009168F0">
      <w:r>
        <w:t>Tu An et al. (2013). ‘Nomination File no. 00654 for Inscription on the Representative List of the Intangible Cultural Heritage of Humanity in 2014’, Submitted</w:t>
      </w:r>
      <w:r>
        <w:t xml:space="preserve"> </w:t>
      </w:r>
      <w:r>
        <w:t xml:space="preserve">for the </w:t>
      </w:r>
      <w:r>
        <w:t>c</w:t>
      </w:r>
      <w:r>
        <w:t xml:space="preserve">onvention for the </w:t>
      </w:r>
      <w:r>
        <w:t>s</w:t>
      </w:r>
      <w:r>
        <w:t>afeguarding of the Intangible Cultural Heritage,</w:t>
      </w:r>
      <w:r>
        <w:t xml:space="preserve"> </w:t>
      </w:r>
      <w:r>
        <w:t xml:space="preserve">Intergovernmental Committee for the </w:t>
      </w:r>
      <w:r>
        <w:t>sa</w:t>
      </w:r>
      <w:r>
        <w:t>feguarding of the Intangible Cultural</w:t>
      </w:r>
      <w:r>
        <w:t xml:space="preserve"> </w:t>
      </w:r>
      <w:r>
        <w:t xml:space="preserve">Heritage, Ninth session, Paris, France, November 2014, </w:t>
      </w:r>
      <w:hyperlink r:id="rId7" w:history="1">
        <w:r w:rsidRPr="007517BB">
          <w:rPr>
            <w:rStyle w:val="Hyperlink"/>
          </w:rPr>
          <w:t>http://www.unesco.org/</w:t>
        </w:r>
      </w:hyperlink>
      <w:r>
        <w:t xml:space="preserve"> </w:t>
      </w:r>
      <w:r>
        <w:t>culture/ich/doc/download.php?versionID=30305.</w:t>
      </w:r>
    </w:p>
    <w:p w14:paraId="018D0211" w14:textId="1C27F50D" w:rsidR="00C9425E" w:rsidRDefault="00C9425E" w:rsidP="009168F0">
      <w:r w:rsidRPr="00C9425E">
        <w:t>Ich.unesco.org. 2014. UNESCO - Decision Of The Intergovernmental Committee: 9.COM 10.12. [online] Available at: &lt;https://ich.unesco.org/en/Decisions/9.COM/10.12&gt; [Accessed 7 April 2020].</w:t>
      </w:r>
    </w:p>
    <w:sectPr w:rsidR="00C9425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088BD9" w14:textId="77777777" w:rsidR="00665C67" w:rsidRDefault="00665C67" w:rsidP="00A164E5">
      <w:pPr>
        <w:spacing w:after="0" w:line="240" w:lineRule="auto"/>
      </w:pPr>
      <w:r>
        <w:separator/>
      </w:r>
    </w:p>
  </w:endnote>
  <w:endnote w:type="continuationSeparator" w:id="0">
    <w:p w14:paraId="0D53E581" w14:textId="77777777" w:rsidR="00665C67" w:rsidRDefault="00665C67" w:rsidP="00A16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390FF0" w14:textId="77777777" w:rsidR="00665C67" w:rsidRDefault="00665C67" w:rsidP="00A164E5">
      <w:pPr>
        <w:spacing w:after="0" w:line="240" w:lineRule="auto"/>
      </w:pPr>
      <w:r>
        <w:separator/>
      </w:r>
    </w:p>
  </w:footnote>
  <w:footnote w:type="continuationSeparator" w:id="0">
    <w:p w14:paraId="7979A2B5" w14:textId="77777777" w:rsidR="00665C67" w:rsidRDefault="00665C67" w:rsidP="00A164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1F4333" w14:textId="77777777" w:rsidR="00A164E5" w:rsidRDefault="00A164E5" w:rsidP="00A164E5">
    <w:pPr>
      <w:pStyle w:val="Header"/>
    </w:pPr>
    <w:r>
      <w:t>Tami Bluminfield:</w:t>
    </w:r>
  </w:p>
  <w:p w14:paraId="0061B9CC" w14:textId="77777777" w:rsidR="00A164E5" w:rsidRDefault="00A164E5" w:rsidP="00A164E5">
    <w:pPr>
      <w:pStyle w:val="Header"/>
    </w:pPr>
    <w:r>
      <w:t>Recognition and Misrecognition The politics of intangible cultural heritage in southwest China.</w:t>
    </w:r>
  </w:p>
  <w:p w14:paraId="40218633" w14:textId="77777777" w:rsidR="00A164E5" w:rsidRDefault="00A164E5" w:rsidP="00A164E5">
    <w:pPr>
      <w:pStyle w:val="Header"/>
    </w:pPr>
    <w:r>
      <w:t>Chinese Heritage in the Making: Experiences, Negotiations and Contestations. pp. 169-194 Amsterdam University Press, 2018. JSTOR, www.jstor.org/stable/j.ctt2204rz8. Accessed 5 Apr. 2020. E ISBN 978-90-485-3406-7</w:t>
    </w:r>
  </w:p>
  <w:p w14:paraId="61262A1E" w14:textId="77777777" w:rsidR="00A164E5" w:rsidRDefault="00A164E5" w:rsidP="00A164E5">
    <w:pPr>
      <w:pStyle w:val="Header"/>
    </w:pPr>
  </w:p>
  <w:p w14:paraId="65757CE0" w14:textId="102AB617" w:rsidR="00A164E5" w:rsidRDefault="00A164E5" w:rsidP="00A164E5">
    <w:pPr>
      <w:pStyle w:val="Header"/>
    </w:pPr>
    <w:r>
      <w:t>By Amy Kirby 1600156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FAC"/>
    <w:rsid w:val="00024A77"/>
    <w:rsid w:val="00104BC2"/>
    <w:rsid w:val="00130291"/>
    <w:rsid w:val="001447A9"/>
    <w:rsid w:val="00167486"/>
    <w:rsid w:val="00210089"/>
    <w:rsid w:val="002168EA"/>
    <w:rsid w:val="002314F6"/>
    <w:rsid w:val="00330A88"/>
    <w:rsid w:val="003C4640"/>
    <w:rsid w:val="003D4610"/>
    <w:rsid w:val="004200AC"/>
    <w:rsid w:val="0058411C"/>
    <w:rsid w:val="00596A09"/>
    <w:rsid w:val="00665C67"/>
    <w:rsid w:val="006E6B23"/>
    <w:rsid w:val="00861E3E"/>
    <w:rsid w:val="00895CEA"/>
    <w:rsid w:val="00904FDC"/>
    <w:rsid w:val="009168F0"/>
    <w:rsid w:val="009B510A"/>
    <w:rsid w:val="009F6200"/>
    <w:rsid w:val="00A164E5"/>
    <w:rsid w:val="00AA492E"/>
    <w:rsid w:val="00AC4C9D"/>
    <w:rsid w:val="00B94383"/>
    <w:rsid w:val="00BA4401"/>
    <w:rsid w:val="00C22FAC"/>
    <w:rsid w:val="00C36987"/>
    <w:rsid w:val="00C9425E"/>
    <w:rsid w:val="00E44713"/>
    <w:rsid w:val="00EA6ECE"/>
    <w:rsid w:val="00F61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D5560"/>
  <w15:chartTrackingRefBased/>
  <w15:docId w15:val="{4FBE2E45-1B05-4D10-A697-F78CE0EF5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64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4E5"/>
  </w:style>
  <w:style w:type="paragraph" w:styleId="Footer">
    <w:name w:val="footer"/>
    <w:basedOn w:val="Normal"/>
    <w:link w:val="FooterChar"/>
    <w:uiPriority w:val="99"/>
    <w:unhideWhenUsed/>
    <w:rsid w:val="00A164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4E5"/>
  </w:style>
  <w:style w:type="paragraph" w:styleId="BalloonText">
    <w:name w:val="Balloon Text"/>
    <w:basedOn w:val="Normal"/>
    <w:link w:val="BalloonTextChar"/>
    <w:uiPriority w:val="99"/>
    <w:semiHidden/>
    <w:unhideWhenUsed/>
    <w:rsid w:val="006E6B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6B23"/>
    <w:rPr>
      <w:rFonts w:ascii="Segoe UI" w:hAnsi="Segoe UI" w:cs="Segoe UI"/>
      <w:sz w:val="18"/>
      <w:szCs w:val="18"/>
    </w:rPr>
  </w:style>
  <w:style w:type="character" w:styleId="Hyperlink">
    <w:name w:val="Hyperlink"/>
    <w:basedOn w:val="DefaultParagraphFont"/>
    <w:uiPriority w:val="99"/>
    <w:unhideWhenUsed/>
    <w:rsid w:val="009168F0"/>
    <w:rPr>
      <w:color w:val="0563C1" w:themeColor="hyperlink"/>
      <w:u w:val="single"/>
    </w:rPr>
  </w:style>
  <w:style w:type="character" w:styleId="UnresolvedMention">
    <w:name w:val="Unresolved Mention"/>
    <w:basedOn w:val="DefaultParagraphFont"/>
    <w:uiPriority w:val="99"/>
    <w:semiHidden/>
    <w:unhideWhenUsed/>
    <w:rsid w:val="009168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esco.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4FDE0-7913-406D-8ABD-DCE61EF2B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Pages>
  <Words>1353</Words>
  <Characters>7718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Kirby</dc:creator>
  <cp:keywords/>
  <dc:description/>
  <cp:lastModifiedBy>Amy Kirby</cp:lastModifiedBy>
  <cp:revision>27</cp:revision>
  <dcterms:created xsi:type="dcterms:W3CDTF">2020-04-07T18:21:00Z</dcterms:created>
  <dcterms:modified xsi:type="dcterms:W3CDTF">2020-04-07T19:57:00Z</dcterms:modified>
</cp:coreProperties>
</file>