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966C0" w14:textId="7516DCBF" w:rsidR="002B1CF7" w:rsidRDefault="002B1CF7" w:rsidP="002B1CF7">
      <w:r>
        <w:rPr>
          <w:noProof/>
        </w:rPr>
        <w:drawing>
          <wp:inline distT="0" distB="0" distL="0" distR="0" wp14:anchorId="718E5615" wp14:editId="5B5BF18B">
            <wp:extent cx="5715000" cy="1897380"/>
            <wp:effectExtent l="0" t="0" r="0" b="7620"/>
            <wp:docPr id="210793712"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3712"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3E37CF28" w14:textId="77777777" w:rsidR="002B1CF7" w:rsidRDefault="002B1CF7" w:rsidP="002B1CF7"/>
    <w:p w14:paraId="7E1311A9" w14:textId="77777777" w:rsidR="002B1CF7" w:rsidRDefault="002B1CF7" w:rsidP="002B1CF7"/>
    <w:p w14:paraId="3C998252" w14:textId="77777777" w:rsidR="002B1CF7" w:rsidRDefault="002B1CF7" w:rsidP="002B1CF7">
      <w:pPr>
        <w:jc w:val="center"/>
        <w:rPr>
          <w:rFonts w:ascii="Arial" w:hAnsi="Arial" w:cs="Arial"/>
          <w:b/>
          <w:bCs/>
          <w:sz w:val="52"/>
          <w:szCs w:val="52"/>
        </w:rPr>
      </w:pPr>
      <w:r>
        <w:rPr>
          <w:b/>
          <w:bCs/>
          <w:sz w:val="52"/>
          <w:szCs w:val="52"/>
        </w:rPr>
        <w:t>BA(Hons) Business Management</w:t>
      </w:r>
    </w:p>
    <w:p w14:paraId="68295C6D" w14:textId="77777777" w:rsidR="002B1CF7" w:rsidRDefault="002B1CF7" w:rsidP="002B1CF7">
      <w:pPr>
        <w:spacing w:line="600" w:lineRule="auto"/>
        <w:rPr>
          <w:rFonts w:ascii="Arial" w:hAnsi="Arial" w:cs="Arial"/>
          <w:i/>
          <w:iCs/>
        </w:rPr>
      </w:pPr>
    </w:p>
    <w:p w14:paraId="15CBBD3B" w14:textId="77777777" w:rsidR="002B1CF7" w:rsidRPr="00844791" w:rsidRDefault="002B1CF7" w:rsidP="002B1CF7">
      <w:pPr>
        <w:spacing w:line="600" w:lineRule="auto"/>
        <w:rPr>
          <w:rFonts w:cs="Times New Roman"/>
          <w:b/>
          <w:bCs/>
          <w:szCs w:val="24"/>
        </w:rPr>
      </w:pPr>
      <w:r w:rsidRPr="00844791">
        <w:rPr>
          <w:rFonts w:cs="Times New Roman"/>
          <w:b/>
          <w:bCs/>
          <w:szCs w:val="24"/>
        </w:rPr>
        <w:t xml:space="preserve">Student Name: </w:t>
      </w:r>
      <w:r w:rsidRPr="00844791">
        <w:rPr>
          <w:rFonts w:cs="Times New Roman"/>
          <w:szCs w:val="24"/>
        </w:rPr>
        <w:t>Liliya Radoslavova Radeve</w:t>
      </w:r>
    </w:p>
    <w:p w14:paraId="44274F09" w14:textId="77777777" w:rsidR="002B1CF7" w:rsidRPr="00844791" w:rsidRDefault="002B1CF7" w:rsidP="002B1CF7">
      <w:pPr>
        <w:spacing w:line="600" w:lineRule="auto"/>
        <w:rPr>
          <w:rFonts w:cs="Times New Roman"/>
          <w:szCs w:val="24"/>
        </w:rPr>
      </w:pPr>
      <w:r w:rsidRPr="00844791">
        <w:rPr>
          <w:rFonts w:cs="Times New Roman"/>
          <w:b/>
          <w:bCs/>
          <w:szCs w:val="24"/>
        </w:rPr>
        <w:t xml:space="preserve">Student Number: </w:t>
      </w:r>
      <w:r w:rsidRPr="00844791">
        <w:rPr>
          <w:rFonts w:cs="Times New Roman"/>
          <w:szCs w:val="24"/>
        </w:rPr>
        <w:t>2418897</w:t>
      </w:r>
    </w:p>
    <w:p w14:paraId="330FD480" w14:textId="601C65E3" w:rsidR="002B1CF7" w:rsidRPr="00844791" w:rsidRDefault="002B1CF7" w:rsidP="002B1CF7">
      <w:pPr>
        <w:spacing w:line="600" w:lineRule="auto"/>
        <w:rPr>
          <w:rFonts w:cs="Times New Roman"/>
          <w:szCs w:val="24"/>
        </w:rPr>
      </w:pPr>
      <w:r w:rsidRPr="00844791">
        <w:rPr>
          <w:rFonts w:cs="Times New Roman"/>
          <w:b/>
          <w:bCs/>
          <w:szCs w:val="24"/>
        </w:rPr>
        <w:t>Course Name:</w:t>
      </w:r>
      <w:r w:rsidRPr="00844791">
        <w:rPr>
          <w:rFonts w:cs="Times New Roman"/>
          <w:szCs w:val="24"/>
        </w:rPr>
        <w:t xml:space="preserve"> </w:t>
      </w:r>
      <w:r w:rsidR="00A90082" w:rsidRPr="00844791">
        <w:rPr>
          <w:rFonts w:cs="Times New Roman"/>
          <w:szCs w:val="24"/>
        </w:rPr>
        <w:t>Principles of Marketing (LCBB5015_LON)</w:t>
      </w:r>
    </w:p>
    <w:p w14:paraId="0158103D" w14:textId="2FCEDC7F" w:rsidR="002B1CF7" w:rsidRPr="00844791" w:rsidRDefault="002B1CF7" w:rsidP="002B1CF7">
      <w:pPr>
        <w:spacing w:line="600" w:lineRule="auto"/>
        <w:rPr>
          <w:rFonts w:cs="Times New Roman"/>
          <w:szCs w:val="24"/>
        </w:rPr>
      </w:pPr>
      <w:r w:rsidRPr="00844791">
        <w:rPr>
          <w:rFonts w:cs="Times New Roman"/>
          <w:b/>
          <w:bCs/>
          <w:szCs w:val="24"/>
        </w:rPr>
        <w:t xml:space="preserve">Lecturer Name: </w:t>
      </w:r>
      <w:proofErr w:type="spellStart"/>
      <w:r w:rsidR="008A5960" w:rsidRPr="008A5960">
        <w:rPr>
          <w:rFonts w:cs="Times New Roman"/>
          <w:szCs w:val="24"/>
        </w:rPr>
        <w:t>Piyumika</w:t>
      </w:r>
      <w:proofErr w:type="spellEnd"/>
      <w:r w:rsidR="008A5960" w:rsidRPr="008A5960">
        <w:rPr>
          <w:rFonts w:cs="Times New Roman"/>
          <w:szCs w:val="24"/>
        </w:rPr>
        <w:t xml:space="preserve"> K. Gamage</w:t>
      </w:r>
    </w:p>
    <w:p w14:paraId="2A73B08E" w14:textId="67167B62" w:rsidR="002B1CF7" w:rsidRDefault="002B1CF7" w:rsidP="002B1CF7">
      <w:pPr>
        <w:spacing w:line="600" w:lineRule="auto"/>
        <w:rPr>
          <w:rFonts w:cs="Times New Roman"/>
          <w:b/>
          <w:bCs/>
          <w:szCs w:val="24"/>
        </w:rPr>
      </w:pPr>
      <w:r w:rsidRPr="00334F62">
        <w:rPr>
          <w:rFonts w:cs="Times New Roman"/>
          <w:b/>
          <w:bCs/>
          <w:szCs w:val="24"/>
        </w:rPr>
        <w:t>Session:</w:t>
      </w:r>
      <w:r w:rsidRPr="00844791">
        <w:rPr>
          <w:rFonts w:cs="Times New Roman"/>
          <w:szCs w:val="24"/>
        </w:rPr>
        <w:t xml:space="preserve"> December 2025 Term</w:t>
      </w:r>
      <w:r w:rsidRPr="00844791">
        <w:rPr>
          <w:rFonts w:cs="Times New Roman"/>
          <w:b/>
          <w:bCs/>
          <w:szCs w:val="24"/>
        </w:rPr>
        <w:t xml:space="preserve"> </w:t>
      </w:r>
    </w:p>
    <w:p w14:paraId="116E763E" w14:textId="77777777" w:rsidR="00334F62" w:rsidRDefault="00334F62" w:rsidP="002B1CF7">
      <w:pPr>
        <w:spacing w:line="600" w:lineRule="auto"/>
        <w:rPr>
          <w:rFonts w:cs="Times New Roman"/>
          <w:b/>
          <w:bCs/>
          <w:szCs w:val="24"/>
        </w:rPr>
      </w:pPr>
      <w:r w:rsidRPr="00334F62">
        <w:rPr>
          <w:rFonts w:cs="Times New Roman"/>
          <w:b/>
          <w:bCs/>
          <w:szCs w:val="24"/>
        </w:rPr>
        <w:t xml:space="preserve">Individual Report: </w:t>
      </w:r>
    </w:p>
    <w:p w14:paraId="094C2A44" w14:textId="70A8A929" w:rsidR="00334F62" w:rsidRDefault="00334F62" w:rsidP="002B1CF7">
      <w:pPr>
        <w:spacing w:line="600" w:lineRule="auto"/>
        <w:rPr>
          <w:rFonts w:cs="Times New Roman"/>
          <w:sz w:val="32"/>
          <w:szCs w:val="32"/>
        </w:rPr>
      </w:pPr>
      <w:r w:rsidRPr="00334F62">
        <w:rPr>
          <w:rFonts w:cs="Times New Roman"/>
          <w:sz w:val="32"/>
          <w:szCs w:val="32"/>
        </w:rPr>
        <w:t xml:space="preserve">Situational Analysis of </w:t>
      </w:r>
      <w:r w:rsidRPr="00334F62">
        <w:rPr>
          <w:rFonts w:cs="Times New Roman"/>
          <w:color w:val="0F9ED5" w:themeColor="accent4"/>
          <w:sz w:val="32"/>
          <w:szCs w:val="32"/>
        </w:rPr>
        <w:t xml:space="preserve">Barclays Bank PLC </w:t>
      </w:r>
      <w:r w:rsidRPr="00334F62">
        <w:rPr>
          <w:rFonts w:cs="Times New Roman"/>
          <w:sz w:val="32"/>
          <w:szCs w:val="32"/>
        </w:rPr>
        <w:t>Using the PESTLE Model</w:t>
      </w:r>
    </w:p>
    <w:p w14:paraId="56C3E158" w14:textId="77777777" w:rsidR="00CC723E" w:rsidRPr="00334F62" w:rsidRDefault="00CC723E" w:rsidP="002B1CF7">
      <w:pPr>
        <w:spacing w:line="600" w:lineRule="auto"/>
        <w:rPr>
          <w:rFonts w:cs="Times New Roman"/>
          <w:sz w:val="32"/>
          <w:szCs w:val="32"/>
        </w:rPr>
      </w:pPr>
    </w:p>
    <w:p w14:paraId="119B28B9" w14:textId="77777777" w:rsidR="00444107" w:rsidRDefault="00444107" w:rsidP="002B1CF7">
      <w:pPr>
        <w:spacing w:line="600" w:lineRule="auto"/>
        <w:rPr>
          <w:rFonts w:ascii="Arial" w:hAnsi="Arial" w:cs="Arial"/>
          <w:b/>
          <w:bCs/>
          <w:i/>
          <w:iCs/>
        </w:rPr>
      </w:pPr>
    </w:p>
    <w:sdt>
      <w:sdtPr>
        <w:id w:val="-416174564"/>
        <w:docPartObj>
          <w:docPartGallery w:val="Table of Contents"/>
          <w:docPartUnique/>
        </w:docPartObj>
      </w:sdtPr>
      <w:sdtEndPr>
        <w:rPr>
          <w:rFonts w:eastAsiaTheme="minorEastAsia" w:cstheme="minorBidi"/>
          <w:bCs/>
          <w:noProof/>
          <w:color w:val="auto"/>
          <w:sz w:val="24"/>
          <w:szCs w:val="22"/>
          <w:lang w:val="en-GB" w:eastAsia="zh-CN"/>
        </w:rPr>
      </w:sdtEndPr>
      <w:sdtContent>
        <w:p w14:paraId="4229246D" w14:textId="1111D15A" w:rsidR="00A05812" w:rsidRDefault="00A05812">
          <w:pPr>
            <w:pStyle w:val="TOCHeading"/>
          </w:pPr>
          <w:r>
            <w:t>Contents</w:t>
          </w:r>
        </w:p>
        <w:p w14:paraId="46BFDF8A" w14:textId="4AAF1E54" w:rsidR="00A05812" w:rsidRDefault="00A05812">
          <w:pPr>
            <w:pStyle w:val="TOC1"/>
            <w:tabs>
              <w:tab w:val="right" w:leader="dot" w:pos="9016"/>
            </w:tabs>
            <w:rPr>
              <w:noProof/>
              <w:kern w:val="2"/>
              <w:szCs w:val="24"/>
              <w:lang w:eastAsia="en-GB"/>
              <w14:ligatures w14:val="standardContextual"/>
            </w:rPr>
          </w:pPr>
          <w:r>
            <w:fldChar w:fldCharType="begin"/>
          </w:r>
          <w:r>
            <w:instrText xml:space="preserve"> TOC \o "1-3" \h \z \u </w:instrText>
          </w:r>
          <w:r>
            <w:fldChar w:fldCharType="separate"/>
          </w:r>
          <w:hyperlink w:anchor="_Toc213500152" w:history="1">
            <w:r w:rsidRPr="003A2302">
              <w:rPr>
                <w:rStyle w:val="Hyperlink"/>
                <w:noProof/>
              </w:rPr>
              <w:t>1. Introduction</w:t>
            </w:r>
            <w:r>
              <w:rPr>
                <w:noProof/>
                <w:webHidden/>
              </w:rPr>
              <w:tab/>
            </w:r>
            <w:r>
              <w:rPr>
                <w:noProof/>
                <w:webHidden/>
              </w:rPr>
              <w:fldChar w:fldCharType="begin"/>
            </w:r>
            <w:r>
              <w:rPr>
                <w:noProof/>
                <w:webHidden/>
              </w:rPr>
              <w:instrText xml:space="preserve"> PAGEREF _Toc213500152 \h </w:instrText>
            </w:r>
            <w:r>
              <w:rPr>
                <w:noProof/>
                <w:webHidden/>
              </w:rPr>
            </w:r>
            <w:r>
              <w:rPr>
                <w:noProof/>
                <w:webHidden/>
              </w:rPr>
              <w:fldChar w:fldCharType="separate"/>
            </w:r>
            <w:r>
              <w:rPr>
                <w:noProof/>
                <w:webHidden/>
              </w:rPr>
              <w:t>2</w:t>
            </w:r>
            <w:r>
              <w:rPr>
                <w:noProof/>
                <w:webHidden/>
              </w:rPr>
              <w:fldChar w:fldCharType="end"/>
            </w:r>
          </w:hyperlink>
        </w:p>
        <w:p w14:paraId="49EF87D3" w14:textId="0A0122B3" w:rsidR="00A05812" w:rsidRDefault="00A05812">
          <w:pPr>
            <w:pStyle w:val="TOC1"/>
            <w:tabs>
              <w:tab w:val="right" w:leader="dot" w:pos="9016"/>
            </w:tabs>
            <w:rPr>
              <w:noProof/>
              <w:kern w:val="2"/>
              <w:szCs w:val="24"/>
              <w:lang w:eastAsia="en-GB"/>
              <w14:ligatures w14:val="standardContextual"/>
            </w:rPr>
          </w:pPr>
          <w:hyperlink w:anchor="_Toc213500153" w:history="1">
            <w:r w:rsidRPr="003A2302">
              <w:rPr>
                <w:rStyle w:val="Hyperlink"/>
                <w:rFonts w:eastAsia="Times New Roman"/>
                <w:noProof/>
              </w:rPr>
              <w:t>2. Situational Analysis</w:t>
            </w:r>
            <w:r>
              <w:rPr>
                <w:noProof/>
                <w:webHidden/>
              </w:rPr>
              <w:tab/>
            </w:r>
            <w:r>
              <w:rPr>
                <w:noProof/>
                <w:webHidden/>
              </w:rPr>
              <w:fldChar w:fldCharType="begin"/>
            </w:r>
            <w:r>
              <w:rPr>
                <w:noProof/>
                <w:webHidden/>
              </w:rPr>
              <w:instrText xml:space="preserve"> PAGEREF _Toc213500153 \h </w:instrText>
            </w:r>
            <w:r>
              <w:rPr>
                <w:noProof/>
                <w:webHidden/>
              </w:rPr>
            </w:r>
            <w:r>
              <w:rPr>
                <w:noProof/>
                <w:webHidden/>
              </w:rPr>
              <w:fldChar w:fldCharType="separate"/>
            </w:r>
            <w:r>
              <w:rPr>
                <w:noProof/>
                <w:webHidden/>
              </w:rPr>
              <w:t>2</w:t>
            </w:r>
            <w:r>
              <w:rPr>
                <w:noProof/>
                <w:webHidden/>
              </w:rPr>
              <w:fldChar w:fldCharType="end"/>
            </w:r>
          </w:hyperlink>
        </w:p>
        <w:p w14:paraId="053A8991" w14:textId="6374DC85" w:rsidR="00A05812" w:rsidRDefault="00A05812">
          <w:pPr>
            <w:pStyle w:val="TOC2"/>
            <w:tabs>
              <w:tab w:val="right" w:leader="dot" w:pos="9016"/>
            </w:tabs>
            <w:rPr>
              <w:noProof/>
            </w:rPr>
          </w:pPr>
          <w:hyperlink w:anchor="_Toc213500154" w:history="1">
            <w:r w:rsidRPr="003A2302">
              <w:rPr>
                <w:rStyle w:val="Hyperlink"/>
                <w:rFonts w:eastAsia="Times New Roman"/>
                <w:noProof/>
              </w:rPr>
              <w:t>2.1.Political Factors</w:t>
            </w:r>
            <w:r>
              <w:rPr>
                <w:noProof/>
                <w:webHidden/>
              </w:rPr>
              <w:tab/>
            </w:r>
            <w:r>
              <w:rPr>
                <w:noProof/>
                <w:webHidden/>
              </w:rPr>
              <w:fldChar w:fldCharType="begin"/>
            </w:r>
            <w:r>
              <w:rPr>
                <w:noProof/>
                <w:webHidden/>
              </w:rPr>
              <w:instrText xml:space="preserve"> PAGEREF _Toc213500154 \h </w:instrText>
            </w:r>
            <w:r>
              <w:rPr>
                <w:noProof/>
                <w:webHidden/>
              </w:rPr>
            </w:r>
            <w:r>
              <w:rPr>
                <w:noProof/>
                <w:webHidden/>
              </w:rPr>
              <w:fldChar w:fldCharType="separate"/>
            </w:r>
            <w:r>
              <w:rPr>
                <w:noProof/>
                <w:webHidden/>
              </w:rPr>
              <w:t>2</w:t>
            </w:r>
            <w:r>
              <w:rPr>
                <w:noProof/>
                <w:webHidden/>
              </w:rPr>
              <w:fldChar w:fldCharType="end"/>
            </w:r>
          </w:hyperlink>
        </w:p>
        <w:p w14:paraId="31BC1FF9" w14:textId="564823A6" w:rsidR="00A05812" w:rsidRDefault="00A05812">
          <w:pPr>
            <w:pStyle w:val="TOC2"/>
            <w:tabs>
              <w:tab w:val="right" w:leader="dot" w:pos="9016"/>
            </w:tabs>
            <w:rPr>
              <w:noProof/>
            </w:rPr>
          </w:pPr>
          <w:hyperlink w:anchor="_Toc213500155" w:history="1">
            <w:r w:rsidRPr="003A2302">
              <w:rPr>
                <w:rStyle w:val="Hyperlink"/>
                <w:noProof/>
              </w:rPr>
              <w:t>2.2. Economic Factors</w:t>
            </w:r>
            <w:r>
              <w:rPr>
                <w:noProof/>
                <w:webHidden/>
              </w:rPr>
              <w:tab/>
            </w:r>
            <w:r>
              <w:rPr>
                <w:noProof/>
                <w:webHidden/>
              </w:rPr>
              <w:fldChar w:fldCharType="begin"/>
            </w:r>
            <w:r>
              <w:rPr>
                <w:noProof/>
                <w:webHidden/>
              </w:rPr>
              <w:instrText xml:space="preserve"> PAGEREF _Toc213500155 \h </w:instrText>
            </w:r>
            <w:r>
              <w:rPr>
                <w:noProof/>
                <w:webHidden/>
              </w:rPr>
            </w:r>
            <w:r>
              <w:rPr>
                <w:noProof/>
                <w:webHidden/>
              </w:rPr>
              <w:fldChar w:fldCharType="separate"/>
            </w:r>
            <w:r>
              <w:rPr>
                <w:noProof/>
                <w:webHidden/>
              </w:rPr>
              <w:t>3</w:t>
            </w:r>
            <w:r>
              <w:rPr>
                <w:noProof/>
                <w:webHidden/>
              </w:rPr>
              <w:fldChar w:fldCharType="end"/>
            </w:r>
          </w:hyperlink>
        </w:p>
        <w:p w14:paraId="192351F3" w14:textId="303C1A56" w:rsidR="00A05812" w:rsidRDefault="00A05812">
          <w:pPr>
            <w:pStyle w:val="TOC2"/>
            <w:tabs>
              <w:tab w:val="right" w:leader="dot" w:pos="9016"/>
            </w:tabs>
            <w:rPr>
              <w:noProof/>
            </w:rPr>
          </w:pPr>
          <w:hyperlink w:anchor="_Toc213500156" w:history="1">
            <w:r w:rsidRPr="003A2302">
              <w:rPr>
                <w:rStyle w:val="Hyperlink"/>
                <w:noProof/>
              </w:rPr>
              <w:t>2.3. Social Factors</w:t>
            </w:r>
            <w:r>
              <w:rPr>
                <w:noProof/>
                <w:webHidden/>
              </w:rPr>
              <w:tab/>
            </w:r>
            <w:r>
              <w:rPr>
                <w:noProof/>
                <w:webHidden/>
              </w:rPr>
              <w:fldChar w:fldCharType="begin"/>
            </w:r>
            <w:r>
              <w:rPr>
                <w:noProof/>
                <w:webHidden/>
              </w:rPr>
              <w:instrText xml:space="preserve"> PAGEREF _Toc213500156 \h </w:instrText>
            </w:r>
            <w:r>
              <w:rPr>
                <w:noProof/>
                <w:webHidden/>
              </w:rPr>
            </w:r>
            <w:r>
              <w:rPr>
                <w:noProof/>
                <w:webHidden/>
              </w:rPr>
              <w:fldChar w:fldCharType="separate"/>
            </w:r>
            <w:r>
              <w:rPr>
                <w:noProof/>
                <w:webHidden/>
              </w:rPr>
              <w:t>3</w:t>
            </w:r>
            <w:r>
              <w:rPr>
                <w:noProof/>
                <w:webHidden/>
              </w:rPr>
              <w:fldChar w:fldCharType="end"/>
            </w:r>
          </w:hyperlink>
        </w:p>
        <w:p w14:paraId="7B0B9D7B" w14:textId="692D920F" w:rsidR="00A05812" w:rsidRDefault="00A05812">
          <w:pPr>
            <w:pStyle w:val="TOC2"/>
            <w:tabs>
              <w:tab w:val="right" w:leader="dot" w:pos="9016"/>
            </w:tabs>
            <w:rPr>
              <w:noProof/>
            </w:rPr>
          </w:pPr>
          <w:hyperlink w:anchor="_Toc213500157" w:history="1">
            <w:r w:rsidRPr="003A2302">
              <w:rPr>
                <w:rStyle w:val="Hyperlink"/>
                <w:rFonts w:eastAsia="Times New Roman"/>
                <w:noProof/>
                <w:lang w:eastAsia="en-GB"/>
              </w:rPr>
              <w:t>2.4. Technological Factors</w:t>
            </w:r>
            <w:r>
              <w:rPr>
                <w:noProof/>
                <w:webHidden/>
              </w:rPr>
              <w:tab/>
            </w:r>
            <w:r>
              <w:rPr>
                <w:noProof/>
                <w:webHidden/>
              </w:rPr>
              <w:fldChar w:fldCharType="begin"/>
            </w:r>
            <w:r>
              <w:rPr>
                <w:noProof/>
                <w:webHidden/>
              </w:rPr>
              <w:instrText xml:space="preserve"> PAGEREF _Toc213500157 \h </w:instrText>
            </w:r>
            <w:r>
              <w:rPr>
                <w:noProof/>
                <w:webHidden/>
              </w:rPr>
            </w:r>
            <w:r>
              <w:rPr>
                <w:noProof/>
                <w:webHidden/>
              </w:rPr>
              <w:fldChar w:fldCharType="separate"/>
            </w:r>
            <w:r>
              <w:rPr>
                <w:noProof/>
                <w:webHidden/>
              </w:rPr>
              <w:t>3</w:t>
            </w:r>
            <w:r>
              <w:rPr>
                <w:noProof/>
                <w:webHidden/>
              </w:rPr>
              <w:fldChar w:fldCharType="end"/>
            </w:r>
          </w:hyperlink>
        </w:p>
        <w:p w14:paraId="07A57F75" w14:textId="5759C2D8" w:rsidR="00A05812" w:rsidRDefault="00A05812">
          <w:pPr>
            <w:pStyle w:val="TOC2"/>
            <w:tabs>
              <w:tab w:val="right" w:leader="dot" w:pos="9016"/>
            </w:tabs>
            <w:rPr>
              <w:noProof/>
            </w:rPr>
          </w:pPr>
          <w:hyperlink w:anchor="_Toc213500158" w:history="1">
            <w:r w:rsidRPr="003A2302">
              <w:rPr>
                <w:rStyle w:val="Hyperlink"/>
                <w:noProof/>
              </w:rPr>
              <w:t>2.6. Environmental Factors</w:t>
            </w:r>
            <w:r>
              <w:rPr>
                <w:noProof/>
                <w:webHidden/>
              </w:rPr>
              <w:tab/>
            </w:r>
            <w:r>
              <w:rPr>
                <w:noProof/>
                <w:webHidden/>
              </w:rPr>
              <w:fldChar w:fldCharType="begin"/>
            </w:r>
            <w:r>
              <w:rPr>
                <w:noProof/>
                <w:webHidden/>
              </w:rPr>
              <w:instrText xml:space="preserve"> PAGEREF _Toc213500158 \h </w:instrText>
            </w:r>
            <w:r>
              <w:rPr>
                <w:noProof/>
                <w:webHidden/>
              </w:rPr>
            </w:r>
            <w:r>
              <w:rPr>
                <w:noProof/>
                <w:webHidden/>
              </w:rPr>
              <w:fldChar w:fldCharType="separate"/>
            </w:r>
            <w:r>
              <w:rPr>
                <w:noProof/>
                <w:webHidden/>
              </w:rPr>
              <w:t>3</w:t>
            </w:r>
            <w:r>
              <w:rPr>
                <w:noProof/>
                <w:webHidden/>
              </w:rPr>
              <w:fldChar w:fldCharType="end"/>
            </w:r>
          </w:hyperlink>
        </w:p>
        <w:p w14:paraId="73176412" w14:textId="4958490F" w:rsidR="00A05812" w:rsidRDefault="00A05812">
          <w:pPr>
            <w:pStyle w:val="TOC1"/>
            <w:tabs>
              <w:tab w:val="right" w:leader="dot" w:pos="9016"/>
            </w:tabs>
            <w:rPr>
              <w:noProof/>
              <w:kern w:val="2"/>
              <w:szCs w:val="24"/>
              <w:lang w:eastAsia="en-GB"/>
              <w14:ligatures w14:val="standardContextual"/>
            </w:rPr>
          </w:pPr>
          <w:hyperlink w:anchor="_Toc213500159" w:history="1">
            <w:r w:rsidRPr="003A2302">
              <w:rPr>
                <w:rStyle w:val="Hyperlink"/>
                <w:noProof/>
              </w:rPr>
              <w:t>3. Critical Analysis and Evaluation</w:t>
            </w:r>
            <w:r>
              <w:rPr>
                <w:noProof/>
                <w:webHidden/>
              </w:rPr>
              <w:tab/>
            </w:r>
            <w:r>
              <w:rPr>
                <w:noProof/>
                <w:webHidden/>
              </w:rPr>
              <w:fldChar w:fldCharType="begin"/>
            </w:r>
            <w:r>
              <w:rPr>
                <w:noProof/>
                <w:webHidden/>
              </w:rPr>
              <w:instrText xml:space="preserve"> PAGEREF _Toc213500159 \h </w:instrText>
            </w:r>
            <w:r>
              <w:rPr>
                <w:noProof/>
                <w:webHidden/>
              </w:rPr>
            </w:r>
            <w:r>
              <w:rPr>
                <w:noProof/>
                <w:webHidden/>
              </w:rPr>
              <w:fldChar w:fldCharType="separate"/>
            </w:r>
            <w:r>
              <w:rPr>
                <w:noProof/>
                <w:webHidden/>
              </w:rPr>
              <w:t>4</w:t>
            </w:r>
            <w:r>
              <w:rPr>
                <w:noProof/>
                <w:webHidden/>
              </w:rPr>
              <w:fldChar w:fldCharType="end"/>
            </w:r>
          </w:hyperlink>
        </w:p>
        <w:p w14:paraId="63670C0F" w14:textId="69F5FDBD" w:rsidR="00A05812" w:rsidRDefault="00A05812">
          <w:pPr>
            <w:pStyle w:val="TOC1"/>
            <w:tabs>
              <w:tab w:val="right" w:leader="dot" w:pos="9016"/>
            </w:tabs>
            <w:rPr>
              <w:noProof/>
              <w:kern w:val="2"/>
              <w:szCs w:val="24"/>
              <w:lang w:eastAsia="en-GB"/>
              <w14:ligatures w14:val="standardContextual"/>
            </w:rPr>
          </w:pPr>
          <w:hyperlink w:anchor="_Toc213500160" w:history="1">
            <w:r w:rsidRPr="003A2302">
              <w:rPr>
                <w:rStyle w:val="Hyperlink"/>
                <w:rFonts w:eastAsia="Times New Roman"/>
                <w:noProof/>
                <w:lang w:eastAsia="en-GB"/>
              </w:rPr>
              <w:t>4. Conclusions and Recommendations</w:t>
            </w:r>
            <w:r>
              <w:rPr>
                <w:noProof/>
                <w:webHidden/>
              </w:rPr>
              <w:tab/>
            </w:r>
            <w:r>
              <w:rPr>
                <w:noProof/>
                <w:webHidden/>
              </w:rPr>
              <w:fldChar w:fldCharType="begin"/>
            </w:r>
            <w:r>
              <w:rPr>
                <w:noProof/>
                <w:webHidden/>
              </w:rPr>
              <w:instrText xml:space="preserve"> PAGEREF _Toc213500160 \h </w:instrText>
            </w:r>
            <w:r>
              <w:rPr>
                <w:noProof/>
                <w:webHidden/>
              </w:rPr>
            </w:r>
            <w:r>
              <w:rPr>
                <w:noProof/>
                <w:webHidden/>
              </w:rPr>
              <w:fldChar w:fldCharType="separate"/>
            </w:r>
            <w:r>
              <w:rPr>
                <w:noProof/>
                <w:webHidden/>
              </w:rPr>
              <w:t>5</w:t>
            </w:r>
            <w:r>
              <w:rPr>
                <w:noProof/>
                <w:webHidden/>
              </w:rPr>
              <w:fldChar w:fldCharType="end"/>
            </w:r>
          </w:hyperlink>
        </w:p>
        <w:p w14:paraId="03468FAB" w14:textId="2C6BDD68" w:rsidR="00A05812" w:rsidRDefault="00A05812">
          <w:pPr>
            <w:pStyle w:val="TOC1"/>
            <w:tabs>
              <w:tab w:val="right" w:leader="dot" w:pos="9016"/>
            </w:tabs>
            <w:rPr>
              <w:noProof/>
              <w:kern w:val="2"/>
              <w:szCs w:val="24"/>
              <w:lang w:eastAsia="en-GB"/>
              <w14:ligatures w14:val="standardContextual"/>
            </w:rPr>
          </w:pPr>
          <w:hyperlink w:anchor="_Toc213500161" w:history="1">
            <w:r w:rsidRPr="003A2302">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_Toc213500161 \h </w:instrText>
            </w:r>
            <w:r>
              <w:rPr>
                <w:noProof/>
                <w:webHidden/>
              </w:rPr>
            </w:r>
            <w:r>
              <w:rPr>
                <w:noProof/>
                <w:webHidden/>
              </w:rPr>
              <w:fldChar w:fldCharType="separate"/>
            </w:r>
            <w:r>
              <w:rPr>
                <w:noProof/>
                <w:webHidden/>
              </w:rPr>
              <w:t>6</w:t>
            </w:r>
            <w:r>
              <w:rPr>
                <w:noProof/>
                <w:webHidden/>
              </w:rPr>
              <w:fldChar w:fldCharType="end"/>
            </w:r>
          </w:hyperlink>
        </w:p>
        <w:p w14:paraId="3F674815" w14:textId="4119AD15" w:rsidR="00A05812" w:rsidRDefault="00A05812">
          <w:r>
            <w:rPr>
              <w:b/>
              <w:bCs/>
              <w:noProof/>
            </w:rPr>
            <w:fldChar w:fldCharType="end"/>
          </w:r>
        </w:p>
      </w:sdtContent>
    </w:sdt>
    <w:p w14:paraId="312A2462" w14:textId="77777777" w:rsidR="00444107" w:rsidRDefault="00444107" w:rsidP="002B1CF7">
      <w:pPr>
        <w:spacing w:line="600" w:lineRule="auto"/>
        <w:rPr>
          <w:rFonts w:ascii="Arial" w:hAnsi="Arial" w:cs="Arial"/>
          <w:b/>
          <w:bCs/>
          <w:i/>
          <w:iCs/>
        </w:rPr>
      </w:pPr>
    </w:p>
    <w:p w14:paraId="0F21C6EE" w14:textId="77777777" w:rsidR="00A05812" w:rsidRDefault="00A05812" w:rsidP="00930369">
      <w:pPr>
        <w:pStyle w:val="Heading1"/>
      </w:pPr>
    </w:p>
    <w:p w14:paraId="5354245A" w14:textId="77777777" w:rsidR="00A05812" w:rsidRDefault="00A05812" w:rsidP="00A05812"/>
    <w:p w14:paraId="46B5BD70" w14:textId="77777777" w:rsidR="00A05812" w:rsidRDefault="00A05812" w:rsidP="00A05812"/>
    <w:p w14:paraId="17DEFFDE" w14:textId="77777777" w:rsidR="00A05812" w:rsidRDefault="00A05812" w:rsidP="00A05812"/>
    <w:p w14:paraId="2C8DE97C" w14:textId="77777777" w:rsidR="00A05812" w:rsidRDefault="00A05812" w:rsidP="00A05812"/>
    <w:p w14:paraId="4986A06D" w14:textId="77777777" w:rsidR="00A05812" w:rsidRDefault="00A05812" w:rsidP="00A05812"/>
    <w:p w14:paraId="61EC0C0C" w14:textId="77777777" w:rsidR="00A05812" w:rsidRDefault="00A05812" w:rsidP="00A05812"/>
    <w:p w14:paraId="1B37AD2A" w14:textId="5A948792" w:rsidR="00207152" w:rsidRPr="00930369" w:rsidRDefault="00194B73" w:rsidP="00930369">
      <w:pPr>
        <w:pStyle w:val="Heading1"/>
      </w:pPr>
      <w:bookmarkStart w:id="0" w:name="_Toc213500152"/>
      <w:r w:rsidRPr="00930369">
        <w:lastRenderedPageBreak/>
        <w:t xml:space="preserve">1. </w:t>
      </w:r>
      <w:r w:rsidR="00207152" w:rsidRPr="00930369">
        <w:t>Introduction</w:t>
      </w:r>
      <w:bookmarkEnd w:id="0"/>
    </w:p>
    <w:p w14:paraId="243E6D4E" w14:textId="0AAC3B11"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 xml:space="preserve">As the newly appointed Marketing Manager at Barclays Bank PLC, one of the leading financial institutions in the United Kingdom, my role focuses on strengthening marketing decision-making through data-driven and </w:t>
      </w:r>
      <w:r w:rsidR="006700AC">
        <w:rPr>
          <w:rFonts w:eastAsia="Times New Roman" w:cs="Times New Roman"/>
          <w:szCs w:val="24"/>
          <w:lang w:eastAsia="en-GB"/>
        </w:rPr>
        <w:t>customer-oriented</w:t>
      </w:r>
      <w:r w:rsidRPr="00152983">
        <w:rPr>
          <w:rFonts w:eastAsia="Times New Roman" w:cs="Times New Roman"/>
          <w:szCs w:val="24"/>
          <w:lang w:eastAsia="en-GB"/>
        </w:rPr>
        <w:t xml:space="preserve"> strategies. Operating within the banking and financial services sector, Barclays offers retail and business banking, corporate lending, wealth management, and digital financial solutions. Founded in 1690 and headquartered in London, the bank serves millions of clients across over 40 countries, maintaining its position among the UK’s </w:t>
      </w:r>
      <w:r w:rsidRPr="00152983">
        <w:rPr>
          <w:rFonts w:eastAsia="Times New Roman" w:cs="Times New Roman"/>
          <w:iCs/>
          <w:szCs w:val="24"/>
          <w:lang w:eastAsia="en-GB"/>
        </w:rPr>
        <w:t>“Big Four”</w:t>
      </w:r>
      <w:r w:rsidRPr="00152983">
        <w:rPr>
          <w:rFonts w:eastAsia="Times New Roman" w:cs="Times New Roman"/>
          <w:szCs w:val="24"/>
          <w:lang w:eastAsia="en-GB"/>
        </w:rPr>
        <w:t xml:space="preserve"> banks alongside HSBC, Lloyds, and NatWest.</w:t>
      </w:r>
    </w:p>
    <w:p w14:paraId="09F4123F" w14:textId="77777777"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The purpose of this report is to conduct a PESTLE analysis to identify key macro-environmental factors influencing Barclays’ marketing performance. This analysis will inform strategic decisions, highlight emerging opportunities and risks, and provide recommendations to strengthen Barclays’ market leadership in an evolving global financial landscape.</w:t>
      </w:r>
    </w:p>
    <w:p w14:paraId="787A598A" w14:textId="1FB3DB4E" w:rsidR="007428C2" w:rsidRPr="00A772FE" w:rsidRDefault="00A772FE" w:rsidP="00930369">
      <w:pPr>
        <w:pStyle w:val="Heading1"/>
        <w:rPr>
          <w:rFonts w:eastAsia="Times New Roman"/>
        </w:rPr>
      </w:pPr>
      <w:bookmarkStart w:id="1" w:name="_Toc213500153"/>
      <w:r>
        <w:rPr>
          <w:rFonts w:eastAsia="Times New Roman"/>
        </w:rPr>
        <w:t xml:space="preserve">2. </w:t>
      </w:r>
      <w:r w:rsidR="007428C2" w:rsidRPr="00A772FE">
        <w:rPr>
          <w:rFonts w:eastAsia="Times New Roman"/>
        </w:rPr>
        <w:t>Situational Analysis</w:t>
      </w:r>
      <w:bookmarkEnd w:id="1"/>
    </w:p>
    <w:p w14:paraId="08C9EEE2" w14:textId="4262887D" w:rsidR="007428C2" w:rsidRPr="00152983" w:rsidRDefault="007428C2" w:rsidP="00152983">
      <w:pPr>
        <w:spacing w:line="360" w:lineRule="auto"/>
        <w:rPr>
          <w:rFonts w:eastAsia="Times New Roman" w:cs="Times New Roman"/>
          <w:szCs w:val="24"/>
          <w:lang w:eastAsia="en-GB"/>
        </w:rPr>
      </w:pPr>
      <w:r w:rsidRPr="00152983">
        <w:rPr>
          <w:rFonts w:eastAsia="Times New Roman" w:cs="Times New Roman"/>
          <w:szCs w:val="24"/>
          <w:lang w:eastAsia="en-GB"/>
        </w:rPr>
        <w:t xml:space="preserve">As a marketing manager, understanding the macro-environmental factors that influence Barclays Bank PLC is </w:t>
      </w:r>
      <w:r w:rsidR="0006037E">
        <w:rPr>
          <w:rFonts w:eastAsia="Times New Roman" w:cs="Times New Roman"/>
          <w:szCs w:val="24"/>
          <w:lang w:eastAsia="en-GB"/>
        </w:rPr>
        <w:t>crucial for making informed decisions</w:t>
      </w:r>
      <w:r w:rsidRPr="00152983">
        <w:rPr>
          <w:rFonts w:eastAsia="Times New Roman" w:cs="Times New Roman"/>
          <w:szCs w:val="24"/>
          <w:lang w:eastAsia="en-GB"/>
        </w:rPr>
        <w:t xml:space="preserve">. The PESTLE framework helps analyse the political, economic, social, technological, legal, and environmental forces that shape the bank’s strategy and competitiveness (Kotler, Armstrong, &amp; </w:t>
      </w:r>
      <w:proofErr w:type="spellStart"/>
      <w:r w:rsidRPr="00152983">
        <w:rPr>
          <w:rFonts w:eastAsia="Times New Roman" w:cs="Times New Roman"/>
          <w:szCs w:val="24"/>
          <w:lang w:eastAsia="en-GB"/>
        </w:rPr>
        <w:t>Opresnik</w:t>
      </w:r>
      <w:proofErr w:type="spellEnd"/>
      <w:r w:rsidRPr="00152983">
        <w:rPr>
          <w:rFonts w:eastAsia="Times New Roman" w:cs="Times New Roman"/>
          <w:szCs w:val="24"/>
          <w:lang w:eastAsia="en-GB"/>
        </w:rPr>
        <w:t>, 2018).</w:t>
      </w:r>
    </w:p>
    <w:p w14:paraId="73007CFC" w14:textId="48CF45D5" w:rsidR="007428C2" w:rsidRPr="000D758D" w:rsidRDefault="000D758D" w:rsidP="00930369">
      <w:pPr>
        <w:pStyle w:val="Heading2"/>
        <w:rPr>
          <w:rFonts w:eastAsia="Times New Roman"/>
        </w:rPr>
      </w:pPr>
      <w:bookmarkStart w:id="2" w:name="_Toc213500154"/>
      <w:r>
        <w:rPr>
          <w:rFonts w:eastAsia="Times New Roman"/>
        </w:rPr>
        <w:t>2.</w:t>
      </w:r>
      <w:proofErr w:type="gramStart"/>
      <w:r>
        <w:rPr>
          <w:rFonts w:eastAsia="Times New Roman"/>
        </w:rPr>
        <w:t>1.</w:t>
      </w:r>
      <w:r w:rsidR="007428C2" w:rsidRPr="000D758D">
        <w:rPr>
          <w:rFonts w:eastAsia="Times New Roman"/>
        </w:rPr>
        <w:t>Political</w:t>
      </w:r>
      <w:proofErr w:type="gramEnd"/>
      <w:r w:rsidR="007428C2" w:rsidRPr="000D758D">
        <w:rPr>
          <w:rFonts w:eastAsia="Times New Roman"/>
        </w:rPr>
        <w:t xml:space="preserve"> Factors</w:t>
      </w:r>
      <w:bookmarkEnd w:id="2"/>
    </w:p>
    <w:p w14:paraId="74C7C8B4" w14:textId="77777777" w:rsidR="007428C2" w:rsidRPr="00152983" w:rsidRDefault="007428C2" w:rsidP="00152983">
      <w:pPr>
        <w:spacing w:line="360" w:lineRule="auto"/>
        <w:rPr>
          <w:rFonts w:eastAsia="Times New Roman" w:cs="Times New Roman"/>
          <w:szCs w:val="24"/>
          <w:lang w:eastAsia="en-GB"/>
        </w:rPr>
      </w:pPr>
      <w:r w:rsidRPr="00152983">
        <w:rPr>
          <w:rFonts w:eastAsia="Times New Roman" w:cs="Times New Roman"/>
          <w:szCs w:val="24"/>
          <w:lang w:eastAsia="en-GB"/>
        </w:rPr>
        <w:t>The Financial Conduct Authority (FCA) and Bank of England policies shape the highly regulated banking sector in the UK. These institutions influence lending, credit marketing, and communication standards. Post-Brexit changes continue to affect EU operations and compliance. While regulation limits flexibility, it also promotes transparency and trust. By embedding ethical communication and regulatory responsibility, Barclays can strengthen its credibility and reputation (Blythe, 2013).</w:t>
      </w:r>
    </w:p>
    <w:p w14:paraId="003F1D1A" w14:textId="77777777" w:rsidR="000E74B5" w:rsidRPr="00152983" w:rsidRDefault="000E74B5" w:rsidP="00152983">
      <w:pPr>
        <w:spacing w:line="360" w:lineRule="auto"/>
        <w:rPr>
          <w:rFonts w:eastAsia="Times New Roman" w:cs="Times New Roman"/>
          <w:szCs w:val="24"/>
          <w:lang w:eastAsia="en-GB"/>
        </w:rPr>
      </w:pPr>
    </w:p>
    <w:p w14:paraId="55EECA2F" w14:textId="77777777" w:rsidR="000E74B5" w:rsidRPr="00152983" w:rsidRDefault="000E74B5" w:rsidP="00152983">
      <w:pPr>
        <w:spacing w:line="360" w:lineRule="auto"/>
        <w:rPr>
          <w:rFonts w:eastAsia="Times New Roman" w:cs="Times New Roman"/>
          <w:szCs w:val="24"/>
          <w:lang w:eastAsia="en-GB"/>
        </w:rPr>
      </w:pPr>
    </w:p>
    <w:p w14:paraId="77F562A7" w14:textId="77777777" w:rsidR="00045160" w:rsidRDefault="00045160" w:rsidP="00152983">
      <w:pPr>
        <w:spacing w:line="360" w:lineRule="auto"/>
        <w:rPr>
          <w:rFonts w:eastAsia="Times New Roman" w:cs="Times New Roman"/>
          <w:szCs w:val="24"/>
          <w:lang w:eastAsia="en-GB"/>
        </w:rPr>
      </w:pPr>
    </w:p>
    <w:p w14:paraId="10AA8202" w14:textId="77777777" w:rsidR="00045160" w:rsidRDefault="00045160" w:rsidP="00152983">
      <w:pPr>
        <w:spacing w:line="360" w:lineRule="auto"/>
        <w:rPr>
          <w:rFonts w:eastAsia="Times New Roman" w:cs="Times New Roman"/>
          <w:szCs w:val="24"/>
          <w:lang w:eastAsia="en-GB"/>
        </w:rPr>
      </w:pPr>
    </w:p>
    <w:p w14:paraId="4D7F68D9" w14:textId="4D53135A" w:rsidR="007428C2" w:rsidRPr="00930369" w:rsidRDefault="00F914AE" w:rsidP="00930369">
      <w:pPr>
        <w:pStyle w:val="Heading2"/>
      </w:pPr>
      <w:bookmarkStart w:id="3" w:name="_Toc213500155"/>
      <w:r w:rsidRPr="00D763E0">
        <w:lastRenderedPageBreak/>
        <w:t>2</w:t>
      </w:r>
      <w:r w:rsidRPr="00930369">
        <w:t>.</w:t>
      </w:r>
      <w:r w:rsidR="000D758D" w:rsidRPr="00930369">
        <w:t>2</w:t>
      </w:r>
      <w:r w:rsidRPr="00930369">
        <w:t xml:space="preserve">. </w:t>
      </w:r>
      <w:r w:rsidR="007428C2" w:rsidRPr="00930369">
        <w:t>Economic Factors</w:t>
      </w:r>
      <w:bookmarkEnd w:id="3"/>
    </w:p>
    <w:p w14:paraId="2BE6210E" w14:textId="23941AFC" w:rsidR="007428C2" w:rsidRPr="00152983" w:rsidRDefault="007428C2" w:rsidP="00152983">
      <w:pPr>
        <w:spacing w:line="360" w:lineRule="auto"/>
        <w:rPr>
          <w:rFonts w:eastAsia="Times New Roman" w:cs="Times New Roman"/>
          <w:szCs w:val="24"/>
          <w:lang w:eastAsia="en-GB"/>
        </w:rPr>
      </w:pPr>
      <w:r w:rsidRPr="00152983">
        <w:rPr>
          <w:rFonts w:eastAsia="Times New Roman" w:cs="Times New Roman"/>
          <w:szCs w:val="24"/>
          <w:lang w:eastAsia="en-GB"/>
        </w:rPr>
        <w:t>Macroeconomic trends directly impact consumer confidence. The IMF (2025) forecasts UK GDP growth of 0.6%, inflation at 2.2%, and interest rates at 4.5% (Bank of England, 2025). These conditions affect demand for loans and savings products. Aligning marketing campaigns with economic realities</w:t>
      </w:r>
      <w:r w:rsidR="00EA5502">
        <w:rPr>
          <w:rFonts w:eastAsia="Times New Roman" w:cs="Times New Roman"/>
          <w:szCs w:val="24"/>
          <w:lang w:eastAsia="en-GB"/>
        </w:rPr>
        <w:t xml:space="preserve"> </w:t>
      </w:r>
      <w:r w:rsidRPr="00152983">
        <w:rPr>
          <w:rFonts w:eastAsia="Times New Roman" w:cs="Times New Roman"/>
          <w:szCs w:val="24"/>
          <w:lang w:eastAsia="en-GB"/>
        </w:rPr>
        <w:t>through financial literacy programmes and flexible financial solutions</w:t>
      </w:r>
      <w:r w:rsidR="00EA5502">
        <w:rPr>
          <w:rFonts w:eastAsia="Times New Roman" w:cs="Times New Roman"/>
          <w:szCs w:val="24"/>
          <w:lang w:eastAsia="en-GB"/>
        </w:rPr>
        <w:t xml:space="preserve"> </w:t>
      </w:r>
      <w:r w:rsidRPr="00152983">
        <w:rPr>
          <w:rFonts w:eastAsia="Times New Roman" w:cs="Times New Roman"/>
          <w:szCs w:val="24"/>
          <w:lang w:eastAsia="en-GB"/>
        </w:rPr>
        <w:t>can enhance customer loyalty. As Baines, Fill &amp; Page (2014) note, economic sensitivity allows marketers to build stronger value propositions.</w:t>
      </w:r>
    </w:p>
    <w:p w14:paraId="1FC8E020" w14:textId="15417C3D" w:rsidR="007428C2" w:rsidRPr="00930369" w:rsidRDefault="00F914AE" w:rsidP="00930369">
      <w:pPr>
        <w:pStyle w:val="Heading2"/>
      </w:pPr>
      <w:bookmarkStart w:id="4" w:name="_Toc213500156"/>
      <w:r w:rsidRPr="00930369">
        <w:t>2.</w:t>
      </w:r>
      <w:r w:rsidR="000D758D" w:rsidRPr="00930369">
        <w:t>3</w:t>
      </w:r>
      <w:r w:rsidRPr="00930369">
        <w:t xml:space="preserve">. </w:t>
      </w:r>
      <w:r w:rsidR="007428C2" w:rsidRPr="00930369">
        <w:t>Social Factors</w:t>
      </w:r>
      <w:bookmarkEnd w:id="4"/>
    </w:p>
    <w:p w14:paraId="784ADDC0" w14:textId="03DC092C" w:rsidR="007428C2" w:rsidRPr="00152983" w:rsidRDefault="007428C2" w:rsidP="00152983">
      <w:pPr>
        <w:spacing w:line="360" w:lineRule="auto"/>
        <w:rPr>
          <w:rFonts w:eastAsia="Times New Roman" w:cs="Times New Roman"/>
          <w:szCs w:val="24"/>
          <w:lang w:eastAsia="en-GB"/>
        </w:rPr>
      </w:pPr>
      <w:r w:rsidRPr="00152983">
        <w:rPr>
          <w:rFonts w:eastAsia="Times New Roman" w:cs="Times New Roman"/>
          <w:szCs w:val="24"/>
          <w:lang w:eastAsia="en-GB"/>
        </w:rPr>
        <w:t xml:space="preserve">Shifts in social attitudes highlight growing demand for ethical, inclusive, and digital banking. Customers value sustainability and community impact. Barclays’ diversity and social initiatives already enhance its image, yet </w:t>
      </w:r>
      <w:r w:rsidR="00EA5502">
        <w:rPr>
          <w:rFonts w:eastAsia="Times New Roman" w:cs="Times New Roman"/>
          <w:szCs w:val="24"/>
          <w:lang w:eastAsia="en-GB"/>
        </w:rPr>
        <w:t xml:space="preserve">a </w:t>
      </w:r>
      <w:r w:rsidRPr="00152983">
        <w:rPr>
          <w:rFonts w:eastAsia="Times New Roman" w:cs="Times New Roman"/>
          <w:szCs w:val="24"/>
          <w:lang w:eastAsia="en-GB"/>
        </w:rPr>
        <w:t>greater focus on emotional connection and responsible communication can further strengthen trust and retention (Kotler &amp; Keller, 2016).</w:t>
      </w:r>
    </w:p>
    <w:p w14:paraId="44C67842" w14:textId="3BFD8102" w:rsidR="007428C2" w:rsidRPr="00045160" w:rsidRDefault="00F914AE" w:rsidP="00930369">
      <w:pPr>
        <w:pStyle w:val="Heading2"/>
        <w:rPr>
          <w:rFonts w:eastAsia="Times New Roman"/>
          <w:lang w:eastAsia="en-GB"/>
        </w:rPr>
      </w:pPr>
      <w:bookmarkStart w:id="5" w:name="_Toc213500157"/>
      <w:r>
        <w:rPr>
          <w:rFonts w:eastAsia="Times New Roman"/>
          <w:lang w:eastAsia="en-GB"/>
        </w:rPr>
        <w:t>2.</w:t>
      </w:r>
      <w:r w:rsidR="000D758D">
        <w:rPr>
          <w:rFonts w:eastAsia="Times New Roman"/>
          <w:lang w:eastAsia="en-GB"/>
        </w:rPr>
        <w:t>4</w:t>
      </w:r>
      <w:r>
        <w:rPr>
          <w:rFonts w:eastAsia="Times New Roman"/>
          <w:lang w:eastAsia="en-GB"/>
        </w:rPr>
        <w:t xml:space="preserve">. </w:t>
      </w:r>
      <w:r w:rsidR="007428C2" w:rsidRPr="00045160">
        <w:rPr>
          <w:rFonts w:eastAsia="Times New Roman"/>
          <w:lang w:eastAsia="en-GB"/>
        </w:rPr>
        <w:t>Technological Factors</w:t>
      </w:r>
      <w:bookmarkEnd w:id="5"/>
    </w:p>
    <w:p w14:paraId="0D004389" w14:textId="77777777" w:rsidR="007428C2" w:rsidRPr="00152983" w:rsidRDefault="007428C2" w:rsidP="00152983">
      <w:pPr>
        <w:spacing w:line="360" w:lineRule="auto"/>
        <w:rPr>
          <w:rFonts w:eastAsia="Times New Roman" w:cs="Times New Roman"/>
          <w:szCs w:val="24"/>
          <w:lang w:eastAsia="en-GB"/>
        </w:rPr>
      </w:pPr>
      <w:r w:rsidRPr="00152983">
        <w:rPr>
          <w:rFonts w:eastAsia="Times New Roman" w:cs="Times New Roman"/>
          <w:szCs w:val="24"/>
          <w:lang w:eastAsia="en-GB"/>
        </w:rPr>
        <w:t>Technology remains a cornerstone of Barclays’ competitiveness. Continuous investment in AI, mobile apps, and cybersecurity improves efficiency and customer experience (Barclays Annual Report, 2024). However, innovation increases cyber risks. Responsible use of data and ongoing system improvements are vital for maintaining customer confidence and digital leadership.</w:t>
      </w:r>
    </w:p>
    <w:p w14:paraId="4B454DA6" w14:textId="65221458" w:rsidR="007428C2" w:rsidRPr="00045160" w:rsidRDefault="00F914AE" w:rsidP="00152983">
      <w:pPr>
        <w:spacing w:line="360" w:lineRule="auto"/>
        <w:rPr>
          <w:rFonts w:eastAsia="Times New Roman" w:cs="Times New Roman"/>
          <w:b/>
          <w:bCs/>
          <w:color w:val="0F9ED5" w:themeColor="accent4"/>
          <w:szCs w:val="24"/>
          <w:lang w:eastAsia="en-GB"/>
        </w:rPr>
      </w:pPr>
      <w:r>
        <w:rPr>
          <w:rFonts w:eastAsia="Times New Roman" w:cs="Times New Roman"/>
          <w:b/>
          <w:bCs/>
          <w:color w:val="0F9ED5" w:themeColor="accent4"/>
          <w:szCs w:val="24"/>
          <w:lang w:eastAsia="en-GB"/>
        </w:rPr>
        <w:t>2.</w:t>
      </w:r>
      <w:r w:rsidR="000D758D">
        <w:rPr>
          <w:rFonts w:eastAsia="Times New Roman" w:cs="Times New Roman"/>
          <w:b/>
          <w:bCs/>
          <w:color w:val="0F9ED5" w:themeColor="accent4"/>
          <w:szCs w:val="24"/>
          <w:lang w:eastAsia="en-GB"/>
        </w:rPr>
        <w:t>5</w:t>
      </w:r>
      <w:r>
        <w:rPr>
          <w:rFonts w:eastAsia="Times New Roman" w:cs="Times New Roman"/>
          <w:b/>
          <w:bCs/>
          <w:color w:val="0F9ED5" w:themeColor="accent4"/>
          <w:szCs w:val="24"/>
          <w:lang w:eastAsia="en-GB"/>
        </w:rPr>
        <w:t xml:space="preserve">. </w:t>
      </w:r>
      <w:r w:rsidR="007428C2" w:rsidRPr="00045160">
        <w:rPr>
          <w:rFonts w:eastAsia="Times New Roman" w:cs="Times New Roman"/>
          <w:b/>
          <w:bCs/>
          <w:color w:val="0F9ED5" w:themeColor="accent4"/>
          <w:szCs w:val="24"/>
          <w:lang w:eastAsia="en-GB"/>
        </w:rPr>
        <w:t>Legal Factors</w:t>
      </w:r>
    </w:p>
    <w:p w14:paraId="3CC0BF35" w14:textId="77777777" w:rsidR="007428C2" w:rsidRPr="00152983" w:rsidRDefault="007428C2" w:rsidP="000D654E">
      <w:pPr>
        <w:rPr>
          <w:rFonts w:eastAsia="Times New Roman"/>
          <w:lang w:eastAsia="en-GB"/>
        </w:rPr>
      </w:pPr>
      <w:r w:rsidRPr="00152983">
        <w:rPr>
          <w:rFonts w:eastAsia="Times New Roman"/>
          <w:lang w:eastAsia="en-GB"/>
        </w:rPr>
        <w:t>Operating within GDPR, AML, and consumer protection laws, Barclays faces high compliance costs but benefits from increased brand reliability. Transparent communication of legal practices reinforces trust and positions the bank as a responsible institution (Kotler et al., 2018).</w:t>
      </w:r>
    </w:p>
    <w:p w14:paraId="09471E53" w14:textId="5084ECF4" w:rsidR="007428C2" w:rsidRPr="00930369" w:rsidRDefault="00F914AE" w:rsidP="00930369">
      <w:pPr>
        <w:pStyle w:val="Heading2"/>
      </w:pPr>
      <w:bookmarkStart w:id="6" w:name="_Toc213500158"/>
      <w:r w:rsidRPr="00930369">
        <w:t>2.</w:t>
      </w:r>
      <w:r w:rsidR="000D758D" w:rsidRPr="00930369">
        <w:t>6</w:t>
      </w:r>
      <w:r w:rsidRPr="00930369">
        <w:t xml:space="preserve">. </w:t>
      </w:r>
      <w:r w:rsidR="007428C2" w:rsidRPr="00930369">
        <w:t>Environmental Factors</w:t>
      </w:r>
      <w:bookmarkEnd w:id="6"/>
    </w:p>
    <w:p w14:paraId="41A9B34A" w14:textId="35596A32" w:rsidR="00045160" w:rsidRDefault="007428C2" w:rsidP="00152983">
      <w:pPr>
        <w:spacing w:line="360" w:lineRule="auto"/>
        <w:rPr>
          <w:rFonts w:eastAsia="Times New Roman" w:cs="Times New Roman"/>
          <w:szCs w:val="24"/>
          <w:lang w:eastAsia="en-GB"/>
        </w:rPr>
      </w:pPr>
      <w:r w:rsidRPr="00152983">
        <w:rPr>
          <w:rFonts w:eastAsia="Times New Roman" w:cs="Times New Roman"/>
          <w:szCs w:val="24"/>
          <w:lang w:eastAsia="en-GB"/>
        </w:rPr>
        <w:t>Barclays’ Net Zero by 2050 goal and Green Finance initiatives demonstrate leadership in sustainable banking (Barclays Sustainability Report, 2024). Promoting paperless banking and eco-friendly investment funds enhances brand image and aligns with Blythe’s (2013) societal marketing concept, combining profitability with social responsibility.</w:t>
      </w:r>
    </w:p>
    <w:p w14:paraId="3604FBE7" w14:textId="77777777" w:rsidR="009F4D91" w:rsidRDefault="009F4D91" w:rsidP="00152983">
      <w:pPr>
        <w:spacing w:line="360" w:lineRule="auto"/>
        <w:rPr>
          <w:rFonts w:eastAsia="Times New Roman" w:cs="Times New Roman"/>
          <w:szCs w:val="24"/>
          <w:lang w:eastAsia="en-GB"/>
        </w:rPr>
      </w:pPr>
    </w:p>
    <w:p w14:paraId="0440553E" w14:textId="563E3D04" w:rsidR="00806C39" w:rsidRPr="00930369" w:rsidRDefault="009134E7" w:rsidP="00930369">
      <w:pPr>
        <w:pStyle w:val="Heading1"/>
      </w:pPr>
      <w:bookmarkStart w:id="7" w:name="_Toc213500159"/>
      <w:r w:rsidRPr="00930369">
        <w:lastRenderedPageBreak/>
        <w:t xml:space="preserve">3. </w:t>
      </w:r>
      <w:r w:rsidR="00806C39" w:rsidRPr="00930369">
        <w:t>Critical Analysis and Evaluation</w:t>
      </w:r>
      <w:bookmarkEnd w:id="7"/>
    </w:p>
    <w:p w14:paraId="3312D7E2" w14:textId="77777777"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As a marketing manager, critically interpreting the results of the PESTLE analysis is essential to transform environmental insights into actionable strategies. The findings show that Barclays Bank PLC operates in a volatile but opportunity-rich macro environment, where regulatory pressures, economic shifts, and rapid technological change continually influence marketing decisions.</w:t>
      </w:r>
    </w:p>
    <w:p w14:paraId="6E6B8DBF" w14:textId="77777777" w:rsidR="00203766"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 xml:space="preserve">From a strategic perspective, political and legal frameworks create both constraints and opportunities. Although FCA compliance and GDPR requirements restrict some marketing flexibility, they also strengthen credibility and consumer trust. As Kotler, Armstrong and </w:t>
      </w:r>
      <w:proofErr w:type="spellStart"/>
      <w:r w:rsidRPr="00152983">
        <w:rPr>
          <w:rFonts w:eastAsia="Times New Roman" w:cs="Times New Roman"/>
          <w:szCs w:val="24"/>
          <w:lang w:eastAsia="en-GB"/>
        </w:rPr>
        <w:t>Opresnik</w:t>
      </w:r>
      <w:proofErr w:type="spellEnd"/>
      <w:r w:rsidRPr="00152983">
        <w:rPr>
          <w:rFonts w:eastAsia="Times New Roman" w:cs="Times New Roman"/>
          <w:szCs w:val="24"/>
          <w:lang w:eastAsia="en-GB"/>
        </w:rPr>
        <w:t xml:space="preserve"> (2018) note, transparency and ethical governance enhance brand loyalty</w:t>
      </w:r>
      <w:r w:rsidR="00194B73">
        <w:rPr>
          <w:rFonts w:eastAsia="Times New Roman" w:cs="Times New Roman"/>
          <w:szCs w:val="24"/>
          <w:lang w:eastAsia="en-GB"/>
        </w:rPr>
        <w:t xml:space="preserve">, </w:t>
      </w:r>
      <w:r w:rsidRPr="00152983">
        <w:rPr>
          <w:rFonts w:eastAsia="Times New Roman" w:cs="Times New Roman"/>
          <w:szCs w:val="24"/>
          <w:lang w:eastAsia="en-GB"/>
        </w:rPr>
        <w:t xml:space="preserve">an essential differentiator in the financial sector. By </w:t>
      </w:r>
      <w:r w:rsidR="0092239B">
        <w:rPr>
          <w:rFonts w:eastAsia="Times New Roman" w:cs="Times New Roman"/>
          <w:szCs w:val="24"/>
          <w:lang w:eastAsia="en-GB"/>
        </w:rPr>
        <w:t>incorporating compliance-based communication into marketing campaigns, Barclays can demonstrate its responsibility and customer focus</w:t>
      </w:r>
      <w:r w:rsidRPr="00152983">
        <w:rPr>
          <w:rFonts w:eastAsia="Times New Roman" w:cs="Times New Roman"/>
          <w:szCs w:val="24"/>
          <w:lang w:eastAsia="en-GB"/>
        </w:rPr>
        <w:t>.</w:t>
      </w:r>
    </w:p>
    <w:p w14:paraId="53275843" w14:textId="4815264F"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Economic challenges such as interest rate fluctuations and inflation directly affect customers’ borrowing capacity and confidence. This requires adaptive marketing strategies that emphasise values and financial well-being. In line with Baines, Fill and Page (2014), marketing should drive sales and build resilience by aligning products with consumer needs during uncertainty. Offering flexible savings and credit solutions, supported by educational outreach, can reinforce customer trust and loyalty.</w:t>
      </w:r>
    </w:p>
    <w:p w14:paraId="2771D37D" w14:textId="6B87E5C1"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The growing demand for ethical and inclusive banking shows that people's values are changing. Customers now expect authenticity and social contribution beyond profit-making. Blythe (2013) argues that societal marketing, which balances business success with community welfare, enhances long-term brand equity. Therefore, Barclays should amplify its community engagement and sustainability messages through storytelling campaigns that foster emotional connection and authenticity.</w:t>
      </w:r>
    </w:p>
    <w:p w14:paraId="54CB3162" w14:textId="6D348542"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 xml:space="preserve">Technological innovation presents both opportunities and challenges. While AI and digital platforms improve convenience and efficiency, competition from fintech firms like Revolut and Monzo demands constant innovation. To sustain leadership, Barclays should invest in predictive analytics and real-time customer data to personalise offerings—turning information into a strategic advantage (Hooley &amp; </w:t>
      </w:r>
      <w:proofErr w:type="spellStart"/>
      <w:r w:rsidRPr="00152983">
        <w:rPr>
          <w:rFonts w:eastAsia="Times New Roman" w:cs="Times New Roman"/>
          <w:szCs w:val="24"/>
          <w:lang w:eastAsia="en-GB"/>
        </w:rPr>
        <w:t>Nicoulaud</w:t>
      </w:r>
      <w:proofErr w:type="spellEnd"/>
      <w:r w:rsidRPr="00152983">
        <w:rPr>
          <w:rFonts w:eastAsia="Times New Roman" w:cs="Times New Roman"/>
          <w:szCs w:val="24"/>
          <w:lang w:eastAsia="en-GB"/>
        </w:rPr>
        <w:t>, 2020).</w:t>
      </w:r>
    </w:p>
    <w:p w14:paraId="12A9A1B1" w14:textId="77777777" w:rsidR="00203766" w:rsidRDefault="00203766" w:rsidP="00152983">
      <w:pPr>
        <w:spacing w:line="360" w:lineRule="auto"/>
        <w:rPr>
          <w:rFonts w:eastAsia="Times New Roman" w:cs="Times New Roman"/>
          <w:szCs w:val="24"/>
          <w:lang w:eastAsia="en-GB"/>
        </w:rPr>
      </w:pPr>
    </w:p>
    <w:p w14:paraId="1001D893" w14:textId="77777777" w:rsidR="00B30381" w:rsidRDefault="00B30381" w:rsidP="00152983">
      <w:pPr>
        <w:spacing w:line="360" w:lineRule="auto"/>
        <w:rPr>
          <w:rFonts w:eastAsia="Times New Roman" w:cs="Times New Roman"/>
          <w:color w:val="0F9ED5" w:themeColor="accent4"/>
          <w:szCs w:val="24"/>
          <w:lang w:eastAsia="en-GB"/>
        </w:rPr>
      </w:pPr>
    </w:p>
    <w:p w14:paraId="123267AD" w14:textId="218BECA2" w:rsidR="00806C39" w:rsidRPr="00152983" w:rsidRDefault="007D69F1" w:rsidP="00152983">
      <w:pPr>
        <w:spacing w:line="360" w:lineRule="auto"/>
        <w:rPr>
          <w:rFonts w:eastAsia="Times New Roman" w:cs="Times New Roman"/>
          <w:szCs w:val="24"/>
          <w:lang w:eastAsia="en-GB"/>
        </w:rPr>
      </w:pPr>
      <w:r w:rsidRPr="007D69F1">
        <w:rPr>
          <w:rFonts w:eastAsia="Times New Roman" w:cs="Times New Roman"/>
          <w:color w:val="0F9ED5" w:themeColor="accent4"/>
          <w:szCs w:val="24"/>
          <w:lang w:eastAsia="en-GB"/>
        </w:rPr>
        <w:lastRenderedPageBreak/>
        <w:t xml:space="preserve"> </w:t>
      </w:r>
      <w:r w:rsidR="00806C39" w:rsidRPr="00152983">
        <w:rPr>
          <w:rFonts w:eastAsia="Times New Roman" w:cs="Times New Roman"/>
          <w:szCs w:val="24"/>
          <w:lang w:eastAsia="en-GB"/>
        </w:rPr>
        <w:t xml:space="preserve">Finally, environmental sustainability has become integral to marketing strategy. Barclays’ Net Zero by 2050 pledge positions it as a sustainability leader, but success depends on turning policy into customer value. Promoting eco-branded financial products, such as green savings and investment accounts, aligns with the </w:t>
      </w:r>
      <w:r w:rsidR="00806C39" w:rsidRPr="00152983">
        <w:rPr>
          <w:rFonts w:eastAsia="Times New Roman" w:cs="Times New Roman"/>
          <w:iCs/>
          <w:szCs w:val="24"/>
          <w:lang w:eastAsia="en-GB"/>
        </w:rPr>
        <w:t>societal marketing concept</w:t>
      </w:r>
      <w:r w:rsidR="00806C39" w:rsidRPr="00152983">
        <w:rPr>
          <w:rFonts w:eastAsia="Times New Roman" w:cs="Times New Roman"/>
          <w:szCs w:val="24"/>
          <w:lang w:eastAsia="en-GB"/>
        </w:rPr>
        <w:t xml:space="preserve"> (Kotler &amp; Keller, 2016), attracting ethically conscious consumers and reinforcing brand purpose.</w:t>
      </w:r>
    </w:p>
    <w:p w14:paraId="6CF48670" w14:textId="0EE67EA3" w:rsidR="00806C39" w:rsidRPr="007D69F1" w:rsidRDefault="007D69F1" w:rsidP="00930369">
      <w:pPr>
        <w:pStyle w:val="Heading1"/>
        <w:rPr>
          <w:rFonts w:eastAsia="Times New Roman"/>
          <w:lang w:eastAsia="en-GB"/>
        </w:rPr>
      </w:pPr>
      <w:bookmarkStart w:id="8" w:name="_Toc213500160"/>
      <w:r w:rsidRPr="007D69F1">
        <w:rPr>
          <w:rFonts w:eastAsia="Times New Roman"/>
          <w:lang w:eastAsia="en-GB"/>
        </w:rPr>
        <w:t xml:space="preserve">4. </w:t>
      </w:r>
      <w:r w:rsidR="00806C39" w:rsidRPr="007D69F1">
        <w:rPr>
          <w:rFonts w:eastAsia="Times New Roman"/>
          <w:lang w:eastAsia="en-GB"/>
        </w:rPr>
        <w:t>Conclusions and Recommendations</w:t>
      </w:r>
      <w:bookmarkEnd w:id="8"/>
    </w:p>
    <w:p w14:paraId="7BD65ADD" w14:textId="7172C11A" w:rsidR="00806C39"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 xml:space="preserve">The PESTLE analysis provides valuable insight into the macro-environmental forces shaping Barclays Bank PLC’s marketing and strategic decisions. Political regulation, economic volatility, technological innovation, and social transformation are the most significant influences. From </w:t>
      </w:r>
      <w:r w:rsidR="00203766">
        <w:rPr>
          <w:rFonts w:eastAsia="Times New Roman" w:cs="Times New Roman"/>
          <w:szCs w:val="24"/>
          <w:lang w:eastAsia="en-GB"/>
        </w:rPr>
        <w:t>a</w:t>
      </w:r>
      <w:r w:rsidRPr="00152983">
        <w:rPr>
          <w:rFonts w:eastAsia="Times New Roman" w:cs="Times New Roman"/>
          <w:szCs w:val="24"/>
          <w:lang w:eastAsia="en-GB"/>
        </w:rPr>
        <w:t xml:space="preserve"> managerial perspective, these factors represent not limitations, but </w:t>
      </w:r>
      <w:r w:rsidRPr="00203766">
        <w:rPr>
          <w:rFonts w:eastAsia="Times New Roman" w:cs="Times New Roman"/>
          <w:szCs w:val="24"/>
          <w:lang w:eastAsia="en-GB"/>
        </w:rPr>
        <w:t>opportunities to innovate</w:t>
      </w:r>
      <w:r w:rsidRPr="00152983">
        <w:rPr>
          <w:rFonts w:eastAsia="Times New Roman" w:cs="Times New Roman"/>
          <w:szCs w:val="24"/>
          <w:lang w:eastAsia="en-GB"/>
        </w:rPr>
        <w:t>, strengthen customer trust, and achieve sustainable growth.</w:t>
      </w:r>
    </w:p>
    <w:p w14:paraId="6968CAF1" w14:textId="0C8CF7E8"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 xml:space="preserve">To reinforce Barclays’ position in a competitive market, </w:t>
      </w:r>
      <w:r w:rsidR="00203766">
        <w:rPr>
          <w:rFonts w:eastAsia="Times New Roman" w:cs="Times New Roman"/>
          <w:szCs w:val="24"/>
          <w:lang w:eastAsia="en-GB"/>
        </w:rPr>
        <w:t>below</w:t>
      </w:r>
      <w:r w:rsidRPr="00152983">
        <w:rPr>
          <w:rFonts w:eastAsia="Times New Roman" w:cs="Times New Roman"/>
          <w:szCs w:val="24"/>
          <w:lang w:eastAsia="en-GB"/>
        </w:rPr>
        <w:t xml:space="preserve"> three focused strategies</w:t>
      </w:r>
      <w:r w:rsidR="00203766">
        <w:rPr>
          <w:rFonts w:eastAsia="Times New Roman" w:cs="Times New Roman"/>
          <w:szCs w:val="24"/>
          <w:lang w:eastAsia="en-GB"/>
        </w:rPr>
        <w:t xml:space="preserve"> are recommended</w:t>
      </w:r>
      <w:r w:rsidRPr="00152983">
        <w:rPr>
          <w:rFonts w:eastAsia="Times New Roman" w:cs="Times New Roman"/>
          <w:szCs w:val="24"/>
          <w:lang w:eastAsia="en-GB"/>
        </w:rPr>
        <w:t>:</w:t>
      </w:r>
    </w:p>
    <w:p w14:paraId="743E66B9" w14:textId="45C995B5" w:rsidR="00806C39" w:rsidRPr="00152983" w:rsidRDefault="00806C39" w:rsidP="00152983">
      <w:pPr>
        <w:spacing w:line="360" w:lineRule="auto"/>
        <w:rPr>
          <w:rFonts w:eastAsia="Times New Roman" w:cs="Times New Roman"/>
          <w:szCs w:val="24"/>
          <w:lang w:eastAsia="en-GB"/>
        </w:rPr>
      </w:pPr>
      <w:r w:rsidRPr="00DD5720">
        <w:rPr>
          <w:rFonts w:eastAsia="Times New Roman" w:cs="Times New Roman"/>
          <w:b/>
          <w:bCs/>
          <w:szCs w:val="24"/>
          <w:lang w:eastAsia="en-GB"/>
        </w:rPr>
        <w:t>Customer-Centric Digital Innovation:</w:t>
      </w:r>
      <w:r w:rsidRPr="00DD5720">
        <w:rPr>
          <w:rFonts w:eastAsia="Times New Roman" w:cs="Times New Roman"/>
          <w:szCs w:val="24"/>
          <w:lang w:eastAsia="en-GB"/>
        </w:rPr>
        <w:br/>
      </w:r>
      <w:r w:rsidRPr="00152983">
        <w:rPr>
          <w:rFonts w:eastAsia="Times New Roman" w:cs="Times New Roman"/>
          <w:szCs w:val="24"/>
          <w:lang w:eastAsia="en-GB"/>
        </w:rPr>
        <w:t>Expand the use of AI and predictive analytics to deliver personalised customer experiences. Real-time data insights will enable tailored product recommendations, increasing engagement and loyalty.</w:t>
      </w:r>
    </w:p>
    <w:p w14:paraId="18F7CBFC" w14:textId="42BB2E31" w:rsidR="00806C39" w:rsidRPr="00152983" w:rsidRDefault="00806C39" w:rsidP="00152983">
      <w:pPr>
        <w:spacing w:line="360" w:lineRule="auto"/>
        <w:rPr>
          <w:rFonts w:eastAsia="Times New Roman" w:cs="Times New Roman"/>
          <w:szCs w:val="24"/>
          <w:lang w:eastAsia="en-GB"/>
        </w:rPr>
      </w:pPr>
      <w:r w:rsidRPr="00DD5720">
        <w:rPr>
          <w:rFonts w:eastAsia="Times New Roman" w:cs="Times New Roman"/>
          <w:b/>
          <w:bCs/>
          <w:szCs w:val="24"/>
          <w:lang w:eastAsia="en-GB"/>
        </w:rPr>
        <w:t>Sustainability-Driven Branding:</w:t>
      </w:r>
      <w:r w:rsidRPr="00152983">
        <w:rPr>
          <w:rFonts w:eastAsia="Times New Roman" w:cs="Times New Roman"/>
          <w:szCs w:val="24"/>
          <w:lang w:eastAsia="en-GB"/>
        </w:rPr>
        <w:br/>
        <w:t>Embed ethical and sustainable values across all marketing initiatives. Promoting green savings accounts, eco-investment products, and transparent sustainability reporting will enhance brand reputation and trust.</w:t>
      </w:r>
    </w:p>
    <w:p w14:paraId="755930ED" w14:textId="21E7ED1D" w:rsidR="00806C39" w:rsidRPr="00152983" w:rsidRDefault="00806C39" w:rsidP="00152983">
      <w:pPr>
        <w:spacing w:line="360" w:lineRule="auto"/>
        <w:rPr>
          <w:rFonts w:eastAsia="Times New Roman" w:cs="Times New Roman"/>
          <w:szCs w:val="24"/>
          <w:lang w:eastAsia="en-GB"/>
        </w:rPr>
      </w:pPr>
      <w:r w:rsidRPr="00DD5720">
        <w:rPr>
          <w:rFonts w:eastAsia="Times New Roman" w:cs="Times New Roman"/>
          <w:b/>
          <w:bCs/>
          <w:szCs w:val="24"/>
          <w:lang w:eastAsia="en-GB"/>
        </w:rPr>
        <w:t>Adaptive Communication Strategy:</w:t>
      </w:r>
      <w:r w:rsidRPr="00DD5720">
        <w:rPr>
          <w:rFonts w:eastAsia="Times New Roman" w:cs="Times New Roman"/>
          <w:szCs w:val="24"/>
          <w:lang w:eastAsia="en-GB"/>
        </w:rPr>
        <w:br/>
      </w:r>
      <w:r w:rsidRPr="00152983">
        <w:rPr>
          <w:rFonts w:eastAsia="Times New Roman" w:cs="Times New Roman"/>
          <w:szCs w:val="24"/>
          <w:lang w:eastAsia="en-GB"/>
        </w:rPr>
        <w:t>Strengthen transparency by communicating clearly about compliance, customer protection, and financial education. This approach will differentiate Barclays and reinforce confidence during economic uncertainty.</w:t>
      </w:r>
    </w:p>
    <w:p w14:paraId="79B6DEA4" w14:textId="77777777" w:rsidR="00806C39" w:rsidRPr="00152983" w:rsidRDefault="00806C39" w:rsidP="00152983">
      <w:pPr>
        <w:spacing w:line="360" w:lineRule="auto"/>
        <w:rPr>
          <w:rFonts w:eastAsia="Times New Roman" w:cs="Times New Roman"/>
          <w:szCs w:val="24"/>
          <w:lang w:eastAsia="en-GB"/>
        </w:rPr>
      </w:pPr>
      <w:r w:rsidRPr="00152983">
        <w:rPr>
          <w:rFonts w:eastAsia="Times New Roman" w:cs="Times New Roman"/>
          <w:szCs w:val="24"/>
          <w:lang w:eastAsia="en-GB"/>
        </w:rPr>
        <w:t>Ultimately, strategic success depends on transforming external pressures into innovation and ethical advantage. By aligning marketing with technological progress and societal expectations, Barclays can sustain profitability and reaffirm its position as a responsible, forward-thinking financial leader.</w:t>
      </w:r>
    </w:p>
    <w:p w14:paraId="31F3E95D" w14:textId="77777777" w:rsidR="009B3D99" w:rsidRPr="00713F89" w:rsidRDefault="009B3D99" w:rsidP="00713F89">
      <w:pPr>
        <w:spacing w:before="100" w:beforeAutospacing="1" w:after="100" w:afterAutospacing="1" w:line="360" w:lineRule="auto"/>
        <w:ind w:hanging="720"/>
        <w:mirrorIndents/>
        <w:rPr>
          <w:rFonts w:eastAsia="Times New Roman" w:cs="Times New Roman"/>
          <w:szCs w:val="24"/>
          <w:lang w:eastAsia="en-GB"/>
        </w:rPr>
      </w:pPr>
    </w:p>
    <w:p w14:paraId="1F6DFE5D" w14:textId="642A9031" w:rsidR="009B3D99" w:rsidRPr="009B3D99" w:rsidRDefault="00930369" w:rsidP="00930369">
      <w:pPr>
        <w:pStyle w:val="Heading1"/>
        <w:rPr>
          <w:rFonts w:eastAsia="Times New Roman"/>
          <w:lang w:eastAsia="en-GB"/>
        </w:rPr>
      </w:pPr>
      <w:bookmarkStart w:id="9" w:name="_Toc213500161"/>
      <w:r>
        <w:rPr>
          <w:rFonts w:eastAsia="Times New Roman"/>
          <w:lang w:eastAsia="en-GB"/>
        </w:rPr>
        <w:lastRenderedPageBreak/>
        <w:t>References</w:t>
      </w:r>
      <w:r w:rsidR="009B3D99">
        <w:rPr>
          <w:rFonts w:eastAsia="Times New Roman"/>
          <w:lang w:eastAsia="en-GB"/>
        </w:rPr>
        <w:t>:</w:t>
      </w:r>
      <w:bookmarkEnd w:id="9"/>
    </w:p>
    <w:p w14:paraId="14E42407"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Baines, P., Fill, C. and Page, K. (2014) </w:t>
      </w:r>
      <w:r w:rsidRPr="00930369">
        <w:rPr>
          <w:rFonts w:eastAsia="Times New Roman" w:cs="Times New Roman"/>
          <w:iCs/>
          <w:szCs w:val="24"/>
          <w:lang w:eastAsia="en-GB"/>
        </w:rPr>
        <w:t>Marketing</w:t>
      </w:r>
      <w:r w:rsidRPr="00930369">
        <w:rPr>
          <w:rFonts w:eastAsia="Times New Roman" w:cs="Times New Roman"/>
          <w:szCs w:val="24"/>
          <w:lang w:eastAsia="en-GB"/>
        </w:rPr>
        <w:t>. 3rd ed. Oxford: Oxford University Press.</w:t>
      </w:r>
    </w:p>
    <w:p w14:paraId="0F46E495"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Bank of England (2025) </w:t>
      </w:r>
      <w:r w:rsidRPr="00930369">
        <w:rPr>
          <w:rFonts w:eastAsia="Times New Roman" w:cs="Times New Roman"/>
          <w:iCs/>
          <w:szCs w:val="24"/>
          <w:lang w:eastAsia="en-GB"/>
        </w:rPr>
        <w:t>Monetary Policy Report – Q2 2025</w:t>
      </w:r>
      <w:r w:rsidRPr="00930369">
        <w:rPr>
          <w:rFonts w:eastAsia="Times New Roman" w:cs="Times New Roman"/>
          <w:szCs w:val="24"/>
          <w:lang w:eastAsia="en-GB"/>
        </w:rPr>
        <w:t>. London: Bank of England.</w:t>
      </w:r>
    </w:p>
    <w:p w14:paraId="2DBBD8E9"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Barclays Bank PLC (2024) </w:t>
      </w:r>
      <w:r w:rsidRPr="00930369">
        <w:rPr>
          <w:rFonts w:eastAsia="Times New Roman" w:cs="Times New Roman"/>
          <w:iCs/>
          <w:szCs w:val="24"/>
          <w:lang w:eastAsia="en-GB"/>
        </w:rPr>
        <w:t>Annual Report 2024</w:t>
      </w:r>
      <w:r w:rsidRPr="00930369">
        <w:rPr>
          <w:rFonts w:eastAsia="Times New Roman" w:cs="Times New Roman"/>
          <w:szCs w:val="24"/>
          <w:lang w:eastAsia="en-GB"/>
        </w:rPr>
        <w:t>. London: Barclays.</w:t>
      </w:r>
    </w:p>
    <w:p w14:paraId="1A7D1FA4"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Barclays Bank PLC (2024) </w:t>
      </w:r>
      <w:r w:rsidRPr="00930369">
        <w:rPr>
          <w:rFonts w:eastAsia="Times New Roman" w:cs="Times New Roman"/>
          <w:iCs/>
          <w:szCs w:val="24"/>
          <w:lang w:eastAsia="en-GB"/>
        </w:rPr>
        <w:t>Sustainability and ESG Report 2024</w:t>
      </w:r>
      <w:r w:rsidRPr="00930369">
        <w:rPr>
          <w:rFonts w:eastAsia="Times New Roman" w:cs="Times New Roman"/>
          <w:szCs w:val="24"/>
          <w:lang w:eastAsia="en-GB"/>
        </w:rPr>
        <w:t>. London: Barclays.</w:t>
      </w:r>
    </w:p>
    <w:p w14:paraId="4D338482"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Blythe, J. (2013) </w:t>
      </w:r>
      <w:r w:rsidRPr="00930369">
        <w:rPr>
          <w:rFonts w:eastAsia="Times New Roman" w:cs="Times New Roman"/>
          <w:iCs/>
          <w:szCs w:val="24"/>
          <w:lang w:eastAsia="en-GB"/>
        </w:rPr>
        <w:t>Principles and Practice of Marketing</w:t>
      </w:r>
      <w:r w:rsidRPr="00930369">
        <w:rPr>
          <w:rFonts w:eastAsia="Times New Roman" w:cs="Times New Roman"/>
          <w:szCs w:val="24"/>
          <w:lang w:eastAsia="en-GB"/>
        </w:rPr>
        <w:t>. 3rd ed. London: SAGE Publications.</w:t>
      </w:r>
    </w:p>
    <w:p w14:paraId="4C6F5654"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Hooley, G.J. and </w:t>
      </w:r>
      <w:proofErr w:type="spellStart"/>
      <w:r w:rsidRPr="00930369">
        <w:rPr>
          <w:rFonts w:eastAsia="Times New Roman" w:cs="Times New Roman"/>
          <w:szCs w:val="24"/>
          <w:lang w:eastAsia="en-GB"/>
        </w:rPr>
        <w:t>Nicoulaud</w:t>
      </w:r>
      <w:proofErr w:type="spellEnd"/>
      <w:r w:rsidRPr="00930369">
        <w:rPr>
          <w:rFonts w:eastAsia="Times New Roman" w:cs="Times New Roman"/>
          <w:szCs w:val="24"/>
          <w:lang w:eastAsia="en-GB"/>
        </w:rPr>
        <w:t xml:space="preserve">, J.M. (2020) </w:t>
      </w:r>
      <w:r w:rsidRPr="00930369">
        <w:rPr>
          <w:rFonts w:eastAsia="Times New Roman" w:cs="Times New Roman"/>
          <w:iCs/>
          <w:szCs w:val="24"/>
          <w:lang w:eastAsia="en-GB"/>
        </w:rPr>
        <w:t>Marketing Strategy and Competitive Positioning</w:t>
      </w:r>
      <w:r w:rsidRPr="00930369">
        <w:rPr>
          <w:rFonts w:eastAsia="Times New Roman" w:cs="Times New Roman"/>
          <w:szCs w:val="24"/>
          <w:lang w:eastAsia="en-GB"/>
        </w:rPr>
        <w:t>. 7th ed. Harlow: Pearson Education.</w:t>
      </w:r>
    </w:p>
    <w:p w14:paraId="664FABF4"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International Monetary Fund (IMF) (2025) </w:t>
      </w:r>
      <w:r w:rsidRPr="00930369">
        <w:rPr>
          <w:rFonts w:eastAsia="Times New Roman" w:cs="Times New Roman"/>
          <w:iCs/>
          <w:szCs w:val="24"/>
          <w:lang w:eastAsia="en-GB"/>
        </w:rPr>
        <w:t>World Economic Outlook 2025</w:t>
      </w:r>
      <w:r w:rsidRPr="00930369">
        <w:rPr>
          <w:rFonts w:eastAsia="Times New Roman" w:cs="Times New Roman"/>
          <w:szCs w:val="24"/>
          <w:lang w:eastAsia="en-GB"/>
        </w:rPr>
        <w:t>. Washington, D.C.: International Monetary Fund.</w:t>
      </w:r>
    </w:p>
    <w:p w14:paraId="1984AEDF"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Kotler, P. and Keller, K.L. (2016) </w:t>
      </w:r>
      <w:r w:rsidRPr="00930369">
        <w:rPr>
          <w:rFonts w:eastAsia="Times New Roman" w:cs="Times New Roman"/>
          <w:iCs/>
          <w:szCs w:val="24"/>
          <w:lang w:eastAsia="en-GB"/>
        </w:rPr>
        <w:t>Marketing Management</w:t>
      </w:r>
      <w:r w:rsidRPr="00930369">
        <w:rPr>
          <w:rFonts w:eastAsia="Times New Roman" w:cs="Times New Roman"/>
          <w:szCs w:val="24"/>
          <w:lang w:eastAsia="en-GB"/>
        </w:rPr>
        <w:t>. 15th ed. Harlow: Pearson Education.</w:t>
      </w:r>
    </w:p>
    <w:p w14:paraId="123564D3" w14:textId="77777777" w:rsidR="00930369" w:rsidRPr="00930369" w:rsidRDefault="00930369" w:rsidP="00930369">
      <w:pPr>
        <w:spacing w:before="100" w:beforeAutospacing="1" w:after="100" w:afterAutospacing="1" w:line="360" w:lineRule="auto"/>
        <w:ind w:left="720" w:hanging="720"/>
        <w:rPr>
          <w:rFonts w:eastAsia="Times New Roman" w:cs="Times New Roman"/>
          <w:szCs w:val="24"/>
          <w:lang w:eastAsia="en-GB"/>
        </w:rPr>
      </w:pPr>
      <w:r w:rsidRPr="00930369">
        <w:rPr>
          <w:rFonts w:eastAsia="Times New Roman" w:cs="Times New Roman"/>
          <w:szCs w:val="24"/>
          <w:lang w:eastAsia="en-GB"/>
        </w:rPr>
        <w:t xml:space="preserve">Kotler, P., Armstrong, G. and </w:t>
      </w:r>
      <w:proofErr w:type="spellStart"/>
      <w:r w:rsidRPr="00930369">
        <w:rPr>
          <w:rFonts w:eastAsia="Times New Roman" w:cs="Times New Roman"/>
          <w:szCs w:val="24"/>
          <w:lang w:eastAsia="en-GB"/>
        </w:rPr>
        <w:t>Opresnik</w:t>
      </w:r>
      <w:proofErr w:type="spellEnd"/>
      <w:r w:rsidRPr="00930369">
        <w:rPr>
          <w:rFonts w:eastAsia="Times New Roman" w:cs="Times New Roman"/>
          <w:szCs w:val="24"/>
          <w:lang w:eastAsia="en-GB"/>
        </w:rPr>
        <w:t xml:space="preserve">, M.O. (2018) </w:t>
      </w:r>
      <w:r w:rsidRPr="00930369">
        <w:rPr>
          <w:rFonts w:eastAsia="Times New Roman" w:cs="Times New Roman"/>
          <w:iCs/>
          <w:szCs w:val="24"/>
          <w:lang w:eastAsia="en-GB"/>
        </w:rPr>
        <w:t>Principles of Marketing</w:t>
      </w:r>
      <w:r w:rsidRPr="00930369">
        <w:rPr>
          <w:rFonts w:eastAsia="Times New Roman" w:cs="Times New Roman"/>
          <w:szCs w:val="24"/>
          <w:lang w:eastAsia="en-GB"/>
        </w:rPr>
        <w:t>. 17th ed. Harlow: Pearson Education.</w:t>
      </w:r>
    </w:p>
    <w:p w14:paraId="173F571F" w14:textId="77777777" w:rsidR="009B3D99" w:rsidRDefault="009B3D99" w:rsidP="00806C39">
      <w:pPr>
        <w:spacing w:before="100" w:beforeAutospacing="1" w:after="100" w:afterAutospacing="1" w:line="240" w:lineRule="auto"/>
        <w:rPr>
          <w:rFonts w:eastAsia="Times New Roman" w:cs="Times New Roman"/>
          <w:szCs w:val="24"/>
          <w:lang w:eastAsia="en-GB"/>
        </w:rPr>
      </w:pPr>
    </w:p>
    <w:p w14:paraId="6F73F73A" w14:textId="77777777" w:rsidR="009B3D99" w:rsidRDefault="009B3D99" w:rsidP="00806C39">
      <w:pPr>
        <w:spacing w:before="100" w:beforeAutospacing="1" w:after="100" w:afterAutospacing="1" w:line="240" w:lineRule="auto"/>
        <w:rPr>
          <w:rFonts w:eastAsia="Times New Roman" w:cs="Times New Roman"/>
          <w:szCs w:val="24"/>
          <w:lang w:eastAsia="en-GB"/>
        </w:rPr>
      </w:pPr>
    </w:p>
    <w:p w14:paraId="11EE9375" w14:textId="77777777" w:rsidR="009B3D99" w:rsidRDefault="009B3D99" w:rsidP="00806C39">
      <w:pPr>
        <w:spacing w:before="100" w:beforeAutospacing="1" w:after="100" w:afterAutospacing="1" w:line="240" w:lineRule="auto"/>
        <w:rPr>
          <w:rFonts w:eastAsia="Times New Roman" w:cs="Times New Roman"/>
          <w:szCs w:val="24"/>
          <w:lang w:eastAsia="en-GB"/>
        </w:rPr>
      </w:pPr>
    </w:p>
    <w:p w14:paraId="560A65E1" w14:textId="77777777" w:rsidR="009B3D99" w:rsidRPr="00806C39" w:rsidRDefault="009B3D99" w:rsidP="00806C39">
      <w:pPr>
        <w:spacing w:before="100" w:beforeAutospacing="1" w:after="100" w:afterAutospacing="1" w:line="240" w:lineRule="auto"/>
        <w:rPr>
          <w:rFonts w:eastAsia="Times New Roman" w:cs="Times New Roman"/>
          <w:szCs w:val="24"/>
          <w:lang w:eastAsia="en-GB"/>
        </w:rPr>
      </w:pPr>
    </w:p>
    <w:p w14:paraId="283572DA" w14:textId="77777777" w:rsidR="00806C39" w:rsidRPr="00806C39" w:rsidRDefault="00806C39" w:rsidP="00806C39">
      <w:pPr>
        <w:spacing w:before="100" w:beforeAutospacing="1" w:after="100" w:afterAutospacing="1" w:line="240" w:lineRule="auto"/>
        <w:rPr>
          <w:rFonts w:eastAsia="Times New Roman" w:cs="Times New Roman"/>
          <w:szCs w:val="24"/>
          <w:lang w:eastAsia="en-GB"/>
        </w:rPr>
      </w:pPr>
    </w:p>
    <w:p w14:paraId="62F62CFC" w14:textId="77777777" w:rsidR="00806C39" w:rsidRDefault="00806C39" w:rsidP="007428C2">
      <w:pPr>
        <w:spacing w:before="100" w:beforeAutospacing="1" w:after="100" w:afterAutospacing="1" w:line="240" w:lineRule="auto"/>
        <w:rPr>
          <w:rFonts w:eastAsia="Times New Roman" w:cs="Times New Roman"/>
          <w:szCs w:val="24"/>
          <w:lang w:eastAsia="en-GB"/>
        </w:rPr>
      </w:pPr>
    </w:p>
    <w:p w14:paraId="6008B47E" w14:textId="77777777" w:rsidR="00FA0CD2" w:rsidRPr="00207152" w:rsidRDefault="00FA0CD2" w:rsidP="00FA0CD2">
      <w:pPr>
        <w:spacing w:before="100" w:beforeAutospacing="1" w:after="100" w:afterAutospacing="1" w:line="240" w:lineRule="auto"/>
        <w:rPr>
          <w:rFonts w:eastAsia="Times New Roman" w:cs="Times New Roman"/>
          <w:szCs w:val="24"/>
          <w:lang w:eastAsia="en-GB"/>
        </w:rPr>
      </w:pPr>
    </w:p>
    <w:sectPr w:rsidR="00FA0CD2" w:rsidRPr="00207152" w:rsidSect="00A6066E">
      <w:footerReference w:type="default" r:id="rId9"/>
      <w:pgSz w:w="11906" w:h="16838"/>
      <w:pgMar w:top="1440" w:right="1440" w:bottom="1440" w:left="1440" w:header="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E45BB" w14:textId="77777777" w:rsidR="00CD14B6" w:rsidRDefault="00CD14B6" w:rsidP="00A6066E">
      <w:pPr>
        <w:spacing w:after="0" w:line="240" w:lineRule="auto"/>
      </w:pPr>
      <w:r>
        <w:separator/>
      </w:r>
    </w:p>
  </w:endnote>
  <w:endnote w:type="continuationSeparator" w:id="0">
    <w:p w14:paraId="710283FD" w14:textId="77777777" w:rsidR="00CD14B6" w:rsidRDefault="00CD14B6" w:rsidP="00A60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6616352"/>
      <w:docPartObj>
        <w:docPartGallery w:val="Page Numbers (Bottom of Page)"/>
        <w:docPartUnique/>
      </w:docPartObj>
    </w:sdtPr>
    <w:sdtEndPr>
      <w:rPr>
        <w:noProof/>
      </w:rPr>
    </w:sdtEndPr>
    <w:sdtContent>
      <w:p w14:paraId="5F296CEB" w14:textId="14E0EA0C" w:rsidR="00A6066E" w:rsidRDefault="00A606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164939" w14:textId="77777777" w:rsidR="00A6066E" w:rsidRDefault="00A606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86C03" w14:textId="77777777" w:rsidR="00CD14B6" w:rsidRDefault="00CD14B6" w:rsidP="00A6066E">
      <w:pPr>
        <w:spacing w:after="0" w:line="240" w:lineRule="auto"/>
      </w:pPr>
      <w:r>
        <w:separator/>
      </w:r>
    </w:p>
  </w:footnote>
  <w:footnote w:type="continuationSeparator" w:id="0">
    <w:p w14:paraId="6BFA5A3F" w14:textId="77777777" w:rsidR="00CD14B6" w:rsidRDefault="00CD14B6" w:rsidP="00A606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344F8"/>
    <w:multiLevelType w:val="multilevel"/>
    <w:tmpl w:val="60503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D77019"/>
    <w:multiLevelType w:val="multilevel"/>
    <w:tmpl w:val="6F6851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AE6930"/>
    <w:multiLevelType w:val="multilevel"/>
    <w:tmpl w:val="2D9E5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053E39"/>
    <w:multiLevelType w:val="hybridMultilevel"/>
    <w:tmpl w:val="196EE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58470A"/>
    <w:multiLevelType w:val="hybridMultilevel"/>
    <w:tmpl w:val="9F3651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9F3B70"/>
    <w:multiLevelType w:val="hybridMultilevel"/>
    <w:tmpl w:val="E2BE1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8236487">
    <w:abstractNumId w:val="3"/>
  </w:num>
  <w:num w:numId="2" w16cid:durableId="945427537">
    <w:abstractNumId w:val="0"/>
  </w:num>
  <w:num w:numId="3" w16cid:durableId="1976989073">
    <w:abstractNumId w:val="2"/>
  </w:num>
  <w:num w:numId="4" w16cid:durableId="454983053">
    <w:abstractNumId w:val="1"/>
  </w:num>
  <w:num w:numId="5" w16cid:durableId="1551530241">
    <w:abstractNumId w:val="5"/>
  </w:num>
  <w:num w:numId="6" w16cid:durableId="791103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155"/>
    <w:rsid w:val="00045160"/>
    <w:rsid w:val="0006037E"/>
    <w:rsid w:val="000D654E"/>
    <w:rsid w:val="000D758D"/>
    <w:rsid w:val="000E74B5"/>
    <w:rsid w:val="00152983"/>
    <w:rsid w:val="001912C3"/>
    <w:rsid w:val="00194B73"/>
    <w:rsid w:val="00203766"/>
    <w:rsid w:val="00207152"/>
    <w:rsid w:val="002B1CF7"/>
    <w:rsid w:val="002E7A90"/>
    <w:rsid w:val="00334F62"/>
    <w:rsid w:val="00414AC2"/>
    <w:rsid w:val="00444107"/>
    <w:rsid w:val="004856CD"/>
    <w:rsid w:val="00561464"/>
    <w:rsid w:val="00640E89"/>
    <w:rsid w:val="00652380"/>
    <w:rsid w:val="006700AC"/>
    <w:rsid w:val="00685E3E"/>
    <w:rsid w:val="00713F89"/>
    <w:rsid w:val="007428C2"/>
    <w:rsid w:val="007D69F1"/>
    <w:rsid w:val="00806C39"/>
    <w:rsid w:val="00844791"/>
    <w:rsid w:val="008A5960"/>
    <w:rsid w:val="00906B47"/>
    <w:rsid w:val="009134E7"/>
    <w:rsid w:val="00920825"/>
    <w:rsid w:val="0092239B"/>
    <w:rsid w:val="00930369"/>
    <w:rsid w:val="00975ABB"/>
    <w:rsid w:val="009B3D99"/>
    <w:rsid w:val="009F4D91"/>
    <w:rsid w:val="00A05812"/>
    <w:rsid w:val="00A6066E"/>
    <w:rsid w:val="00A772FE"/>
    <w:rsid w:val="00A86A4A"/>
    <w:rsid w:val="00A90082"/>
    <w:rsid w:val="00AC7C9B"/>
    <w:rsid w:val="00AC7F48"/>
    <w:rsid w:val="00B30381"/>
    <w:rsid w:val="00BA50D8"/>
    <w:rsid w:val="00BC0340"/>
    <w:rsid w:val="00CA6D19"/>
    <w:rsid w:val="00CC723E"/>
    <w:rsid w:val="00CD14B6"/>
    <w:rsid w:val="00D26DE8"/>
    <w:rsid w:val="00D461F1"/>
    <w:rsid w:val="00D736EF"/>
    <w:rsid w:val="00D763E0"/>
    <w:rsid w:val="00D77155"/>
    <w:rsid w:val="00D82B4A"/>
    <w:rsid w:val="00DC3919"/>
    <w:rsid w:val="00DD5720"/>
    <w:rsid w:val="00EA5502"/>
    <w:rsid w:val="00F10300"/>
    <w:rsid w:val="00F914AE"/>
    <w:rsid w:val="00FA0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F59F73"/>
  <w15:chartTrackingRefBased/>
  <w15:docId w15:val="{021C97A0-7AA7-4438-BA4B-3D0167196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4E"/>
    <w:pPr>
      <w:spacing w:after="120" w:line="480" w:lineRule="auto"/>
      <w:jc w:val="both"/>
    </w:pPr>
    <w:rPr>
      <w:rFonts w:ascii="Times New Roman" w:eastAsiaTheme="minorEastAsia" w:hAnsi="Times New Roman"/>
      <w:kern w:val="0"/>
      <w:szCs w:val="22"/>
      <w:lang w:eastAsia="zh-CN"/>
      <w14:ligatures w14:val="none"/>
    </w:rPr>
  </w:style>
  <w:style w:type="paragraph" w:styleId="Heading1">
    <w:name w:val="heading 1"/>
    <w:basedOn w:val="Normal"/>
    <w:next w:val="Normal"/>
    <w:link w:val="Heading1Char"/>
    <w:uiPriority w:val="9"/>
    <w:qFormat/>
    <w:rsid w:val="00930369"/>
    <w:pPr>
      <w:keepNext/>
      <w:keepLines/>
      <w:spacing w:before="120" w:line="257" w:lineRule="auto"/>
      <w:outlineLvl w:val="0"/>
    </w:pPr>
    <w:rPr>
      <w:rFonts w:eastAsiaTheme="majorEastAsia" w:cstheme="majorBidi"/>
      <w:b/>
      <w:color w:val="0F9ED5" w:themeColor="accent4"/>
      <w:sz w:val="28"/>
      <w:szCs w:val="40"/>
    </w:rPr>
  </w:style>
  <w:style w:type="paragraph" w:styleId="Heading2">
    <w:name w:val="heading 2"/>
    <w:basedOn w:val="Normal"/>
    <w:next w:val="Normal"/>
    <w:link w:val="Heading2Char"/>
    <w:uiPriority w:val="9"/>
    <w:unhideWhenUsed/>
    <w:qFormat/>
    <w:rsid w:val="00930369"/>
    <w:pPr>
      <w:keepNext/>
      <w:keepLines/>
      <w:spacing w:before="160" w:after="80"/>
      <w:outlineLvl w:val="1"/>
    </w:pPr>
    <w:rPr>
      <w:rFonts w:eastAsiaTheme="majorEastAsia" w:cstheme="majorBidi"/>
      <w:b/>
      <w:color w:val="0F9ED5" w:themeColor="accent4"/>
      <w:szCs w:val="32"/>
    </w:rPr>
  </w:style>
  <w:style w:type="paragraph" w:styleId="Heading3">
    <w:name w:val="heading 3"/>
    <w:basedOn w:val="Normal"/>
    <w:next w:val="Normal"/>
    <w:link w:val="Heading3Char"/>
    <w:uiPriority w:val="9"/>
    <w:semiHidden/>
    <w:unhideWhenUsed/>
    <w:qFormat/>
    <w:rsid w:val="00D77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7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7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7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7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7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7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369"/>
    <w:rPr>
      <w:rFonts w:ascii="Times New Roman" w:eastAsiaTheme="majorEastAsia" w:hAnsi="Times New Roman" w:cstheme="majorBidi"/>
      <w:b/>
      <w:color w:val="0F9ED5" w:themeColor="accent4"/>
      <w:kern w:val="0"/>
      <w:sz w:val="28"/>
      <w:szCs w:val="40"/>
      <w:lang w:eastAsia="zh-CN"/>
      <w14:ligatures w14:val="none"/>
    </w:rPr>
  </w:style>
  <w:style w:type="character" w:customStyle="1" w:styleId="Heading2Char">
    <w:name w:val="Heading 2 Char"/>
    <w:basedOn w:val="DefaultParagraphFont"/>
    <w:link w:val="Heading2"/>
    <w:uiPriority w:val="9"/>
    <w:rsid w:val="00930369"/>
    <w:rPr>
      <w:rFonts w:ascii="Times New Roman" w:eastAsiaTheme="majorEastAsia" w:hAnsi="Times New Roman" w:cstheme="majorBidi"/>
      <w:b/>
      <w:color w:val="0F9ED5" w:themeColor="accent4"/>
      <w:kern w:val="0"/>
      <w:szCs w:val="32"/>
      <w:lang w:eastAsia="zh-CN"/>
      <w14:ligatures w14:val="none"/>
    </w:rPr>
  </w:style>
  <w:style w:type="character" w:customStyle="1" w:styleId="Heading3Char">
    <w:name w:val="Heading 3 Char"/>
    <w:basedOn w:val="DefaultParagraphFont"/>
    <w:link w:val="Heading3"/>
    <w:uiPriority w:val="9"/>
    <w:semiHidden/>
    <w:rsid w:val="00D77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7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7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7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7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7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7155"/>
    <w:rPr>
      <w:rFonts w:eastAsiaTheme="majorEastAsia" w:cstheme="majorBidi"/>
      <w:color w:val="272727" w:themeColor="text1" w:themeTint="D8"/>
    </w:rPr>
  </w:style>
  <w:style w:type="paragraph" w:styleId="Title">
    <w:name w:val="Title"/>
    <w:basedOn w:val="Normal"/>
    <w:next w:val="Normal"/>
    <w:link w:val="TitleChar"/>
    <w:uiPriority w:val="10"/>
    <w:qFormat/>
    <w:rsid w:val="00D77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7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7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7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7155"/>
    <w:pPr>
      <w:spacing w:before="160"/>
      <w:jc w:val="center"/>
    </w:pPr>
    <w:rPr>
      <w:i/>
      <w:iCs/>
      <w:color w:val="404040" w:themeColor="text1" w:themeTint="BF"/>
    </w:rPr>
  </w:style>
  <w:style w:type="character" w:customStyle="1" w:styleId="QuoteChar">
    <w:name w:val="Quote Char"/>
    <w:basedOn w:val="DefaultParagraphFont"/>
    <w:link w:val="Quote"/>
    <w:uiPriority w:val="29"/>
    <w:rsid w:val="00D77155"/>
    <w:rPr>
      <w:i/>
      <w:iCs/>
      <w:color w:val="404040" w:themeColor="text1" w:themeTint="BF"/>
    </w:rPr>
  </w:style>
  <w:style w:type="paragraph" w:styleId="ListParagraph">
    <w:name w:val="List Paragraph"/>
    <w:basedOn w:val="Normal"/>
    <w:uiPriority w:val="34"/>
    <w:qFormat/>
    <w:rsid w:val="00D77155"/>
    <w:pPr>
      <w:ind w:left="720"/>
      <w:contextualSpacing/>
    </w:pPr>
  </w:style>
  <w:style w:type="character" w:styleId="IntenseEmphasis">
    <w:name w:val="Intense Emphasis"/>
    <w:basedOn w:val="DefaultParagraphFont"/>
    <w:uiPriority w:val="21"/>
    <w:qFormat/>
    <w:rsid w:val="00D77155"/>
    <w:rPr>
      <w:i/>
      <w:iCs/>
      <w:color w:val="0F4761" w:themeColor="accent1" w:themeShade="BF"/>
    </w:rPr>
  </w:style>
  <w:style w:type="paragraph" w:styleId="IntenseQuote">
    <w:name w:val="Intense Quote"/>
    <w:basedOn w:val="Normal"/>
    <w:next w:val="Normal"/>
    <w:link w:val="IntenseQuoteChar"/>
    <w:uiPriority w:val="30"/>
    <w:qFormat/>
    <w:rsid w:val="00D77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7155"/>
    <w:rPr>
      <w:i/>
      <w:iCs/>
      <w:color w:val="0F4761" w:themeColor="accent1" w:themeShade="BF"/>
    </w:rPr>
  </w:style>
  <w:style w:type="character" w:styleId="IntenseReference">
    <w:name w:val="Intense Reference"/>
    <w:basedOn w:val="DefaultParagraphFont"/>
    <w:uiPriority w:val="32"/>
    <w:qFormat/>
    <w:rsid w:val="00D77155"/>
    <w:rPr>
      <w:b/>
      <w:bCs/>
      <w:smallCaps/>
      <w:color w:val="0F4761" w:themeColor="accent1" w:themeShade="BF"/>
      <w:spacing w:val="5"/>
    </w:rPr>
  </w:style>
  <w:style w:type="paragraph" w:styleId="Header">
    <w:name w:val="header"/>
    <w:basedOn w:val="Normal"/>
    <w:link w:val="HeaderChar"/>
    <w:uiPriority w:val="99"/>
    <w:unhideWhenUsed/>
    <w:rsid w:val="00A60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66E"/>
    <w:rPr>
      <w:rFonts w:eastAsiaTheme="minorEastAsia"/>
      <w:kern w:val="0"/>
      <w:sz w:val="22"/>
      <w:szCs w:val="22"/>
      <w:lang w:eastAsia="zh-CN"/>
      <w14:ligatures w14:val="none"/>
    </w:rPr>
  </w:style>
  <w:style w:type="paragraph" w:styleId="Footer">
    <w:name w:val="footer"/>
    <w:basedOn w:val="Normal"/>
    <w:link w:val="FooterChar"/>
    <w:uiPriority w:val="99"/>
    <w:unhideWhenUsed/>
    <w:rsid w:val="00A60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66E"/>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D763E0"/>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D763E0"/>
    <w:pPr>
      <w:spacing w:after="100"/>
    </w:pPr>
  </w:style>
  <w:style w:type="character" w:styleId="Hyperlink">
    <w:name w:val="Hyperlink"/>
    <w:basedOn w:val="DefaultParagraphFont"/>
    <w:uiPriority w:val="99"/>
    <w:unhideWhenUsed/>
    <w:rsid w:val="00D763E0"/>
    <w:rPr>
      <w:color w:val="467886" w:themeColor="hyperlink"/>
      <w:u w:val="single"/>
    </w:rPr>
  </w:style>
  <w:style w:type="paragraph" w:customStyle="1" w:styleId="Style1">
    <w:name w:val="Style1"/>
    <w:basedOn w:val="Heading1"/>
    <w:qFormat/>
    <w:rsid w:val="00D763E0"/>
    <w:rPr>
      <w:rFonts w:eastAsia="Times New Roman"/>
      <w:color w:val="auto"/>
      <w:sz w:val="32"/>
      <w:lang w:eastAsia="en-GB"/>
    </w:rPr>
  </w:style>
  <w:style w:type="paragraph" w:customStyle="1" w:styleId="Style2">
    <w:name w:val="Style2"/>
    <w:basedOn w:val="Heading1"/>
    <w:qFormat/>
    <w:rsid w:val="00D763E0"/>
    <w:rPr>
      <w:rFonts w:eastAsia="Times New Roman"/>
      <w:color w:val="auto"/>
      <w:sz w:val="32"/>
    </w:rPr>
  </w:style>
  <w:style w:type="paragraph" w:customStyle="1" w:styleId="Style3">
    <w:name w:val="Style3"/>
    <w:basedOn w:val="Style1"/>
    <w:qFormat/>
    <w:rsid w:val="00D763E0"/>
    <w:rPr>
      <w:color w:val="0F9ED5" w:themeColor="accent4"/>
    </w:rPr>
  </w:style>
  <w:style w:type="paragraph" w:customStyle="1" w:styleId="Style4">
    <w:name w:val="Style4"/>
    <w:basedOn w:val="Style1"/>
    <w:qFormat/>
    <w:rsid w:val="00D763E0"/>
    <w:rPr>
      <w:color w:val="0F9ED5" w:themeColor="accent4"/>
    </w:rPr>
  </w:style>
  <w:style w:type="paragraph" w:customStyle="1" w:styleId="Style5">
    <w:name w:val="Style5"/>
    <w:basedOn w:val="Style2"/>
    <w:qFormat/>
    <w:rsid w:val="00D763E0"/>
    <w:rPr>
      <w:color w:val="0F9ED5" w:themeColor="accent4"/>
      <w:sz w:val="28"/>
    </w:rPr>
  </w:style>
  <w:style w:type="paragraph" w:customStyle="1" w:styleId="Style6">
    <w:name w:val="Style6"/>
    <w:basedOn w:val="Style2"/>
    <w:qFormat/>
    <w:rsid w:val="00D763E0"/>
    <w:rPr>
      <w:color w:val="0F9ED5" w:themeColor="accent4"/>
      <w:sz w:val="28"/>
    </w:rPr>
  </w:style>
  <w:style w:type="paragraph" w:customStyle="1" w:styleId="Style7">
    <w:name w:val="Style7"/>
    <w:basedOn w:val="Style2"/>
    <w:qFormat/>
    <w:rsid w:val="00930369"/>
    <w:rPr>
      <w:color w:val="0F9ED5" w:themeColor="accent4"/>
      <w:sz w:val="28"/>
    </w:rPr>
  </w:style>
  <w:style w:type="paragraph" w:customStyle="1" w:styleId="Style8">
    <w:name w:val="Style8"/>
    <w:basedOn w:val="Style2"/>
    <w:qFormat/>
    <w:rsid w:val="00930369"/>
    <w:rPr>
      <w:color w:val="0F9ED5" w:themeColor="accent4"/>
      <w:sz w:val="28"/>
    </w:rPr>
  </w:style>
  <w:style w:type="paragraph" w:customStyle="1" w:styleId="Style9">
    <w:name w:val="Style9"/>
    <w:basedOn w:val="Style2"/>
    <w:qFormat/>
    <w:rsid w:val="00930369"/>
    <w:rPr>
      <w:color w:val="0F9ED5" w:themeColor="accent4"/>
      <w:sz w:val="28"/>
    </w:rPr>
  </w:style>
  <w:style w:type="paragraph" w:styleId="TOC2">
    <w:name w:val="toc 2"/>
    <w:basedOn w:val="Normal"/>
    <w:next w:val="Normal"/>
    <w:autoRedefine/>
    <w:uiPriority w:val="39"/>
    <w:unhideWhenUsed/>
    <w:rsid w:val="00A0581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09CC7-1555-4A02-84C3-780CEB924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2598</TotalTime>
  <Pages>7</Pages>
  <Words>1338</Words>
  <Characters>9035</Characters>
  <Application>Microsoft Office Word</Application>
  <DocSecurity>0</DocSecurity>
  <Lines>196</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Radoslavova Radeva (2418897)</dc:creator>
  <cp:keywords/>
  <dc:description/>
  <cp:lastModifiedBy>Liliya Radoslavova Radeva (2418897)</cp:lastModifiedBy>
  <cp:revision>40</cp:revision>
  <dcterms:created xsi:type="dcterms:W3CDTF">2025-11-06T17:07:00Z</dcterms:created>
  <dcterms:modified xsi:type="dcterms:W3CDTF">2025-11-08T13:18:00Z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939f940f-859b-41ac-8832-3464188fef6b</vt:lpwstr>
  </property>
</Properties>
</file>