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5B84" w:rsidRPr="00CF5B84" w:rsidRDefault="00CF5B84" w:rsidP="00CF5B84">
      <w:pPr>
        <w:rPr>
          <w:u w:val="single"/>
        </w:rPr>
      </w:pPr>
      <w:r w:rsidRPr="00CF5B84">
        <w:rPr>
          <w:u w:val="single"/>
        </w:rPr>
        <w:t>Discuss the representation of disability (physical or mental) in, either Greek or Roman, literature and art.</w:t>
      </w:r>
    </w:p>
    <w:p w:rsidR="00893239" w:rsidRDefault="002946BE" w:rsidP="005B607C">
      <w:r>
        <w:t xml:space="preserve">The way in which disability is defined and responded to changes throughout time as well as place. What is considered </w:t>
      </w:r>
      <w:r w:rsidR="00042C57">
        <w:t xml:space="preserve">to be a </w:t>
      </w:r>
      <w:r>
        <w:t>disability and how the public should treat those who are disabled in modern times differs from</w:t>
      </w:r>
      <w:r w:rsidR="000D270F">
        <w:t xml:space="preserve"> that of </w:t>
      </w:r>
      <w:r w:rsidR="00E56526">
        <w:t xml:space="preserve">the views in </w:t>
      </w:r>
      <w:r w:rsidR="000D270F">
        <w:t>Ancient Greece</w:t>
      </w:r>
      <w:r>
        <w:rPr>
          <w:rStyle w:val="FootnoteReference"/>
        </w:rPr>
        <w:footnoteReference w:id="1"/>
      </w:r>
      <w:r>
        <w:t>, for instance the people of that time considered ugliness</w:t>
      </w:r>
      <w:r w:rsidR="00042C57">
        <w:rPr>
          <w:rStyle w:val="FootnoteReference"/>
        </w:rPr>
        <w:footnoteReference w:id="2"/>
      </w:r>
      <w:r>
        <w:t xml:space="preserve"> and baldness</w:t>
      </w:r>
      <w:r w:rsidR="00042C57">
        <w:rPr>
          <w:rStyle w:val="FootnoteReference"/>
        </w:rPr>
        <w:footnoteReference w:id="3"/>
      </w:r>
      <w:r>
        <w:t xml:space="preserve"> to be form of disability </w:t>
      </w:r>
      <w:r w:rsidR="00042C57">
        <w:t xml:space="preserve">but in today’s society we would not. With that in mind this paper discusses conditions that while considered a form of disability to the people of Ancient Greece, in a modern society that could be argued to not be the case. </w:t>
      </w:r>
      <w:r w:rsidR="00893239">
        <w:t xml:space="preserve">This paper will converse both mental and physical disabilities, </w:t>
      </w:r>
      <w:r w:rsidR="00C07A63">
        <w:t>how they are represented in literature</w:t>
      </w:r>
      <w:r w:rsidR="00893239">
        <w:t xml:space="preserve"> and art and how this representation differs depending on the disability.</w:t>
      </w:r>
    </w:p>
    <w:p w:rsidR="00A72188" w:rsidRDefault="00A72188" w:rsidP="005B607C">
      <w:r w:rsidRPr="00A72188">
        <w:t>Mania and melancholia</w:t>
      </w:r>
      <w:r>
        <w:t xml:space="preserve"> are two mental states described in myth that Angst and</w:t>
      </w:r>
      <w:r w:rsidRPr="00A72188">
        <w:t xml:space="preserve"> </w:t>
      </w:r>
      <w:proofErr w:type="spellStart"/>
      <w:r w:rsidRPr="00A72188">
        <w:t>Marneros</w:t>
      </w:r>
      <w:proofErr w:type="spellEnd"/>
      <w:r>
        <w:t xml:space="preserve"> argue is the beginnings of the notion of bipolar disorders and explain them to be “m</w:t>
      </w:r>
      <w:r w:rsidRPr="00A72188">
        <w:t>orbid states of depression and exaltation</w:t>
      </w:r>
      <w:r>
        <w:t>”</w:t>
      </w:r>
      <w:r>
        <w:rPr>
          <w:rStyle w:val="FootnoteReference"/>
        </w:rPr>
        <w:footnoteReference w:id="4"/>
      </w:r>
      <w:r>
        <w:t xml:space="preserve">. </w:t>
      </w:r>
      <w:r w:rsidR="009D2D94">
        <w:t>M</w:t>
      </w:r>
      <w:r w:rsidR="001C7299">
        <w:t xml:space="preserve">ania </w:t>
      </w:r>
      <w:r w:rsidR="009D2D94">
        <w:t xml:space="preserve">is described as rage in the </w:t>
      </w:r>
      <w:r w:rsidR="009D2D94" w:rsidRPr="009D2D94">
        <w:rPr>
          <w:i/>
        </w:rPr>
        <w:t>Iliad</w:t>
      </w:r>
      <w:r w:rsidR="009D2D94">
        <w:rPr>
          <w:rStyle w:val="FootnoteReference"/>
        </w:rPr>
        <w:footnoteReference w:id="5"/>
      </w:r>
      <w:r w:rsidR="00A458FC">
        <w:t xml:space="preserve"> normally in the midst of battle whereas in tragedies mania is normally used to mean madness</w:t>
      </w:r>
      <w:r w:rsidR="00A458FC">
        <w:rPr>
          <w:rStyle w:val="FootnoteReference"/>
        </w:rPr>
        <w:footnoteReference w:id="6"/>
      </w:r>
      <w:r w:rsidR="004D0024">
        <w:t xml:space="preserve"> which we see with Heracles</w:t>
      </w:r>
      <w:r w:rsidR="004D0024">
        <w:rPr>
          <w:rStyle w:val="FootnoteReference"/>
        </w:rPr>
        <w:footnoteReference w:id="7"/>
      </w:r>
      <w:r w:rsidR="005C0495">
        <w:t>. Melanch</w:t>
      </w:r>
      <w:r w:rsidR="00D6392A">
        <w:t>olia has been explained as sullen mood, anxiousness and even suicidal tendencies</w:t>
      </w:r>
      <w:r w:rsidR="00D6392A">
        <w:rPr>
          <w:rStyle w:val="FootnoteReference"/>
        </w:rPr>
        <w:footnoteReference w:id="8"/>
      </w:r>
      <w:r w:rsidR="00C44912">
        <w:t xml:space="preserve"> which is shown</w:t>
      </w:r>
      <w:r w:rsidR="00A65F7B">
        <w:rPr>
          <w:rStyle w:val="FootnoteReference"/>
        </w:rPr>
        <w:footnoteReference w:id="9"/>
      </w:r>
      <w:r w:rsidR="00C44912">
        <w:t xml:space="preserve"> with Ajax’s suicide because of his mental state</w:t>
      </w:r>
      <w:r w:rsidR="00C44912">
        <w:rPr>
          <w:rStyle w:val="FootnoteReference"/>
        </w:rPr>
        <w:footnoteReference w:id="10"/>
      </w:r>
      <w:r w:rsidR="00C44912">
        <w:t xml:space="preserve">. </w:t>
      </w:r>
      <w:proofErr w:type="spellStart"/>
      <w:r w:rsidR="00C44912">
        <w:t>B</w:t>
      </w:r>
      <w:r w:rsidR="00C44912" w:rsidRPr="00C44912">
        <w:t>ellerophon</w:t>
      </w:r>
      <w:r w:rsidR="00E827CB">
        <w:t>’s</w:t>
      </w:r>
      <w:proofErr w:type="spellEnd"/>
      <w:r w:rsidR="00E827CB">
        <w:t xml:space="preserve"> melancholia causes him to wander isolated</w:t>
      </w:r>
      <w:r w:rsidR="00E827CB">
        <w:rPr>
          <w:rStyle w:val="FootnoteReference"/>
        </w:rPr>
        <w:footnoteReference w:id="11"/>
      </w:r>
      <w:r w:rsidR="00E827CB">
        <w:t>, which Simon suggests</w:t>
      </w:r>
      <w:r w:rsidR="00801F95">
        <w:t xml:space="preserve"> implicates</w:t>
      </w:r>
      <w:r w:rsidR="00E827CB">
        <w:t xml:space="preserve"> him </w:t>
      </w:r>
      <w:r w:rsidR="00801F95">
        <w:t xml:space="preserve">as </w:t>
      </w:r>
      <w:r w:rsidR="00E827CB">
        <w:t>a mad man because those not part of a group were not considered men</w:t>
      </w:r>
      <w:r w:rsidR="00E827CB">
        <w:rPr>
          <w:rStyle w:val="FootnoteReference"/>
        </w:rPr>
        <w:footnoteReference w:id="12"/>
      </w:r>
      <w:r w:rsidR="00E827CB">
        <w:t>. If that’</w:t>
      </w:r>
      <w:r w:rsidR="00801F95">
        <w:t>s the case it could be suggested</w:t>
      </w:r>
      <w:r w:rsidR="00E827CB">
        <w:t xml:space="preserve"> all those excluded, disabled or otherwise, </w:t>
      </w:r>
      <w:r w:rsidR="00E56526">
        <w:t xml:space="preserve">were </w:t>
      </w:r>
      <w:r w:rsidR="00E827CB">
        <w:t>not considered to be part of society.</w:t>
      </w:r>
      <w:r w:rsidR="00A65F7B">
        <w:t xml:space="preserve"> </w:t>
      </w:r>
      <w:r w:rsidR="00E827CB">
        <w:t xml:space="preserve">   </w:t>
      </w:r>
    </w:p>
    <w:p w:rsidR="007153F5" w:rsidRDefault="0016114A" w:rsidP="005B607C">
      <w:r>
        <w:t>Anger and rage were considered to be a form of psychic</w:t>
      </w:r>
      <w:r w:rsidR="000C7A8D">
        <w:t xml:space="preserve"> ill health</w:t>
      </w:r>
      <w:r>
        <w:rPr>
          <w:rStyle w:val="FootnoteReference"/>
        </w:rPr>
        <w:footnoteReference w:id="13"/>
      </w:r>
      <w:r>
        <w:t xml:space="preserve">, nowadays we could take that to mean they believed it to be some sort of mental disorder </w:t>
      </w:r>
      <w:r w:rsidR="000C7A8D">
        <w:t>but the people of Ancient Greece had no notion of a mental structure</w:t>
      </w:r>
      <w:r w:rsidR="000C7A8D">
        <w:rPr>
          <w:rStyle w:val="FootnoteReference"/>
        </w:rPr>
        <w:footnoteReference w:id="14"/>
      </w:r>
      <w:r w:rsidR="007A1EC8">
        <w:t>. This form of ill health was particularly condemned with efforts made to control it</w:t>
      </w:r>
      <w:r w:rsidR="007A1EC8">
        <w:rPr>
          <w:rStyle w:val="FootnoteReference"/>
        </w:rPr>
        <w:footnoteReference w:id="15"/>
      </w:r>
      <w:r w:rsidR="00EB44AB">
        <w:t xml:space="preserve">. Homer, Harris states, is particularly critical of Achilles’ </w:t>
      </w:r>
      <w:r w:rsidR="00EB44AB" w:rsidRPr="00EB44AB">
        <w:t>irascibility</w:t>
      </w:r>
      <w:r w:rsidR="00EB44AB">
        <w:rPr>
          <w:rStyle w:val="FootnoteReference"/>
        </w:rPr>
        <w:footnoteReference w:id="16"/>
      </w:r>
      <w:r w:rsidR="00EB44AB">
        <w:t xml:space="preserve"> and in the </w:t>
      </w:r>
      <w:r w:rsidR="00EB44AB" w:rsidRPr="00EB44AB">
        <w:rPr>
          <w:i/>
        </w:rPr>
        <w:t>Iliad</w:t>
      </w:r>
      <w:r w:rsidR="00EB44AB">
        <w:rPr>
          <w:i/>
        </w:rPr>
        <w:t xml:space="preserve"> </w:t>
      </w:r>
      <w:r w:rsidR="00EB44AB">
        <w:t xml:space="preserve">even Achilles himself </w:t>
      </w:r>
      <w:r w:rsidR="005D3E25">
        <w:t>wishes anger would be banished</w:t>
      </w:r>
      <w:r w:rsidR="005D3E25">
        <w:rPr>
          <w:rStyle w:val="FootnoteReference"/>
        </w:rPr>
        <w:footnoteReference w:id="17"/>
      </w:r>
      <w:r w:rsidR="005A5848">
        <w:t>. Anger, for the Ancient Greeks</w:t>
      </w:r>
      <w:r w:rsidR="00E56526">
        <w:t xml:space="preserve"> at least</w:t>
      </w:r>
      <w:r w:rsidR="005A5848">
        <w:t>, seems to be the worst mental disturbance with consistent criticism</w:t>
      </w:r>
      <w:r w:rsidR="00210794">
        <w:t xml:space="preserve"> and the warning that with it comes doom</w:t>
      </w:r>
      <w:r w:rsidR="00210794">
        <w:rPr>
          <w:rStyle w:val="FootnoteReference"/>
        </w:rPr>
        <w:footnoteReference w:id="18"/>
      </w:r>
      <w:r w:rsidR="00210794">
        <w:t>.</w:t>
      </w:r>
      <w:r w:rsidR="005A5848">
        <w:t xml:space="preserve">  </w:t>
      </w:r>
    </w:p>
    <w:p w:rsidR="002A19E3" w:rsidRDefault="002A19E3" w:rsidP="005B607C">
      <w:r>
        <w:t>The last mental state which this paper will address is that of frenzy. Maenads were female worshippers of the god Dionysus, who among many things is the god of madness</w:t>
      </w:r>
      <w:r>
        <w:rPr>
          <w:rStyle w:val="FootnoteReference"/>
        </w:rPr>
        <w:footnoteReference w:id="19"/>
      </w:r>
      <w:r w:rsidR="00E707D8">
        <w:t xml:space="preserve">, who as part of their worship made themselves get into a frenzy. The point of the frenzy is for the god to take </w:t>
      </w:r>
      <w:r w:rsidR="00E707D8">
        <w:lastRenderedPageBreak/>
        <w:t>control over the person’s body, but as Simon explains it appears more likely that these women are making themselves</w:t>
      </w:r>
      <w:r w:rsidR="005B4349">
        <w:t xml:space="preserve"> have or are suffering from</w:t>
      </w:r>
      <w:r w:rsidR="00E707D8">
        <w:t xml:space="preserve"> </w:t>
      </w:r>
      <w:r w:rsidR="007E3B06">
        <w:t>having</w:t>
      </w:r>
      <w:r w:rsidR="00E707D8">
        <w:t xml:space="preserve"> seizures of some kind with the results being varying expanses of time with no recollection </w:t>
      </w:r>
      <w:r w:rsidR="007A4B12">
        <w:t>of how much time has passed</w:t>
      </w:r>
      <w:r w:rsidR="00E707D8">
        <w:t xml:space="preserve"> and their actions</w:t>
      </w:r>
      <w:r w:rsidR="00E707D8">
        <w:rPr>
          <w:rStyle w:val="FootnoteReference"/>
        </w:rPr>
        <w:footnoteReference w:id="20"/>
      </w:r>
      <w:r w:rsidR="00DB6EB0">
        <w:t>.</w:t>
      </w:r>
      <w:r w:rsidR="0050706B">
        <w:t xml:space="preserve"> They were represented as being mad; Agave in her frenzy rips her own son apart</w:t>
      </w:r>
      <w:r w:rsidR="0050706B">
        <w:rPr>
          <w:rStyle w:val="FootnoteReference"/>
        </w:rPr>
        <w:footnoteReference w:id="21"/>
      </w:r>
      <w:r w:rsidR="0050706B">
        <w:t>, they allegedly consumed raw flesh</w:t>
      </w:r>
      <w:r w:rsidR="0050706B">
        <w:rPr>
          <w:rStyle w:val="FootnoteReference"/>
        </w:rPr>
        <w:footnoteReference w:id="22"/>
      </w:r>
      <w:r w:rsidR="0050706B">
        <w:t xml:space="preserve"> and in</w:t>
      </w:r>
      <w:r w:rsidR="00E707D8">
        <w:t xml:space="preserve"> </w:t>
      </w:r>
      <w:r w:rsidR="0050706B">
        <w:t xml:space="preserve">art </w:t>
      </w:r>
      <w:r w:rsidR="00E56526">
        <w:t xml:space="preserve">they </w:t>
      </w:r>
      <w:r w:rsidR="0050706B">
        <w:t>are normally shown in animal skins</w:t>
      </w:r>
      <w:r w:rsidR="00AE45BB">
        <w:t xml:space="preserve"> ripping apart</w:t>
      </w:r>
      <w:r w:rsidR="0050706B">
        <w:t xml:space="preserve"> </w:t>
      </w:r>
      <w:r w:rsidR="00AE45BB">
        <w:t>an animal they’ve caught with their hair uncovered</w:t>
      </w:r>
      <w:r w:rsidR="00AE45BB">
        <w:rPr>
          <w:rStyle w:val="FootnoteReference"/>
        </w:rPr>
        <w:footnoteReference w:id="23"/>
      </w:r>
      <w:r w:rsidR="002E4E85">
        <w:t>.</w:t>
      </w:r>
    </w:p>
    <w:p w:rsidR="0087563D" w:rsidRDefault="00E56526" w:rsidP="005B607C">
      <w:r>
        <w:t>There can be said to be a lack of representation when it comes to the disabled</w:t>
      </w:r>
      <w:r w:rsidR="00C07A63">
        <w:t xml:space="preserve"> in myth and literature</w:t>
      </w:r>
      <w:r>
        <w:t>. Out of the gods only one, Hephaestus who will be discussed again later, is disabled</w:t>
      </w:r>
      <w:r>
        <w:rPr>
          <w:rStyle w:val="FootnoteReference"/>
        </w:rPr>
        <w:footnoteReference w:id="24"/>
      </w:r>
      <w:r w:rsidR="00A015F9">
        <w:t xml:space="preserve">. Even in epic depicting large scale warfare like the </w:t>
      </w:r>
      <w:r w:rsidR="00A015F9">
        <w:rPr>
          <w:i/>
        </w:rPr>
        <w:t>Iliad</w:t>
      </w:r>
      <w:r w:rsidR="00A015F9">
        <w:t xml:space="preserve">, where it would be assumed due to the conflict grave injuries would be caused creating a varied amount of disabilities nothing is mentioned. Salazar puts forward you can categorise the injuries mentioned in the </w:t>
      </w:r>
      <w:r w:rsidR="00A015F9">
        <w:rPr>
          <w:i/>
        </w:rPr>
        <w:t xml:space="preserve">Iliad </w:t>
      </w:r>
      <w:r w:rsidR="00A015F9">
        <w:t>into three groups</w:t>
      </w:r>
      <w:r w:rsidR="00A015F9">
        <w:rPr>
          <w:rStyle w:val="FootnoteReference"/>
        </w:rPr>
        <w:footnoteReference w:id="25"/>
      </w:r>
      <w:r w:rsidR="00A015F9">
        <w:t>; those that are fatal</w:t>
      </w:r>
      <w:r w:rsidR="00A015F9">
        <w:rPr>
          <w:rStyle w:val="FootnoteReference"/>
        </w:rPr>
        <w:footnoteReference w:id="26"/>
      </w:r>
      <w:r w:rsidR="00A015F9">
        <w:t>, those where the divine intervene with a cure or by not allowing the blow to strike</w:t>
      </w:r>
      <w:r w:rsidR="00A015F9">
        <w:rPr>
          <w:rStyle w:val="FootnoteReference"/>
        </w:rPr>
        <w:footnoteReference w:id="27"/>
      </w:r>
      <w:r w:rsidR="00A015F9">
        <w:t xml:space="preserve"> and those being treated</w:t>
      </w:r>
      <w:r w:rsidR="00A015F9">
        <w:rPr>
          <w:rStyle w:val="FootnoteReference"/>
        </w:rPr>
        <w:footnoteReference w:id="28"/>
      </w:r>
      <w:r w:rsidR="00A015F9">
        <w:t xml:space="preserve">. </w:t>
      </w:r>
      <w:r w:rsidR="00C41961">
        <w:t xml:space="preserve">Although Salazar </w:t>
      </w:r>
      <w:r w:rsidR="00D03823">
        <w:t>later has to correct the argument</w:t>
      </w:r>
      <w:r w:rsidR="00C41961">
        <w:t xml:space="preserve">, </w:t>
      </w:r>
      <w:r w:rsidR="00D03823">
        <w:t xml:space="preserve">as </w:t>
      </w:r>
      <w:r w:rsidR="00C41961">
        <w:t>there are mentions of people being injured for example Agamemnon</w:t>
      </w:r>
      <w:r w:rsidR="00C41961">
        <w:rPr>
          <w:rStyle w:val="FootnoteReference"/>
        </w:rPr>
        <w:footnoteReference w:id="29"/>
      </w:r>
      <w:r w:rsidR="00C41961">
        <w:t xml:space="preserve">, </w:t>
      </w:r>
      <w:r w:rsidR="00D03823">
        <w:t xml:space="preserve">to say </w:t>
      </w:r>
      <w:r w:rsidR="00C41961">
        <w:t>that all wounds either kill them straight away or are easily treatabl</w:t>
      </w:r>
      <w:r w:rsidR="00D03823">
        <w:t>e.</w:t>
      </w:r>
      <w:r w:rsidR="00C41961">
        <w:t xml:space="preserve"> </w:t>
      </w:r>
      <w:r w:rsidR="00D03823">
        <w:t>Griffin suggests that the reason there is no serious or mutilating injuries, something which would have been common in warfare, is because it detracts from Homer’s contrasting heroic life verses heroic death theme</w:t>
      </w:r>
      <w:r w:rsidR="00D03823">
        <w:rPr>
          <w:rStyle w:val="FootnoteReference"/>
        </w:rPr>
        <w:footnoteReference w:id="30"/>
      </w:r>
      <w:r w:rsidR="00D03823">
        <w:t xml:space="preserve">. </w:t>
      </w:r>
    </w:p>
    <w:p w:rsidR="00626F61" w:rsidRDefault="004162E8" w:rsidP="005B607C">
      <w:r>
        <w:t xml:space="preserve">While with a modern perspective disability and deformity is differentiated, in the ancient perspective there was not this distinction. </w:t>
      </w:r>
      <w:r w:rsidR="0022271D">
        <w:t xml:space="preserve">While the </w:t>
      </w:r>
      <w:r w:rsidR="0022271D">
        <w:rPr>
          <w:i/>
        </w:rPr>
        <w:t xml:space="preserve">Iliad </w:t>
      </w:r>
      <w:r w:rsidR="0022271D">
        <w:t>does not mention disabilities, in the way we know it in modern terms, there is a mention of deformity as Nestor</w:t>
      </w:r>
      <w:r w:rsidR="00A001FF">
        <w:t xml:space="preserve"> appears to be talking</w:t>
      </w:r>
      <w:r w:rsidR="0022271D">
        <w:t xml:space="preserve"> about </w:t>
      </w:r>
      <w:r w:rsidR="0022271D" w:rsidRPr="0022271D">
        <w:t>conjoined twins</w:t>
      </w:r>
      <w:r w:rsidR="0022271D">
        <w:rPr>
          <w:rStyle w:val="FootnoteReference"/>
        </w:rPr>
        <w:footnoteReference w:id="31"/>
      </w:r>
      <w:r w:rsidR="00A001FF">
        <w:t>. Garland has evidence for this statement</w:t>
      </w:r>
      <w:r w:rsidR="00A001FF">
        <w:rPr>
          <w:rStyle w:val="FootnoteReference"/>
        </w:rPr>
        <w:footnoteReference w:id="32"/>
      </w:r>
      <w:r w:rsidR="00A001FF">
        <w:t xml:space="preserve"> as in art the Moliones are depicted to look like they share one body</w:t>
      </w:r>
      <w:r w:rsidR="00A001FF">
        <w:rPr>
          <w:rStyle w:val="FootnoteReference"/>
        </w:rPr>
        <w:footnoteReference w:id="33"/>
      </w:r>
      <w:r w:rsidR="00A9321B">
        <w:t>.</w:t>
      </w:r>
      <w:r w:rsidR="00B76FE9">
        <w:t xml:space="preserve"> There are differing representations of deformities however. The word which is used for describing malformations is also used in literature for describing monsters, this word being ‘</w:t>
      </w:r>
      <w:proofErr w:type="spellStart"/>
      <w:r w:rsidR="00B76FE9">
        <w:t>teras</w:t>
      </w:r>
      <w:proofErr w:type="spellEnd"/>
      <w:r w:rsidR="00B76FE9">
        <w:t>’</w:t>
      </w:r>
      <w:r w:rsidR="00B76FE9">
        <w:rPr>
          <w:rStyle w:val="FootnoteReference"/>
        </w:rPr>
        <w:footnoteReference w:id="34"/>
      </w:r>
      <w:r w:rsidR="00B76FE9">
        <w:t>.</w:t>
      </w:r>
      <w:r w:rsidR="001C6A06">
        <w:t xml:space="preserve"> </w:t>
      </w:r>
      <w:r w:rsidR="001132EF">
        <w:t>But other deformities, such as intersex, were considered a part of nature if not still unusual</w:t>
      </w:r>
      <w:r w:rsidR="001132EF">
        <w:rPr>
          <w:rStyle w:val="FootnoteReference"/>
        </w:rPr>
        <w:footnoteReference w:id="35"/>
      </w:r>
      <w:r w:rsidR="001132EF">
        <w:t xml:space="preserve">. </w:t>
      </w:r>
      <w:r w:rsidR="003B1B80">
        <w:t xml:space="preserve">Intersex is probably considered this way though because of the deity and cult of Hermaphroditus who became intersex by becoming joined with </w:t>
      </w:r>
      <w:proofErr w:type="spellStart"/>
      <w:r w:rsidR="003B1B80">
        <w:t>Salmacis</w:t>
      </w:r>
      <w:proofErr w:type="spellEnd"/>
      <w:r w:rsidR="003B1B80">
        <w:rPr>
          <w:rStyle w:val="FootnoteReference"/>
        </w:rPr>
        <w:footnoteReference w:id="36"/>
      </w:r>
      <w:r w:rsidR="00333548">
        <w:t xml:space="preserve">, later in Ancient Rome where this cult was not prevalent intersex is not regarded as favourably </w:t>
      </w:r>
      <w:r w:rsidR="001E1DE4">
        <w:t xml:space="preserve">and Roman </w:t>
      </w:r>
      <w:r w:rsidR="00B865B4">
        <w:t>officials</w:t>
      </w:r>
      <w:r w:rsidR="001E1DE4">
        <w:t xml:space="preserve"> ritually killed those who were intersex</w:t>
      </w:r>
      <w:r w:rsidR="00333548">
        <w:rPr>
          <w:rStyle w:val="FootnoteReference"/>
        </w:rPr>
        <w:footnoteReference w:id="37"/>
      </w:r>
      <w:r w:rsidR="001E1DE4">
        <w:t>.</w:t>
      </w:r>
      <w:r w:rsidR="00333548">
        <w:t xml:space="preserve"> </w:t>
      </w:r>
    </w:p>
    <w:p w:rsidR="00647EBB" w:rsidRDefault="004E07B1" w:rsidP="005B607C">
      <w:r>
        <w:t xml:space="preserve">Disabilities seem to have a precedent for being represented as a punishment of some sort. Hesiod states that children will be born resembling their parents, taking to mean not disabled or deformed, </w:t>
      </w:r>
      <w:r>
        <w:lastRenderedPageBreak/>
        <w:t>if the parents themselves are righteous</w:t>
      </w:r>
      <w:r>
        <w:rPr>
          <w:rStyle w:val="FootnoteReference"/>
        </w:rPr>
        <w:footnoteReference w:id="38"/>
      </w:r>
      <w:r>
        <w:t>. From this there is a pattern of children being born with or obtaining some kind of disability or deformity because of the parents’ or just one parent’s misdeeds.</w:t>
      </w:r>
      <w:r w:rsidR="007B38C7">
        <w:t xml:space="preserve"> Hephaestus is born disabled because his mother, Hera, defied nature and had a child without male involvement</w:t>
      </w:r>
      <w:r w:rsidR="007B38C7">
        <w:rPr>
          <w:rStyle w:val="FootnoteReference"/>
        </w:rPr>
        <w:footnoteReference w:id="39"/>
      </w:r>
      <w:r w:rsidR="009A7CD6">
        <w:t>.</w:t>
      </w:r>
      <w:r w:rsidR="00F83560">
        <w:t xml:space="preserve"> </w:t>
      </w:r>
      <w:r w:rsidR="00F83560" w:rsidRPr="00F83560">
        <w:t>Pasiphae</w:t>
      </w:r>
      <w:r w:rsidR="00F83560">
        <w:t xml:space="preserve"> after having unnatural lust for a bull gives birth to the Minotaur, the child is born deformed with the body of a human and the face of a bull</w:t>
      </w:r>
      <w:r w:rsidR="00F83560">
        <w:rPr>
          <w:rStyle w:val="FootnoteReference"/>
        </w:rPr>
        <w:footnoteReference w:id="40"/>
      </w:r>
      <w:r w:rsidR="00F83560">
        <w:t xml:space="preserve"> and then grows up to be seen as monstrous and killed by </w:t>
      </w:r>
      <w:r w:rsidR="00F83560" w:rsidRPr="00F83560">
        <w:t>Theseus</w:t>
      </w:r>
      <w:r w:rsidR="00F83560">
        <w:rPr>
          <w:rStyle w:val="FootnoteReference"/>
        </w:rPr>
        <w:footnoteReference w:id="41"/>
      </w:r>
      <w:r w:rsidR="00BD437B">
        <w:t>.</w:t>
      </w:r>
      <w:r w:rsidR="000A0AB2">
        <w:t xml:space="preserve"> </w:t>
      </w:r>
    </w:p>
    <w:p w:rsidR="00B865B4" w:rsidRDefault="000A0AB2" w:rsidP="005B607C">
      <w:r>
        <w:t xml:space="preserve">In terms of obtaining disability, </w:t>
      </w:r>
      <w:r w:rsidR="00A57579">
        <w:t>Oedipus’ father, Laius, fastens his son’s ankles together making him disabled</w:t>
      </w:r>
      <w:r w:rsidR="00A57579">
        <w:rPr>
          <w:rStyle w:val="FootnoteReference"/>
        </w:rPr>
        <w:footnoteReference w:id="42"/>
      </w:r>
      <w:r w:rsidR="00A57579">
        <w:t>. It could be argued that this punishme</w:t>
      </w:r>
      <w:r w:rsidR="006C13AF">
        <w:t>nt is given to Oedipus because</w:t>
      </w:r>
      <w:r w:rsidR="00A57579">
        <w:t xml:space="preserve"> Laius was told of a prophecy and warned he should not</w:t>
      </w:r>
      <w:r w:rsidR="004F1A63">
        <w:t xml:space="preserve"> have a child because he</w:t>
      </w:r>
      <w:r w:rsidR="00A57579">
        <w:t xml:space="preserve"> would end up</w:t>
      </w:r>
      <w:r w:rsidR="004F1A63">
        <w:t xml:space="preserve"> being murdered by that child</w:t>
      </w:r>
      <w:r w:rsidR="00A57579">
        <w:rPr>
          <w:rStyle w:val="FootnoteReference"/>
        </w:rPr>
        <w:footnoteReference w:id="43"/>
      </w:r>
      <w:r w:rsidR="00A57579">
        <w:t xml:space="preserve">, by disobeying the prophecy </w:t>
      </w:r>
      <w:r w:rsidR="004F1A63">
        <w:t xml:space="preserve">and having a son Oedipus </w:t>
      </w:r>
      <w:r w:rsidR="00A57579">
        <w:t>must now seemingly be punished with disability which Sophocles makes his father inflict onto him</w:t>
      </w:r>
      <w:r w:rsidR="00A57579">
        <w:rPr>
          <w:rStyle w:val="FootnoteReference"/>
        </w:rPr>
        <w:footnoteReference w:id="44"/>
      </w:r>
      <w:r w:rsidR="00A57579">
        <w:t xml:space="preserve">.  </w:t>
      </w:r>
      <w:r w:rsidR="00647EBB">
        <w:t>Or it could be seen as Oedipus being punished for actions he will perform in the future</w:t>
      </w:r>
      <w:r w:rsidR="006C13AF">
        <w:t>, like killing his father</w:t>
      </w:r>
      <w:r w:rsidR="00647EBB">
        <w:t xml:space="preserve">. Also in other versions of the myth </w:t>
      </w:r>
      <w:r w:rsidR="00647EBB">
        <w:t>Hephaestus</w:t>
      </w:r>
      <w:r w:rsidR="00647EBB">
        <w:t xml:space="preserve"> is not born disabled but becomes so, having his legs broken as a result of being thrown off Mount Olympus by Zeus, as punishment for endangering Hera</w:t>
      </w:r>
      <w:r w:rsidR="00647EBB">
        <w:rPr>
          <w:rStyle w:val="FootnoteReference"/>
        </w:rPr>
        <w:footnoteReference w:id="45"/>
      </w:r>
      <w:r w:rsidR="00647EBB">
        <w:t xml:space="preserve">. </w:t>
      </w:r>
      <w:proofErr w:type="spellStart"/>
      <w:r w:rsidR="000C6916">
        <w:t>Thamyris</w:t>
      </w:r>
      <w:proofErr w:type="spellEnd"/>
      <w:r w:rsidR="000C6916">
        <w:t xml:space="preserve"> likewise is punished later in life becoming paralysed and unable to sing because he insulted the Muses</w:t>
      </w:r>
      <w:r w:rsidR="000C6916">
        <w:rPr>
          <w:rStyle w:val="FootnoteReference"/>
        </w:rPr>
        <w:footnoteReference w:id="46"/>
      </w:r>
      <w:r w:rsidR="000C6916">
        <w:t xml:space="preserve">. </w:t>
      </w:r>
      <w:r w:rsidR="00647EBB">
        <w:t xml:space="preserve">Therefore disability is </w:t>
      </w:r>
      <w:r w:rsidR="007E3B06">
        <w:t xml:space="preserve">likewise </w:t>
      </w:r>
      <w:r w:rsidR="00647EBB">
        <w:t xml:space="preserve">represented as being obtained as a punishment for your own misdeeds, not just that of the parents.  </w:t>
      </w:r>
    </w:p>
    <w:p w:rsidR="00B6625B" w:rsidRDefault="009B5831" w:rsidP="005B607C">
      <w:r>
        <w:t>There seems to be a notion that those who have disabilities are therefore compensated with some talent</w:t>
      </w:r>
      <w:r>
        <w:rPr>
          <w:rStyle w:val="FootnoteReference"/>
        </w:rPr>
        <w:footnoteReference w:id="47"/>
      </w:r>
      <w:r>
        <w:t>. He</w:t>
      </w:r>
      <w:r>
        <w:t>phaestus</w:t>
      </w:r>
      <w:r>
        <w:t xml:space="preserve"> is compensated with his skills in metal work and craft</w:t>
      </w:r>
      <w:r>
        <w:rPr>
          <w:rStyle w:val="FootnoteReference"/>
        </w:rPr>
        <w:footnoteReference w:id="48"/>
      </w:r>
      <w:r>
        <w:t>, Oedipus is able to work out the Sphinx’s riddle and become king</w:t>
      </w:r>
      <w:r>
        <w:rPr>
          <w:rStyle w:val="FootnoteReference"/>
        </w:rPr>
        <w:footnoteReference w:id="49"/>
      </w:r>
      <w:r>
        <w:t xml:space="preserve"> and there is a tradition of poets and bards being blind</w:t>
      </w:r>
      <w:r>
        <w:rPr>
          <w:rStyle w:val="FootnoteReference"/>
        </w:rPr>
        <w:footnoteReference w:id="50"/>
      </w:r>
      <w:r>
        <w:t>, the same goes for prophets too</w:t>
      </w:r>
      <w:r>
        <w:rPr>
          <w:rStyle w:val="FootnoteReference"/>
        </w:rPr>
        <w:footnoteReference w:id="51"/>
      </w:r>
      <w:r>
        <w:t xml:space="preserve">. </w:t>
      </w:r>
      <w:r w:rsidR="00A8169B">
        <w:t>This can create stereotypes, for example those with dwarfism became known to be playful</w:t>
      </w:r>
      <w:r w:rsidR="00A8169B">
        <w:rPr>
          <w:rStyle w:val="FootnoteReference"/>
        </w:rPr>
        <w:footnoteReference w:id="52"/>
      </w:r>
      <w:r w:rsidR="00A8169B">
        <w:t xml:space="preserve"> and so they are mainly depicted dancing or in a way to humour them</w:t>
      </w:r>
      <w:r w:rsidR="00A8169B">
        <w:rPr>
          <w:rStyle w:val="FootnoteReference"/>
        </w:rPr>
        <w:footnoteReference w:id="53"/>
      </w:r>
      <w:r w:rsidR="00A8169B">
        <w:t xml:space="preserve">.  </w:t>
      </w:r>
    </w:p>
    <w:p w:rsidR="007E3B06" w:rsidRDefault="007E3B06" w:rsidP="005B607C">
      <w:r>
        <w:t>To conclude, the representation of disabilities, both mental and psychical, varies on what condition is being portrayed and sometimes they are completely ignored. Also in literature disabilities or the reaction to them are exaggerated depending</w:t>
      </w:r>
      <w:r w:rsidR="00100191">
        <w:t xml:space="preserve"> on the genre, tragedy compared to epic is more hyperbolic when it comes to the character’s mental state</w:t>
      </w:r>
      <w:r w:rsidR="00100191">
        <w:rPr>
          <w:rStyle w:val="FootnoteReference"/>
        </w:rPr>
        <w:footnoteReference w:id="54"/>
      </w:r>
      <w:r w:rsidR="00100191">
        <w:t>.</w:t>
      </w:r>
      <w:r w:rsidR="00EE05A0">
        <w:t xml:space="preserve"> Where there is examples of the disability or deformity in the gods that condition can be better received more fairly, but the language</w:t>
      </w:r>
      <w:r w:rsidR="009B5831">
        <w:t xml:space="preserve"> and stereotypes</w:t>
      </w:r>
      <w:r w:rsidR="00EE05A0">
        <w:t xml:space="preserve"> used to describe them is still not what we would consider favourable as a modern </w:t>
      </w:r>
      <w:r w:rsidR="00EE05A0">
        <w:lastRenderedPageBreak/>
        <w:t>audience however it is uncertain how those with disabilities in Ancient Gree</w:t>
      </w:r>
      <w:r w:rsidR="00875E94">
        <w:t>ce would have responded to both the language and the reputation given to them</w:t>
      </w:r>
      <w:r w:rsidR="00EE05A0">
        <w:t xml:space="preserve">. </w:t>
      </w:r>
    </w:p>
    <w:p w:rsidR="00244804" w:rsidRDefault="00244804" w:rsidP="00647EBB"/>
    <w:p w:rsidR="00D65251" w:rsidRDefault="00244804" w:rsidP="00647EBB">
      <w:r>
        <w:br w:type="page"/>
      </w:r>
      <w:r w:rsidRPr="00780F8C">
        <w:rPr>
          <w:u w:val="single"/>
        </w:rPr>
        <w:lastRenderedPageBreak/>
        <w:t>Bibliography:-</w:t>
      </w:r>
      <w:r>
        <w:br/>
      </w:r>
      <w:r w:rsidR="00780F8C">
        <w:rPr>
          <w:u w:val="single"/>
        </w:rPr>
        <w:t>Primary Sources-</w:t>
      </w:r>
      <w:r w:rsidR="00780F8C">
        <w:rPr>
          <w:u w:val="single"/>
        </w:rPr>
        <w:br/>
      </w:r>
      <w:r w:rsidR="00780F8C">
        <w:t xml:space="preserve">Apollodorus, </w:t>
      </w:r>
      <w:proofErr w:type="gramStart"/>
      <w:r w:rsidR="00780F8C">
        <w:rPr>
          <w:i/>
        </w:rPr>
        <w:t>The</w:t>
      </w:r>
      <w:proofErr w:type="gramEnd"/>
      <w:r w:rsidR="00780F8C">
        <w:rPr>
          <w:i/>
        </w:rPr>
        <w:t xml:space="preserve"> Library of Greek Mythology. </w:t>
      </w:r>
      <w:r w:rsidR="00780F8C">
        <w:t>Robin Hard (</w:t>
      </w:r>
      <w:proofErr w:type="gramStart"/>
      <w:r w:rsidR="00780F8C">
        <w:t>trans</w:t>
      </w:r>
      <w:proofErr w:type="gramEnd"/>
      <w:r w:rsidR="00780F8C">
        <w:t xml:space="preserve">.). 1997. Oxford: Oxford University </w:t>
      </w:r>
      <w:r w:rsidR="00780F8C">
        <w:t>Press</w:t>
      </w:r>
      <w:r w:rsidR="00780F8C">
        <w:rPr>
          <w:i/>
        </w:rPr>
        <w:t xml:space="preserve"> </w:t>
      </w:r>
      <w:r w:rsidR="00780F8C">
        <w:br/>
        <w:t>Euripides,</w:t>
      </w:r>
      <w:r w:rsidR="00780F8C" w:rsidRPr="008526C3">
        <w:rPr>
          <w:i/>
        </w:rPr>
        <w:t xml:space="preserve"> Bacchae</w:t>
      </w:r>
      <w:r w:rsidR="00780F8C">
        <w:t xml:space="preserve">. </w:t>
      </w:r>
      <w:r w:rsidR="00780F8C" w:rsidRPr="008526C3">
        <w:t>David Kovacs</w:t>
      </w:r>
      <w:r w:rsidR="00780F8C">
        <w:t xml:space="preserve"> (</w:t>
      </w:r>
      <w:proofErr w:type="gramStart"/>
      <w:r w:rsidR="00780F8C">
        <w:t>trans</w:t>
      </w:r>
      <w:proofErr w:type="gramEnd"/>
      <w:r w:rsidR="00780F8C">
        <w:t>.). 2003. Loeb</w:t>
      </w:r>
      <w:r w:rsidR="00780F8C">
        <w:br/>
        <w:t xml:space="preserve">Euripides, </w:t>
      </w:r>
      <w:r w:rsidR="00780F8C" w:rsidRPr="00410BE0">
        <w:rPr>
          <w:i/>
        </w:rPr>
        <w:t>Medea and Other Plays</w:t>
      </w:r>
      <w:r w:rsidR="00780F8C">
        <w:t xml:space="preserve">. Philip </w:t>
      </w:r>
      <w:proofErr w:type="spellStart"/>
      <w:r w:rsidR="00780F8C">
        <w:t>Vellacott</w:t>
      </w:r>
      <w:proofErr w:type="spellEnd"/>
      <w:r w:rsidR="00780F8C">
        <w:t xml:space="preserve"> (</w:t>
      </w:r>
      <w:proofErr w:type="gramStart"/>
      <w:r w:rsidR="00780F8C">
        <w:t>trans</w:t>
      </w:r>
      <w:proofErr w:type="gramEnd"/>
      <w:r w:rsidR="00780F8C">
        <w:t>.). 1963. London: Penguin</w:t>
      </w:r>
      <w:r w:rsidR="00780F8C">
        <w:rPr>
          <w:u w:val="single"/>
        </w:rPr>
        <w:br/>
      </w:r>
      <w:r w:rsidR="00780F8C" w:rsidRPr="007B3025">
        <w:t xml:space="preserve">Hesiod, </w:t>
      </w:r>
      <w:r w:rsidR="00780F8C" w:rsidRPr="007B3025">
        <w:rPr>
          <w:i/>
        </w:rPr>
        <w:t xml:space="preserve">Theogony. Works and Days. </w:t>
      </w:r>
      <w:proofErr w:type="spellStart"/>
      <w:r w:rsidR="00780F8C" w:rsidRPr="007B3025">
        <w:rPr>
          <w:i/>
        </w:rPr>
        <w:t>Testimonia</w:t>
      </w:r>
      <w:proofErr w:type="spellEnd"/>
      <w:r w:rsidR="00780F8C" w:rsidRPr="007B3025">
        <w:rPr>
          <w:i/>
        </w:rPr>
        <w:t>.</w:t>
      </w:r>
      <w:r w:rsidR="00780F8C" w:rsidRPr="007B3025">
        <w:t xml:space="preserve"> Glenn W. Most (</w:t>
      </w:r>
      <w:proofErr w:type="gramStart"/>
      <w:r w:rsidR="00780F8C" w:rsidRPr="007B3025">
        <w:t>trans</w:t>
      </w:r>
      <w:proofErr w:type="gramEnd"/>
      <w:r w:rsidR="00780F8C" w:rsidRPr="007B3025">
        <w:t>.). 2007. Loeb</w:t>
      </w:r>
      <w:r w:rsidR="00780F8C">
        <w:br/>
      </w:r>
      <w:r w:rsidR="00780F8C" w:rsidRPr="001C7184">
        <w:t xml:space="preserve">Homer, </w:t>
      </w:r>
      <w:proofErr w:type="gramStart"/>
      <w:r w:rsidR="00780F8C" w:rsidRPr="001C7184">
        <w:rPr>
          <w:i/>
        </w:rPr>
        <w:t>The</w:t>
      </w:r>
      <w:proofErr w:type="gramEnd"/>
      <w:r w:rsidR="00780F8C" w:rsidRPr="001C7184">
        <w:rPr>
          <w:i/>
        </w:rPr>
        <w:t xml:space="preserve"> Iliad. </w:t>
      </w:r>
      <w:r w:rsidR="00780F8C" w:rsidRPr="001C7184">
        <w:t xml:space="preserve">E. V. </w:t>
      </w:r>
      <w:proofErr w:type="spellStart"/>
      <w:r w:rsidR="00780F8C" w:rsidRPr="001C7184">
        <w:t>Rieu</w:t>
      </w:r>
      <w:proofErr w:type="spellEnd"/>
      <w:r w:rsidR="00780F8C" w:rsidRPr="001C7184">
        <w:t xml:space="preserve"> (</w:t>
      </w:r>
      <w:proofErr w:type="gramStart"/>
      <w:r w:rsidR="00780F8C" w:rsidRPr="001C7184">
        <w:t>trans</w:t>
      </w:r>
      <w:proofErr w:type="gramEnd"/>
      <w:r w:rsidR="00780F8C" w:rsidRPr="001C7184">
        <w:t>.). 2003. London: Penguin</w:t>
      </w:r>
      <w:r w:rsidR="00780F8C">
        <w:br/>
      </w:r>
      <w:r w:rsidR="00780F8C" w:rsidRPr="001C7184">
        <w:t xml:space="preserve">Homer, </w:t>
      </w:r>
      <w:proofErr w:type="gramStart"/>
      <w:r w:rsidR="00780F8C">
        <w:rPr>
          <w:i/>
        </w:rPr>
        <w:t>The</w:t>
      </w:r>
      <w:proofErr w:type="gramEnd"/>
      <w:r w:rsidR="00780F8C">
        <w:rPr>
          <w:i/>
        </w:rPr>
        <w:t xml:space="preserve"> Odyssey</w:t>
      </w:r>
      <w:r w:rsidR="00780F8C" w:rsidRPr="001C7184">
        <w:rPr>
          <w:i/>
        </w:rPr>
        <w:t xml:space="preserve">. </w:t>
      </w:r>
      <w:r w:rsidR="00780F8C" w:rsidRPr="001C7184">
        <w:t xml:space="preserve">E. V. </w:t>
      </w:r>
      <w:proofErr w:type="spellStart"/>
      <w:r w:rsidR="00780F8C" w:rsidRPr="001C7184">
        <w:t>Rieu</w:t>
      </w:r>
      <w:proofErr w:type="spellEnd"/>
      <w:r w:rsidR="00780F8C" w:rsidRPr="001C7184">
        <w:t xml:space="preserve"> (</w:t>
      </w:r>
      <w:proofErr w:type="gramStart"/>
      <w:r w:rsidR="00780F8C" w:rsidRPr="001C7184">
        <w:t>trans</w:t>
      </w:r>
      <w:proofErr w:type="gramEnd"/>
      <w:r w:rsidR="00780F8C" w:rsidRPr="001C7184">
        <w:t>.). 2003. London: Penguin</w:t>
      </w:r>
      <w:r w:rsidR="00780F8C">
        <w:br/>
        <w:t xml:space="preserve">Ovid, </w:t>
      </w:r>
      <w:r w:rsidR="00780F8C" w:rsidRPr="00410BE0">
        <w:rPr>
          <w:i/>
        </w:rPr>
        <w:t>Metamorphoses</w:t>
      </w:r>
      <w:r w:rsidR="00780F8C">
        <w:t>. David Raeburn (</w:t>
      </w:r>
      <w:proofErr w:type="gramStart"/>
      <w:r w:rsidR="00780F8C">
        <w:t>trans</w:t>
      </w:r>
      <w:proofErr w:type="gramEnd"/>
      <w:r w:rsidR="00780F8C">
        <w:t>.). 2004. London: Penguin</w:t>
      </w:r>
      <w:r w:rsidR="00780F8C">
        <w:br/>
        <w:t xml:space="preserve">Sophocles, </w:t>
      </w:r>
      <w:proofErr w:type="gramStart"/>
      <w:r w:rsidR="00780F8C">
        <w:rPr>
          <w:i/>
        </w:rPr>
        <w:t>The</w:t>
      </w:r>
      <w:proofErr w:type="gramEnd"/>
      <w:r w:rsidR="00780F8C">
        <w:rPr>
          <w:i/>
        </w:rPr>
        <w:t xml:space="preserve"> Three Theban Plays</w:t>
      </w:r>
      <w:r w:rsidR="00780F8C">
        <w:t xml:space="preserve">. Robert </w:t>
      </w:r>
      <w:proofErr w:type="spellStart"/>
      <w:r w:rsidR="00780F8C">
        <w:t>Fagles</w:t>
      </w:r>
      <w:proofErr w:type="spellEnd"/>
      <w:r w:rsidR="00780F8C">
        <w:t xml:space="preserve"> (</w:t>
      </w:r>
      <w:proofErr w:type="gramStart"/>
      <w:r w:rsidR="00780F8C">
        <w:t>trans</w:t>
      </w:r>
      <w:proofErr w:type="gramEnd"/>
      <w:r w:rsidR="00780F8C">
        <w:t>.).</w:t>
      </w:r>
      <w:r w:rsidR="00780F8C">
        <w:t xml:space="preserve"> 1982. </w:t>
      </w:r>
      <w:r w:rsidR="00780F8C">
        <w:t>London: Penguin</w:t>
      </w:r>
    </w:p>
    <w:p w:rsidR="00780F8C" w:rsidRPr="00780F8C" w:rsidRDefault="00780F8C" w:rsidP="00780F8C">
      <w:r w:rsidRPr="00780F8C">
        <w:rPr>
          <w:u w:val="single"/>
        </w:rPr>
        <w:t>Modern Sources-</w:t>
      </w:r>
      <w:r w:rsidRPr="00780F8C">
        <w:br/>
        <w:t xml:space="preserve">Angst, J and </w:t>
      </w:r>
      <w:proofErr w:type="spellStart"/>
      <w:r w:rsidRPr="00780F8C">
        <w:t>Marneros</w:t>
      </w:r>
      <w:proofErr w:type="spellEnd"/>
      <w:r w:rsidRPr="00780F8C">
        <w:t xml:space="preserve">, A. 2001, 'Bipolarity in Ancient and Modern Times: Conception, Birth and Rebirth’, </w:t>
      </w:r>
      <w:r w:rsidRPr="00780F8C">
        <w:rPr>
          <w:i/>
        </w:rPr>
        <w:t>Journal of Affective Disorders,</w:t>
      </w:r>
      <w:r w:rsidRPr="00780F8C">
        <w:t xml:space="preserve"> 67, 1-3, December, 3-19.</w:t>
      </w:r>
      <w:r w:rsidRPr="00780F8C">
        <w:br/>
        <w:t xml:space="preserve">Day, M. 2007. </w:t>
      </w:r>
      <w:r w:rsidRPr="00780F8C">
        <w:rPr>
          <w:i/>
        </w:rPr>
        <w:t xml:space="preserve">100 Characters </w:t>
      </w:r>
      <w:proofErr w:type="gramStart"/>
      <w:r w:rsidRPr="00780F8C">
        <w:rPr>
          <w:i/>
        </w:rPr>
        <w:t>From</w:t>
      </w:r>
      <w:proofErr w:type="gramEnd"/>
      <w:r w:rsidRPr="00780F8C">
        <w:rPr>
          <w:i/>
        </w:rPr>
        <w:t xml:space="preserve"> Classical Mythology</w:t>
      </w:r>
      <w:r w:rsidRPr="00780F8C">
        <w:t>. New York: Barron’s</w:t>
      </w:r>
      <w:r w:rsidRPr="00780F8C">
        <w:br/>
        <w:t>Garland, R. 1995, </w:t>
      </w:r>
      <w:proofErr w:type="gramStart"/>
      <w:r w:rsidRPr="00780F8C">
        <w:rPr>
          <w:i/>
        </w:rPr>
        <w:t>The</w:t>
      </w:r>
      <w:proofErr w:type="gramEnd"/>
      <w:r w:rsidRPr="00780F8C">
        <w:rPr>
          <w:i/>
        </w:rPr>
        <w:t xml:space="preserve"> Eye of the Beholder: Deformity and Disability in the Graeco-Roman World, </w:t>
      </w:r>
      <w:r w:rsidRPr="00780F8C">
        <w:t>New York: Cornell University Press</w:t>
      </w:r>
      <w:r w:rsidRPr="00780F8C">
        <w:br/>
        <w:t xml:space="preserve">Harris, W. V. 2001, </w:t>
      </w:r>
      <w:r w:rsidRPr="00780F8C">
        <w:rPr>
          <w:i/>
        </w:rPr>
        <w:t>Restraining Rage,</w:t>
      </w:r>
      <w:r w:rsidRPr="00780F8C">
        <w:t xml:space="preserve"> London: Harvard University Press</w:t>
      </w:r>
      <w:r w:rsidRPr="00780F8C">
        <w:br/>
      </w:r>
      <w:proofErr w:type="spellStart"/>
      <w:r w:rsidRPr="00780F8C">
        <w:t>Lenenardon</w:t>
      </w:r>
      <w:proofErr w:type="spellEnd"/>
      <w:r w:rsidRPr="00780F8C">
        <w:t xml:space="preserve">, R.J., </w:t>
      </w:r>
      <w:proofErr w:type="spellStart"/>
      <w:r w:rsidRPr="00780F8C">
        <w:t>Morford</w:t>
      </w:r>
      <w:proofErr w:type="spellEnd"/>
      <w:r w:rsidRPr="00780F8C">
        <w:t xml:space="preserve">, M.P.O. and Sham, M. 2015. </w:t>
      </w:r>
      <w:r w:rsidRPr="00780F8C">
        <w:rPr>
          <w:i/>
        </w:rPr>
        <w:t>Classical Mythology,</w:t>
      </w:r>
      <w:r w:rsidRPr="00780F8C">
        <w:t xml:space="preserve"> Oxford: Oxford University Press</w:t>
      </w:r>
      <w:r w:rsidRPr="00780F8C">
        <w:br/>
        <w:t xml:space="preserve">Salazar, C. F. 2000, </w:t>
      </w:r>
      <w:proofErr w:type="gramStart"/>
      <w:r w:rsidRPr="00780F8C">
        <w:rPr>
          <w:i/>
        </w:rPr>
        <w:t>The</w:t>
      </w:r>
      <w:proofErr w:type="gramEnd"/>
      <w:r w:rsidRPr="00780F8C">
        <w:rPr>
          <w:i/>
        </w:rPr>
        <w:t xml:space="preserve"> Treatment of War Wounds in Graeco-Roman Antiquity</w:t>
      </w:r>
      <w:r w:rsidRPr="00780F8C">
        <w:t>, Leiden: Brill</w:t>
      </w:r>
      <w:r w:rsidRPr="00780F8C">
        <w:br/>
        <w:t xml:space="preserve">Simon, B. 1978, </w:t>
      </w:r>
      <w:r w:rsidRPr="00780F8C">
        <w:rPr>
          <w:i/>
        </w:rPr>
        <w:t>Mind and Madness in Ancient Greece</w:t>
      </w:r>
      <w:r w:rsidRPr="00780F8C">
        <w:t>, London: Cornell University Press</w:t>
      </w:r>
    </w:p>
    <w:p w:rsidR="00780F8C" w:rsidRPr="00C3761A" w:rsidRDefault="00C3761A" w:rsidP="00647EBB">
      <w:pPr>
        <w:rPr>
          <w:u w:val="single"/>
        </w:rPr>
      </w:pPr>
      <w:r w:rsidRPr="00C3761A">
        <w:rPr>
          <w:u w:val="single"/>
        </w:rPr>
        <w:t>Images:-</w:t>
      </w:r>
      <w:r>
        <w:rPr>
          <w:u w:val="single"/>
        </w:rPr>
        <w:br/>
      </w:r>
      <w:r w:rsidRPr="00C3761A">
        <w:t xml:space="preserve">Figure 1: Attic Black Figure amphora, </w:t>
      </w:r>
      <w:proofErr w:type="spellStart"/>
      <w:r w:rsidRPr="00C3761A">
        <w:t>Exekias</w:t>
      </w:r>
      <w:proofErr w:type="spellEnd"/>
      <w:r w:rsidRPr="00C3761A">
        <w:t>, 6</w:t>
      </w:r>
      <w:r w:rsidRPr="00C3761A">
        <w:rPr>
          <w:vertAlign w:val="superscript"/>
        </w:rPr>
        <w:t>th</w:t>
      </w:r>
      <w:r w:rsidRPr="00C3761A">
        <w:t xml:space="preserve"> Century B.C. beazley.ox.ac.uk (Accessed: 24/11/2017)</w:t>
      </w:r>
    </w:p>
    <w:p w:rsidR="00780F8C" w:rsidRDefault="00C3761A" w:rsidP="00647EBB">
      <w:r>
        <w:rPr>
          <w:rFonts w:ascii="Verdana" w:hAnsi="Verdana"/>
          <w:noProof/>
          <w:color w:val="3333CC"/>
          <w:lang w:eastAsia="en-GB"/>
        </w:rPr>
        <w:drawing>
          <wp:inline distT="0" distB="0" distL="0" distR="0" wp14:anchorId="5F16BA0B" wp14:editId="05EC2BB0">
            <wp:extent cx="2266950" cy="3381214"/>
            <wp:effectExtent l="0" t="0" r="0" b="0"/>
            <wp:docPr id="2" name="Picture 2" descr="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9662" cy="3385259"/>
                    </a:xfrm>
                    <a:prstGeom prst="rect">
                      <a:avLst/>
                    </a:prstGeom>
                    <a:noFill/>
                    <a:ln>
                      <a:noFill/>
                    </a:ln>
                  </pic:spPr>
                </pic:pic>
              </a:graphicData>
            </a:graphic>
          </wp:inline>
        </w:drawing>
      </w:r>
    </w:p>
    <w:p w:rsidR="00C3761A" w:rsidRDefault="00C3761A" w:rsidP="00647EBB"/>
    <w:p w:rsidR="00C3761A" w:rsidRDefault="00C3761A" w:rsidP="00647EBB"/>
    <w:p w:rsidR="00C3761A" w:rsidRPr="00C3761A" w:rsidRDefault="00C3761A" w:rsidP="00C3761A">
      <w:r w:rsidRPr="00C3761A">
        <w:lastRenderedPageBreak/>
        <w:t xml:space="preserve">Figure 2: Interior of an Attic kylix, </w:t>
      </w:r>
      <w:proofErr w:type="spellStart"/>
      <w:r w:rsidRPr="00C3761A">
        <w:t>Brygos</w:t>
      </w:r>
      <w:proofErr w:type="spellEnd"/>
      <w:r w:rsidRPr="00C3761A">
        <w:t xml:space="preserve"> painter, ca. 480 B.C. Theoi.com (Accessed: 24/11/2017)</w:t>
      </w:r>
    </w:p>
    <w:p w:rsidR="00C3761A" w:rsidRDefault="00C3761A" w:rsidP="00C3761A">
      <w:r w:rsidRPr="00C3761A">
        <w:rPr>
          <w:rFonts w:ascii="Helvetica" w:hAnsi="Helvetica" w:cs="Helvetica"/>
          <w:noProof/>
          <w:color w:val="333333"/>
          <w:sz w:val="21"/>
          <w:szCs w:val="21"/>
          <w:lang w:eastAsia="en-GB"/>
        </w:rPr>
        <w:drawing>
          <wp:inline distT="0" distB="0" distL="0" distR="0" wp14:anchorId="49263C43" wp14:editId="5AE2AA2F">
            <wp:extent cx="2955619" cy="2886075"/>
            <wp:effectExtent l="0" t="0" r="0" b="0"/>
            <wp:docPr id="3" name="Picture 3" descr="Maenad Nymph | Attic red figure vase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enad Nymph | Attic red figure vase pain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8626" cy="2898776"/>
                    </a:xfrm>
                    <a:prstGeom prst="rect">
                      <a:avLst/>
                    </a:prstGeom>
                    <a:noFill/>
                    <a:ln>
                      <a:noFill/>
                    </a:ln>
                  </pic:spPr>
                </pic:pic>
              </a:graphicData>
            </a:graphic>
          </wp:inline>
        </w:drawing>
      </w:r>
    </w:p>
    <w:p w:rsidR="00C3761A" w:rsidRDefault="00C3761A" w:rsidP="00C3761A"/>
    <w:p w:rsidR="00C3761A" w:rsidRPr="00C3761A" w:rsidRDefault="00C3761A" w:rsidP="00C3761A">
      <w:r w:rsidRPr="00C3761A">
        <w:t>Figure 3: Attic late geometric oinochoe. Garland 195: 111</w:t>
      </w:r>
    </w:p>
    <w:p w:rsidR="00C3761A" w:rsidRPr="00C3761A" w:rsidRDefault="00C3761A" w:rsidP="00C3761A">
      <w:r w:rsidRPr="00C3761A">
        <w:rPr>
          <w:rFonts w:ascii="Arial" w:hAnsi="Arial" w:cs="Arial"/>
          <w:noProof/>
          <w:color w:val="0000FF"/>
          <w:sz w:val="27"/>
          <w:szCs w:val="27"/>
          <w:lang w:eastAsia="en-GB"/>
        </w:rPr>
        <w:drawing>
          <wp:inline distT="0" distB="0" distL="0" distR="0" wp14:anchorId="74859061" wp14:editId="4300C955">
            <wp:extent cx="5663326" cy="2057400"/>
            <wp:effectExtent l="0" t="0" r="0" b="0"/>
            <wp:docPr id="1" name="Picture 1" descr="Image result for moliones">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liones">
                      <a:hlinkClick r:id="rId11" tgtFrame="&quot;_blank&quo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l="1995" r="28856"/>
                    <a:stretch/>
                  </pic:blipFill>
                  <pic:spPr bwMode="auto">
                    <a:xfrm>
                      <a:off x="0" y="0"/>
                      <a:ext cx="5671526" cy="2060379"/>
                    </a:xfrm>
                    <a:prstGeom prst="rect">
                      <a:avLst/>
                    </a:prstGeom>
                    <a:noFill/>
                    <a:ln>
                      <a:noFill/>
                    </a:ln>
                    <a:extLst>
                      <a:ext uri="{53640926-AAD7-44D8-BBD7-CCE9431645EC}">
                        <a14:shadowObscured xmlns:a14="http://schemas.microsoft.com/office/drawing/2010/main"/>
                      </a:ext>
                    </a:extLst>
                  </pic:spPr>
                </pic:pic>
              </a:graphicData>
            </a:graphic>
          </wp:inline>
        </w:drawing>
      </w:r>
    </w:p>
    <w:p w:rsidR="00C3761A" w:rsidRPr="00C3761A" w:rsidRDefault="00C3761A" w:rsidP="00C3761A">
      <w:r w:rsidRPr="00C3761A">
        <w:lastRenderedPageBreak/>
        <w:t>Figure 4: Athenian black-figure kylix C6th B.C. Theoi.com (Accessed: 24/11/2017)</w:t>
      </w:r>
      <w:r w:rsidR="00AA04C2" w:rsidRPr="00AA04C2">
        <w:rPr>
          <w:rFonts w:ascii="Helvetica" w:hAnsi="Helvetica" w:cs="Helvetica"/>
          <w:noProof/>
          <w:color w:val="337AB7"/>
          <w:sz w:val="21"/>
          <w:szCs w:val="21"/>
          <w:lang w:eastAsia="en-GB"/>
        </w:rPr>
        <w:t xml:space="preserve"> </w:t>
      </w:r>
      <w:r w:rsidR="00AA04C2" w:rsidRPr="00C3761A">
        <w:rPr>
          <w:rFonts w:ascii="Helvetica" w:hAnsi="Helvetica" w:cs="Helvetica"/>
          <w:noProof/>
          <w:color w:val="337AB7"/>
          <w:sz w:val="21"/>
          <w:szCs w:val="21"/>
          <w:lang w:eastAsia="en-GB"/>
        </w:rPr>
        <w:drawing>
          <wp:inline distT="0" distB="0" distL="0" distR="0" wp14:anchorId="5C0E0B4D" wp14:editId="21D45F38">
            <wp:extent cx="2714514" cy="2733675"/>
            <wp:effectExtent l="0" t="0" r="0" b="0"/>
            <wp:docPr id="4" name="Picture 4" descr="Theseus and the Minotaur | Athenian black-figure kylix C6th B.C. | Toledo Museum of Art">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seus and the Minotaur | Athenian black-figure kylix C6th B.C. | Toledo Museum of Art">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33118" cy="2752410"/>
                    </a:xfrm>
                    <a:prstGeom prst="rect">
                      <a:avLst/>
                    </a:prstGeom>
                    <a:noFill/>
                    <a:ln>
                      <a:noFill/>
                    </a:ln>
                  </pic:spPr>
                </pic:pic>
              </a:graphicData>
            </a:graphic>
          </wp:inline>
        </w:drawing>
      </w:r>
      <w:bookmarkStart w:id="0" w:name="_GoBack"/>
      <w:bookmarkEnd w:id="0"/>
    </w:p>
    <w:p w:rsidR="00C3761A" w:rsidRPr="00C3761A" w:rsidRDefault="00C3761A" w:rsidP="00C3761A"/>
    <w:p w:rsidR="00C3761A" w:rsidRPr="0022271D" w:rsidRDefault="00C3761A" w:rsidP="00647EBB">
      <w:r w:rsidRPr="00C3761A">
        <w:t>Figure 5: Terracotta dancing dwarf, late 3</w:t>
      </w:r>
      <w:r w:rsidRPr="00C3761A">
        <w:rPr>
          <w:vertAlign w:val="superscript"/>
        </w:rPr>
        <w:t>rd</w:t>
      </w:r>
      <w:r w:rsidRPr="00C3761A">
        <w:t xml:space="preserve"> Century B.C. Garland 195: 113</w:t>
      </w:r>
      <w:r w:rsidRPr="00C3761A">
        <w:rPr>
          <w:rFonts w:ascii="Arial" w:hAnsi="Arial" w:cs="Arial"/>
          <w:noProof/>
          <w:color w:val="0000FF"/>
          <w:sz w:val="27"/>
          <w:szCs w:val="27"/>
          <w:lang w:eastAsia="en-GB"/>
        </w:rPr>
        <w:drawing>
          <wp:inline distT="0" distB="0" distL="0" distR="0" wp14:anchorId="32C00DBC" wp14:editId="0CDBB313">
            <wp:extent cx="2971800" cy="3886200"/>
            <wp:effectExtent l="0" t="0" r="0" b="0"/>
            <wp:docPr id="5" name="Picture 5" descr="Image result for terracotta dancing dwarf">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erracotta dancing dwarf">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71800" cy="3886200"/>
                    </a:xfrm>
                    <a:prstGeom prst="rect">
                      <a:avLst/>
                    </a:prstGeom>
                    <a:noFill/>
                    <a:ln>
                      <a:noFill/>
                    </a:ln>
                  </pic:spPr>
                </pic:pic>
              </a:graphicData>
            </a:graphic>
          </wp:inline>
        </w:drawing>
      </w:r>
    </w:p>
    <w:sectPr w:rsidR="00C3761A" w:rsidRPr="002227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4E85" w:rsidRDefault="00544E85" w:rsidP="002946BE">
      <w:pPr>
        <w:spacing w:after="0" w:line="240" w:lineRule="auto"/>
      </w:pPr>
      <w:r>
        <w:separator/>
      </w:r>
    </w:p>
  </w:endnote>
  <w:endnote w:type="continuationSeparator" w:id="0">
    <w:p w:rsidR="00544E85" w:rsidRDefault="00544E85" w:rsidP="00294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4E85" w:rsidRDefault="00544E85" w:rsidP="002946BE">
      <w:pPr>
        <w:spacing w:after="0" w:line="240" w:lineRule="auto"/>
      </w:pPr>
      <w:r>
        <w:separator/>
      </w:r>
    </w:p>
  </w:footnote>
  <w:footnote w:type="continuationSeparator" w:id="0">
    <w:p w:rsidR="00544E85" w:rsidRDefault="00544E85" w:rsidP="002946BE">
      <w:pPr>
        <w:spacing w:after="0" w:line="240" w:lineRule="auto"/>
      </w:pPr>
      <w:r>
        <w:continuationSeparator/>
      </w:r>
    </w:p>
  </w:footnote>
  <w:footnote w:id="1">
    <w:p w:rsidR="002946BE" w:rsidRDefault="002946BE">
      <w:pPr>
        <w:pStyle w:val="FootnoteText"/>
      </w:pPr>
      <w:r>
        <w:rPr>
          <w:rStyle w:val="FootnoteReference"/>
        </w:rPr>
        <w:footnoteRef/>
      </w:r>
      <w:r>
        <w:t xml:space="preserve"> </w:t>
      </w:r>
      <w:r w:rsidR="000D270F" w:rsidRPr="000D270F">
        <w:t>Garland</w:t>
      </w:r>
      <w:r w:rsidR="000D270F">
        <w:t xml:space="preserve"> 1995: 1-2</w:t>
      </w:r>
    </w:p>
  </w:footnote>
  <w:footnote w:id="2">
    <w:p w:rsidR="00042C57" w:rsidRDefault="00042C57">
      <w:pPr>
        <w:pStyle w:val="FootnoteText"/>
      </w:pPr>
      <w:r>
        <w:rPr>
          <w:rStyle w:val="FootnoteReference"/>
        </w:rPr>
        <w:footnoteRef/>
      </w:r>
      <w:r>
        <w:t xml:space="preserve"> </w:t>
      </w:r>
      <w:r w:rsidR="000D270F">
        <w:t>Garland 1995: 2</w:t>
      </w:r>
    </w:p>
  </w:footnote>
  <w:footnote w:id="3">
    <w:p w:rsidR="00042C57" w:rsidRDefault="00042C57">
      <w:pPr>
        <w:pStyle w:val="FootnoteText"/>
      </w:pPr>
      <w:r>
        <w:rPr>
          <w:rStyle w:val="FootnoteReference"/>
        </w:rPr>
        <w:footnoteRef/>
      </w:r>
      <w:r>
        <w:t xml:space="preserve"> </w:t>
      </w:r>
      <w:r w:rsidR="000D270F">
        <w:t xml:space="preserve">Garland 1995: </w:t>
      </w:r>
      <w:r w:rsidR="002C3D44">
        <w:t>6</w:t>
      </w:r>
    </w:p>
  </w:footnote>
  <w:footnote w:id="4">
    <w:p w:rsidR="00A72188" w:rsidRDefault="00A72188">
      <w:pPr>
        <w:pStyle w:val="FootnoteText"/>
      </w:pPr>
      <w:r>
        <w:rPr>
          <w:rStyle w:val="FootnoteReference"/>
        </w:rPr>
        <w:footnoteRef/>
      </w:r>
      <w:r>
        <w:t xml:space="preserve"> </w:t>
      </w:r>
      <w:r w:rsidR="00A458FC">
        <w:t xml:space="preserve">Angst and </w:t>
      </w:r>
      <w:proofErr w:type="spellStart"/>
      <w:r w:rsidR="00A458FC">
        <w:t>Marneros</w:t>
      </w:r>
      <w:proofErr w:type="spellEnd"/>
      <w:r w:rsidRPr="00A72188">
        <w:t xml:space="preserve"> 2001</w:t>
      </w:r>
      <w:r>
        <w:t>: 3</w:t>
      </w:r>
    </w:p>
  </w:footnote>
  <w:footnote w:id="5">
    <w:p w:rsidR="009D2D94" w:rsidRDefault="009D2D94">
      <w:pPr>
        <w:pStyle w:val="FootnoteText"/>
      </w:pPr>
      <w:r>
        <w:rPr>
          <w:rStyle w:val="FootnoteReference"/>
        </w:rPr>
        <w:footnoteRef/>
      </w:r>
      <w:r>
        <w:t xml:space="preserve"> </w:t>
      </w:r>
      <w:r w:rsidR="00A458FC">
        <w:t xml:space="preserve">Angst </w:t>
      </w:r>
      <w:r w:rsidRPr="009D2D94">
        <w:t xml:space="preserve">and </w:t>
      </w:r>
      <w:proofErr w:type="spellStart"/>
      <w:r w:rsidRPr="009D2D94">
        <w:t>Marneros</w:t>
      </w:r>
      <w:proofErr w:type="spellEnd"/>
      <w:r w:rsidRPr="009D2D94">
        <w:t xml:space="preserve"> 2001:</w:t>
      </w:r>
      <w:r>
        <w:t xml:space="preserve"> 4</w:t>
      </w:r>
    </w:p>
  </w:footnote>
  <w:footnote w:id="6">
    <w:p w:rsidR="00A458FC" w:rsidRDefault="00A458FC">
      <w:pPr>
        <w:pStyle w:val="FootnoteText"/>
      </w:pPr>
      <w:r>
        <w:rPr>
          <w:rStyle w:val="FootnoteReference"/>
        </w:rPr>
        <w:footnoteRef/>
      </w:r>
      <w:r>
        <w:t xml:space="preserve"> </w:t>
      </w:r>
      <w:r w:rsidR="00A015F9">
        <w:t>Simon</w:t>
      </w:r>
      <w:r w:rsidRPr="00A458FC">
        <w:t xml:space="preserve"> 1978</w:t>
      </w:r>
      <w:r>
        <w:t>: 68</w:t>
      </w:r>
    </w:p>
  </w:footnote>
  <w:footnote w:id="7">
    <w:p w:rsidR="004D0024" w:rsidRPr="004D0024" w:rsidRDefault="004D0024">
      <w:pPr>
        <w:pStyle w:val="FootnoteText"/>
      </w:pPr>
      <w:r>
        <w:rPr>
          <w:rStyle w:val="FootnoteReference"/>
        </w:rPr>
        <w:footnoteRef/>
      </w:r>
      <w:r>
        <w:t xml:space="preserve"> </w:t>
      </w:r>
      <w:r w:rsidRPr="004D0024">
        <w:t xml:space="preserve">Eur. </w:t>
      </w:r>
      <w:r w:rsidRPr="004D0024">
        <w:rPr>
          <w:i/>
        </w:rPr>
        <w:t>Her</w:t>
      </w:r>
      <w:r>
        <w:rPr>
          <w:i/>
        </w:rPr>
        <w:t xml:space="preserve">. </w:t>
      </w:r>
      <w:r w:rsidR="0053789A">
        <w:t>832-865</w:t>
      </w:r>
    </w:p>
  </w:footnote>
  <w:footnote w:id="8">
    <w:p w:rsidR="00D6392A" w:rsidRDefault="00D6392A">
      <w:pPr>
        <w:pStyle w:val="FootnoteText"/>
      </w:pPr>
      <w:r>
        <w:rPr>
          <w:rStyle w:val="FootnoteReference"/>
        </w:rPr>
        <w:footnoteRef/>
      </w:r>
      <w:r>
        <w:t xml:space="preserve"> </w:t>
      </w:r>
      <w:r w:rsidRPr="00D6392A">
        <w:t>Simon 1978</w:t>
      </w:r>
      <w:r>
        <w:t>: 229</w:t>
      </w:r>
    </w:p>
  </w:footnote>
  <w:footnote w:id="9">
    <w:p w:rsidR="00A65F7B" w:rsidRDefault="00A65F7B" w:rsidP="00A65F7B">
      <w:pPr>
        <w:pStyle w:val="FootnoteText"/>
      </w:pPr>
      <w:r>
        <w:rPr>
          <w:rStyle w:val="FootnoteReference"/>
        </w:rPr>
        <w:footnoteRef/>
      </w:r>
      <w:r>
        <w:t xml:space="preserve"> See Figure 1</w:t>
      </w:r>
    </w:p>
  </w:footnote>
  <w:footnote w:id="10">
    <w:p w:rsidR="00C44912" w:rsidRPr="00C44912" w:rsidRDefault="00C44912">
      <w:pPr>
        <w:pStyle w:val="FootnoteText"/>
      </w:pPr>
      <w:r>
        <w:rPr>
          <w:rStyle w:val="FootnoteReference"/>
        </w:rPr>
        <w:footnoteRef/>
      </w:r>
      <w:r>
        <w:t xml:space="preserve"> </w:t>
      </w:r>
      <w:proofErr w:type="spellStart"/>
      <w:r w:rsidRPr="00C44912">
        <w:t>Ov</w:t>
      </w:r>
      <w:proofErr w:type="spellEnd"/>
      <w:r w:rsidRPr="00C44912">
        <w:t xml:space="preserve">. </w:t>
      </w:r>
      <w:r w:rsidRPr="00C44912">
        <w:rPr>
          <w:i/>
        </w:rPr>
        <w:t>Met</w:t>
      </w:r>
      <w:r>
        <w:t>. 13.384-92</w:t>
      </w:r>
    </w:p>
  </w:footnote>
  <w:footnote w:id="11">
    <w:p w:rsidR="00E827CB" w:rsidRPr="00397BE7" w:rsidRDefault="00E827CB">
      <w:pPr>
        <w:pStyle w:val="FootnoteText"/>
      </w:pPr>
      <w:r>
        <w:rPr>
          <w:rStyle w:val="FootnoteReference"/>
        </w:rPr>
        <w:footnoteRef/>
      </w:r>
      <w:r>
        <w:t xml:space="preserve"> </w:t>
      </w:r>
      <w:proofErr w:type="spellStart"/>
      <w:r w:rsidR="00397BE7">
        <w:t>Hom</w:t>
      </w:r>
      <w:proofErr w:type="spellEnd"/>
      <w:r w:rsidR="00397BE7">
        <w:t xml:space="preserve">. </w:t>
      </w:r>
      <w:r w:rsidR="00397BE7">
        <w:rPr>
          <w:i/>
        </w:rPr>
        <w:t xml:space="preserve">Il. </w:t>
      </w:r>
      <w:r w:rsidR="00397BE7" w:rsidRPr="005D3E25">
        <w:t>6.200-</w:t>
      </w:r>
      <w:r w:rsidR="005D3E25">
        <w:t>2</w:t>
      </w:r>
      <w:r w:rsidR="00397BE7" w:rsidRPr="005D3E25">
        <w:t>02</w:t>
      </w:r>
    </w:p>
  </w:footnote>
  <w:footnote w:id="12">
    <w:p w:rsidR="00E827CB" w:rsidRDefault="00E827CB">
      <w:pPr>
        <w:pStyle w:val="FootnoteText"/>
      </w:pPr>
      <w:r>
        <w:rPr>
          <w:rStyle w:val="FootnoteReference"/>
        </w:rPr>
        <w:footnoteRef/>
      </w:r>
      <w:r>
        <w:t xml:space="preserve"> </w:t>
      </w:r>
      <w:r w:rsidRPr="00D6392A">
        <w:t>Simon 1978</w:t>
      </w:r>
      <w:r>
        <w:t xml:space="preserve">: </w:t>
      </w:r>
      <w:r w:rsidR="00397BE7">
        <w:t>70</w:t>
      </w:r>
    </w:p>
  </w:footnote>
  <w:footnote w:id="13">
    <w:p w:rsidR="0016114A" w:rsidRDefault="0016114A">
      <w:pPr>
        <w:pStyle w:val="FootnoteText"/>
      </w:pPr>
      <w:r>
        <w:rPr>
          <w:rStyle w:val="FootnoteReference"/>
        </w:rPr>
        <w:footnoteRef/>
      </w:r>
      <w:r>
        <w:t xml:space="preserve"> Harris, W.V. 2001: 339</w:t>
      </w:r>
    </w:p>
  </w:footnote>
  <w:footnote w:id="14">
    <w:p w:rsidR="000C7A8D" w:rsidRDefault="000C7A8D">
      <w:pPr>
        <w:pStyle w:val="FootnoteText"/>
      </w:pPr>
      <w:r>
        <w:rPr>
          <w:rStyle w:val="FootnoteReference"/>
        </w:rPr>
        <w:footnoteRef/>
      </w:r>
      <w:r>
        <w:t xml:space="preserve"> </w:t>
      </w:r>
      <w:r w:rsidR="00A015F9">
        <w:t>Simon</w:t>
      </w:r>
      <w:r w:rsidRPr="00D6392A">
        <w:t xml:space="preserve"> 1978</w:t>
      </w:r>
      <w:r>
        <w:t>: 66</w:t>
      </w:r>
    </w:p>
  </w:footnote>
  <w:footnote w:id="15">
    <w:p w:rsidR="007A1EC8" w:rsidRDefault="007A1EC8">
      <w:pPr>
        <w:pStyle w:val="FootnoteText"/>
      </w:pPr>
      <w:r>
        <w:rPr>
          <w:rStyle w:val="FootnoteReference"/>
        </w:rPr>
        <w:footnoteRef/>
      </w:r>
      <w:r>
        <w:t xml:space="preserve"> </w:t>
      </w:r>
      <w:r w:rsidR="00EB1DBC">
        <w:t>Harris 2001: 3</w:t>
      </w:r>
    </w:p>
  </w:footnote>
  <w:footnote w:id="16">
    <w:p w:rsidR="00EB44AB" w:rsidRDefault="00EB44AB">
      <w:pPr>
        <w:pStyle w:val="FootnoteText"/>
      </w:pPr>
      <w:r>
        <w:rPr>
          <w:rStyle w:val="FootnoteReference"/>
        </w:rPr>
        <w:footnoteRef/>
      </w:r>
      <w:r>
        <w:t xml:space="preserve"> Harris 2001: 141</w:t>
      </w:r>
    </w:p>
  </w:footnote>
  <w:footnote w:id="17">
    <w:p w:rsidR="005D3E25" w:rsidRDefault="005D3E25">
      <w:pPr>
        <w:pStyle w:val="FootnoteText"/>
      </w:pPr>
      <w:r>
        <w:rPr>
          <w:rStyle w:val="FootnoteReference"/>
        </w:rPr>
        <w:footnoteRef/>
      </w:r>
      <w:r>
        <w:t xml:space="preserve"> </w:t>
      </w:r>
      <w:proofErr w:type="spellStart"/>
      <w:r>
        <w:t>Hom</w:t>
      </w:r>
      <w:proofErr w:type="spellEnd"/>
      <w:r>
        <w:t xml:space="preserve">. </w:t>
      </w:r>
      <w:r>
        <w:rPr>
          <w:i/>
        </w:rPr>
        <w:t xml:space="preserve">Il. </w:t>
      </w:r>
      <w:r>
        <w:t>12.</w:t>
      </w:r>
      <w:r w:rsidRPr="005D3E25">
        <w:t>106-114</w:t>
      </w:r>
    </w:p>
  </w:footnote>
  <w:footnote w:id="18">
    <w:p w:rsidR="00210794" w:rsidRDefault="00210794">
      <w:pPr>
        <w:pStyle w:val="FootnoteText"/>
      </w:pPr>
      <w:r>
        <w:rPr>
          <w:rStyle w:val="FootnoteReference"/>
        </w:rPr>
        <w:footnoteRef/>
      </w:r>
      <w:r>
        <w:t xml:space="preserve"> </w:t>
      </w:r>
      <w:proofErr w:type="spellStart"/>
      <w:r>
        <w:t>Hom</w:t>
      </w:r>
      <w:proofErr w:type="spellEnd"/>
      <w:r>
        <w:t xml:space="preserve">. </w:t>
      </w:r>
      <w:r>
        <w:rPr>
          <w:i/>
        </w:rPr>
        <w:t xml:space="preserve">Il. </w:t>
      </w:r>
      <w:r>
        <w:t>1.1-2</w:t>
      </w:r>
    </w:p>
  </w:footnote>
  <w:footnote w:id="19">
    <w:p w:rsidR="002A19E3" w:rsidRDefault="002A19E3">
      <w:pPr>
        <w:pStyle w:val="FootnoteText"/>
      </w:pPr>
      <w:r>
        <w:rPr>
          <w:rStyle w:val="FootnoteReference"/>
        </w:rPr>
        <w:footnoteRef/>
      </w:r>
      <w:r>
        <w:t xml:space="preserve"> </w:t>
      </w:r>
      <w:proofErr w:type="spellStart"/>
      <w:r w:rsidRPr="002A19E3">
        <w:t>Apollod</w:t>
      </w:r>
      <w:proofErr w:type="spellEnd"/>
      <w:r w:rsidRPr="002A19E3">
        <w:t>.</w:t>
      </w:r>
      <w:r w:rsidR="00F83560">
        <w:t xml:space="preserve"> </w:t>
      </w:r>
      <w:r w:rsidR="00733FB0">
        <w:t>3.5</w:t>
      </w:r>
    </w:p>
  </w:footnote>
  <w:footnote w:id="20">
    <w:p w:rsidR="00E707D8" w:rsidRDefault="00E707D8">
      <w:pPr>
        <w:pStyle w:val="FootnoteText"/>
      </w:pPr>
      <w:r>
        <w:rPr>
          <w:rStyle w:val="FootnoteReference"/>
        </w:rPr>
        <w:footnoteRef/>
      </w:r>
      <w:r>
        <w:t xml:space="preserve"> </w:t>
      </w:r>
      <w:r w:rsidR="00A015F9">
        <w:t>Simon</w:t>
      </w:r>
      <w:r w:rsidRPr="00D6392A">
        <w:t xml:space="preserve"> 1978</w:t>
      </w:r>
      <w:r>
        <w:t>: 252</w:t>
      </w:r>
    </w:p>
  </w:footnote>
  <w:footnote w:id="21">
    <w:p w:rsidR="0050706B" w:rsidRDefault="0050706B">
      <w:pPr>
        <w:pStyle w:val="FootnoteText"/>
      </w:pPr>
      <w:r>
        <w:rPr>
          <w:rStyle w:val="FootnoteReference"/>
        </w:rPr>
        <w:footnoteRef/>
      </w:r>
      <w:r>
        <w:t xml:space="preserve"> </w:t>
      </w:r>
      <w:r w:rsidR="00FB2D16" w:rsidRPr="00FB2D16">
        <w:t xml:space="preserve">Eur. </w:t>
      </w:r>
      <w:r w:rsidR="00FB2D16" w:rsidRPr="00FB2D16">
        <w:rPr>
          <w:i/>
        </w:rPr>
        <w:t>Ba</w:t>
      </w:r>
      <w:r w:rsidR="00FB2D16" w:rsidRPr="00FB2D16">
        <w:t>.</w:t>
      </w:r>
      <w:r w:rsidR="00FB2D16">
        <w:t xml:space="preserve"> 1101-1150</w:t>
      </w:r>
    </w:p>
  </w:footnote>
  <w:footnote w:id="22">
    <w:p w:rsidR="0050706B" w:rsidRDefault="0050706B">
      <w:pPr>
        <w:pStyle w:val="FootnoteText"/>
      </w:pPr>
      <w:r>
        <w:rPr>
          <w:rStyle w:val="FootnoteReference"/>
        </w:rPr>
        <w:footnoteRef/>
      </w:r>
      <w:r>
        <w:t xml:space="preserve"> </w:t>
      </w:r>
      <w:proofErr w:type="spellStart"/>
      <w:r w:rsidR="00AE45BB">
        <w:t>Lenenardon</w:t>
      </w:r>
      <w:proofErr w:type="spellEnd"/>
      <w:r w:rsidR="00AE45BB">
        <w:t xml:space="preserve">, </w:t>
      </w:r>
      <w:proofErr w:type="spellStart"/>
      <w:r w:rsidR="00AE45BB">
        <w:t>Morford</w:t>
      </w:r>
      <w:proofErr w:type="spellEnd"/>
      <w:r w:rsidR="00AE45BB" w:rsidRPr="00AE45BB">
        <w:t xml:space="preserve"> and Sham</w:t>
      </w:r>
      <w:r w:rsidR="00AE45BB">
        <w:t xml:space="preserve"> 2015: 326</w:t>
      </w:r>
    </w:p>
  </w:footnote>
  <w:footnote w:id="23">
    <w:p w:rsidR="00AE45BB" w:rsidRDefault="00AE45BB">
      <w:pPr>
        <w:pStyle w:val="FootnoteText"/>
      </w:pPr>
      <w:r>
        <w:rPr>
          <w:rStyle w:val="FootnoteReference"/>
        </w:rPr>
        <w:footnoteRef/>
      </w:r>
      <w:r>
        <w:t xml:space="preserve"> See Figure 2</w:t>
      </w:r>
    </w:p>
  </w:footnote>
  <w:footnote w:id="24">
    <w:p w:rsidR="00E56526" w:rsidRDefault="00E56526">
      <w:pPr>
        <w:pStyle w:val="FootnoteText"/>
      </w:pPr>
      <w:r>
        <w:rPr>
          <w:rStyle w:val="FootnoteReference"/>
        </w:rPr>
        <w:footnoteRef/>
      </w:r>
      <w:r>
        <w:t xml:space="preserve"> Day 2007: 43</w:t>
      </w:r>
    </w:p>
  </w:footnote>
  <w:footnote w:id="25">
    <w:p w:rsidR="00A015F9" w:rsidRDefault="00A015F9">
      <w:pPr>
        <w:pStyle w:val="FootnoteText"/>
      </w:pPr>
      <w:r>
        <w:rPr>
          <w:rStyle w:val="FootnoteReference"/>
        </w:rPr>
        <w:footnoteRef/>
      </w:r>
      <w:r>
        <w:t xml:space="preserve"> Salazar 2000: 128</w:t>
      </w:r>
    </w:p>
  </w:footnote>
  <w:footnote w:id="26">
    <w:p w:rsidR="00A015F9" w:rsidRDefault="00A015F9">
      <w:pPr>
        <w:pStyle w:val="FootnoteText"/>
      </w:pPr>
      <w:r>
        <w:rPr>
          <w:rStyle w:val="FootnoteReference"/>
        </w:rPr>
        <w:footnoteRef/>
      </w:r>
      <w:r>
        <w:t xml:space="preserve"> </w:t>
      </w:r>
      <w:proofErr w:type="spellStart"/>
      <w:r w:rsidR="00000780">
        <w:t>Hom</w:t>
      </w:r>
      <w:proofErr w:type="spellEnd"/>
      <w:r w:rsidR="00000780">
        <w:t xml:space="preserve">. </w:t>
      </w:r>
      <w:r w:rsidR="00000780">
        <w:rPr>
          <w:i/>
        </w:rPr>
        <w:t>Il.</w:t>
      </w:r>
      <w:r w:rsidR="00000780">
        <w:t xml:space="preserve"> 5.145</w:t>
      </w:r>
    </w:p>
  </w:footnote>
  <w:footnote w:id="27">
    <w:p w:rsidR="00A015F9" w:rsidRPr="00A015F9" w:rsidRDefault="00A015F9">
      <w:pPr>
        <w:pStyle w:val="FootnoteText"/>
      </w:pPr>
      <w:r>
        <w:rPr>
          <w:rStyle w:val="FootnoteReference"/>
        </w:rPr>
        <w:footnoteRef/>
      </w:r>
      <w:r>
        <w:t xml:space="preserve"> </w:t>
      </w:r>
      <w:proofErr w:type="spellStart"/>
      <w:r>
        <w:t>Hom</w:t>
      </w:r>
      <w:proofErr w:type="spellEnd"/>
      <w:r>
        <w:t xml:space="preserve">. </w:t>
      </w:r>
      <w:r>
        <w:rPr>
          <w:i/>
        </w:rPr>
        <w:t>Il.</w:t>
      </w:r>
      <w:r>
        <w:t xml:space="preserve"> 3.375-384</w:t>
      </w:r>
    </w:p>
  </w:footnote>
  <w:footnote w:id="28">
    <w:p w:rsidR="00A015F9" w:rsidRDefault="00A015F9">
      <w:pPr>
        <w:pStyle w:val="FootnoteText"/>
      </w:pPr>
      <w:r>
        <w:rPr>
          <w:rStyle w:val="FootnoteReference"/>
        </w:rPr>
        <w:footnoteRef/>
      </w:r>
      <w:r>
        <w:t xml:space="preserve"> </w:t>
      </w:r>
      <w:proofErr w:type="spellStart"/>
      <w:r w:rsidR="00C41961">
        <w:t>Hom</w:t>
      </w:r>
      <w:proofErr w:type="spellEnd"/>
      <w:r w:rsidR="00C41961">
        <w:t xml:space="preserve">. </w:t>
      </w:r>
      <w:r w:rsidR="00C41961">
        <w:rPr>
          <w:i/>
        </w:rPr>
        <w:t>Il.</w:t>
      </w:r>
      <w:r w:rsidR="00C41961">
        <w:t xml:space="preserve"> 11.824-850</w:t>
      </w:r>
    </w:p>
  </w:footnote>
  <w:footnote w:id="29">
    <w:p w:rsidR="00C41961" w:rsidRDefault="00C41961">
      <w:pPr>
        <w:pStyle w:val="FootnoteText"/>
      </w:pPr>
      <w:r>
        <w:rPr>
          <w:rStyle w:val="FootnoteReference"/>
        </w:rPr>
        <w:footnoteRef/>
      </w:r>
      <w:r>
        <w:t xml:space="preserve"> </w:t>
      </w:r>
      <w:proofErr w:type="spellStart"/>
      <w:r>
        <w:t>Hom</w:t>
      </w:r>
      <w:proofErr w:type="spellEnd"/>
      <w:r>
        <w:t xml:space="preserve">. </w:t>
      </w:r>
      <w:r>
        <w:rPr>
          <w:i/>
        </w:rPr>
        <w:t>Il.</w:t>
      </w:r>
      <w:r>
        <w:t xml:space="preserve"> 11.251-254</w:t>
      </w:r>
    </w:p>
  </w:footnote>
  <w:footnote w:id="30">
    <w:p w:rsidR="00D03823" w:rsidRDefault="00D03823">
      <w:pPr>
        <w:pStyle w:val="FootnoteText"/>
      </w:pPr>
      <w:r>
        <w:rPr>
          <w:rStyle w:val="FootnoteReference"/>
        </w:rPr>
        <w:footnoteRef/>
      </w:r>
      <w:r>
        <w:t xml:space="preserve"> Salazar 2000: 129</w:t>
      </w:r>
    </w:p>
  </w:footnote>
  <w:footnote w:id="31">
    <w:p w:rsidR="0022271D" w:rsidRDefault="0022271D">
      <w:pPr>
        <w:pStyle w:val="FootnoteText"/>
      </w:pPr>
      <w:r>
        <w:rPr>
          <w:rStyle w:val="FootnoteReference"/>
        </w:rPr>
        <w:footnoteRef/>
      </w:r>
      <w:r>
        <w:t xml:space="preserve"> </w:t>
      </w:r>
      <w:proofErr w:type="spellStart"/>
      <w:r>
        <w:t>Hom</w:t>
      </w:r>
      <w:proofErr w:type="spellEnd"/>
      <w:r>
        <w:t xml:space="preserve">. </w:t>
      </w:r>
      <w:r>
        <w:rPr>
          <w:i/>
        </w:rPr>
        <w:t>Il.</w:t>
      </w:r>
      <w:r>
        <w:t xml:space="preserve"> 11.</w:t>
      </w:r>
      <w:r w:rsidR="00033999">
        <w:t>710</w:t>
      </w:r>
      <w:r>
        <w:t xml:space="preserve"> </w:t>
      </w:r>
    </w:p>
  </w:footnote>
  <w:footnote w:id="32">
    <w:p w:rsidR="00A001FF" w:rsidRDefault="00A001FF">
      <w:pPr>
        <w:pStyle w:val="FootnoteText"/>
      </w:pPr>
      <w:r>
        <w:rPr>
          <w:rStyle w:val="FootnoteReference"/>
        </w:rPr>
        <w:footnoteRef/>
      </w:r>
      <w:r>
        <w:t xml:space="preserve"> Garland 1995: 8</w:t>
      </w:r>
    </w:p>
  </w:footnote>
  <w:footnote w:id="33">
    <w:p w:rsidR="00A001FF" w:rsidRDefault="00A001FF">
      <w:pPr>
        <w:pStyle w:val="FootnoteText"/>
      </w:pPr>
      <w:r>
        <w:rPr>
          <w:rStyle w:val="FootnoteReference"/>
        </w:rPr>
        <w:footnoteRef/>
      </w:r>
      <w:r>
        <w:t xml:space="preserve"> See Figure 3</w:t>
      </w:r>
    </w:p>
  </w:footnote>
  <w:footnote w:id="34">
    <w:p w:rsidR="00B76FE9" w:rsidRDefault="00B76FE9" w:rsidP="00B76FE9">
      <w:pPr>
        <w:pStyle w:val="FootnoteText"/>
      </w:pPr>
      <w:r>
        <w:rPr>
          <w:rStyle w:val="FootnoteReference"/>
        </w:rPr>
        <w:footnoteRef/>
      </w:r>
      <w:r>
        <w:t xml:space="preserve"> Garland 1995: 4</w:t>
      </w:r>
    </w:p>
  </w:footnote>
  <w:footnote w:id="35">
    <w:p w:rsidR="001132EF" w:rsidRDefault="001132EF">
      <w:pPr>
        <w:pStyle w:val="FootnoteText"/>
      </w:pPr>
      <w:r>
        <w:rPr>
          <w:rStyle w:val="FootnoteReference"/>
        </w:rPr>
        <w:footnoteRef/>
      </w:r>
      <w:r>
        <w:t xml:space="preserve"> Garland 1995: 3</w:t>
      </w:r>
    </w:p>
  </w:footnote>
  <w:footnote w:id="36">
    <w:p w:rsidR="003B1B80" w:rsidRDefault="003B1B80">
      <w:pPr>
        <w:pStyle w:val="FootnoteText"/>
      </w:pPr>
      <w:r>
        <w:rPr>
          <w:rStyle w:val="FootnoteReference"/>
        </w:rPr>
        <w:footnoteRef/>
      </w:r>
      <w:r>
        <w:t xml:space="preserve"> </w:t>
      </w:r>
      <w:proofErr w:type="spellStart"/>
      <w:r w:rsidRPr="00C44912">
        <w:t>Ov</w:t>
      </w:r>
      <w:proofErr w:type="spellEnd"/>
      <w:r w:rsidRPr="00C44912">
        <w:t xml:space="preserve">. </w:t>
      </w:r>
      <w:r w:rsidRPr="00C44912">
        <w:rPr>
          <w:i/>
        </w:rPr>
        <w:t>Met</w:t>
      </w:r>
      <w:r>
        <w:t>. 4.373-</w:t>
      </w:r>
      <w:r w:rsidR="007A0D3E">
        <w:t>37</w:t>
      </w:r>
      <w:r>
        <w:t>4</w:t>
      </w:r>
    </w:p>
  </w:footnote>
  <w:footnote w:id="37">
    <w:p w:rsidR="00333548" w:rsidRDefault="00333548">
      <w:pPr>
        <w:pStyle w:val="FootnoteText"/>
      </w:pPr>
      <w:r>
        <w:rPr>
          <w:rStyle w:val="FootnoteReference"/>
        </w:rPr>
        <w:footnoteRef/>
      </w:r>
      <w:r>
        <w:t xml:space="preserve"> Garland 1995: 66</w:t>
      </w:r>
    </w:p>
  </w:footnote>
  <w:footnote w:id="38">
    <w:p w:rsidR="004E07B1" w:rsidRDefault="004E07B1">
      <w:pPr>
        <w:pStyle w:val="FootnoteText"/>
      </w:pPr>
      <w:r>
        <w:rPr>
          <w:rStyle w:val="FootnoteReference"/>
        </w:rPr>
        <w:footnoteRef/>
      </w:r>
      <w:r>
        <w:t xml:space="preserve"> </w:t>
      </w:r>
      <w:proofErr w:type="spellStart"/>
      <w:r w:rsidR="007B38C7">
        <w:t>Hes</w:t>
      </w:r>
      <w:proofErr w:type="spellEnd"/>
      <w:r w:rsidR="007B38C7">
        <w:t xml:space="preserve">. </w:t>
      </w:r>
      <w:r w:rsidR="007B38C7" w:rsidRPr="007B38C7">
        <w:rPr>
          <w:i/>
        </w:rPr>
        <w:t>WD.</w:t>
      </w:r>
      <w:r w:rsidR="007B38C7">
        <w:t xml:space="preserve"> 1.235</w:t>
      </w:r>
    </w:p>
  </w:footnote>
  <w:footnote w:id="39">
    <w:p w:rsidR="007B38C7" w:rsidRPr="007B38C7" w:rsidRDefault="007B38C7">
      <w:pPr>
        <w:pStyle w:val="FootnoteText"/>
      </w:pPr>
      <w:r>
        <w:rPr>
          <w:rStyle w:val="FootnoteReference"/>
        </w:rPr>
        <w:footnoteRef/>
      </w:r>
      <w:r>
        <w:t xml:space="preserve"> </w:t>
      </w:r>
      <w:proofErr w:type="spellStart"/>
      <w:r w:rsidRPr="007B38C7">
        <w:t>Hes</w:t>
      </w:r>
      <w:proofErr w:type="spellEnd"/>
      <w:r w:rsidRPr="007B38C7">
        <w:t xml:space="preserve">. </w:t>
      </w:r>
      <w:r w:rsidRPr="007B38C7">
        <w:rPr>
          <w:i/>
        </w:rPr>
        <w:t>Th.</w:t>
      </w:r>
      <w:r>
        <w:rPr>
          <w:i/>
        </w:rPr>
        <w:t xml:space="preserve"> </w:t>
      </w:r>
      <w:r>
        <w:t>1.924-930</w:t>
      </w:r>
    </w:p>
  </w:footnote>
  <w:footnote w:id="40">
    <w:p w:rsidR="00F83560" w:rsidRDefault="00F83560">
      <w:pPr>
        <w:pStyle w:val="FootnoteText"/>
      </w:pPr>
      <w:r>
        <w:rPr>
          <w:rStyle w:val="FootnoteReference"/>
        </w:rPr>
        <w:footnoteRef/>
      </w:r>
      <w:r>
        <w:t xml:space="preserve"> </w:t>
      </w:r>
      <w:proofErr w:type="spellStart"/>
      <w:r w:rsidRPr="00F83560">
        <w:t>Apollod</w:t>
      </w:r>
      <w:proofErr w:type="spellEnd"/>
      <w:r w:rsidRPr="00F83560">
        <w:t>.</w:t>
      </w:r>
      <w:r>
        <w:t xml:space="preserve"> </w:t>
      </w:r>
      <w:r w:rsidR="00BD437B">
        <w:t>3.2</w:t>
      </w:r>
    </w:p>
  </w:footnote>
  <w:footnote w:id="41">
    <w:p w:rsidR="00F83560" w:rsidRDefault="00F83560">
      <w:pPr>
        <w:pStyle w:val="FootnoteText"/>
      </w:pPr>
      <w:r>
        <w:rPr>
          <w:rStyle w:val="FootnoteReference"/>
        </w:rPr>
        <w:footnoteRef/>
      </w:r>
      <w:r>
        <w:t xml:space="preserve"> See Figure 4</w:t>
      </w:r>
    </w:p>
  </w:footnote>
  <w:footnote w:id="42">
    <w:p w:rsidR="00A57579" w:rsidRPr="0035182E" w:rsidRDefault="00A57579">
      <w:pPr>
        <w:pStyle w:val="FootnoteText"/>
      </w:pPr>
      <w:r>
        <w:rPr>
          <w:rStyle w:val="FootnoteReference"/>
        </w:rPr>
        <w:footnoteRef/>
      </w:r>
      <w:r>
        <w:t xml:space="preserve"> </w:t>
      </w:r>
      <w:r w:rsidRPr="00A57579">
        <w:t>Soph. O</w:t>
      </w:r>
      <w:r w:rsidRPr="00A57579">
        <w:rPr>
          <w:i/>
        </w:rPr>
        <w:t>T</w:t>
      </w:r>
      <w:r>
        <w:rPr>
          <w:i/>
        </w:rPr>
        <w:t xml:space="preserve">. </w:t>
      </w:r>
      <w:r w:rsidR="0035182E">
        <w:t>791-792</w:t>
      </w:r>
    </w:p>
  </w:footnote>
  <w:footnote w:id="43">
    <w:p w:rsidR="00A57579" w:rsidRPr="0035182E" w:rsidRDefault="00A57579">
      <w:pPr>
        <w:pStyle w:val="FootnoteText"/>
      </w:pPr>
      <w:r>
        <w:rPr>
          <w:rStyle w:val="FootnoteReference"/>
        </w:rPr>
        <w:footnoteRef/>
      </w:r>
      <w:r>
        <w:t xml:space="preserve"> </w:t>
      </w:r>
      <w:r w:rsidR="0035182E" w:rsidRPr="00A57579">
        <w:t>Soph. O</w:t>
      </w:r>
      <w:r w:rsidR="0035182E" w:rsidRPr="00A57579">
        <w:rPr>
          <w:i/>
        </w:rPr>
        <w:t>T</w:t>
      </w:r>
      <w:r w:rsidR="0035182E">
        <w:rPr>
          <w:i/>
        </w:rPr>
        <w:t xml:space="preserve">. </w:t>
      </w:r>
      <w:r w:rsidR="0035182E">
        <w:t>786-78</w:t>
      </w:r>
    </w:p>
  </w:footnote>
  <w:footnote w:id="44">
    <w:p w:rsidR="00A57579" w:rsidRPr="0035182E" w:rsidRDefault="00A57579">
      <w:pPr>
        <w:pStyle w:val="FootnoteText"/>
      </w:pPr>
      <w:r>
        <w:rPr>
          <w:rStyle w:val="FootnoteReference"/>
        </w:rPr>
        <w:footnoteRef/>
      </w:r>
      <w:r>
        <w:t xml:space="preserve"> </w:t>
      </w:r>
      <w:r w:rsidR="0035182E" w:rsidRPr="00A57579">
        <w:t>Soph. O</w:t>
      </w:r>
      <w:r w:rsidR="0035182E" w:rsidRPr="00A57579">
        <w:rPr>
          <w:i/>
        </w:rPr>
        <w:t>T</w:t>
      </w:r>
      <w:r w:rsidR="0035182E">
        <w:rPr>
          <w:i/>
        </w:rPr>
        <w:t xml:space="preserve">. </w:t>
      </w:r>
      <w:r w:rsidR="0035182E">
        <w:t>791</w:t>
      </w:r>
    </w:p>
  </w:footnote>
  <w:footnote w:id="45">
    <w:p w:rsidR="00647EBB" w:rsidRDefault="00647EBB">
      <w:pPr>
        <w:pStyle w:val="FootnoteText"/>
      </w:pPr>
      <w:r>
        <w:rPr>
          <w:rStyle w:val="FootnoteReference"/>
        </w:rPr>
        <w:footnoteRef/>
      </w:r>
      <w:r>
        <w:t xml:space="preserve"> </w:t>
      </w:r>
      <w:r w:rsidR="00537C07">
        <w:t>Day 2007: 43</w:t>
      </w:r>
    </w:p>
  </w:footnote>
  <w:footnote w:id="46">
    <w:p w:rsidR="000C6916" w:rsidRPr="000C6916" w:rsidRDefault="000C6916">
      <w:pPr>
        <w:pStyle w:val="FootnoteText"/>
      </w:pPr>
      <w:r>
        <w:rPr>
          <w:rStyle w:val="FootnoteReference"/>
        </w:rPr>
        <w:footnoteRef/>
      </w:r>
      <w:r>
        <w:t xml:space="preserve"> </w:t>
      </w:r>
      <w:proofErr w:type="spellStart"/>
      <w:r>
        <w:t>Hom</w:t>
      </w:r>
      <w:proofErr w:type="spellEnd"/>
      <w:r>
        <w:t xml:space="preserve">. </w:t>
      </w:r>
      <w:r>
        <w:rPr>
          <w:i/>
        </w:rPr>
        <w:t>Il.</w:t>
      </w:r>
      <w:r>
        <w:t xml:space="preserve"> 2.596-600</w:t>
      </w:r>
    </w:p>
  </w:footnote>
  <w:footnote w:id="47">
    <w:p w:rsidR="009B5831" w:rsidRDefault="009B5831">
      <w:pPr>
        <w:pStyle w:val="FootnoteText"/>
      </w:pPr>
      <w:r>
        <w:rPr>
          <w:rStyle w:val="FootnoteReference"/>
        </w:rPr>
        <w:footnoteRef/>
      </w:r>
      <w:r>
        <w:t xml:space="preserve"> Garland 1995: 61</w:t>
      </w:r>
    </w:p>
  </w:footnote>
  <w:footnote w:id="48">
    <w:p w:rsidR="009B5831" w:rsidRDefault="009B5831">
      <w:pPr>
        <w:pStyle w:val="FootnoteText"/>
      </w:pPr>
      <w:r>
        <w:rPr>
          <w:rStyle w:val="FootnoteReference"/>
        </w:rPr>
        <w:footnoteRef/>
      </w:r>
      <w:r>
        <w:t xml:space="preserve"> </w:t>
      </w:r>
      <w:r>
        <w:t>Day 2007: 43</w:t>
      </w:r>
    </w:p>
  </w:footnote>
  <w:footnote w:id="49">
    <w:p w:rsidR="009B5831" w:rsidRPr="009B5831" w:rsidRDefault="009B5831">
      <w:pPr>
        <w:pStyle w:val="FootnoteText"/>
      </w:pPr>
      <w:r>
        <w:rPr>
          <w:rStyle w:val="FootnoteReference"/>
        </w:rPr>
        <w:footnoteRef/>
      </w:r>
      <w:r>
        <w:t xml:space="preserve"> </w:t>
      </w:r>
      <w:r w:rsidRPr="00A57579">
        <w:t>Soph. O</w:t>
      </w:r>
      <w:r w:rsidRPr="00A57579">
        <w:rPr>
          <w:i/>
        </w:rPr>
        <w:t>T</w:t>
      </w:r>
      <w:r>
        <w:rPr>
          <w:i/>
        </w:rPr>
        <w:t>.</w:t>
      </w:r>
      <w:r>
        <w:t xml:space="preserve"> 445-453</w:t>
      </w:r>
    </w:p>
  </w:footnote>
  <w:footnote w:id="50">
    <w:p w:rsidR="009B5831" w:rsidRDefault="009B5831">
      <w:pPr>
        <w:pStyle w:val="FootnoteText"/>
      </w:pPr>
      <w:r>
        <w:rPr>
          <w:rStyle w:val="FootnoteReference"/>
        </w:rPr>
        <w:footnoteRef/>
      </w:r>
      <w:r>
        <w:t xml:space="preserve"> </w:t>
      </w:r>
      <w:proofErr w:type="spellStart"/>
      <w:r w:rsidR="000C6916" w:rsidRPr="000C6916">
        <w:t>Hom</w:t>
      </w:r>
      <w:proofErr w:type="spellEnd"/>
      <w:r w:rsidR="000C6916" w:rsidRPr="000C6916">
        <w:t xml:space="preserve">. </w:t>
      </w:r>
      <w:proofErr w:type="gramStart"/>
      <w:r w:rsidR="000C6916" w:rsidRPr="000C6916">
        <w:rPr>
          <w:i/>
        </w:rPr>
        <w:t>Od</w:t>
      </w:r>
      <w:proofErr w:type="gramEnd"/>
      <w:r w:rsidR="000C6916" w:rsidRPr="000C6916">
        <w:t>.</w:t>
      </w:r>
      <w:r w:rsidR="000C6916">
        <w:t xml:space="preserve"> 8.63-66</w:t>
      </w:r>
    </w:p>
  </w:footnote>
  <w:footnote w:id="51">
    <w:p w:rsidR="009B5831" w:rsidRPr="009B5831" w:rsidRDefault="009B5831">
      <w:pPr>
        <w:pStyle w:val="FootnoteText"/>
      </w:pPr>
      <w:r>
        <w:rPr>
          <w:rStyle w:val="FootnoteReference"/>
        </w:rPr>
        <w:footnoteRef/>
      </w:r>
      <w:r>
        <w:t xml:space="preserve"> </w:t>
      </w:r>
      <w:r w:rsidRPr="00A57579">
        <w:t>Soph. O</w:t>
      </w:r>
      <w:r w:rsidRPr="00A57579">
        <w:rPr>
          <w:i/>
        </w:rPr>
        <w:t>T</w:t>
      </w:r>
      <w:r>
        <w:rPr>
          <w:i/>
        </w:rPr>
        <w:t>.</w:t>
      </w:r>
      <w:r>
        <w:rPr>
          <w:i/>
        </w:rPr>
        <w:t xml:space="preserve"> </w:t>
      </w:r>
      <w:r>
        <w:t>467-469</w:t>
      </w:r>
    </w:p>
  </w:footnote>
  <w:footnote w:id="52">
    <w:p w:rsidR="00A8169B" w:rsidRDefault="00A8169B">
      <w:pPr>
        <w:pStyle w:val="FootnoteText"/>
      </w:pPr>
      <w:r>
        <w:rPr>
          <w:rStyle w:val="FootnoteReference"/>
        </w:rPr>
        <w:footnoteRef/>
      </w:r>
      <w:r>
        <w:t xml:space="preserve"> </w:t>
      </w:r>
      <w:r>
        <w:t>Garland 1995:</w:t>
      </w:r>
      <w:r>
        <w:t xml:space="preserve"> 87</w:t>
      </w:r>
    </w:p>
  </w:footnote>
  <w:footnote w:id="53">
    <w:p w:rsidR="00A8169B" w:rsidRDefault="00A8169B">
      <w:pPr>
        <w:pStyle w:val="FootnoteText"/>
      </w:pPr>
      <w:r>
        <w:rPr>
          <w:rStyle w:val="FootnoteReference"/>
        </w:rPr>
        <w:footnoteRef/>
      </w:r>
      <w:r>
        <w:t xml:space="preserve"> </w:t>
      </w:r>
      <w:r w:rsidR="00BE1625">
        <w:t>See Figure 5</w:t>
      </w:r>
    </w:p>
  </w:footnote>
  <w:footnote w:id="54">
    <w:p w:rsidR="00100191" w:rsidRDefault="00100191">
      <w:pPr>
        <w:pStyle w:val="FootnoteText"/>
      </w:pPr>
      <w:r>
        <w:rPr>
          <w:rStyle w:val="FootnoteReference"/>
        </w:rPr>
        <w:footnoteRef/>
      </w:r>
      <w:r>
        <w:t xml:space="preserve"> </w:t>
      </w:r>
      <w:r>
        <w:t>Simon</w:t>
      </w:r>
      <w:r w:rsidRPr="00D6392A">
        <w:t xml:space="preserve"> 1978</w:t>
      </w:r>
      <w:r>
        <w:t>:</w:t>
      </w:r>
      <w:r>
        <w:t xml:space="preserve"> 65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5266AE"/>
    <w:multiLevelType w:val="hybridMultilevel"/>
    <w:tmpl w:val="E3AA7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07C"/>
    <w:rsid w:val="00000780"/>
    <w:rsid w:val="00033999"/>
    <w:rsid w:val="00042603"/>
    <w:rsid w:val="00042C57"/>
    <w:rsid w:val="000A0AB2"/>
    <w:rsid w:val="000C6916"/>
    <w:rsid w:val="000C7A8D"/>
    <w:rsid w:val="000D270F"/>
    <w:rsid w:val="00100191"/>
    <w:rsid w:val="001132EF"/>
    <w:rsid w:val="0016114A"/>
    <w:rsid w:val="001C6A06"/>
    <w:rsid w:val="001C7299"/>
    <w:rsid w:val="001E0651"/>
    <w:rsid w:val="001E1DE4"/>
    <w:rsid w:val="001F5332"/>
    <w:rsid w:val="00210794"/>
    <w:rsid w:val="0022271D"/>
    <w:rsid w:val="00244804"/>
    <w:rsid w:val="002946BE"/>
    <w:rsid w:val="002A19E3"/>
    <w:rsid w:val="002C3D44"/>
    <w:rsid w:val="002E4E85"/>
    <w:rsid w:val="00333548"/>
    <w:rsid w:val="0035182E"/>
    <w:rsid w:val="003776E0"/>
    <w:rsid w:val="00397BE7"/>
    <w:rsid w:val="003A4D8A"/>
    <w:rsid w:val="003B1B80"/>
    <w:rsid w:val="004162E8"/>
    <w:rsid w:val="00492FB4"/>
    <w:rsid w:val="004D0024"/>
    <w:rsid w:val="004E07B1"/>
    <w:rsid w:val="004F1A63"/>
    <w:rsid w:val="0050706B"/>
    <w:rsid w:val="0053789A"/>
    <w:rsid w:val="00537C07"/>
    <w:rsid w:val="00544E85"/>
    <w:rsid w:val="00583A6B"/>
    <w:rsid w:val="005A5848"/>
    <w:rsid w:val="005B4349"/>
    <w:rsid w:val="005B607C"/>
    <w:rsid w:val="005C0495"/>
    <w:rsid w:val="005D3E25"/>
    <w:rsid w:val="005E36CD"/>
    <w:rsid w:val="005E4669"/>
    <w:rsid w:val="00626F61"/>
    <w:rsid w:val="00647EBB"/>
    <w:rsid w:val="006B04F0"/>
    <w:rsid w:val="006C13AF"/>
    <w:rsid w:val="006E48E7"/>
    <w:rsid w:val="007153F5"/>
    <w:rsid w:val="00733FB0"/>
    <w:rsid w:val="00780F8C"/>
    <w:rsid w:val="007A0D3E"/>
    <w:rsid w:val="007A1EC8"/>
    <w:rsid w:val="007A4B12"/>
    <w:rsid w:val="007B38C7"/>
    <w:rsid w:val="007E3B06"/>
    <w:rsid w:val="00801F95"/>
    <w:rsid w:val="00872381"/>
    <w:rsid w:val="0087563D"/>
    <w:rsid w:val="00875E94"/>
    <w:rsid w:val="00893239"/>
    <w:rsid w:val="00921724"/>
    <w:rsid w:val="009A7CD6"/>
    <w:rsid w:val="009B0E07"/>
    <w:rsid w:val="009B5831"/>
    <w:rsid w:val="009D2D94"/>
    <w:rsid w:val="00A001FF"/>
    <w:rsid w:val="00A015F9"/>
    <w:rsid w:val="00A241B6"/>
    <w:rsid w:val="00A458FC"/>
    <w:rsid w:val="00A53DAC"/>
    <w:rsid w:val="00A57579"/>
    <w:rsid w:val="00A65F7B"/>
    <w:rsid w:val="00A72188"/>
    <w:rsid w:val="00A8169B"/>
    <w:rsid w:val="00A9321B"/>
    <w:rsid w:val="00AA04C2"/>
    <w:rsid w:val="00AE45BB"/>
    <w:rsid w:val="00B6625B"/>
    <w:rsid w:val="00B76FE9"/>
    <w:rsid w:val="00B865B4"/>
    <w:rsid w:val="00BD437B"/>
    <w:rsid w:val="00BE1625"/>
    <w:rsid w:val="00BE5324"/>
    <w:rsid w:val="00C07A63"/>
    <w:rsid w:val="00C3761A"/>
    <w:rsid w:val="00C41961"/>
    <w:rsid w:val="00C44912"/>
    <w:rsid w:val="00C752E9"/>
    <w:rsid w:val="00CF5B84"/>
    <w:rsid w:val="00D03823"/>
    <w:rsid w:val="00D63741"/>
    <w:rsid w:val="00D6392A"/>
    <w:rsid w:val="00D65251"/>
    <w:rsid w:val="00DB6EB0"/>
    <w:rsid w:val="00E06419"/>
    <w:rsid w:val="00E56526"/>
    <w:rsid w:val="00E707D8"/>
    <w:rsid w:val="00E827CB"/>
    <w:rsid w:val="00EB1DBC"/>
    <w:rsid w:val="00EB44AB"/>
    <w:rsid w:val="00EE05A0"/>
    <w:rsid w:val="00F41CF2"/>
    <w:rsid w:val="00F83560"/>
    <w:rsid w:val="00FA22DD"/>
    <w:rsid w:val="00FB2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4908B6-7EFA-4036-84BA-1E27F832A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946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46BE"/>
    <w:rPr>
      <w:sz w:val="20"/>
      <w:szCs w:val="20"/>
    </w:rPr>
  </w:style>
  <w:style w:type="character" w:styleId="FootnoteReference">
    <w:name w:val="footnote reference"/>
    <w:basedOn w:val="DefaultParagraphFont"/>
    <w:uiPriority w:val="99"/>
    <w:semiHidden/>
    <w:unhideWhenUsed/>
    <w:rsid w:val="002946BE"/>
    <w:rPr>
      <w:vertAlign w:val="superscript"/>
    </w:rPr>
  </w:style>
  <w:style w:type="paragraph" w:styleId="ListParagraph">
    <w:name w:val="List Paragraph"/>
    <w:basedOn w:val="Normal"/>
    <w:uiPriority w:val="34"/>
    <w:qFormat/>
    <w:rsid w:val="00D652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azley.ox.ac.uk/xdb/ASP/recordDetailsLarge.asp?recordCount=7&amp;id=%7b938261A0-F0AA-4125-931E-1A62F73778C6%7d&amp;returnPage=&amp;start=0" TargetMode="External"/><Relationship Id="rId13" Type="http://schemas.openxmlformats.org/officeDocument/2006/relationships/hyperlink" Target="http://www.theoi.com/Gallery/T34.4.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url?sa=i&amp;rct=j&amp;q=&amp;esrc=s&amp;source=images&amp;cd=&amp;cad=rja&amp;uact=8&amp;ved=0ahUKEwinx8jE39fXAhXICcAKHdazB3oQjRwIBw&amp;url=https://sesenarchrese.cf/prothesis-and-ekphora-in-greek-geometric-art&amp;psig=AOvVaw2JK8VpscudSoUreivjq82W&amp;ust=1511631262128827" TargetMode="External"/><Relationship Id="rId5" Type="http://schemas.openxmlformats.org/officeDocument/2006/relationships/webSettings" Target="webSettings.xml"/><Relationship Id="rId15" Type="http://schemas.openxmlformats.org/officeDocument/2006/relationships/hyperlink" Target="https://www.google.co.uk/url?sa=i&amp;rct=j&amp;q=&amp;esrc=s&amp;source=images&amp;cd=&amp;cad=rja&amp;uact=8&amp;ved=0ahUKEwiXiNaDit_XAhXpK8AKHQBHAs0QjRwIBw&amp;url=https://www.pinterest.com/pin/354799276867479603/&amp;psig=AOvVaw2ZCJ1TKPWqCiN4xZyiYTDe&amp;ust=1511883219351249"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8D059-7638-415E-B272-163D5A351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7</Pages>
  <Words>1483</Words>
  <Characters>8457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Archer</dc:creator>
  <cp:keywords/>
  <dc:description/>
  <cp:lastModifiedBy>Stacy Archer</cp:lastModifiedBy>
  <cp:revision>96</cp:revision>
  <dcterms:created xsi:type="dcterms:W3CDTF">2017-11-24T11:50:00Z</dcterms:created>
  <dcterms:modified xsi:type="dcterms:W3CDTF">2017-11-27T15:53:00Z</dcterms:modified>
</cp:coreProperties>
</file>