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4033342" w14:textId="11BD07CE" w:rsidR="005D3382" w:rsidRDefault="00CD1537" w:rsidP="00CD1537">
      <w:pPr>
        <w:spacing w:after="2000"/>
        <w:jc w:val="center"/>
      </w:pPr>
      <w:r>
        <w:rPr>
          <w:noProof/>
        </w:rPr>
        <w:drawing>
          <wp:anchor distT="0" distB="0" distL="114300" distR="114300" simplePos="0" relativeHeight="251658240" behindDoc="0" locked="0" layoutInCell="1" allowOverlap="1" wp14:anchorId="59FDD3E2" wp14:editId="636CE521">
            <wp:simplePos x="0" y="0"/>
            <wp:positionH relativeFrom="column">
              <wp:posOffset>1559560</wp:posOffset>
            </wp:positionH>
            <wp:positionV relativeFrom="paragraph">
              <wp:posOffset>143697</wp:posOffset>
            </wp:positionV>
            <wp:extent cx="2619375" cy="1165894"/>
            <wp:effectExtent l="0" t="0" r="0" b="2540"/>
            <wp:wrapNone/>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19375" cy="1165894"/>
                    </a:xfrm>
                    <a:prstGeom prst="rect">
                      <a:avLst/>
                    </a:prstGeom>
                    <a:noFill/>
                  </pic:spPr>
                </pic:pic>
              </a:graphicData>
            </a:graphic>
            <wp14:sizeRelH relativeFrom="page">
              <wp14:pctWidth>0</wp14:pctWidth>
            </wp14:sizeRelH>
            <wp14:sizeRelV relativeFrom="page">
              <wp14:pctHeight>0</wp14:pctHeight>
            </wp14:sizeRelV>
          </wp:anchor>
        </w:drawing>
      </w:r>
    </w:p>
    <w:p w14:paraId="0A3AAA22" w14:textId="4E724B3B" w:rsidR="00CD1537" w:rsidRDefault="00CD1537" w:rsidP="00CD1537">
      <w:pPr>
        <w:spacing w:after="2000"/>
        <w:jc w:val="center"/>
      </w:pPr>
    </w:p>
    <w:p w14:paraId="2528C381" w14:textId="77777777" w:rsidR="00CD1537" w:rsidRDefault="00CD1537" w:rsidP="00CD1537">
      <w:pPr>
        <w:spacing w:after="2000"/>
        <w:jc w:val="center"/>
      </w:pPr>
    </w:p>
    <w:p w14:paraId="4771A8EE" w14:textId="77777777" w:rsidR="005D3382" w:rsidRPr="00CD1537" w:rsidRDefault="00000000" w:rsidP="00CD1537">
      <w:pPr>
        <w:spacing w:after="200" w:line="360" w:lineRule="auto"/>
        <w:jc w:val="center"/>
        <w:rPr>
          <w:sz w:val="22"/>
          <w:szCs w:val="22"/>
        </w:rPr>
      </w:pPr>
      <w:r w:rsidRPr="00CD1537">
        <w:rPr>
          <w:rFonts w:ascii="Arial" w:eastAsia="Arial" w:hAnsi="Arial" w:cs="Arial"/>
          <w:sz w:val="22"/>
          <w:szCs w:val="22"/>
        </w:rPr>
        <w:t>Module Code: BMHP5016</w:t>
      </w:r>
    </w:p>
    <w:p w14:paraId="6E6A8029" w14:textId="77777777" w:rsidR="005D3382" w:rsidRPr="00CD1537" w:rsidRDefault="00000000" w:rsidP="00CD1537">
      <w:pPr>
        <w:spacing w:after="200" w:line="360" w:lineRule="auto"/>
        <w:jc w:val="center"/>
        <w:rPr>
          <w:sz w:val="22"/>
          <w:szCs w:val="22"/>
        </w:rPr>
      </w:pPr>
      <w:r w:rsidRPr="00CD1537">
        <w:rPr>
          <w:rFonts w:ascii="Arial" w:eastAsia="Arial" w:hAnsi="Arial" w:cs="Arial"/>
          <w:sz w:val="22"/>
          <w:szCs w:val="22"/>
        </w:rPr>
        <w:t>Module Title: Principles of Health and Social Care Practice</w:t>
      </w:r>
    </w:p>
    <w:p w14:paraId="06C38C99" w14:textId="77777777" w:rsidR="005D3382" w:rsidRPr="00CD1537" w:rsidRDefault="00000000" w:rsidP="00CD1537">
      <w:pPr>
        <w:spacing w:after="200" w:line="360" w:lineRule="auto"/>
        <w:jc w:val="center"/>
        <w:rPr>
          <w:sz w:val="22"/>
          <w:szCs w:val="22"/>
        </w:rPr>
      </w:pPr>
      <w:r w:rsidRPr="00CD1537">
        <w:rPr>
          <w:rFonts w:ascii="Arial" w:eastAsia="Arial" w:hAnsi="Arial" w:cs="Arial"/>
          <w:b/>
          <w:bCs/>
          <w:sz w:val="22"/>
          <w:szCs w:val="22"/>
        </w:rPr>
        <w:t>Assignment Title: Component 1 - Written Assignment (Reflective Report)</w:t>
      </w:r>
    </w:p>
    <w:p w14:paraId="16F58C0C" w14:textId="77777777" w:rsidR="005D3382" w:rsidRDefault="00000000" w:rsidP="00CD1537">
      <w:pPr>
        <w:spacing w:after="200" w:line="360" w:lineRule="auto"/>
        <w:jc w:val="center"/>
        <w:rPr>
          <w:rFonts w:ascii="Arial" w:eastAsia="Arial" w:hAnsi="Arial" w:cs="Arial"/>
          <w:sz w:val="22"/>
          <w:szCs w:val="22"/>
        </w:rPr>
      </w:pPr>
      <w:r w:rsidRPr="00CD1537">
        <w:rPr>
          <w:rFonts w:ascii="Arial" w:eastAsia="Arial" w:hAnsi="Arial" w:cs="Arial"/>
          <w:sz w:val="22"/>
          <w:szCs w:val="22"/>
        </w:rPr>
        <w:t>BSc Health and Social Care</w:t>
      </w:r>
    </w:p>
    <w:p w14:paraId="6D6BCAC6" w14:textId="77777777" w:rsidR="00CD1537" w:rsidRPr="00CD1537" w:rsidRDefault="00CD1537" w:rsidP="00CD1537">
      <w:pPr>
        <w:spacing w:after="2000" w:line="360" w:lineRule="auto"/>
        <w:rPr>
          <w:sz w:val="22"/>
          <w:szCs w:val="22"/>
        </w:rPr>
      </w:pPr>
    </w:p>
    <w:p w14:paraId="5B4EF1CF" w14:textId="77777777" w:rsidR="00CD1537" w:rsidRPr="00CD1537" w:rsidRDefault="00CD1537" w:rsidP="00CD1537">
      <w:pPr>
        <w:spacing w:after="200" w:line="360" w:lineRule="auto"/>
        <w:jc w:val="center"/>
        <w:rPr>
          <w:sz w:val="22"/>
          <w:szCs w:val="22"/>
        </w:rPr>
      </w:pPr>
      <w:r w:rsidRPr="00CD1537">
        <w:rPr>
          <w:rFonts w:ascii="Arial" w:eastAsia="Arial" w:hAnsi="Arial" w:cs="Arial"/>
          <w:sz w:val="22"/>
          <w:szCs w:val="22"/>
        </w:rPr>
        <w:t>Lamaiya Smith</w:t>
      </w:r>
    </w:p>
    <w:p w14:paraId="7E9F70FB" w14:textId="77777777" w:rsidR="00CD1537" w:rsidRPr="00CD1537" w:rsidRDefault="00CD1537" w:rsidP="00CD1537">
      <w:pPr>
        <w:spacing w:after="200" w:line="360" w:lineRule="auto"/>
        <w:jc w:val="center"/>
        <w:rPr>
          <w:sz w:val="22"/>
          <w:szCs w:val="22"/>
        </w:rPr>
      </w:pPr>
      <w:r w:rsidRPr="00CD1537">
        <w:rPr>
          <w:rFonts w:ascii="Arial" w:eastAsia="Arial" w:hAnsi="Arial" w:cs="Arial"/>
          <w:sz w:val="22"/>
          <w:szCs w:val="22"/>
        </w:rPr>
        <w:t>Student Number: 18174</w:t>
      </w:r>
    </w:p>
    <w:p w14:paraId="0EC3E0E4" w14:textId="77777777" w:rsidR="00CD1537" w:rsidRPr="00CD1537" w:rsidRDefault="00CD1537" w:rsidP="00CD1537">
      <w:pPr>
        <w:spacing w:after="200" w:line="360" w:lineRule="auto"/>
        <w:jc w:val="center"/>
        <w:rPr>
          <w:sz w:val="22"/>
          <w:szCs w:val="22"/>
        </w:rPr>
      </w:pPr>
    </w:p>
    <w:p w14:paraId="779345A3" w14:textId="77777777" w:rsidR="00F061E6" w:rsidRDefault="00000000" w:rsidP="00F061E6">
      <w:r>
        <w:br w:type="page"/>
      </w:r>
    </w:p>
    <w:p w14:paraId="0A505ADE" w14:textId="77777777" w:rsidR="00500D10" w:rsidRDefault="00000000" w:rsidP="00500D10">
      <w:pPr>
        <w:spacing w:line="360" w:lineRule="auto"/>
        <w:rPr>
          <w:rFonts w:ascii="Arial" w:eastAsia="Arial" w:hAnsi="Arial" w:cs="Arial"/>
          <w:b/>
          <w:bCs/>
          <w:color w:val="000000" w:themeColor="text1"/>
          <w:sz w:val="22"/>
          <w:szCs w:val="22"/>
        </w:rPr>
      </w:pPr>
      <w:r w:rsidRPr="00CD1537">
        <w:rPr>
          <w:rFonts w:ascii="Arial" w:eastAsia="Arial" w:hAnsi="Arial" w:cs="Arial"/>
          <w:b/>
          <w:bCs/>
          <w:color w:val="000000" w:themeColor="text1"/>
          <w:sz w:val="22"/>
          <w:szCs w:val="22"/>
        </w:rPr>
        <w:lastRenderedPageBreak/>
        <w:t>Introduction</w:t>
      </w:r>
    </w:p>
    <w:p w14:paraId="010EB987" w14:textId="77777777" w:rsidR="00303219" w:rsidRDefault="00303219" w:rsidP="00CD1537">
      <w:pPr>
        <w:pStyle w:val="Heading1"/>
        <w:spacing w:before="300" w:after="200" w:line="360" w:lineRule="auto"/>
        <w:rPr>
          <w:rFonts w:ascii="Arial" w:eastAsia="Arial" w:hAnsi="Arial" w:cs="Arial"/>
          <w:color w:val="auto"/>
          <w:sz w:val="22"/>
          <w:szCs w:val="22"/>
        </w:rPr>
      </w:pPr>
      <w:r w:rsidRPr="00303219">
        <w:rPr>
          <w:rFonts w:ascii="Arial" w:eastAsia="Arial" w:hAnsi="Arial" w:cs="Arial"/>
          <w:color w:val="auto"/>
          <w:sz w:val="22"/>
          <w:szCs w:val="22"/>
        </w:rPr>
        <w:t>In the UK, safe and effective health and social care relies on three interlinked principles: treating people as individuals, working across professional boundaries, and grounding decisions in ethics. Legislation, national policy and professional guidance all reinforce these expectations. Drawing on theory and literature, this report critically evaluates why these principles matter, applies them to Robyn's personal health budget case study published by NHS England, and reflects on how this module will shape my future practice as I work towards a career in midwifery</w:t>
      </w:r>
    </w:p>
    <w:p w14:paraId="1666792A" w14:textId="77777777" w:rsidR="00303219" w:rsidRDefault="00303219" w:rsidP="00CD1537">
      <w:pPr>
        <w:spacing w:after="200" w:line="360" w:lineRule="auto"/>
        <w:rPr>
          <w:rFonts w:ascii="Arial" w:eastAsia="Arial" w:hAnsi="Arial" w:cs="Arial"/>
          <w:b/>
          <w:bCs/>
          <w:color w:val="000000" w:themeColor="text1"/>
          <w:sz w:val="22"/>
          <w:szCs w:val="22"/>
        </w:rPr>
      </w:pPr>
      <w:r w:rsidRPr="00303219">
        <w:rPr>
          <w:rFonts w:ascii="Arial" w:eastAsia="Arial" w:hAnsi="Arial" w:cs="Arial"/>
          <w:b/>
          <w:bCs/>
          <w:color w:val="000000" w:themeColor="text1"/>
          <w:sz w:val="22"/>
          <w:szCs w:val="22"/>
        </w:rPr>
        <w:t>Reflecting on the Core Principles of Health and Social Care Practice</w:t>
      </w:r>
    </w:p>
    <w:p w14:paraId="49FDDD08" w14:textId="77777777" w:rsidR="004C5093" w:rsidRDefault="004C5093" w:rsidP="00CD1537">
      <w:pPr>
        <w:pStyle w:val="Heading1"/>
        <w:spacing w:before="300" w:after="200" w:line="360" w:lineRule="auto"/>
        <w:rPr>
          <w:rFonts w:ascii="Arial" w:eastAsia="Arial" w:hAnsi="Arial" w:cs="Arial"/>
          <w:color w:val="auto"/>
          <w:sz w:val="22"/>
          <w:szCs w:val="22"/>
        </w:rPr>
      </w:pPr>
      <w:r w:rsidRPr="004C5093">
        <w:rPr>
          <w:rFonts w:ascii="Arial" w:eastAsia="Arial" w:hAnsi="Arial" w:cs="Arial"/>
          <w:color w:val="auto"/>
          <w:sz w:val="22"/>
          <w:szCs w:val="22"/>
        </w:rPr>
        <w:t>Rather than focusing on a diagnosis, person-centred care puts the individual and their preferences at the heart of every decision made about them. NHS England (2019) describes this as enabling people to have a stronger voice in shaping the support they receive, based on their own priorities. This is not just best practice but a legal duty: Regulation 9 of the Health and Social Care Act 2008 (Regulated Activities) Regulations 2014 requires providers to deliver care that is appropriate, meets individual needs and reflects personal preference (Care Quality Commission, 2025). Maslow's (1943) hierarchy of needs offers a helpful theoretical lens here: physiological and safety needs must be met before belonging, esteem and self-actualisation can be addressed, explaining why care focused solely on physical treatment can fall short of true person-centredness. Coulter and Oldham (2016) found that person-centred approaches improve patient satisfaction and self-management by encouraging active participation. However, workforce pressure, rising demand and limited resources mean these intentions can become little more than a formality in practice, reduced to a checklist rather than genuine dialogue</w:t>
      </w:r>
    </w:p>
    <w:p w14:paraId="5ED21363" w14:textId="5FEAB3BA" w:rsidR="003F05E7" w:rsidRDefault="00602E61" w:rsidP="00CD1537">
      <w:pPr>
        <w:pStyle w:val="Heading1"/>
        <w:spacing w:before="300" w:after="200" w:line="360" w:lineRule="auto"/>
        <w:rPr>
          <w:rFonts w:ascii="Arial" w:eastAsia="Arial" w:hAnsi="Arial" w:cs="Arial"/>
          <w:color w:val="auto"/>
          <w:sz w:val="22"/>
          <w:szCs w:val="22"/>
        </w:rPr>
      </w:pPr>
      <w:r w:rsidRPr="00602E61">
        <w:rPr>
          <w:rFonts w:ascii="Arial" w:eastAsia="Arial" w:hAnsi="Arial" w:cs="Arial"/>
          <w:color w:val="auto"/>
          <w:sz w:val="22"/>
          <w:szCs w:val="22"/>
        </w:rPr>
        <w:t>Partnership working addresses the reality that complex needs cannot be met by a single professional or organisation. Under the Health and Care Act 2022, Integrated Care Systems became a legal requirement rather than a voluntary arrangement, formally requiring NHS organisations, councils and voluntary sector partners to plan care together rather than separately. Miller, Glasby and Dickinson (2021) note that integration makes most progress when it focuses on tangible, shared issues, but caution that policy layering and chronic underfunding of social care have historically limited impact. The King's Fund (2021) similarly argues that differences in funding and culture between health and social care remain a genuine barrier to equal partnership. Partnership working therefore depends as much on relationship-building as on structural reform.</w:t>
      </w:r>
      <w:r w:rsidR="003F05E7">
        <w:rPr>
          <w:rFonts w:ascii="Arial" w:eastAsia="Arial" w:hAnsi="Arial" w:cs="Arial"/>
          <w:color w:val="auto"/>
          <w:sz w:val="22"/>
          <w:szCs w:val="22"/>
        </w:rPr>
        <w:t xml:space="preserve"> </w:t>
      </w:r>
    </w:p>
    <w:p w14:paraId="42E221F9" w14:textId="69182861" w:rsidR="007B3014" w:rsidRPr="00CD1537" w:rsidRDefault="007B3014" w:rsidP="00CD1537">
      <w:pPr>
        <w:pStyle w:val="Heading1"/>
        <w:spacing w:before="300" w:after="200" w:line="360" w:lineRule="auto"/>
        <w:rPr>
          <w:rFonts w:ascii="Arial" w:eastAsia="Arial" w:hAnsi="Arial" w:cs="Arial"/>
          <w:color w:val="auto"/>
          <w:sz w:val="22"/>
          <w:szCs w:val="22"/>
        </w:rPr>
      </w:pPr>
      <w:r w:rsidRPr="00CD1537">
        <w:rPr>
          <w:rFonts w:ascii="Arial" w:eastAsia="Arial" w:hAnsi="Arial" w:cs="Arial"/>
          <w:color w:val="auto"/>
          <w:sz w:val="22"/>
          <w:szCs w:val="22"/>
        </w:rPr>
        <w:lastRenderedPageBreak/>
        <w:t>Ethically, the case highlights the centrality of autonomy to wellbeing. Choosing her own PAs and managing her own employment gave Robyn what she describes as being "back in control" of her life (NHS England, 2021), aligning with the NHS Comprehensive Model, which positions shared decision-making and personal health budgets as tools for enabling autonomy (NHS England, 2019). This also reflects Maslow's (1943) hierarchy of needs: Robyn's earlier care met her basic physiological and safety needs, but it was only once she gained genuine control that her higher-level needs for belonging, esteem and self-actualisation, reflected in her later independence and her own business, could be addressed. Yet the eighteen-month delay points to a shortfall in beneficence, and Robyn's own observation that speaking to other PHB holders would have helped her suggests that partnership working, as currently structured, gives too little attention to informal, experiential support that service users themselves value.</w:t>
      </w:r>
      <w:r w:rsidRPr="00CD1537">
        <w:rPr>
          <w:rFonts w:ascii="Arial" w:eastAsia="Arial" w:hAnsi="Arial" w:cs="Arial"/>
          <w:color w:val="auto"/>
          <w:sz w:val="22"/>
          <w:szCs w:val="22"/>
        </w:rPr>
        <w:t xml:space="preserve"> </w:t>
      </w:r>
    </w:p>
    <w:p w14:paraId="327DC366" w14:textId="75EDE7CA" w:rsidR="005D3382" w:rsidRPr="00CD1537" w:rsidRDefault="00000000" w:rsidP="00CD1537">
      <w:pPr>
        <w:pStyle w:val="Heading1"/>
        <w:spacing w:before="300" w:after="200" w:line="360" w:lineRule="auto"/>
        <w:rPr>
          <w:color w:val="000000" w:themeColor="text1"/>
          <w:sz w:val="22"/>
          <w:szCs w:val="22"/>
        </w:rPr>
      </w:pPr>
      <w:r w:rsidRPr="00CD1537">
        <w:rPr>
          <w:rFonts w:ascii="Arial" w:eastAsia="Arial" w:hAnsi="Arial" w:cs="Arial"/>
          <w:b/>
          <w:bCs/>
          <w:color w:val="000000" w:themeColor="text1"/>
          <w:sz w:val="22"/>
          <w:szCs w:val="22"/>
        </w:rPr>
        <w:t>Practical Examples of Concepts in Practice - Robyn's Case Study</w:t>
      </w:r>
    </w:p>
    <w:p w14:paraId="1DBDE8E3"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Robyn's story, published by NHS England (2021), illustrates both the value and limitations of these principles in practice. Robyn sustained a spinal cord injury in a car accident in 2006, aged 21, leaving her tetraplegic and reliant on 24-hour care. Her care was initially delivered by an agency jointly funded by NHS Continuing Healthcare and the local authority, which struggled to recruit and retain staff as it grew; by 2014, Robyn had been supported by 36 different personal assistants (PAs) in a single year. This lack of continuity breaches the spirit of Regulation 9: care that changes hands constantly cannot reliably reflect an individual's preferences.</w:t>
      </w:r>
    </w:p>
    <w:p w14:paraId="199C1539" w14:textId="66094462" w:rsidR="005D3382" w:rsidRPr="00CD1537" w:rsidRDefault="00000000" w:rsidP="00CD1537">
      <w:pPr>
        <w:spacing w:after="200" w:line="360" w:lineRule="auto"/>
        <w:rPr>
          <w:sz w:val="22"/>
          <w:szCs w:val="22"/>
        </w:rPr>
      </w:pPr>
      <w:r w:rsidRPr="00CD1537">
        <w:rPr>
          <w:rFonts w:ascii="Arial" w:eastAsia="Arial" w:hAnsi="Arial" w:cs="Arial"/>
          <w:sz w:val="22"/>
          <w:szCs w:val="22"/>
        </w:rPr>
        <w:t xml:space="preserve">The introduction of a Personal Health Budget (PHB) in November 2015 marked a shift towards genuine personalisation, allowing Robyn to employ her own PAs directly. However, the process took eighteen months, during which she describes long periods with no contact or information about progress (NHS England, 2021). This illustrates a recurring weakness in partnership </w:t>
      </w:r>
      <w:r w:rsidR="00F061E6" w:rsidRPr="00CD1537">
        <w:rPr>
          <w:rFonts w:ascii="Arial" w:eastAsia="Arial" w:hAnsi="Arial" w:cs="Arial"/>
          <w:sz w:val="22"/>
          <w:szCs w:val="22"/>
        </w:rPr>
        <w:t>working</w:t>
      </w:r>
      <w:r w:rsidRPr="00CD1537">
        <w:rPr>
          <w:rFonts w:ascii="Arial" w:eastAsia="Arial" w:hAnsi="Arial" w:cs="Arial"/>
          <w:sz w:val="22"/>
          <w:szCs w:val="22"/>
        </w:rPr>
        <w:t xml:space="preserve"> agencies were nominally working together, but communication with Robyn herself was inconsistent. Her original care plan, though sufficient to get the PHB running, did not reflect her as a person; she later rewrote it herself once her confidence grew, suggesting that authentic co-production only happened once she took ownership, raising the question of why professionals did not facilitate this from the outset.</w:t>
      </w:r>
    </w:p>
    <w:p w14:paraId="13E6ED7F"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 xml:space="preserve">Ethically, the case highlights the centrality of autonomy to wellbeing. Choosing her own PAs and managing her own employment gave Robyn what she describes as being “back in control” of her life (NHS England, 2021), aligning with the NHS Comprehensive Model, which positions shared decision-making and personal health budgets as tools for enabling </w:t>
      </w:r>
      <w:r w:rsidRPr="00CD1537">
        <w:rPr>
          <w:rFonts w:ascii="Arial" w:eastAsia="Arial" w:hAnsi="Arial" w:cs="Arial"/>
          <w:sz w:val="22"/>
          <w:szCs w:val="22"/>
        </w:rPr>
        <w:lastRenderedPageBreak/>
        <w:t>autonomy (NHS England, 2019). Yet the eighteen-month delay points to a shortfall in beneficence, and Robyn's own observation that speaking to other PHB holders would have helped her suggests that partnership working, as currently structured, gives too little attention to informal, experiential support that service users themselves value.</w:t>
      </w:r>
    </w:p>
    <w:p w14:paraId="1D31E70C"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Robyn's case therefore shows that these principles can transform outcomes, but only when implementation matches the ambition of the policy. Her eventual independence, running her own business and choosing her own PAs, shows what is achievable; the years under an inconsistent agency model, and the drawn-out transition that followed, show that the gap between policy and lived delivery is where real harm is most likely to occur.</w:t>
      </w:r>
    </w:p>
    <w:p w14:paraId="1E797CE5" w14:textId="7873F79C" w:rsidR="005D3382" w:rsidRPr="00CD1537" w:rsidRDefault="00000000" w:rsidP="00CD1537">
      <w:pPr>
        <w:pStyle w:val="Heading1"/>
        <w:spacing w:before="300" w:after="200" w:line="360" w:lineRule="auto"/>
        <w:rPr>
          <w:color w:val="000000" w:themeColor="text1"/>
          <w:sz w:val="22"/>
          <w:szCs w:val="22"/>
        </w:rPr>
      </w:pPr>
      <w:r w:rsidRPr="00CD1537">
        <w:rPr>
          <w:rFonts w:ascii="Arial" w:eastAsia="Arial" w:hAnsi="Arial" w:cs="Arial"/>
          <w:b/>
          <w:bCs/>
          <w:color w:val="000000" w:themeColor="text1"/>
          <w:sz w:val="22"/>
          <w:szCs w:val="22"/>
        </w:rPr>
        <w:t>Self-Reflection as a Health and Social Care Professional</w:t>
      </w:r>
    </w:p>
    <w:p w14:paraId="35B9263F"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Before beginning this module, I understood that healthcare professionals should be compassionate, but I viewed care mainly through the lens of treating illness and meeting physical needs. Studying person-centred care, partnership working and ethics has challenged this. Using Schön's (1983) distinction between reflection-in-action, thinking on our feet in the moment, and reflection-on-action, the considered analysis that happens afterwards, I can see that much of my previous understanding was shaped by the former: quick, instinctive judgements about what compassionate care looked like, without the deeper, structured reflection this module has required. I now recognise that effective care depends on people remaining active participants in decisions about their own health and wellbeing, rather than passive recipients of treatment decided on their behalf.</w:t>
      </w:r>
    </w:p>
    <w:p w14:paraId="1AFD1C8D" w14:textId="6C45C9A9" w:rsidR="005D3382" w:rsidRPr="00CD1537" w:rsidRDefault="00000000" w:rsidP="00CD1537">
      <w:pPr>
        <w:spacing w:after="200" w:line="360" w:lineRule="auto"/>
        <w:rPr>
          <w:sz w:val="22"/>
          <w:szCs w:val="22"/>
        </w:rPr>
      </w:pPr>
      <w:r w:rsidRPr="00CD1537">
        <w:rPr>
          <w:rFonts w:ascii="Arial" w:eastAsia="Arial" w:hAnsi="Arial" w:cs="Arial"/>
          <w:sz w:val="22"/>
          <w:szCs w:val="22"/>
        </w:rPr>
        <w:t xml:space="preserve">This became very real for me in September 2025, when my nan needed surgery for a drop foot. She did not want to go ahead with it, but I encouraged her to have it done, and I was there for her appointments and helped care for her afterwards. At the time, I felt I was acting in her best </w:t>
      </w:r>
      <w:r w:rsidR="007B3014" w:rsidRPr="00CD1537">
        <w:rPr>
          <w:rFonts w:ascii="Arial" w:eastAsia="Arial" w:hAnsi="Arial" w:cs="Arial"/>
          <w:sz w:val="22"/>
          <w:szCs w:val="22"/>
        </w:rPr>
        <w:t>interests but</w:t>
      </w:r>
      <w:r w:rsidRPr="00CD1537">
        <w:rPr>
          <w:rFonts w:ascii="Arial" w:eastAsia="Arial" w:hAnsi="Arial" w:cs="Arial"/>
          <w:sz w:val="22"/>
          <w:szCs w:val="22"/>
        </w:rPr>
        <w:t xml:space="preserve"> reflecting on it now through Beauchamp and Childress's (2019) framework, I can see the tension between beneficence and autonomy in what I did: I was confident the surgery would improve her mobility and safety, but it was still her body and her decision, and my advice, however well-intentioned, pushed against what she initially wanted. Reflecting on this in hindsight, rather than in the moment, has shown me how easily good intentions can slip into a paternalistic approach, and it has made me more conscious of the difference between supporting someone's decision and steering it.</w:t>
      </w:r>
    </w:p>
    <w:p w14:paraId="7B3D02A5"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 xml:space="preserve">As someone working towards a career in midwifery, I believe these principles will be central to my future practice. The NMC Code (Nursing and Midwifery Council, 2018) requires nurses and midwives to prioritise people, listening to and responding to their preferences, and NHS England's (2021) guidance on personalised care and support planning in maternity services </w:t>
      </w:r>
      <w:r w:rsidRPr="00CD1537">
        <w:rPr>
          <w:rFonts w:ascii="Arial" w:eastAsia="Arial" w:hAnsi="Arial" w:cs="Arial"/>
          <w:sz w:val="22"/>
          <w:szCs w:val="22"/>
        </w:rPr>
        <w:lastRenderedPageBreak/>
        <w:t>makes clear this extends specifically to decisions around pregnancy and birth. I want women in my future care to feel listened to, respected and genuinely involved in decisions about their care, and given clear, evidence-based information that supports informed choice. Robyn's case study, discussed in Task 2, reinforced this for me: the point at which Robyn felt she regained control of her life was not when her physical needs were met, but when she was genuinely able to shape decisions about her.</w:t>
      </w:r>
    </w:p>
    <w:p w14:paraId="6E9B6156"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Studying partnership working has reinforced that no professional works in isolation. In midwifery, this means working closely with obstetricians, health visitors and social workers, particularly for women with additional vulnerabilities such as safeguarding concerns. Miller, Glasby and Dickinson's (2021) observation that successful integration depends on sustained relationship-building rather than structural change alone feels directly relevant. Robyn's case similarly showed that multiple agencies being formally involved did not guarantee good communication; her eighteen-month gap in contact happened despite, not because of, a lack of partners. I cannot assume a multidisciplinary team will communicate well simply because it exists on paper; I will need to actively contribute to that communication myself, particularly around handovers and shared care.</w:t>
      </w:r>
    </w:p>
    <w:p w14:paraId="59F20193"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This module has also deepened my understanding of ethical practice. Beauchamp and Childress's (2019) four principles give me a clearer vocabulary for situations where a woman's autonomous choice, for example around place of birth, pain relief, or declining a recommended intervention, may sit in tension with a professional's assessment of risk. I recognise that the Mental Capacity Act 2005 provides a legal framework for the small minority of cases where capacity is genuinely in question, but most day-to-day ethical practice depends on skilled, respectful conversation rather than formal assessment. Reflecting on Robyn's case again, her autonomy was ultimately respected, but this took far longer, and required more of her own initiative, than it arguably should have. I want to be a professional who supports autonomy proactively, rather than one who simply avoids obstructing it.</w:t>
      </w:r>
    </w:p>
    <w:p w14:paraId="34333C72"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 xml:space="preserve">One of my clear strengths is empathy, particularly with people who feel vulnerable, anxious or unsure of what to expect. As a lash artist and educator running my own beauty training business, I work closely with clients in a close, personal setting, explaining procedures, checking for contraindications and adjusting my approach to each person's comfort and preference. This has also sharpened my communication skills: I have had to learn to explain technical information clearly and reassuringly to clients with no prior knowledge, and to mentor students in a way that builds their confidence rather than simply correcting them. I believe both skills, empathy and clear, adaptable communication, transfer directly into health </w:t>
      </w:r>
      <w:r w:rsidRPr="00CD1537">
        <w:rPr>
          <w:rFonts w:ascii="Arial" w:eastAsia="Arial" w:hAnsi="Arial" w:cs="Arial"/>
          <w:sz w:val="22"/>
          <w:szCs w:val="22"/>
        </w:rPr>
        <w:lastRenderedPageBreak/>
        <w:t>and social care, where explaining procedures, listening to concerns and adjusting communication to the individual sit at the heart of person-centred practice.</w:t>
      </w:r>
    </w:p>
    <w:p w14:paraId="2CA2A54D"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Alongside these strengths, I recognise clear areas for development. My knowledge of health and social care legislation is still developing, and I want to build a more detailed, working knowledge of frameworks such as the Mental Capacity Act 2005, the Care Act 2014 and the Health and Care Act 2022, so I can apply them confidently in specific situations rather than relying on general awareness. I also want to develop greater confidence navigating ethical conflict in practice, particularly the tension between autonomy and beneficence discussed above, where professional judgement, informed by reflection, matters as much as the framework itself. To address this, I plan to engage in continuing professional development through further study, keeping a regular reflective practice log using Schön's (1983) model, and, where possible, shadowing midwives and other professionals to see how these principles are negotiated in real settings rather than only in theory.</w:t>
      </w:r>
    </w:p>
    <w:p w14:paraId="76AC442D" w14:textId="77777777" w:rsidR="005D3382" w:rsidRPr="00CD1537" w:rsidRDefault="00000000" w:rsidP="00CD1537">
      <w:pPr>
        <w:spacing w:after="200" w:line="360" w:lineRule="auto"/>
        <w:rPr>
          <w:sz w:val="22"/>
          <w:szCs w:val="22"/>
        </w:rPr>
      </w:pPr>
      <w:r w:rsidRPr="00CD1537">
        <w:rPr>
          <w:rFonts w:ascii="Arial" w:eastAsia="Arial" w:hAnsi="Arial" w:cs="Arial"/>
          <w:sz w:val="22"/>
          <w:szCs w:val="22"/>
        </w:rPr>
        <w:t>Overall, this module has changed how I think about health and social care, moving me away from a narrow, treatment-focused view towards one that recognises person-centred care, partnership working and ethics as interconnected and essential. Robyn's story has shown me that these principles are not abstract policy goals; they have a direct, measurable impact on someone's quality of life, and the gap between the ambition of a policy and its lived delivery is where the real professional responsibility lies. This gives me a strong foundation to build on throughout my studies and into my future career in midwifery.</w:t>
      </w:r>
    </w:p>
    <w:p w14:paraId="314343F9" w14:textId="77777777" w:rsidR="00F061E6" w:rsidRPr="00CD1537" w:rsidRDefault="00F061E6" w:rsidP="00CD1537">
      <w:pPr>
        <w:pStyle w:val="Heading1"/>
        <w:spacing w:before="300" w:after="200" w:line="360" w:lineRule="auto"/>
        <w:rPr>
          <w:rFonts w:ascii="Arial" w:eastAsia="Arial" w:hAnsi="Arial" w:cs="Arial"/>
          <w:b/>
          <w:bCs/>
          <w:color w:val="000000" w:themeColor="text1"/>
          <w:sz w:val="22"/>
          <w:szCs w:val="22"/>
        </w:rPr>
      </w:pPr>
    </w:p>
    <w:p w14:paraId="41193AB0" w14:textId="77777777" w:rsidR="00F061E6" w:rsidRPr="00CD1537" w:rsidRDefault="00F061E6" w:rsidP="00CD1537">
      <w:pPr>
        <w:pStyle w:val="Heading1"/>
        <w:spacing w:before="300" w:after="200" w:line="360" w:lineRule="auto"/>
        <w:rPr>
          <w:rFonts w:ascii="Arial" w:eastAsia="Arial" w:hAnsi="Arial" w:cs="Arial"/>
          <w:b/>
          <w:bCs/>
          <w:color w:val="000000" w:themeColor="text1"/>
          <w:sz w:val="22"/>
          <w:szCs w:val="22"/>
        </w:rPr>
      </w:pPr>
    </w:p>
    <w:p w14:paraId="4D58A4C6" w14:textId="77777777" w:rsidR="00F061E6" w:rsidRPr="00CD1537" w:rsidRDefault="00F061E6" w:rsidP="00CD1537">
      <w:pPr>
        <w:pStyle w:val="Heading1"/>
        <w:spacing w:before="300" w:after="200" w:line="360" w:lineRule="auto"/>
        <w:rPr>
          <w:rFonts w:ascii="Arial" w:eastAsia="Arial" w:hAnsi="Arial" w:cs="Arial"/>
          <w:b/>
          <w:bCs/>
          <w:color w:val="000000" w:themeColor="text1"/>
          <w:sz w:val="22"/>
          <w:szCs w:val="22"/>
        </w:rPr>
      </w:pPr>
    </w:p>
    <w:p w14:paraId="25C87561" w14:textId="77777777" w:rsidR="00F061E6" w:rsidRPr="00CD1537" w:rsidRDefault="00F061E6" w:rsidP="00CD1537">
      <w:pPr>
        <w:pStyle w:val="Heading1"/>
        <w:spacing w:before="300" w:after="200" w:line="360" w:lineRule="auto"/>
        <w:rPr>
          <w:rFonts w:ascii="Arial" w:eastAsia="Arial" w:hAnsi="Arial" w:cs="Arial"/>
          <w:b/>
          <w:bCs/>
          <w:color w:val="000000" w:themeColor="text1"/>
          <w:sz w:val="22"/>
          <w:szCs w:val="22"/>
        </w:rPr>
      </w:pPr>
    </w:p>
    <w:p w14:paraId="741E571D" w14:textId="77777777" w:rsidR="00F061E6" w:rsidRPr="00CD1537" w:rsidRDefault="00F061E6" w:rsidP="00CD1537">
      <w:pPr>
        <w:pStyle w:val="Heading1"/>
        <w:spacing w:before="300" w:after="200" w:line="360" w:lineRule="auto"/>
        <w:rPr>
          <w:rFonts w:ascii="Arial" w:eastAsia="Arial" w:hAnsi="Arial" w:cs="Arial"/>
          <w:b/>
          <w:bCs/>
          <w:color w:val="000000" w:themeColor="text1"/>
          <w:sz w:val="22"/>
          <w:szCs w:val="22"/>
        </w:rPr>
      </w:pPr>
    </w:p>
    <w:p w14:paraId="7CAAC164" w14:textId="77777777" w:rsidR="00F061E6" w:rsidRPr="00CD1537" w:rsidRDefault="00F061E6" w:rsidP="00CD1537">
      <w:pPr>
        <w:pStyle w:val="Heading1"/>
        <w:spacing w:before="300" w:after="200" w:line="360" w:lineRule="auto"/>
        <w:rPr>
          <w:rFonts w:ascii="Arial" w:eastAsia="Arial" w:hAnsi="Arial" w:cs="Arial"/>
          <w:b/>
          <w:bCs/>
          <w:color w:val="000000" w:themeColor="text1"/>
          <w:sz w:val="22"/>
          <w:szCs w:val="22"/>
        </w:rPr>
      </w:pPr>
    </w:p>
    <w:p w14:paraId="22562072" w14:textId="77777777" w:rsidR="00F061E6" w:rsidRDefault="00F061E6" w:rsidP="00CD1537">
      <w:pPr>
        <w:pStyle w:val="Heading1"/>
        <w:spacing w:before="300" w:after="200" w:line="360" w:lineRule="auto"/>
        <w:rPr>
          <w:rFonts w:ascii="Arial" w:eastAsia="Arial" w:hAnsi="Arial" w:cs="Arial"/>
          <w:b/>
          <w:bCs/>
          <w:color w:val="000000" w:themeColor="text1"/>
          <w:sz w:val="22"/>
          <w:szCs w:val="22"/>
        </w:rPr>
      </w:pPr>
    </w:p>
    <w:p w14:paraId="5ADAF28A" w14:textId="77777777" w:rsidR="00CD1537" w:rsidRPr="00CD1537" w:rsidRDefault="00CD1537" w:rsidP="00CD1537">
      <w:pPr>
        <w:pStyle w:val="Heading1"/>
        <w:spacing w:before="300" w:after="200" w:line="360" w:lineRule="auto"/>
        <w:rPr>
          <w:rFonts w:ascii="Arial" w:eastAsia="Arial" w:hAnsi="Arial" w:cs="Arial"/>
          <w:b/>
          <w:bCs/>
          <w:color w:val="000000" w:themeColor="text1"/>
          <w:sz w:val="22"/>
          <w:szCs w:val="22"/>
        </w:rPr>
      </w:pPr>
    </w:p>
    <w:p w14:paraId="49C05DF2" w14:textId="6FA4DA43" w:rsidR="005D3382" w:rsidRPr="00CD1537" w:rsidRDefault="00000000" w:rsidP="00CD1537">
      <w:pPr>
        <w:pStyle w:val="Heading1"/>
        <w:spacing w:before="300" w:after="200" w:line="360" w:lineRule="auto"/>
        <w:rPr>
          <w:color w:val="000000" w:themeColor="text1"/>
          <w:sz w:val="22"/>
          <w:szCs w:val="22"/>
        </w:rPr>
      </w:pPr>
      <w:r w:rsidRPr="00CD1537">
        <w:rPr>
          <w:rFonts w:ascii="Arial" w:eastAsia="Arial" w:hAnsi="Arial" w:cs="Arial"/>
          <w:b/>
          <w:bCs/>
          <w:color w:val="000000" w:themeColor="text1"/>
          <w:sz w:val="22"/>
          <w:szCs w:val="22"/>
        </w:rPr>
        <w:lastRenderedPageBreak/>
        <w:t>Reference List</w:t>
      </w:r>
    </w:p>
    <w:p w14:paraId="73E0E075"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 xml:space="preserve">Beauchamp, T.L. and Childress, J.F. (2019) Principles of Biomedical Ethics. 8th </w:t>
      </w:r>
      <w:proofErr w:type="spellStart"/>
      <w:r w:rsidRPr="00CD1537">
        <w:rPr>
          <w:rFonts w:ascii="Arial" w:eastAsia="Arial" w:hAnsi="Arial" w:cs="Arial"/>
          <w:sz w:val="22"/>
          <w:szCs w:val="22"/>
        </w:rPr>
        <w:t>edn</w:t>
      </w:r>
      <w:proofErr w:type="spellEnd"/>
      <w:r w:rsidRPr="00CD1537">
        <w:rPr>
          <w:rFonts w:ascii="Arial" w:eastAsia="Arial" w:hAnsi="Arial" w:cs="Arial"/>
          <w:sz w:val="22"/>
          <w:szCs w:val="22"/>
        </w:rPr>
        <w:t>. New York: Oxford University Press.</w:t>
      </w:r>
    </w:p>
    <w:p w14:paraId="150FD6A7"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Care Act 2014. London: The Stationery Office.</w:t>
      </w:r>
    </w:p>
    <w:p w14:paraId="1BAA7899" w14:textId="405104DC" w:rsidR="005D3382" w:rsidRPr="00CD1537" w:rsidRDefault="00000000" w:rsidP="00CD1537">
      <w:pPr>
        <w:spacing w:after="160" w:line="360" w:lineRule="auto"/>
        <w:rPr>
          <w:sz w:val="22"/>
          <w:szCs w:val="22"/>
        </w:rPr>
      </w:pPr>
      <w:r w:rsidRPr="00CD1537">
        <w:rPr>
          <w:rFonts w:ascii="Arial" w:eastAsia="Arial" w:hAnsi="Arial" w:cs="Arial"/>
          <w:sz w:val="22"/>
          <w:szCs w:val="22"/>
        </w:rPr>
        <w:t xml:space="preserve">Care Quality Commission (2025) Regulation 9: Person-centred care. Available at: https://www.cqc.org.uk/guidance-regulation/providers/regulations-service-providers-and-managers/health-social-care-act/regulation-9 (Accessed: </w:t>
      </w:r>
      <w:r w:rsidR="00F061E6" w:rsidRPr="00CD1537">
        <w:rPr>
          <w:rFonts w:ascii="Arial" w:eastAsia="Arial" w:hAnsi="Arial" w:cs="Arial"/>
          <w:sz w:val="22"/>
          <w:szCs w:val="22"/>
        </w:rPr>
        <w:t>26 June</w:t>
      </w:r>
      <w:r w:rsidRPr="00CD1537">
        <w:rPr>
          <w:rFonts w:ascii="Arial" w:eastAsia="Arial" w:hAnsi="Arial" w:cs="Arial"/>
          <w:sz w:val="22"/>
          <w:szCs w:val="22"/>
        </w:rPr>
        <w:t xml:space="preserve"> 2026).</w:t>
      </w:r>
    </w:p>
    <w:p w14:paraId="75E13456"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Coulter, A. and Oldham, J. (2016) 'Person-centred care: what is it and how do we get there?', Future Hospital Journal, 3(2), pp. 114-116.</w:t>
      </w:r>
    </w:p>
    <w:p w14:paraId="5BA1AE44"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Equality Act 2010. London: The Stationery Office.</w:t>
      </w:r>
    </w:p>
    <w:p w14:paraId="64A75D9D"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Health and Care Act 2022. London: The Stationery Office.</w:t>
      </w:r>
    </w:p>
    <w:p w14:paraId="03BF33FE"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Human Rights Act 1998. London: The Stationery Office.</w:t>
      </w:r>
    </w:p>
    <w:p w14:paraId="593A5696" w14:textId="7AD0634D" w:rsidR="005D3382" w:rsidRPr="00CD1537" w:rsidRDefault="00000000" w:rsidP="00CD1537">
      <w:pPr>
        <w:spacing w:after="160" w:line="360" w:lineRule="auto"/>
        <w:rPr>
          <w:sz w:val="22"/>
          <w:szCs w:val="22"/>
        </w:rPr>
      </w:pPr>
      <w:r w:rsidRPr="00CD1537">
        <w:rPr>
          <w:rFonts w:ascii="Arial" w:eastAsia="Arial" w:hAnsi="Arial" w:cs="Arial"/>
          <w:sz w:val="22"/>
          <w:szCs w:val="22"/>
        </w:rPr>
        <w:t xml:space="preserve">The King's Fund (2021) Integrated Care Systems and Social Care: The Opportunities and Challenges. Available at: https://www.kingsfund.org.uk/insight-and-analysis/long-reads/integrated-care-systems-social-care (Accessed: </w:t>
      </w:r>
      <w:r w:rsidR="00F061E6" w:rsidRPr="00CD1537">
        <w:rPr>
          <w:rFonts w:ascii="Arial" w:eastAsia="Arial" w:hAnsi="Arial" w:cs="Arial"/>
          <w:sz w:val="22"/>
          <w:szCs w:val="22"/>
        </w:rPr>
        <w:t>26 June</w:t>
      </w:r>
      <w:r w:rsidRPr="00CD1537">
        <w:rPr>
          <w:rFonts w:ascii="Arial" w:eastAsia="Arial" w:hAnsi="Arial" w:cs="Arial"/>
          <w:sz w:val="22"/>
          <w:szCs w:val="22"/>
        </w:rPr>
        <w:t xml:space="preserve"> 2026).</w:t>
      </w:r>
    </w:p>
    <w:p w14:paraId="2E18A4FD"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Maslow, A.H. (1943) 'A theory of human motivation', Psychological Review, 50(4), pp. 370-396. Available at: https://doi.org/10.1037/h0054346.</w:t>
      </w:r>
    </w:p>
    <w:p w14:paraId="027E585A"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Mental Capacity Act 2005. London: The Stationery Office.</w:t>
      </w:r>
    </w:p>
    <w:p w14:paraId="44103163"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Miller, R., Glasby, J. and Dickinson, H. (2021) 'Integrated health and social care in England: ten years on', International Journal of Integrated Care, 21(4), p. 6. Available at: https://doi.org/10.5334/ijic.5666.</w:t>
      </w:r>
    </w:p>
    <w:p w14:paraId="3C4381C1" w14:textId="4AEB34B8" w:rsidR="005D3382" w:rsidRPr="00CD1537" w:rsidRDefault="00000000" w:rsidP="00CD1537">
      <w:pPr>
        <w:spacing w:after="160" w:line="360" w:lineRule="auto"/>
        <w:rPr>
          <w:sz w:val="22"/>
          <w:szCs w:val="22"/>
        </w:rPr>
      </w:pPr>
      <w:r w:rsidRPr="00CD1537">
        <w:rPr>
          <w:rFonts w:ascii="Arial" w:eastAsia="Arial" w:hAnsi="Arial" w:cs="Arial"/>
          <w:sz w:val="22"/>
          <w:szCs w:val="22"/>
        </w:rPr>
        <w:t xml:space="preserve">NHS England (2019) Universal Personalised Care: Implementing the Comprehensive Model. Available at: https://www.england.nhs.uk/wp-content/uploads/2019/01/universal-personalised-care.pdf (Accessed: </w:t>
      </w:r>
      <w:r w:rsidR="00F061E6" w:rsidRPr="00CD1537">
        <w:rPr>
          <w:rFonts w:ascii="Arial" w:eastAsia="Arial" w:hAnsi="Arial" w:cs="Arial"/>
          <w:sz w:val="22"/>
          <w:szCs w:val="22"/>
        </w:rPr>
        <w:t xml:space="preserve">18 June </w:t>
      </w:r>
      <w:r w:rsidRPr="00CD1537">
        <w:rPr>
          <w:rFonts w:ascii="Arial" w:eastAsia="Arial" w:hAnsi="Arial" w:cs="Arial"/>
          <w:sz w:val="22"/>
          <w:szCs w:val="22"/>
        </w:rPr>
        <w:t>2026).</w:t>
      </w:r>
    </w:p>
    <w:p w14:paraId="04D58AFB" w14:textId="04958634" w:rsidR="005D3382" w:rsidRPr="00CD1537" w:rsidRDefault="00000000" w:rsidP="00CD1537">
      <w:pPr>
        <w:spacing w:after="160" w:line="360" w:lineRule="auto"/>
        <w:rPr>
          <w:sz w:val="22"/>
          <w:szCs w:val="22"/>
        </w:rPr>
      </w:pPr>
      <w:r w:rsidRPr="00CD1537">
        <w:rPr>
          <w:rFonts w:ascii="Arial" w:eastAsia="Arial" w:hAnsi="Arial" w:cs="Arial"/>
          <w:sz w:val="22"/>
          <w:szCs w:val="22"/>
        </w:rPr>
        <w:t xml:space="preserve">NHS England (2021) Personalised care and support planning guidance: guidance for local maternity systems. Available at: https://www.england.nhs.uk/wp-content/uploads/2021/03/B0423-personalised-care-and-support-planning-guidance-for-lms.pdf (Accessed: </w:t>
      </w:r>
      <w:r w:rsidR="00F061E6" w:rsidRPr="00CD1537">
        <w:rPr>
          <w:rFonts w:ascii="Arial" w:eastAsia="Arial" w:hAnsi="Arial" w:cs="Arial"/>
          <w:sz w:val="22"/>
          <w:szCs w:val="22"/>
        </w:rPr>
        <w:t>15 June</w:t>
      </w:r>
      <w:r w:rsidRPr="00CD1537">
        <w:rPr>
          <w:rFonts w:ascii="Arial" w:eastAsia="Arial" w:hAnsi="Arial" w:cs="Arial"/>
          <w:sz w:val="22"/>
          <w:szCs w:val="22"/>
        </w:rPr>
        <w:t xml:space="preserve"> 2026).</w:t>
      </w:r>
    </w:p>
    <w:p w14:paraId="0F4165B3" w14:textId="2441192D" w:rsidR="005D3382" w:rsidRPr="00CD1537" w:rsidRDefault="00000000" w:rsidP="00CD1537">
      <w:pPr>
        <w:spacing w:after="160" w:line="360" w:lineRule="auto"/>
        <w:rPr>
          <w:sz w:val="22"/>
          <w:szCs w:val="22"/>
        </w:rPr>
      </w:pPr>
      <w:r w:rsidRPr="00CD1537">
        <w:rPr>
          <w:rFonts w:ascii="Arial" w:eastAsia="Arial" w:hAnsi="Arial" w:cs="Arial"/>
          <w:sz w:val="22"/>
          <w:szCs w:val="22"/>
        </w:rPr>
        <w:t xml:space="preserve">NHS England (2021) Robyn's story. Available at: https://www.england.nhs.uk/personalisedcare/comprehensive-model/case-studies/robyns-story/ (Accessed: </w:t>
      </w:r>
      <w:r w:rsidR="00F061E6" w:rsidRPr="00CD1537">
        <w:rPr>
          <w:rFonts w:ascii="Arial" w:eastAsia="Arial" w:hAnsi="Arial" w:cs="Arial"/>
          <w:sz w:val="22"/>
          <w:szCs w:val="22"/>
        </w:rPr>
        <w:t xml:space="preserve">29 </w:t>
      </w:r>
      <w:r w:rsidRPr="00CD1537">
        <w:rPr>
          <w:rFonts w:ascii="Arial" w:eastAsia="Arial" w:hAnsi="Arial" w:cs="Arial"/>
          <w:sz w:val="22"/>
          <w:szCs w:val="22"/>
        </w:rPr>
        <w:t>Ju</w:t>
      </w:r>
      <w:r w:rsidR="00F061E6" w:rsidRPr="00CD1537">
        <w:rPr>
          <w:rFonts w:ascii="Arial" w:eastAsia="Arial" w:hAnsi="Arial" w:cs="Arial"/>
          <w:sz w:val="22"/>
          <w:szCs w:val="22"/>
        </w:rPr>
        <w:t>ne</w:t>
      </w:r>
      <w:r w:rsidRPr="00CD1537">
        <w:rPr>
          <w:rFonts w:ascii="Arial" w:eastAsia="Arial" w:hAnsi="Arial" w:cs="Arial"/>
          <w:sz w:val="22"/>
          <w:szCs w:val="22"/>
        </w:rPr>
        <w:t xml:space="preserve"> 2026).</w:t>
      </w:r>
    </w:p>
    <w:p w14:paraId="5AE74570" w14:textId="07FB4363" w:rsidR="005D3382" w:rsidRPr="00CD1537" w:rsidRDefault="00000000" w:rsidP="00CD1537">
      <w:pPr>
        <w:spacing w:after="160" w:line="360" w:lineRule="auto"/>
        <w:rPr>
          <w:sz w:val="22"/>
          <w:szCs w:val="22"/>
        </w:rPr>
      </w:pPr>
      <w:r w:rsidRPr="00CD1537">
        <w:rPr>
          <w:rFonts w:ascii="Arial" w:eastAsia="Arial" w:hAnsi="Arial" w:cs="Arial"/>
          <w:sz w:val="22"/>
          <w:szCs w:val="22"/>
        </w:rPr>
        <w:lastRenderedPageBreak/>
        <w:t xml:space="preserve">Nursing and Midwifery Council (2018) The Code: Professional Standards of Practice and Behaviour for Nurses, Midwives and Nursing Associates. London: NMC. Available at: https://www.nmc.org.uk/globalassets/sitedocuments/nmc-publications/nmc-code.pdf (Accessed: </w:t>
      </w:r>
      <w:r w:rsidR="00F061E6" w:rsidRPr="00CD1537">
        <w:rPr>
          <w:rFonts w:ascii="Arial" w:eastAsia="Arial" w:hAnsi="Arial" w:cs="Arial"/>
          <w:sz w:val="22"/>
          <w:szCs w:val="22"/>
        </w:rPr>
        <w:t>18 June</w:t>
      </w:r>
      <w:r w:rsidRPr="00CD1537">
        <w:rPr>
          <w:rFonts w:ascii="Arial" w:eastAsia="Arial" w:hAnsi="Arial" w:cs="Arial"/>
          <w:sz w:val="22"/>
          <w:szCs w:val="22"/>
        </w:rPr>
        <w:t xml:space="preserve"> 2026).</w:t>
      </w:r>
    </w:p>
    <w:p w14:paraId="755FC97A" w14:textId="77777777" w:rsidR="005D3382" w:rsidRPr="00CD1537" w:rsidRDefault="00000000" w:rsidP="00CD1537">
      <w:pPr>
        <w:spacing w:after="160" w:line="360" w:lineRule="auto"/>
        <w:rPr>
          <w:sz w:val="22"/>
          <w:szCs w:val="22"/>
        </w:rPr>
      </w:pPr>
      <w:r w:rsidRPr="00CD1537">
        <w:rPr>
          <w:rFonts w:ascii="Arial" w:eastAsia="Arial" w:hAnsi="Arial" w:cs="Arial"/>
          <w:sz w:val="22"/>
          <w:szCs w:val="22"/>
        </w:rPr>
        <w:t>Schön, D.A. (1983) The Reflective Practitioner: How Professionals Think in Action. New York: Basic Books.</w:t>
      </w:r>
    </w:p>
    <w:sectPr w:rsidR="005D3382" w:rsidRPr="00CD1537">
      <w:headerReference w:type="default" r:id="rId8"/>
      <w:footerReference w:type="default" r:id="rId9"/>
      <w:pgSz w:w="11906" w:h="16838"/>
      <w:pgMar w:top="1440" w:right="1440" w:bottom="1440" w:left="144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01A4E14" w14:textId="77777777" w:rsidR="001D4676" w:rsidRDefault="001D4676">
      <w:r>
        <w:separator/>
      </w:r>
    </w:p>
  </w:endnote>
  <w:endnote w:type="continuationSeparator" w:id="0">
    <w:p w14:paraId="2AE46064" w14:textId="77777777" w:rsidR="001D4676" w:rsidRDefault="001D46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F3FAC0A" w14:textId="77777777" w:rsidR="005D3382" w:rsidRDefault="00000000">
    <w:pPr>
      <w:jc w:val="center"/>
    </w:pPr>
    <w:r>
      <w:rPr>
        <w:rFonts w:ascii="Arial" w:eastAsia="Arial" w:hAnsi="Arial" w:cs="Arial"/>
      </w:rPr>
      <w:t xml:space="preserve">Page </w:t>
    </w:r>
    <w:r>
      <w:rPr>
        <w:rFonts w:ascii="Arial" w:eastAsia="Arial" w:hAnsi="Arial" w:cs="Arial"/>
      </w:rPr>
      <w:fldChar w:fldCharType="begin"/>
    </w:r>
    <w:r>
      <w:rPr>
        <w:rFonts w:ascii="Arial" w:eastAsia="Arial" w:hAnsi="Arial" w:cs="Arial"/>
      </w:rPr>
      <w:instrText>PAGE</w:instrText>
    </w:r>
    <w:r>
      <w:rPr>
        <w:rFonts w:ascii="Arial" w:eastAsia="Arial" w:hAnsi="Arial" w:cs="Arial"/>
      </w:rPr>
      <w:fldChar w:fldCharType="separate"/>
    </w:r>
    <w:r w:rsidR="00F061E6">
      <w:rPr>
        <w:rFonts w:ascii="Arial" w:eastAsia="Arial" w:hAnsi="Arial" w:cs="Arial"/>
        <w:noProof/>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0F5F966" w14:textId="77777777" w:rsidR="001D4676" w:rsidRDefault="001D4676">
      <w:r>
        <w:separator/>
      </w:r>
    </w:p>
  </w:footnote>
  <w:footnote w:type="continuationSeparator" w:id="0">
    <w:p w14:paraId="10CDF05C" w14:textId="77777777" w:rsidR="001D4676" w:rsidRDefault="001D46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762186DC" w14:textId="77777777" w:rsidR="00000000" w:rsidRDefault="00000000">
    <w:r>
      <w:c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B950D4E"/>
    <w:multiLevelType w:val="hybridMultilevel"/>
    <w:tmpl w:val="399EB1AE"/>
    <w:lvl w:ilvl="0" w:tplc="0E146614">
      <w:start w:val="1"/>
      <w:numFmt w:val="bullet"/>
      <w:lvlText w:val="●"/>
      <w:lvlJc w:val="left"/>
      <w:pPr>
        <w:ind w:left="720" w:hanging="360"/>
      </w:pPr>
    </w:lvl>
    <w:lvl w:ilvl="1" w:tplc="9EC2185E">
      <w:start w:val="1"/>
      <w:numFmt w:val="bullet"/>
      <w:lvlText w:val="○"/>
      <w:lvlJc w:val="left"/>
      <w:pPr>
        <w:ind w:left="1440" w:hanging="360"/>
      </w:pPr>
    </w:lvl>
    <w:lvl w:ilvl="2" w:tplc="10E69A7A">
      <w:start w:val="1"/>
      <w:numFmt w:val="bullet"/>
      <w:lvlText w:val="■"/>
      <w:lvlJc w:val="left"/>
      <w:pPr>
        <w:ind w:left="2160" w:hanging="360"/>
      </w:pPr>
    </w:lvl>
    <w:lvl w:ilvl="3" w:tplc="B9882E0C">
      <w:start w:val="1"/>
      <w:numFmt w:val="bullet"/>
      <w:lvlText w:val="●"/>
      <w:lvlJc w:val="left"/>
      <w:pPr>
        <w:ind w:left="2880" w:hanging="360"/>
      </w:pPr>
    </w:lvl>
    <w:lvl w:ilvl="4" w:tplc="EC949D96">
      <w:start w:val="1"/>
      <w:numFmt w:val="bullet"/>
      <w:lvlText w:val="○"/>
      <w:lvlJc w:val="left"/>
      <w:pPr>
        <w:ind w:left="3600" w:hanging="360"/>
      </w:pPr>
    </w:lvl>
    <w:lvl w:ilvl="5" w:tplc="301E36AA">
      <w:start w:val="1"/>
      <w:numFmt w:val="bullet"/>
      <w:lvlText w:val="■"/>
      <w:lvlJc w:val="left"/>
      <w:pPr>
        <w:ind w:left="4320" w:hanging="360"/>
      </w:pPr>
    </w:lvl>
    <w:lvl w:ilvl="6" w:tplc="7EFE6524">
      <w:start w:val="1"/>
      <w:numFmt w:val="bullet"/>
      <w:lvlText w:val="●"/>
      <w:lvlJc w:val="left"/>
      <w:pPr>
        <w:ind w:left="5040" w:hanging="360"/>
      </w:pPr>
    </w:lvl>
    <w:lvl w:ilvl="7" w:tplc="9F24A05E">
      <w:start w:val="1"/>
      <w:numFmt w:val="bullet"/>
      <w:lvlText w:val="●"/>
      <w:lvlJc w:val="left"/>
      <w:pPr>
        <w:ind w:left="5760" w:hanging="360"/>
      </w:pPr>
    </w:lvl>
    <w:lvl w:ilvl="8" w:tplc="A80EB7DA">
      <w:start w:val="1"/>
      <w:numFmt w:val="bullet"/>
      <w:lvlText w:val="●"/>
      <w:lvlJc w:val="left"/>
      <w:pPr>
        <w:ind w:left="6480" w:hanging="360"/>
      </w:pPr>
    </w:lvl>
  </w:abstractNum>
  <w:num w:numId="1" w16cid:durableId="851918999">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99"/>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382"/>
    <w:rsid w:val="001D4676"/>
    <w:rsid w:val="00303219"/>
    <w:rsid w:val="003F05E7"/>
    <w:rsid w:val="004C5093"/>
    <w:rsid w:val="00500D10"/>
    <w:rsid w:val="005D3382"/>
    <w:rsid w:val="00602E61"/>
    <w:rsid w:val="00700F83"/>
    <w:rsid w:val="007B3014"/>
    <w:rsid w:val="00B31283"/>
    <w:rsid w:val="00CD1537"/>
    <w:rsid w:val="00E457EF"/>
    <w:rsid w:val="00F061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AAEDD"/>
  <w15:docId w15:val="{CED99216-4B5A-3046-ABCD-8E407E433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semiHidden/>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6</TotalTime>
  <Pages>8</Pages>
  <Words>2367</Words>
  <Characters>13495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Lamaiya Smith (1815074)</cp:lastModifiedBy>
  <cp:revision>9</cp:revision>
  <dcterms:created xsi:type="dcterms:W3CDTF">2026-07-05T12:26:00Z</dcterms:created>
  <dcterms:modified xsi:type="dcterms:W3CDTF">2026-07-05T12:42:00Z</dcterms:modified>
</cp:coreProperties>
</file>