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A7E52" w:rsidRPr="00D66132" w:rsidRDefault="000A7E52">
      <w:pPr>
        <w:spacing w:line="276" w:lineRule="auto"/>
        <w:jc w:val="left"/>
        <w:rPr>
          <w:rFonts w:eastAsiaTheme="majorEastAsia" w:cstheme="majorBidi"/>
          <w:b/>
          <w:bCs/>
          <w:color w:val="365F91" w:themeColor="accent1" w:themeShade="BF"/>
          <w:sz w:val="32"/>
          <w:szCs w:val="28"/>
          <w:lang w:val="en-US"/>
        </w:rPr>
      </w:pPr>
    </w:p>
    <w:tbl>
      <w:tblPr>
        <w:tblW w:w="5000" w:type="pct"/>
        <w:shd w:val="clear" w:color="auto" w:fill="FFFFFF" w:themeFill="background1"/>
        <w:tblLook w:val="04A0" w:firstRow="1" w:lastRow="0" w:firstColumn="1" w:lastColumn="0" w:noHBand="0" w:noVBand="1"/>
      </w:tblPr>
      <w:tblGrid>
        <w:gridCol w:w="9576"/>
      </w:tblGrid>
      <w:tr w:rsidR="000A7E52" w:rsidTr="00B1428F">
        <w:trPr>
          <w:trHeight w:val="2880"/>
        </w:trPr>
        <w:tc>
          <w:tcPr>
            <w:tcW w:w="5000" w:type="pct"/>
            <w:shd w:val="clear" w:color="auto" w:fill="FFFFFF" w:themeFill="background1"/>
            <w:hideMark/>
          </w:tcPr>
          <w:p w:rsidR="000A7E52" w:rsidRDefault="000A7E52" w:rsidP="00B1428F">
            <w:pPr>
              <w:pStyle w:val="NoSpacing"/>
              <w:spacing w:line="276" w:lineRule="auto"/>
              <w:jc w:val="both"/>
              <w:rPr>
                <w:rFonts w:asciiTheme="majorHAnsi" w:eastAsiaTheme="majorEastAsia" w:hAnsiTheme="majorHAnsi" w:cstheme="majorBidi"/>
                <w:caps/>
              </w:rPr>
            </w:pPr>
            <w:r>
              <w:rPr>
                <w:noProof/>
                <w:lang w:eastAsia="en-US"/>
              </w:rPr>
              <w:drawing>
                <wp:inline distT="0" distB="0" distL="0" distR="0" wp14:anchorId="41A1CFBC" wp14:editId="77AB2E1E">
                  <wp:extent cx="1699260" cy="940435"/>
                  <wp:effectExtent l="0" t="0" r="0" b="0"/>
                  <wp:docPr id="1" name="Picture 1" descr="Description: Description: 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cription: university-of-wales-trinity-saint-david-logo-vector | ESRC Wales Doctoral  Training Partnershi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99260" cy="940435"/>
                          </a:xfrm>
                          <a:prstGeom prst="rect">
                            <a:avLst/>
                          </a:prstGeom>
                          <a:noFill/>
                          <a:ln>
                            <a:noFill/>
                          </a:ln>
                        </pic:spPr>
                      </pic:pic>
                    </a:graphicData>
                  </a:graphic>
                </wp:inline>
              </w:drawing>
            </w:r>
          </w:p>
        </w:tc>
      </w:tr>
      <w:tr w:rsidR="000A7E52" w:rsidTr="00B1428F">
        <w:trPr>
          <w:trHeight w:val="1440"/>
        </w:trPr>
        <w:tc>
          <w:tcPr>
            <w:tcW w:w="5000" w:type="pct"/>
            <w:shd w:val="clear" w:color="auto" w:fill="FFFFFF" w:themeFill="background1"/>
            <w:vAlign w:val="center"/>
          </w:tcPr>
          <w:p w:rsidR="000A7E52" w:rsidRDefault="000A7E52" w:rsidP="00B1428F">
            <w:pPr>
              <w:spacing w:line="240" w:lineRule="auto"/>
              <w:jc w:val="center"/>
              <w:rPr>
                <w:rFonts w:asciiTheme="minorHAnsi" w:hAnsiTheme="minorHAnsi"/>
                <w:b/>
                <w:bCs/>
                <w:sz w:val="56"/>
              </w:rPr>
            </w:pPr>
            <w:r w:rsidRPr="000F6693">
              <w:rPr>
                <w:rFonts w:asciiTheme="minorHAnsi" w:hAnsiTheme="minorHAnsi"/>
                <w:b/>
                <w:bCs/>
                <w:sz w:val="56"/>
              </w:rPr>
              <w:t xml:space="preserve">MSC Engineering Project Management </w:t>
            </w:r>
            <w:r w:rsidRPr="000A7E52">
              <w:rPr>
                <w:b/>
                <w:sz w:val="56"/>
                <w:szCs w:val="56"/>
              </w:rPr>
              <w:t>ACHA7031</w:t>
            </w:r>
          </w:p>
          <w:p w:rsidR="000A7E52" w:rsidRDefault="000A7E52" w:rsidP="00B1428F">
            <w:pPr>
              <w:pStyle w:val="NoSpacing"/>
              <w:spacing w:line="276" w:lineRule="auto"/>
              <w:jc w:val="center"/>
              <w:rPr>
                <w:rFonts w:cs="Cambria"/>
                <w:b/>
                <w:bCs/>
                <w:sz w:val="52"/>
                <w:szCs w:val="52"/>
              </w:rPr>
            </w:pPr>
          </w:p>
          <w:p w:rsidR="000A7E52" w:rsidRDefault="000A7E52" w:rsidP="00B1428F">
            <w:pPr>
              <w:pStyle w:val="NoSpacing"/>
              <w:spacing w:line="276" w:lineRule="auto"/>
              <w:jc w:val="center"/>
              <w:rPr>
                <w:rFonts w:cs="Cambria"/>
                <w:b/>
                <w:bCs/>
                <w:sz w:val="52"/>
                <w:szCs w:val="52"/>
              </w:rPr>
            </w:pPr>
          </w:p>
          <w:p w:rsidR="000A7E52" w:rsidRPr="000A7E52" w:rsidRDefault="000A7E52" w:rsidP="000A7E52">
            <w:pPr>
              <w:pStyle w:val="NoSpacing"/>
              <w:spacing w:line="276" w:lineRule="auto"/>
              <w:jc w:val="center"/>
              <w:rPr>
                <w:rFonts w:cs="Cambria"/>
                <w:b/>
                <w:bCs/>
                <w:sz w:val="52"/>
                <w:szCs w:val="52"/>
              </w:rPr>
            </w:pPr>
            <w:r w:rsidRPr="000A7E52">
              <w:rPr>
                <w:rFonts w:cs="Cambria"/>
                <w:b/>
                <w:bCs/>
                <w:sz w:val="52"/>
                <w:szCs w:val="52"/>
              </w:rPr>
              <w:t>Addressing Inventory</w:t>
            </w:r>
          </w:p>
          <w:p w:rsidR="000A7E52" w:rsidRDefault="000A7E52" w:rsidP="000A7E52">
            <w:pPr>
              <w:pStyle w:val="NoSpacing"/>
              <w:spacing w:line="276" w:lineRule="auto"/>
              <w:jc w:val="center"/>
              <w:rPr>
                <w:rFonts w:asciiTheme="majorHAnsi" w:eastAsiaTheme="majorEastAsia" w:hAnsiTheme="majorHAnsi" w:cstheme="majorBidi"/>
                <w:sz w:val="80"/>
                <w:szCs w:val="80"/>
              </w:rPr>
            </w:pPr>
            <w:r w:rsidRPr="000A7E52">
              <w:rPr>
                <w:rFonts w:cs="Cambria"/>
                <w:b/>
                <w:bCs/>
                <w:sz w:val="52"/>
                <w:szCs w:val="52"/>
              </w:rPr>
              <w:t>Management Concerns</w:t>
            </w:r>
          </w:p>
        </w:tc>
      </w:tr>
      <w:tr w:rsidR="000A7E52" w:rsidTr="00B1428F">
        <w:trPr>
          <w:trHeight w:val="720"/>
        </w:trPr>
        <w:tc>
          <w:tcPr>
            <w:tcW w:w="5000" w:type="pct"/>
            <w:shd w:val="clear" w:color="auto" w:fill="FFFFFF" w:themeFill="background1"/>
            <w:vAlign w:val="center"/>
            <w:hideMark/>
          </w:tcPr>
          <w:p w:rsidR="000A7E52" w:rsidRDefault="000A7E52" w:rsidP="00B1428F">
            <w:pPr>
              <w:pStyle w:val="NoSpacing"/>
              <w:spacing w:line="276" w:lineRule="auto"/>
              <w:jc w:val="center"/>
              <w:rPr>
                <w:rFonts w:asciiTheme="minorHAnsi" w:hAnsiTheme="minorHAnsi"/>
                <w:b/>
                <w:bCs/>
                <w:sz w:val="52"/>
                <w:szCs w:val="52"/>
              </w:rPr>
            </w:pPr>
            <w:r>
              <w:rPr>
                <w:b/>
                <w:bCs/>
                <w:sz w:val="52"/>
                <w:szCs w:val="52"/>
              </w:rPr>
              <w:t xml:space="preserve">Name: </w:t>
            </w:r>
            <w:r w:rsidR="003D53D4">
              <w:rPr>
                <w:b/>
                <w:bCs/>
                <w:sz w:val="52"/>
                <w:szCs w:val="52"/>
              </w:rPr>
              <w:t>MD Niamat Ullah</w:t>
            </w:r>
          </w:p>
          <w:p w:rsidR="000A7E52" w:rsidRDefault="000A7E52" w:rsidP="00B1428F">
            <w:pPr>
              <w:pStyle w:val="NoSpacing"/>
              <w:spacing w:line="276" w:lineRule="auto"/>
              <w:jc w:val="center"/>
              <w:rPr>
                <w:rFonts w:asciiTheme="majorHAnsi" w:eastAsiaTheme="majorEastAsia" w:hAnsiTheme="majorHAnsi" w:cstheme="majorBidi"/>
                <w:sz w:val="44"/>
                <w:szCs w:val="44"/>
              </w:rPr>
            </w:pPr>
            <w:r>
              <w:rPr>
                <w:b/>
                <w:bCs/>
                <w:sz w:val="52"/>
                <w:szCs w:val="52"/>
              </w:rPr>
              <w:t xml:space="preserve">ID: </w:t>
            </w:r>
            <w:r w:rsidR="003D53D4">
              <w:rPr>
                <w:b/>
                <w:bCs/>
                <w:sz w:val="52"/>
                <w:szCs w:val="52"/>
              </w:rPr>
              <w:t>2507288</w:t>
            </w:r>
            <w:bookmarkStart w:id="0" w:name="_GoBack"/>
            <w:bookmarkEnd w:id="0"/>
          </w:p>
        </w:tc>
      </w:tr>
      <w:tr w:rsidR="000A7E52" w:rsidTr="00B1428F">
        <w:trPr>
          <w:trHeight w:val="360"/>
        </w:trPr>
        <w:tc>
          <w:tcPr>
            <w:tcW w:w="5000" w:type="pct"/>
            <w:shd w:val="clear" w:color="auto" w:fill="FFFFFF" w:themeFill="background1"/>
            <w:vAlign w:val="center"/>
          </w:tcPr>
          <w:p w:rsidR="000A7E52" w:rsidRDefault="000A7E52" w:rsidP="00B1428F">
            <w:pPr>
              <w:pStyle w:val="NoSpacing"/>
              <w:spacing w:line="276" w:lineRule="auto"/>
              <w:jc w:val="center"/>
            </w:pPr>
          </w:p>
        </w:tc>
      </w:tr>
    </w:tbl>
    <w:p w:rsidR="00C65A9B" w:rsidRDefault="00C65A9B">
      <w:r>
        <w:br w:type="page"/>
      </w:r>
    </w:p>
    <w:tbl>
      <w:tblPr>
        <w:tblW w:w="5000" w:type="pct"/>
        <w:shd w:val="clear" w:color="auto" w:fill="FFFFFF" w:themeFill="background1"/>
        <w:tblLook w:val="04A0" w:firstRow="1" w:lastRow="0" w:firstColumn="1" w:lastColumn="0" w:noHBand="0" w:noVBand="1"/>
      </w:tblPr>
      <w:tblGrid>
        <w:gridCol w:w="9576"/>
      </w:tblGrid>
      <w:tr w:rsidR="000A7E52" w:rsidTr="00B1428F">
        <w:trPr>
          <w:trHeight w:val="360"/>
        </w:trPr>
        <w:tc>
          <w:tcPr>
            <w:tcW w:w="5000" w:type="pct"/>
            <w:shd w:val="clear" w:color="auto" w:fill="FFFFFF" w:themeFill="background1"/>
            <w:vAlign w:val="center"/>
          </w:tcPr>
          <w:p w:rsidR="000A7E52" w:rsidRDefault="000A7E52" w:rsidP="00B1428F">
            <w:pPr>
              <w:pStyle w:val="NoSpacing"/>
              <w:spacing w:line="276" w:lineRule="auto"/>
              <w:jc w:val="center"/>
              <w:rPr>
                <w:b/>
                <w:bCs/>
              </w:rPr>
            </w:pPr>
          </w:p>
        </w:tc>
      </w:tr>
      <w:tr w:rsidR="000A7E52" w:rsidTr="00B1428F">
        <w:trPr>
          <w:trHeight w:val="360"/>
        </w:trPr>
        <w:tc>
          <w:tcPr>
            <w:tcW w:w="5000" w:type="pct"/>
            <w:shd w:val="clear" w:color="auto" w:fill="FFFFFF" w:themeFill="background1"/>
            <w:vAlign w:val="center"/>
          </w:tcPr>
          <w:p w:rsidR="000A7E52" w:rsidRDefault="000A7E52" w:rsidP="00B1428F">
            <w:pPr>
              <w:pStyle w:val="NoSpacing"/>
              <w:spacing w:line="276" w:lineRule="auto"/>
              <w:jc w:val="center"/>
              <w:rPr>
                <w:b/>
                <w:bCs/>
              </w:rPr>
            </w:pPr>
          </w:p>
        </w:tc>
      </w:tr>
    </w:tbl>
    <w:p w:rsidR="00C65A9B" w:rsidRPr="00012706" w:rsidRDefault="00C65A9B" w:rsidP="00C65A9B">
      <w:pPr>
        <w:spacing w:line="276" w:lineRule="auto"/>
        <w:jc w:val="left"/>
        <w:rPr>
          <w:b/>
          <w:sz w:val="32"/>
          <w:szCs w:val="32"/>
        </w:rPr>
      </w:pPr>
      <w:r w:rsidRPr="00012706">
        <w:rPr>
          <w:b/>
          <w:sz w:val="32"/>
          <w:szCs w:val="32"/>
        </w:rPr>
        <w:t>Executive Summary</w:t>
      </w:r>
    </w:p>
    <w:p w:rsidR="00C65A9B" w:rsidRDefault="00C65A9B" w:rsidP="00012706">
      <w:r>
        <w:t>The poor inventory management and poor coordination of the supply chain are causing Brocksweir and Sons Ltd to experience major operational challenges in its sand foundry operations. The company has also built up about 20,000 stock of obsolete resin, which now constitutes hazardous waste and poses massive disposal expenses. Increased demand for sand castings has also uncovered the gaps in buying habits, lead time control and inventory visibility. This report considers the approaches that can enhance the inventory and supply chain performance of the company. The results indicate that the following techniques can help to reduce waste, enhance control over stock and reduce cost: Economic order Quantity (EDQ), Vendor Managed Inventory (VMI), First-In-First-Out (FIFO), inventory classification and computerised ERP systems. The report also examines how to deal with the obsolete stock, some of the possible ways include: hazardous waste disposal, recycling, supplier return agreements and controlled reuse. Financial analysis shows that it is less expensive to prevent such situations with better inventory management as opposed to the costs involved in getting rid of the stock once it expires. The report also discusses why it is essential to know lead times throughout the supply chain. To enhance operational efficiency, supply chain mapping, monitoring performance of suppliers, ERP integration and improved forecasting are recommended. On the whole, the report concludes that the greater the practice of inventory control and supply chain management, the higher the level of profitability, the minimisation of the environmental risks and the support of the long-term competitiveness of the company.</w:t>
      </w:r>
    </w:p>
    <w:p w:rsidR="000A7E52" w:rsidRDefault="000A7E52">
      <w:pPr>
        <w:spacing w:line="276" w:lineRule="auto"/>
        <w:jc w:val="left"/>
      </w:pPr>
      <w:r>
        <w:br w:type="page"/>
      </w:r>
    </w:p>
    <w:sdt>
      <w:sdtPr>
        <w:rPr>
          <w:rFonts w:ascii="Times New Roman" w:eastAsiaTheme="minorHAnsi" w:hAnsi="Times New Roman" w:cstheme="minorBidi"/>
          <w:b w:val="0"/>
          <w:bCs w:val="0"/>
          <w:color w:val="auto"/>
          <w:sz w:val="24"/>
          <w:szCs w:val="22"/>
          <w:lang w:val="en-GB" w:eastAsia="en-US"/>
        </w:rPr>
        <w:id w:val="-2078340951"/>
        <w:docPartObj>
          <w:docPartGallery w:val="Table of Contents"/>
          <w:docPartUnique/>
        </w:docPartObj>
      </w:sdtPr>
      <w:sdtEndPr>
        <w:rPr>
          <w:noProof/>
        </w:rPr>
      </w:sdtEndPr>
      <w:sdtContent>
        <w:p w:rsidR="000A7E52" w:rsidRDefault="000A7E52">
          <w:pPr>
            <w:pStyle w:val="TOCHeading"/>
          </w:pPr>
          <w:r>
            <w:t>Contents</w:t>
          </w:r>
        </w:p>
        <w:p w:rsidR="00025B74" w:rsidRDefault="000A7E52">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28891711" w:history="1">
            <w:r w:rsidR="00025B74" w:rsidRPr="001F5BF1">
              <w:rPr>
                <w:rStyle w:val="Hyperlink"/>
                <w:noProof/>
              </w:rPr>
              <w:t>Introduction</w:t>
            </w:r>
            <w:r w:rsidR="00025B74">
              <w:rPr>
                <w:noProof/>
                <w:webHidden/>
              </w:rPr>
              <w:tab/>
            </w:r>
            <w:r w:rsidR="00025B74">
              <w:rPr>
                <w:noProof/>
                <w:webHidden/>
              </w:rPr>
              <w:fldChar w:fldCharType="begin"/>
            </w:r>
            <w:r w:rsidR="00025B74">
              <w:rPr>
                <w:noProof/>
                <w:webHidden/>
              </w:rPr>
              <w:instrText xml:space="preserve"> PAGEREF _Toc228891711 \h </w:instrText>
            </w:r>
            <w:r w:rsidR="00025B74">
              <w:rPr>
                <w:noProof/>
                <w:webHidden/>
              </w:rPr>
            </w:r>
            <w:r w:rsidR="00025B74">
              <w:rPr>
                <w:noProof/>
                <w:webHidden/>
              </w:rPr>
              <w:fldChar w:fldCharType="separate"/>
            </w:r>
            <w:r w:rsidR="00025B74">
              <w:rPr>
                <w:noProof/>
                <w:webHidden/>
              </w:rPr>
              <w:t>1</w:t>
            </w:r>
            <w:r w:rsidR="00025B74">
              <w:rPr>
                <w:noProof/>
                <w:webHidden/>
              </w:rPr>
              <w:fldChar w:fldCharType="end"/>
            </w:r>
          </w:hyperlink>
        </w:p>
        <w:p w:rsidR="00025B74" w:rsidRDefault="00496193">
          <w:pPr>
            <w:pStyle w:val="TOC1"/>
            <w:tabs>
              <w:tab w:val="right" w:leader="dot" w:pos="9350"/>
            </w:tabs>
            <w:rPr>
              <w:rFonts w:asciiTheme="minorHAnsi" w:eastAsiaTheme="minorEastAsia" w:hAnsiTheme="minorHAnsi"/>
              <w:noProof/>
              <w:sz w:val="22"/>
              <w:lang w:val="en-US"/>
            </w:rPr>
          </w:pPr>
          <w:hyperlink w:anchor="_Toc228891712" w:history="1">
            <w:r w:rsidR="00025B74" w:rsidRPr="001F5BF1">
              <w:rPr>
                <w:rStyle w:val="Hyperlink"/>
                <w:noProof/>
              </w:rPr>
              <w:t>Reconsider the way the company is going to manage its sand and resin stocks more effectively.</w:t>
            </w:r>
            <w:r w:rsidR="00025B74">
              <w:rPr>
                <w:noProof/>
                <w:webHidden/>
              </w:rPr>
              <w:tab/>
            </w:r>
            <w:r w:rsidR="00025B74">
              <w:rPr>
                <w:noProof/>
                <w:webHidden/>
              </w:rPr>
              <w:fldChar w:fldCharType="begin"/>
            </w:r>
            <w:r w:rsidR="00025B74">
              <w:rPr>
                <w:noProof/>
                <w:webHidden/>
              </w:rPr>
              <w:instrText xml:space="preserve"> PAGEREF _Toc228891712 \h </w:instrText>
            </w:r>
            <w:r w:rsidR="00025B74">
              <w:rPr>
                <w:noProof/>
                <w:webHidden/>
              </w:rPr>
            </w:r>
            <w:r w:rsidR="00025B74">
              <w:rPr>
                <w:noProof/>
                <w:webHidden/>
              </w:rPr>
              <w:fldChar w:fldCharType="separate"/>
            </w:r>
            <w:r w:rsidR="00025B74">
              <w:rPr>
                <w:noProof/>
                <w:webHidden/>
              </w:rPr>
              <w:t>2</w:t>
            </w:r>
            <w:r w:rsidR="00025B74">
              <w:rPr>
                <w:noProof/>
                <w:webHidden/>
              </w:rPr>
              <w:fldChar w:fldCharType="end"/>
            </w:r>
          </w:hyperlink>
        </w:p>
        <w:p w:rsidR="00025B74" w:rsidRDefault="00496193">
          <w:pPr>
            <w:pStyle w:val="TOC1"/>
            <w:tabs>
              <w:tab w:val="right" w:leader="dot" w:pos="9350"/>
            </w:tabs>
            <w:rPr>
              <w:rFonts w:asciiTheme="minorHAnsi" w:eastAsiaTheme="minorEastAsia" w:hAnsiTheme="minorHAnsi"/>
              <w:noProof/>
              <w:sz w:val="22"/>
              <w:lang w:val="en-US"/>
            </w:rPr>
          </w:pPr>
          <w:hyperlink w:anchor="_Toc228891713" w:history="1">
            <w:r w:rsidR="00025B74" w:rsidRPr="001F5BF1">
              <w:rPr>
                <w:rStyle w:val="Hyperlink"/>
                <w:noProof/>
              </w:rPr>
              <w:t>Critically analyse the options available to the company to deal with the obsolete stock</w:t>
            </w:r>
            <w:r w:rsidR="00025B74">
              <w:rPr>
                <w:noProof/>
                <w:webHidden/>
              </w:rPr>
              <w:tab/>
            </w:r>
            <w:r w:rsidR="00025B74">
              <w:rPr>
                <w:noProof/>
                <w:webHidden/>
              </w:rPr>
              <w:fldChar w:fldCharType="begin"/>
            </w:r>
            <w:r w:rsidR="00025B74">
              <w:rPr>
                <w:noProof/>
                <w:webHidden/>
              </w:rPr>
              <w:instrText xml:space="preserve"> PAGEREF _Toc228891713 \h </w:instrText>
            </w:r>
            <w:r w:rsidR="00025B74">
              <w:rPr>
                <w:noProof/>
                <w:webHidden/>
              </w:rPr>
            </w:r>
            <w:r w:rsidR="00025B74">
              <w:rPr>
                <w:noProof/>
                <w:webHidden/>
              </w:rPr>
              <w:fldChar w:fldCharType="separate"/>
            </w:r>
            <w:r w:rsidR="00025B74">
              <w:rPr>
                <w:noProof/>
                <w:webHidden/>
              </w:rPr>
              <w:t>5</w:t>
            </w:r>
            <w:r w:rsidR="00025B74">
              <w:rPr>
                <w:noProof/>
                <w:webHidden/>
              </w:rPr>
              <w:fldChar w:fldCharType="end"/>
            </w:r>
          </w:hyperlink>
        </w:p>
        <w:p w:rsidR="00025B74" w:rsidRDefault="00496193">
          <w:pPr>
            <w:pStyle w:val="TOC1"/>
            <w:tabs>
              <w:tab w:val="right" w:leader="dot" w:pos="9350"/>
            </w:tabs>
            <w:rPr>
              <w:rFonts w:asciiTheme="minorHAnsi" w:eastAsiaTheme="minorEastAsia" w:hAnsiTheme="minorHAnsi"/>
              <w:noProof/>
              <w:sz w:val="22"/>
              <w:lang w:val="en-US"/>
            </w:rPr>
          </w:pPr>
          <w:hyperlink w:anchor="_Toc228891714" w:history="1">
            <w:r w:rsidR="00025B74" w:rsidRPr="001F5BF1">
              <w:rPr>
                <w:rStyle w:val="Hyperlink"/>
                <w:noProof/>
              </w:rPr>
              <w:t>Reasoning for the actions that have to be taken</w:t>
            </w:r>
            <w:r w:rsidR="00025B74">
              <w:rPr>
                <w:noProof/>
                <w:webHidden/>
              </w:rPr>
              <w:tab/>
            </w:r>
            <w:r w:rsidR="00025B74">
              <w:rPr>
                <w:noProof/>
                <w:webHidden/>
              </w:rPr>
              <w:fldChar w:fldCharType="begin"/>
            </w:r>
            <w:r w:rsidR="00025B74">
              <w:rPr>
                <w:noProof/>
                <w:webHidden/>
              </w:rPr>
              <w:instrText xml:space="preserve"> PAGEREF _Toc228891714 \h </w:instrText>
            </w:r>
            <w:r w:rsidR="00025B74">
              <w:rPr>
                <w:noProof/>
                <w:webHidden/>
              </w:rPr>
            </w:r>
            <w:r w:rsidR="00025B74">
              <w:rPr>
                <w:noProof/>
                <w:webHidden/>
              </w:rPr>
              <w:fldChar w:fldCharType="separate"/>
            </w:r>
            <w:r w:rsidR="00025B74">
              <w:rPr>
                <w:noProof/>
                <w:webHidden/>
              </w:rPr>
              <w:t>8</w:t>
            </w:r>
            <w:r w:rsidR="00025B74">
              <w:rPr>
                <w:noProof/>
                <w:webHidden/>
              </w:rPr>
              <w:fldChar w:fldCharType="end"/>
            </w:r>
          </w:hyperlink>
        </w:p>
        <w:p w:rsidR="00025B74" w:rsidRDefault="00496193">
          <w:pPr>
            <w:pStyle w:val="TOC1"/>
            <w:tabs>
              <w:tab w:val="right" w:leader="dot" w:pos="9350"/>
            </w:tabs>
            <w:rPr>
              <w:rFonts w:asciiTheme="minorHAnsi" w:eastAsiaTheme="minorEastAsia" w:hAnsiTheme="minorHAnsi"/>
              <w:noProof/>
              <w:sz w:val="22"/>
              <w:lang w:val="en-US"/>
            </w:rPr>
          </w:pPr>
          <w:hyperlink w:anchor="_Toc228891715" w:history="1">
            <w:r w:rsidR="00025B74" w:rsidRPr="001F5BF1">
              <w:rPr>
                <w:rStyle w:val="Hyperlink"/>
                <w:noProof/>
              </w:rPr>
              <w:t>Conclusion and Recommendations</w:t>
            </w:r>
            <w:r w:rsidR="00025B74">
              <w:rPr>
                <w:noProof/>
                <w:webHidden/>
              </w:rPr>
              <w:tab/>
            </w:r>
            <w:r w:rsidR="00025B74">
              <w:rPr>
                <w:noProof/>
                <w:webHidden/>
              </w:rPr>
              <w:fldChar w:fldCharType="begin"/>
            </w:r>
            <w:r w:rsidR="00025B74">
              <w:rPr>
                <w:noProof/>
                <w:webHidden/>
              </w:rPr>
              <w:instrText xml:space="preserve"> PAGEREF _Toc228891715 \h </w:instrText>
            </w:r>
            <w:r w:rsidR="00025B74">
              <w:rPr>
                <w:noProof/>
                <w:webHidden/>
              </w:rPr>
            </w:r>
            <w:r w:rsidR="00025B74">
              <w:rPr>
                <w:noProof/>
                <w:webHidden/>
              </w:rPr>
              <w:fldChar w:fldCharType="separate"/>
            </w:r>
            <w:r w:rsidR="00025B74">
              <w:rPr>
                <w:noProof/>
                <w:webHidden/>
              </w:rPr>
              <w:t>11</w:t>
            </w:r>
            <w:r w:rsidR="00025B74">
              <w:rPr>
                <w:noProof/>
                <w:webHidden/>
              </w:rPr>
              <w:fldChar w:fldCharType="end"/>
            </w:r>
          </w:hyperlink>
        </w:p>
        <w:p w:rsidR="00025B74" w:rsidRDefault="00496193">
          <w:pPr>
            <w:pStyle w:val="TOC1"/>
            <w:tabs>
              <w:tab w:val="right" w:leader="dot" w:pos="9350"/>
            </w:tabs>
            <w:rPr>
              <w:rFonts w:asciiTheme="minorHAnsi" w:eastAsiaTheme="minorEastAsia" w:hAnsiTheme="minorHAnsi"/>
              <w:noProof/>
              <w:sz w:val="22"/>
              <w:lang w:val="en-US"/>
            </w:rPr>
          </w:pPr>
          <w:hyperlink w:anchor="_Toc228891716" w:history="1">
            <w:r w:rsidR="00025B74" w:rsidRPr="001F5BF1">
              <w:rPr>
                <w:rStyle w:val="Hyperlink"/>
                <w:noProof/>
              </w:rPr>
              <w:t>References</w:t>
            </w:r>
            <w:r w:rsidR="00025B74">
              <w:rPr>
                <w:noProof/>
                <w:webHidden/>
              </w:rPr>
              <w:tab/>
            </w:r>
            <w:r w:rsidR="00025B74">
              <w:rPr>
                <w:noProof/>
                <w:webHidden/>
              </w:rPr>
              <w:fldChar w:fldCharType="begin"/>
            </w:r>
            <w:r w:rsidR="00025B74">
              <w:rPr>
                <w:noProof/>
                <w:webHidden/>
              </w:rPr>
              <w:instrText xml:space="preserve"> PAGEREF _Toc228891716 \h </w:instrText>
            </w:r>
            <w:r w:rsidR="00025B74">
              <w:rPr>
                <w:noProof/>
                <w:webHidden/>
              </w:rPr>
            </w:r>
            <w:r w:rsidR="00025B74">
              <w:rPr>
                <w:noProof/>
                <w:webHidden/>
              </w:rPr>
              <w:fldChar w:fldCharType="separate"/>
            </w:r>
            <w:r w:rsidR="00025B74">
              <w:rPr>
                <w:noProof/>
                <w:webHidden/>
              </w:rPr>
              <w:t>12</w:t>
            </w:r>
            <w:r w:rsidR="00025B74">
              <w:rPr>
                <w:noProof/>
                <w:webHidden/>
              </w:rPr>
              <w:fldChar w:fldCharType="end"/>
            </w:r>
          </w:hyperlink>
        </w:p>
        <w:p w:rsidR="00025B74" w:rsidRDefault="00496193">
          <w:pPr>
            <w:pStyle w:val="TOC1"/>
            <w:tabs>
              <w:tab w:val="right" w:leader="dot" w:pos="9350"/>
            </w:tabs>
            <w:rPr>
              <w:rFonts w:asciiTheme="minorHAnsi" w:eastAsiaTheme="minorEastAsia" w:hAnsiTheme="minorHAnsi"/>
              <w:noProof/>
              <w:sz w:val="22"/>
              <w:lang w:val="en-US"/>
            </w:rPr>
          </w:pPr>
          <w:hyperlink w:anchor="_Toc228891717" w:history="1">
            <w:r w:rsidR="00025B74" w:rsidRPr="001F5BF1">
              <w:rPr>
                <w:rStyle w:val="Hyperlink"/>
                <w:noProof/>
              </w:rPr>
              <w:t>Appendix</w:t>
            </w:r>
            <w:r w:rsidR="00025B74">
              <w:rPr>
                <w:noProof/>
                <w:webHidden/>
              </w:rPr>
              <w:tab/>
            </w:r>
            <w:r w:rsidR="00025B74">
              <w:rPr>
                <w:noProof/>
                <w:webHidden/>
              </w:rPr>
              <w:fldChar w:fldCharType="begin"/>
            </w:r>
            <w:r w:rsidR="00025B74">
              <w:rPr>
                <w:noProof/>
                <w:webHidden/>
              </w:rPr>
              <w:instrText xml:space="preserve"> PAGEREF _Toc228891717 \h </w:instrText>
            </w:r>
            <w:r w:rsidR="00025B74">
              <w:rPr>
                <w:noProof/>
                <w:webHidden/>
              </w:rPr>
            </w:r>
            <w:r w:rsidR="00025B74">
              <w:rPr>
                <w:noProof/>
                <w:webHidden/>
              </w:rPr>
              <w:fldChar w:fldCharType="separate"/>
            </w:r>
            <w:r w:rsidR="00025B74">
              <w:rPr>
                <w:noProof/>
                <w:webHidden/>
              </w:rPr>
              <w:t>15</w:t>
            </w:r>
            <w:r w:rsidR="00025B74">
              <w:rPr>
                <w:noProof/>
                <w:webHidden/>
              </w:rPr>
              <w:fldChar w:fldCharType="end"/>
            </w:r>
          </w:hyperlink>
        </w:p>
        <w:p w:rsidR="000A7E52" w:rsidRDefault="000A7E52">
          <w:r>
            <w:rPr>
              <w:b/>
              <w:bCs/>
              <w:noProof/>
            </w:rPr>
            <w:fldChar w:fldCharType="end"/>
          </w:r>
        </w:p>
      </w:sdtContent>
    </w:sdt>
    <w:p w:rsidR="00D66132" w:rsidRDefault="000A7E52" w:rsidP="00D66132">
      <w:pPr>
        <w:spacing w:line="276" w:lineRule="auto"/>
        <w:jc w:val="left"/>
      </w:pPr>
      <w:r>
        <w:br w:type="page"/>
      </w:r>
    </w:p>
    <w:p w:rsidR="00025B74" w:rsidRDefault="00025B74" w:rsidP="00012706">
      <w:pPr>
        <w:pStyle w:val="Heading1"/>
        <w:sectPr w:rsidR="00025B74" w:rsidSect="00025B74">
          <w:footerReference w:type="default" r:id="rId10"/>
          <w:pgSz w:w="12240" w:h="15840"/>
          <w:pgMar w:top="1440" w:right="1440" w:bottom="1440" w:left="1440" w:header="720" w:footer="720" w:gutter="0"/>
          <w:pgNumType w:fmt="lowerRoman"/>
          <w:cols w:space="720"/>
          <w:docGrid w:linePitch="360"/>
        </w:sectPr>
      </w:pPr>
    </w:p>
    <w:p w:rsidR="00D66132" w:rsidRDefault="00D66132" w:rsidP="00012706">
      <w:pPr>
        <w:pStyle w:val="Heading1"/>
      </w:pPr>
      <w:bookmarkStart w:id="1" w:name="_Toc228891711"/>
      <w:r>
        <w:t>Introduction</w:t>
      </w:r>
      <w:bookmarkEnd w:id="1"/>
    </w:p>
    <w:p w:rsidR="00D66132" w:rsidRDefault="00D66132" w:rsidP="00012706">
      <w:r>
        <w:t>Brocksweir and Sons Ltd is an established engineering and manufacturing firm with over 250 years of history in foundry operations. The existing business structure is more than 50 years old and is currently run by the son of the founder, who is interested in modernising the business and making it more competitive in the 21st Century. The company has three key market segments, such as castings, fabrications and machined parts. It operates in the casting industry through gravity die-casting, high-pressure casting and sand casting processes, using primarily aluminium alloys along with some bronze, brass and steel products. Over the last few years, the machining department has seen a significant growth in terms of customer demand and investment in the latest Computer Numerically Controlled (CNC) machines. There has been a sharp rise in demand for sand castings, but there has been a poor practice of inventory management, which has resulted in a high number of obsolete stocks of resin. Moreover, the business does not have an effective inventory management system, resulting in stockholding, poor visibility of inventory levels and unnecessary operational costs. These problems demonstrate the necessity to implement more effective purchasing and supply chain management practices in the organisation. The introduction of a new Purchasing and Supply Chain Manager presents an opportunity to the business to enhance its inventory management, minimise waste and enhance coordination of the supply chain. This report will critically assess ways of enhancing the management of sand and resin inventory, evaluation of options to deal with the obsolete inventory and explanation of measures that can be taken to better understand the lead time across the company and its wider supply chain network.</w:t>
      </w:r>
    </w:p>
    <w:p w:rsidR="00D66132" w:rsidRDefault="00D66132" w:rsidP="00D66132">
      <w:pPr>
        <w:spacing w:line="276" w:lineRule="auto"/>
        <w:jc w:val="left"/>
      </w:pPr>
    </w:p>
    <w:p w:rsidR="00D66132" w:rsidRDefault="00D66132" w:rsidP="00D66132">
      <w:pPr>
        <w:spacing w:line="276" w:lineRule="auto"/>
        <w:jc w:val="left"/>
      </w:pPr>
    </w:p>
    <w:p w:rsidR="00D66132" w:rsidRDefault="00D66132" w:rsidP="00D66132">
      <w:pPr>
        <w:spacing w:line="276" w:lineRule="auto"/>
        <w:jc w:val="left"/>
      </w:pPr>
    </w:p>
    <w:p w:rsidR="00D66132" w:rsidRDefault="00D66132" w:rsidP="00D66132">
      <w:pPr>
        <w:spacing w:line="276" w:lineRule="auto"/>
        <w:jc w:val="left"/>
      </w:pPr>
    </w:p>
    <w:p w:rsidR="00D66132" w:rsidRDefault="00D66132" w:rsidP="00D66132">
      <w:pPr>
        <w:spacing w:line="276" w:lineRule="auto"/>
        <w:jc w:val="left"/>
      </w:pPr>
    </w:p>
    <w:p w:rsidR="00025B74" w:rsidRDefault="00025B74">
      <w:pPr>
        <w:spacing w:line="276" w:lineRule="auto"/>
        <w:jc w:val="left"/>
        <w:rPr>
          <w:rStyle w:val="Heading1Char"/>
        </w:rPr>
      </w:pPr>
      <w:r>
        <w:rPr>
          <w:rStyle w:val="Heading1Char"/>
        </w:rPr>
        <w:br w:type="page"/>
      </w:r>
    </w:p>
    <w:p w:rsidR="00D66132" w:rsidRDefault="00D66132" w:rsidP="00D66132">
      <w:pPr>
        <w:spacing w:line="276" w:lineRule="auto"/>
        <w:jc w:val="left"/>
      </w:pPr>
      <w:bookmarkStart w:id="2" w:name="_Toc228891712"/>
      <w:r w:rsidRPr="00012706">
        <w:rPr>
          <w:rStyle w:val="Heading1Char"/>
        </w:rPr>
        <w:t>Reconsider the way the company is going to manage its sand and resin stocks more effectively.</w:t>
      </w:r>
      <w:bookmarkEnd w:id="2"/>
    </w:p>
    <w:p w:rsidR="00D66132" w:rsidRDefault="00D66132" w:rsidP="00012706">
      <w:r>
        <w:t>Brocksweir and Sons Ltd is experiencing immense problems in inventory management in its sand foundry business. The company had bought bulky amounts of sand binding resins without good demand forecasts or stock management, leading to the accumulation of about 20,000 pounds of obsolete stock. The issue indicates a low purchasing coordination, incompetence in the lead time knowledge and absence of inventory visibility. Scientific methods of inventory management are increasingly being applied by modern manufacturing firms since low inventory practices directly impact profitability, cash flow and operational efficiency. Implementation of Economic Order Quantity (EOQ) should be the first major improvement that should be involved in Brocksweir. EOQ assists in the determination of the optimum size of the order that will result in the minimum of the ordering costs and the holding costs.</w:t>
      </w:r>
    </w:p>
    <w:p w:rsidR="00D66132" w:rsidRDefault="00D66132" w:rsidP="00012706">
      <w:pPr>
        <w:spacing w:line="276" w:lineRule="auto"/>
        <w:jc w:val="center"/>
      </w:pPr>
      <w:r>
        <w:t>EOQ ≈ 1,581 litres (Details in Appendix)</w:t>
      </w:r>
    </w:p>
    <w:p w:rsidR="00D66132" w:rsidRDefault="00D66132" w:rsidP="00012706">
      <w:r>
        <w:t>This implies that the company ought to order at least 1,581 litres every time rather than make enormously large bulk orders. In the case of Brocksweir, when it now buys 8,000 litres at a time, it has excess inventory that remains in storage for longer periods. EOQ thus strikes a balance between purchasing efficiency and shelf-life constraints (Fu et al., 2021). But there are constraints with EOQ. It presumes a constant demand and constant lead times. In actual manufacturing conditions, the customer demand varies on a regular basis. EOQ is not enough in modern supply chains as they are prone to disruptions, fluctuations in transport costs and unpredictable supplier performance. Consequently, Brocksweir is recommended to integrate EOQ with real-time forecasting and collaboration with the suppliers. ABC inventory classification should also be introduced in the company. Under this method:</w:t>
      </w:r>
    </w:p>
    <w:p w:rsidR="00D66132" w:rsidRDefault="00D66132" w:rsidP="00012706">
      <w:pPr>
        <w:jc w:val="center"/>
      </w:pPr>
      <w:r>
        <w:t>A items = high-value important materials (special resins)</w:t>
      </w:r>
    </w:p>
    <w:p w:rsidR="00D66132" w:rsidRDefault="00D66132" w:rsidP="00012706">
      <w:pPr>
        <w:jc w:val="center"/>
      </w:pPr>
      <w:r>
        <w:t>B items = medium-value materials.</w:t>
      </w:r>
    </w:p>
    <w:p w:rsidR="00D66132" w:rsidRDefault="00D66132" w:rsidP="00012706">
      <w:pPr>
        <w:jc w:val="center"/>
      </w:pPr>
      <w:r>
        <w:t>C items = low-value materials like common sand.</w:t>
      </w:r>
    </w:p>
    <w:p w:rsidR="00D66132" w:rsidRDefault="00D66132" w:rsidP="00012706">
      <w:r>
        <w:t>Such a system makes sure that the management puts more control on resins that have a short life and are costly. The other significant solution is First-In-First-Out (FIFO). Phenolic and furan resins are those that have low shelf life, and therefore, old resins should always be consumed first. Barcode systems, warehouse labelling and automated inventory software can be used to support FIFO (Candry Yurlina Waruwu et al., 2025). Without FIFO, the inventory that is out of date can build up very fast. Vendor Managed Inventory (VMI) can also be taken into consideration. With VMI, suppliers keep track of the stock and automatically update the inventory. This saves on administrative time, and it also cuts down inventory holding costs. VMI systems are currently being used by many automotive and aerospace manufacturers to enhance the continuity of production and to minimise the requirements of warehouse areas (Ariyanti et al., 2021). Nonetheless, overreliance on suppliers can enhance operational risk when the suppliers are unable to deliver within the stipulated time. Sustainability of the environment is another key concern. Phenolic and furan resins pose a problem with the disposal of waste. The number of hazardous waste volumes in the world is on the rise. As an example, in 2024, Ireland produced an estimated amount of 396,651 tonnes of hazardous waste, of which more than half needed to be treated as hazardous waste. This is indicative of the high cost and controlled hazardous waste disposal has become (Salih et al., 2022). Brocksweir is therefore encouraged to consider using the sand reclamation systems that can be used to ensure that the used foundry sand can be recycled rather than being disposed of. Most of the foundries now can recover 80-90% of the used sand by reclamation technologies to minimise both the purchasing and disposal costs.</w:t>
      </w:r>
    </w:p>
    <w:p w:rsidR="00D66132" w:rsidRDefault="00D66132" w:rsidP="00012706">
      <w:r>
        <w:t>Accuracy in forecasts should also be enhanced by the company. The regular analysis of the historical data of production, seasonal patterns and customer demand patterns should be done regularly. In case the amount of sand castings demanded goes up by 15%, the amount to be purchased should be in lower amounts as opposed to a high level of bulk purchases (Tsang et al., 2021). One of the primary reasons for obsolete stock is forecasting errors. Lastly, the company ought to implement key performance indicators (KPIs) such as:</w:t>
      </w:r>
    </w:p>
    <w:p w:rsidR="00D66132" w:rsidRDefault="00D66132" w:rsidP="00012706">
      <w:pPr>
        <w:pStyle w:val="ListParagraph"/>
        <w:numPr>
          <w:ilvl w:val="0"/>
          <w:numId w:val="8"/>
        </w:numPr>
      </w:pPr>
      <w:r>
        <w:t>Inventory turnover ratio</w:t>
      </w:r>
    </w:p>
    <w:p w:rsidR="00D66132" w:rsidRDefault="00D66132" w:rsidP="00012706">
      <w:pPr>
        <w:pStyle w:val="ListParagraph"/>
        <w:numPr>
          <w:ilvl w:val="0"/>
          <w:numId w:val="8"/>
        </w:numPr>
      </w:pPr>
      <w:r>
        <w:t>Obsolete inventory percentage</w:t>
      </w:r>
    </w:p>
    <w:p w:rsidR="00D66132" w:rsidRDefault="00D66132" w:rsidP="00012706">
      <w:pPr>
        <w:pStyle w:val="ListParagraph"/>
        <w:numPr>
          <w:ilvl w:val="0"/>
          <w:numId w:val="8"/>
        </w:numPr>
      </w:pPr>
      <w:r>
        <w:t>Inventory carrying cost</w:t>
      </w:r>
    </w:p>
    <w:p w:rsidR="00D66132" w:rsidRDefault="00D66132" w:rsidP="00012706">
      <w:pPr>
        <w:pStyle w:val="ListParagraph"/>
        <w:numPr>
          <w:ilvl w:val="0"/>
          <w:numId w:val="8"/>
        </w:numPr>
      </w:pPr>
      <w:r>
        <w:t>Supplier delivery accuracy</w:t>
      </w:r>
    </w:p>
    <w:p w:rsidR="00012706" w:rsidRDefault="00D66132" w:rsidP="00012706">
      <w:pPr>
        <w:pStyle w:val="ListParagraph"/>
        <w:numPr>
          <w:ilvl w:val="0"/>
          <w:numId w:val="8"/>
        </w:numPr>
      </w:pPr>
      <w:r>
        <w:t>Stockout frequency</w:t>
      </w:r>
    </w:p>
    <w:p w:rsidR="00D66132" w:rsidRDefault="00D66132" w:rsidP="00012706">
      <w:r>
        <w:t>For example:</w:t>
      </w:r>
    </w:p>
    <w:p w:rsidR="00D66132" w:rsidRDefault="00D66132" w:rsidP="00012706">
      <w:pPr>
        <w:spacing w:line="276" w:lineRule="auto"/>
        <w:jc w:val="center"/>
      </w:pPr>
      <w:r>
        <w:t>Inventory Turnover = 5 (Details in Appendix)</w:t>
      </w:r>
    </w:p>
    <w:p w:rsidR="00D66132" w:rsidRDefault="00D66132" w:rsidP="00012706">
      <w:r>
        <w:t>This implies that inventory turns over five times annually. Increased turnover generally means an increased efficiency in inventory control. In general, Brocksweir should be able to enhance the inventory management with the help of EOQ, ABC analysis, FIFO systems, and collaboration with suppliers, forecasting improvements and environmental recycling programs (Sinnock, 2024). These would decrease wastage, cash flow will be enhanced and operational efficiency will be boosted.</w:t>
      </w:r>
    </w:p>
    <w:p w:rsidR="00D66132" w:rsidRDefault="00D66132" w:rsidP="00D66132">
      <w:pPr>
        <w:spacing w:line="276" w:lineRule="auto"/>
        <w:jc w:val="left"/>
      </w:pPr>
    </w:p>
    <w:p w:rsidR="00D66132" w:rsidRDefault="00D66132" w:rsidP="00D66132">
      <w:pPr>
        <w:spacing w:line="276" w:lineRule="auto"/>
        <w:jc w:val="left"/>
      </w:pPr>
    </w:p>
    <w:p w:rsidR="00D66132" w:rsidRDefault="00D66132" w:rsidP="00D66132">
      <w:pPr>
        <w:spacing w:line="276" w:lineRule="auto"/>
        <w:jc w:val="left"/>
      </w:pPr>
    </w:p>
    <w:p w:rsidR="00012706" w:rsidRDefault="00012706">
      <w:pPr>
        <w:spacing w:line="276" w:lineRule="auto"/>
        <w:jc w:val="left"/>
      </w:pPr>
      <w:r>
        <w:br w:type="page"/>
      </w:r>
    </w:p>
    <w:p w:rsidR="00D66132" w:rsidRDefault="00D66132" w:rsidP="00012706">
      <w:pPr>
        <w:pStyle w:val="Heading1"/>
      </w:pPr>
      <w:bookmarkStart w:id="3" w:name="_Toc228891713"/>
      <w:r>
        <w:t xml:space="preserve">Critically analyse the options available to the company </w:t>
      </w:r>
      <w:r w:rsidR="00012706">
        <w:t>to deal with the obsolete stock</w:t>
      </w:r>
      <w:bookmarkEnd w:id="3"/>
    </w:p>
    <w:p w:rsidR="00D66132" w:rsidRDefault="00D66132" w:rsidP="00012706">
      <w:r>
        <w:t>Brocksweir and Sons Ltd now has a stock of about 20,000 expired resin, which now falls within the special waste category. The company should hence consider various potential solutions and analyse them critically to get the most cost-effective and sustainable solution. Nonetheless, the cost of disposing of hazardous waste has gone up tremendously across the globe. The quantity of hazardous waste generated by Ireland alone in 2024 (nearly 400,000 tonnes) is indicative of the increasing volume and price of environmental waste management.</w:t>
      </w:r>
    </w:p>
    <w:p w:rsidR="00D66132" w:rsidRDefault="00D66132" w:rsidP="00012706">
      <w:pPr>
        <w:spacing w:line="276" w:lineRule="auto"/>
        <w:jc w:val="center"/>
      </w:pPr>
      <w:r>
        <w:t>Sample Disposal Cost Calculation = £20,000+£15,000 = £35,000 (Details in Appendix)</w:t>
      </w:r>
    </w:p>
    <w:p w:rsidR="00D66132" w:rsidRDefault="00D66132" w:rsidP="00012706">
      <w:r>
        <w:t>This demonstrates that a lack of inventory is not only costing the purchasing processes but also costing the environment greatly in terms of disposal. The second option is recycling and recovery of the materials. Certain specialist companies are able to recover chemical compounds or make use of portions of the expired resin products in lower-grade industrial use (Gijsbrechts et al., 2022). Though the cost of recycling might still be there, the company might save the cost of disposal and enhance a better sustainability performance. According to this example, recycling can lower the disposal cost by a factor of more than 50% and also increase environmental responsibility. Another option is to control internal re-use of the organisation. Other resins that have expired can still be used satisfactorily in non-critical castings, prototyping or training. But this alternative can have severe quality and safety implications. In case of performance decline of resin, the defects of castings could increase, and the end result is the complaints of customers and the breakdown of production.</w:t>
      </w:r>
    </w:p>
    <w:p w:rsidR="00D66132" w:rsidRDefault="00D66132" w:rsidP="00012706">
      <w:pPr>
        <w:spacing w:line="276" w:lineRule="auto"/>
        <w:jc w:val="center"/>
      </w:pPr>
      <w:r>
        <w:t>Calculation of Quality Risk of an example = 6,400 (Details in Appendix)</w:t>
      </w:r>
    </w:p>
    <w:p w:rsidR="00D66132" w:rsidRDefault="00D66132" w:rsidP="00012706">
      <w:r>
        <w:t>Thus, reuse can result in short-term savings that can bring about bigger long-term quality costs. This renders controlled reuse a hazardous alternative unless laboratory tests reveal that the material is suitable (Fang and Chen, 2022). Another potential solution is through supplier return agreements. Other chemical suppliers do accept unused or expired products back to be reprocessed, especially when there are long-term strategic relationships. Brocksweir ought to sign future contracts that comprise:</w:t>
      </w:r>
    </w:p>
    <w:p w:rsidR="00D66132" w:rsidRDefault="00D66132" w:rsidP="00D66132">
      <w:pPr>
        <w:spacing w:line="276" w:lineRule="auto"/>
        <w:jc w:val="left"/>
      </w:pPr>
    </w:p>
    <w:p w:rsidR="00D66132" w:rsidRDefault="00D66132" w:rsidP="00012706">
      <w:pPr>
        <w:pStyle w:val="ListParagraph"/>
        <w:numPr>
          <w:ilvl w:val="0"/>
          <w:numId w:val="10"/>
        </w:numPr>
        <w:spacing w:line="276" w:lineRule="auto"/>
        <w:jc w:val="left"/>
      </w:pPr>
      <w:r>
        <w:t>Return clauses</w:t>
      </w:r>
    </w:p>
    <w:p w:rsidR="00D66132" w:rsidRDefault="00D66132" w:rsidP="00012706">
      <w:pPr>
        <w:pStyle w:val="ListParagraph"/>
        <w:numPr>
          <w:ilvl w:val="0"/>
          <w:numId w:val="10"/>
        </w:numPr>
        <w:spacing w:line="276" w:lineRule="auto"/>
        <w:jc w:val="left"/>
      </w:pPr>
      <w:r>
        <w:t>Shelf-life guarantees</w:t>
      </w:r>
    </w:p>
    <w:p w:rsidR="00D66132" w:rsidRDefault="00D66132" w:rsidP="00012706">
      <w:pPr>
        <w:pStyle w:val="ListParagraph"/>
        <w:numPr>
          <w:ilvl w:val="0"/>
          <w:numId w:val="10"/>
        </w:numPr>
        <w:spacing w:line="276" w:lineRule="auto"/>
        <w:jc w:val="left"/>
      </w:pPr>
      <w:r>
        <w:t>Consignment stock agreements</w:t>
      </w:r>
    </w:p>
    <w:p w:rsidR="00D66132" w:rsidRDefault="00D66132" w:rsidP="00D66132">
      <w:pPr>
        <w:pStyle w:val="ListParagraph"/>
        <w:numPr>
          <w:ilvl w:val="0"/>
          <w:numId w:val="10"/>
        </w:numPr>
        <w:spacing w:line="276" w:lineRule="auto"/>
        <w:jc w:val="left"/>
      </w:pPr>
      <w:r>
        <w:t>Shared disposal responsibilities</w:t>
      </w:r>
    </w:p>
    <w:p w:rsidR="00D66132" w:rsidRDefault="00D66132" w:rsidP="00012706">
      <w:r>
        <w:t>These contracts minimise the risk in the future. The company is also supposed to research sales in the secondary market before the expiry dates are met (Alansari, 2022). Moving slow stock might be sold to smaller foundries or third-party buyers at a lower price.</w:t>
      </w:r>
    </w:p>
    <w:p w:rsidR="00D66132" w:rsidRDefault="00D66132" w:rsidP="00012706">
      <w:pPr>
        <w:spacing w:line="276" w:lineRule="auto"/>
        <w:jc w:val="center"/>
      </w:pPr>
      <w:r>
        <w:t>Calculation of Discount Sale = £8,000 = less than 100,000 (Details in Appendix)</w:t>
      </w:r>
    </w:p>
    <w:p w:rsidR="00D66132" w:rsidRDefault="00D66132" w:rsidP="00012706">
      <w:r>
        <w:t>Prevention, which can be achieved by more stringent inventory controls, is another important option. Prevention will often be less expensive than the cost of disposal that will follow the event of expiry. Studies conducted by manufacturing sectors always indicate that the inventory optimisation systems lower the obsolete inventory and carrying costs.</w:t>
      </w:r>
    </w:p>
    <w:p w:rsidR="00D66132" w:rsidRDefault="00D66132" w:rsidP="00D66132">
      <w:pPr>
        <w:spacing w:line="276" w:lineRule="auto"/>
        <w:jc w:val="left"/>
      </w:pPr>
      <w:r>
        <w:t>The company ought to carry out:</w:t>
      </w:r>
    </w:p>
    <w:p w:rsidR="00D66132" w:rsidRDefault="00D66132" w:rsidP="00012706">
      <w:pPr>
        <w:pStyle w:val="ListParagraph"/>
        <w:numPr>
          <w:ilvl w:val="0"/>
          <w:numId w:val="12"/>
        </w:numPr>
        <w:spacing w:line="276" w:lineRule="auto"/>
        <w:jc w:val="left"/>
      </w:pPr>
      <w:r>
        <w:t>Real-time inventory monitoring</w:t>
      </w:r>
    </w:p>
    <w:p w:rsidR="00D66132" w:rsidRDefault="00D66132" w:rsidP="00012706">
      <w:pPr>
        <w:pStyle w:val="ListParagraph"/>
        <w:numPr>
          <w:ilvl w:val="0"/>
          <w:numId w:val="12"/>
        </w:numPr>
        <w:spacing w:line="276" w:lineRule="auto"/>
        <w:jc w:val="left"/>
      </w:pPr>
      <w:r>
        <w:t>Reorder point systems</w:t>
      </w:r>
    </w:p>
    <w:p w:rsidR="00D66132" w:rsidRDefault="00D66132" w:rsidP="00012706">
      <w:pPr>
        <w:pStyle w:val="ListParagraph"/>
        <w:numPr>
          <w:ilvl w:val="0"/>
          <w:numId w:val="12"/>
        </w:numPr>
        <w:spacing w:line="276" w:lineRule="auto"/>
        <w:jc w:val="left"/>
      </w:pPr>
      <w:r>
        <w:t>Demand forecasting software</w:t>
      </w:r>
    </w:p>
    <w:p w:rsidR="00D66132" w:rsidRDefault="00D66132" w:rsidP="00D66132">
      <w:pPr>
        <w:pStyle w:val="ListParagraph"/>
        <w:numPr>
          <w:ilvl w:val="0"/>
          <w:numId w:val="12"/>
        </w:numPr>
        <w:spacing w:line="276" w:lineRule="auto"/>
        <w:jc w:val="left"/>
      </w:pPr>
      <w:r>
        <w:t>Supplier lead-time tracking</w:t>
      </w:r>
    </w:p>
    <w:p w:rsidR="00D66132" w:rsidRDefault="00D66132" w:rsidP="00D66132">
      <w:pPr>
        <w:spacing w:line="276" w:lineRule="auto"/>
        <w:jc w:val="left"/>
      </w:pPr>
      <w:r>
        <w:t>For example, reorder point calculations could be used:</w:t>
      </w:r>
    </w:p>
    <w:p w:rsidR="00D66132" w:rsidRDefault="00D66132" w:rsidP="00012706">
      <w:pPr>
        <w:spacing w:line="276" w:lineRule="auto"/>
        <w:jc w:val="center"/>
      </w:pPr>
      <w:r>
        <w:t>ROP = 1,140 kg (Details in Appendix)</w:t>
      </w:r>
    </w:p>
    <w:p w:rsidR="00D66132" w:rsidRDefault="00D66132" w:rsidP="00012706">
      <w:r>
        <w:t>This implies that reordering should be done when the stock has reduced to 1,140 kg. This is because they avoid accumulation of stocks, which would lead to high operating costs (Ngoc Anh Nguyen et al., 2026). Lastly, the company ought to carry out a root cause analysis to establish the reason behind the presence of obsolete inventory. Possible causes include:</w:t>
      </w:r>
    </w:p>
    <w:p w:rsidR="00D66132" w:rsidRDefault="00D66132" w:rsidP="00012706">
      <w:pPr>
        <w:pStyle w:val="ListParagraph"/>
        <w:numPr>
          <w:ilvl w:val="0"/>
          <w:numId w:val="14"/>
        </w:numPr>
        <w:spacing w:line="276" w:lineRule="auto"/>
        <w:jc w:val="left"/>
      </w:pPr>
      <w:r>
        <w:t>Lack of effective interdepartmental communication</w:t>
      </w:r>
    </w:p>
    <w:p w:rsidR="00D66132" w:rsidRDefault="00D66132" w:rsidP="00012706">
      <w:pPr>
        <w:pStyle w:val="ListParagraph"/>
        <w:numPr>
          <w:ilvl w:val="0"/>
          <w:numId w:val="14"/>
        </w:numPr>
        <w:spacing w:line="276" w:lineRule="auto"/>
        <w:jc w:val="left"/>
      </w:pPr>
      <w:r>
        <w:t>Lack of inventory systems</w:t>
      </w:r>
    </w:p>
    <w:p w:rsidR="00D66132" w:rsidRDefault="00D66132" w:rsidP="00012706">
      <w:pPr>
        <w:pStyle w:val="ListParagraph"/>
        <w:numPr>
          <w:ilvl w:val="0"/>
          <w:numId w:val="14"/>
        </w:numPr>
        <w:spacing w:line="276" w:lineRule="auto"/>
        <w:jc w:val="left"/>
      </w:pPr>
      <w:r>
        <w:t>Excessive level of dependency on large-scale discounts</w:t>
      </w:r>
    </w:p>
    <w:p w:rsidR="00D66132" w:rsidRDefault="00D66132" w:rsidP="00012706">
      <w:pPr>
        <w:pStyle w:val="ListParagraph"/>
        <w:numPr>
          <w:ilvl w:val="0"/>
          <w:numId w:val="14"/>
        </w:numPr>
        <w:spacing w:line="276" w:lineRule="auto"/>
        <w:jc w:val="left"/>
      </w:pPr>
      <w:r>
        <w:t>Inaccurate forecasting</w:t>
      </w:r>
    </w:p>
    <w:p w:rsidR="00D66132" w:rsidRDefault="00D66132" w:rsidP="00D66132">
      <w:pPr>
        <w:pStyle w:val="ListParagraph"/>
        <w:numPr>
          <w:ilvl w:val="0"/>
          <w:numId w:val="14"/>
        </w:numPr>
        <w:spacing w:line="276" w:lineRule="auto"/>
        <w:jc w:val="left"/>
      </w:pPr>
      <w:r>
        <w:t>Weak management oversight</w:t>
      </w:r>
    </w:p>
    <w:p w:rsidR="00D66132" w:rsidRDefault="00D66132" w:rsidP="00D66132">
      <w:pPr>
        <w:spacing w:line="276" w:lineRule="auto"/>
        <w:jc w:val="left"/>
      </w:pPr>
      <w:r>
        <w:t>Unless these root causes are resolved, there will still be obsolete inventory issues.</w:t>
      </w:r>
    </w:p>
    <w:p w:rsidR="00D66132" w:rsidRDefault="00D66132" w:rsidP="00D66132">
      <w:pPr>
        <w:spacing w:line="276" w:lineRule="auto"/>
        <w:jc w:val="left"/>
      </w:pPr>
    </w:p>
    <w:p w:rsidR="00D66132" w:rsidRDefault="00D66132" w:rsidP="00012706">
      <w:r>
        <w:t>To summarise, it is probably a combination of recycling, selective disposal and enhanced preventative inventory management systems that can be considered the best solution. Uncontrolled reuse poses operational hazards and uncontrolled full disposal is expensive and damaging to the environment (Heribertus Ary Setyadi et al., 2024). The long-term benefits of Brocksweir will be most sustainable and sustainable through the following benefits: forecasting, supplier agreements and inventory control.</w:t>
      </w:r>
    </w:p>
    <w:p w:rsidR="00D66132" w:rsidRDefault="00D66132" w:rsidP="00D66132">
      <w:pPr>
        <w:spacing w:line="276" w:lineRule="auto"/>
        <w:jc w:val="left"/>
      </w:pPr>
    </w:p>
    <w:p w:rsidR="00D66132" w:rsidRDefault="00D66132" w:rsidP="00D66132">
      <w:pPr>
        <w:spacing w:line="276" w:lineRule="auto"/>
        <w:jc w:val="left"/>
      </w:pPr>
    </w:p>
    <w:p w:rsidR="00D66132" w:rsidRDefault="00D66132" w:rsidP="00D66132">
      <w:pPr>
        <w:spacing w:line="276" w:lineRule="auto"/>
        <w:jc w:val="left"/>
      </w:pPr>
    </w:p>
    <w:p w:rsidR="00D66132" w:rsidRDefault="00D66132" w:rsidP="00D66132">
      <w:pPr>
        <w:spacing w:line="276" w:lineRule="auto"/>
        <w:jc w:val="left"/>
      </w:pPr>
    </w:p>
    <w:p w:rsidR="00D66132" w:rsidRDefault="00D66132" w:rsidP="00D66132">
      <w:pPr>
        <w:spacing w:line="276" w:lineRule="auto"/>
        <w:jc w:val="left"/>
      </w:pPr>
    </w:p>
    <w:p w:rsidR="00012706" w:rsidRDefault="00012706">
      <w:pPr>
        <w:spacing w:line="276" w:lineRule="auto"/>
        <w:jc w:val="left"/>
        <w:rPr>
          <w:rFonts w:eastAsiaTheme="majorEastAsia" w:cstheme="majorBidi"/>
          <w:b/>
          <w:bCs/>
          <w:color w:val="365F91" w:themeColor="accent1" w:themeShade="BF"/>
          <w:sz w:val="32"/>
          <w:szCs w:val="28"/>
        </w:rPr>
      </w:pPr>
      <w:r>
        <w:br w:type="page"/>
      </w:r>
    </w:p>
    <w:p w:rsidR="00D66132" w:rsidRDefault="00D66132" w:rsidP="00012706">
      <w:pPr>
        <w:pStyle w:val="Heading1"/>
      </w:pPr>
      <w:bookmarkStart w:id="4" w:name="_Toc228891714"/>
      <w:r>
        <w:t>Reasoning for the actions that have to be taken</w:t>
      </w:r>
      <w:bookmarkEnd w:id="4"/>
    </w:p>
    <w:p w:rsidR="00D66132" w:rsidRDefault="00D66132" w:rsidP="00012706">
      <w:r>
        <w:t>Brocksweir and Sons Ltd now does not have an appropriate understanding and control of the lead times in its purchasing, production and supply chain functioning. This issue adds to the overstocking, outdated inventory, increased storage expenses and inefficiencies in production. Lead time can be defined as the overall time taken between making an order and delivering the materials, after processing and being ready to be used in production (Gupta et al., 2025). Poor lead time visibility in manufacturing industries is often the cause of overstocking of inventory, as a buffer, which in turn increases the cost of working capital and results in wastage in the operation. Full supply chain mapping is one of the measures that Brocksweir should take in order to enhance the situation (Mahajan et al., 2024). The company should be able to recognise all the steps involved in the purchasing, transportation, storage, production and delivery. This encompasses processing times of suppliers, transport time, unloading time, inspection steps and internal material handling. The Toyota Motor Corporation employs integrated supplier mapping and lean production systems to ensure that there is minimal inventory holding but continuity in production (de Souza et al., 2025). Just-in-time strategy will help Toyota to lower stocks of excess inventory because the supplier will be delivering products on schedule with production plans. The company ought as well to implement supplier performance measurement systems. The suppliers should be analysed in terms of reliability of delivery, consistency, quality performance and responsiveness. Long lead times are usually less harmful than variations in lead times since unexpected deliveries compel firms to resort to higher safety stock. The loss of money might be more than any saving of purchase in case the production ceases due to the inability to obtain resin. Selection of suppliers must thus be based on the overall supply chain cost, and not just the purchase price (Mashayekhy et al., 2022). The company is advised to introduce a calculation of a lead time of all significant types of inventory.</w:t>
      </w:r>
    </w:p>
    <w:p w:rsidR="00D66132" w:rsidRDefault="00D66132" w:rsidP="00D66132">
      <w:pPr>
        <w:spacing w:line="276" w:lineRule="auto"/>
        <w:jc w:val="left"/>
      </w:pPr>
      <w:r>
        <w:t>The simple formula of the lead time is:</w:t>
      </w:r>
    </w:p>
    <w:p w:rsidR="00D66132" w:rsidRDefault="00D66132" w:rsidP="00012706">
      <w:pPr>
        <w:spacing w:line="276" w:lineRule="auto"/>
        <w:jc w:val="center"/>
      </w:pPr>
      <w:r>
        <w:t>LEAD Time = Procurement Time +Production Time +Transportation Time +Inspection Time.</w:t>
      </w:r>
    </w:p>
    <w:p w:rsidR="00D66132" w:rsidRDefault="00D66132" w:rsidP="00D66132">
      <w:pPr>
        <w:spacing w:line="276" w:lineRule="auto"/>
        <w:jc w:val="left"/>
      </w:pPr>
      <w:r>
        <w:t xml:space="preserve">An example of a calculation of Lead Time – </w:t>
      </w:r>
    </w:p>
    <w:p w:rsidR="00D66132" w:rsidRDefault="00D66132" w:rsidP="00012706">
      <w:pPr>
        <w:spacing w:line="276" w:lineRule="auto"/>
        <w:jc w:val="center"/>
      </w:pPr>
      <w:r>
        <w:t>Lead Time=10 days (Details in Appendix)</w:t>
      </w:r>
    </w:p>
    <w:p w:rsidR="00D66132" w:rsidRDefault="00D66132" w:rsidP="00D66132">
      <w:pPr>
        <w:spacing w:line="276" w:lineRule="auto"/>
        <w:jc w:val="left"/>
      </w:pPr>
    </w:p>
    <w:p w:rsidR="00D66132" w:rsidRDefault="00D66132" w:rsidP="00D66132">
      <w:pPr>
        <w:spacing w:line="276" w:lineRule="auto"/>
        <w:jc w:val="left"/>
      </w:pPr>
    </w:p>
    <w:p w:rsidR="00D66132" w:rsidRDefault="00D66132" w:rsidP="00D66132">
      <w:pPr>
        <w:spacing w:line="276" w:lineRule="auto"/>
        <w:jc w:val="left"/>
      </w:pPr>
    </w:p>
    <w:p w:rsidR="00D66132" w:rsidRDefault="00D66132" w:rsidP="00012706">
      <w:r>
        <w:t>This implies that Brocksweir will have to place orders for resin at least 10 days before the materials will be needed in production. Safety stock should also be computed by the company as a way of hedging against lead time variability.</w:t>
      </w:r>
    </w:p>
    <w:p w:rsidR="00012706" w:rsidRDefault="00D66132" w:rsidP="00D66132">
      <w:pPr>
        <w:spacing w:line="276" w:lineRule="auto"/>
        <w:jc w:val="left"/>
      </w:pPr>
      <w:r>
        <w:t>The formula of safety stoc</w:t>
      </w:r>
      <w:r w:rsidR="00012706">
        <w:t>k is:</w:t>
      </w:r>
    </w:p>
    <w:p w:rsidR="00D66132" w:rsidRDefault="00D66132" w:rsidP="00012706">
      <w:pPr>
        <w:spacing w:line="276" w:lineRule="auto"/>
        <w:jc w:val="center"/>
      </w:pPr>
      <w:r>
        <w:t>Safety Stock = 1200 kg (Details in Appendix)</w:t>
      </w:r>
    </w:p>
    <w:p w:rsidR="00D66132" w:rsidRDefault="00D66132" w:rsidP="00012706">
      <w:r>
        <w:t>The calculation demonstrates the extra stocks that will be necessary to prevent production stops in case of a supplier delay. Siemens AG has been keen on digital supply chain technologies in order to enhance the accuracy of its predictions and the coordination of its suppliers (Gupta et al., 2025). Siemens has documented that its operational efficiency has greatly improved following the adoption of a digital manufacturing and supplier management system in its worldwide operations. Likewise, Unilever employs real-time monitoring systems of supply chains to minimise delays during delivery and optimise the number of inventory worldwide. Measuring internal lead times should also be part of the company, and not only the supplier lead times. There can be delays due to:</w:t>
      </w:r>
    </w:p>
    <w:p w:rsidR="00D66132" w:rsidRDefault="00D66132" w:rsidP="00012706">
      <w:pPr>
        <w:pStyle w:val="ListParagraph"/>
        <w:numPr>
          <w:ilvl w:val="0"/>
          <w:numId w:val="18"/>
        </w:numPr>
        <w:spacing w:line="276" w:lineRule="auto"/>
        <w:jc w:val="left"/>
      </w:pPr>
      <w:r>
        <w:t>Time-consuming purchase approval processes.</w:t>
      </w:r>
    </w:p>
    <w:p w:rsidR="00D66132" w:rsidRDefault="00D66132" w:rsidP="00012706">
      <w:pPr>
        <w:pStyle w:val="ListParagraph"/>
        <w:numPr>
          <w:ilvl w:val="0"/>
          <w:numId w:val="18"/>
        </w:numPr>
        <w:spacing w:line="276" w:lineRule="auto"/>
        <w:jc w:val="left"/>
      </w:pPr>
      <w:r>
        <w:t>Poor warehouse organisation</w:t>
      </w:r>
    </w:p>
    <w:p w:rsidR="00D66132" w:rsidRDefault="00D66132" w:rsidP="00012706">
      <w:pPr>
        <w:pStyle w:val="ListParagraph"/>
        <w:numPr>
          <w:ilvl w:val="0"/>
          <w:numId w:val="18"/>
        </w:numPr>
        <w:spacing w:line="276" w:lineRule="auto"/>
        <w:jc w:val="left"/>
      </w:pPr>
      <w:r>
        <w:t>Delayed inspection processes</w:t>
      </w:r>
    </w:p>
    <w:p w:rsidR="00D66132" w:rsidRDefault="00D66132" w:rsidP="00012706">
      <w:pPr>
        <w:pStyle w:val="ListParagraph"/>
        <w:numPr>
          <w:ilvl w:val="0"/>
          <w:numId w:val="18"/>
        </w:numPr>
        <w:spacing w:line="276" w:lineRule="auto"/>
        <w:jc w:val="left"/>
      </w:pPr>
      <w:r>
        <w:t>Machine downtime</w:t>
      </w:r>
    </w:p>
    <w:p w:rsidR="00D66132" w:rsidRDefault="00D66132" w:rsidP="00D66132">
      <w:pPr>
        <w:pStyle w:val="ListParagraph"/>
        <w:numPr>
          <w:ilvl w:val="0"/>
          <w:numId w:val="18"/>
        </w:numPr>
        <w:spacing w:line="276" w:lineRule="auto"/>
        <w:jc w:val="left"/>
      </w:pPr>
      <w:r>
        <w:t>Interdepartmental breakdown in communication</w:t>
      </w:r>
    </w:p>
    <w:p w:rsidR="00D66132" w:rsidRDefault="00D66132" w:rsidP="00012706">
      <w:r>
        <w:t>As an illustration, say the supplier delivery time is 7 days, yet the internal approval time is 5 days, the effective lead time will be 12 days. Most firms simply concentrate on the performance of their suppliers and overlook inefficiencies within their own firms. There should also be an introduction to lean manufacturing techniques. The lean systems are geared towards the removal of non-value-added processes of waiting time, unnecessary transportation and excessive inventory (Zhang et al., 2026). Tesla, Inc. and other companies constantly examine the production flow and organisation of suppliers to decrease operational delays and enhance manufacturing responsiveness.</w:t>
      </w:r>
    </w:p>
    <w:p w:rsidR="00D66132" w:rsidRDefault="00D66132" w:rsidP="00D66132">
      <w:pPr>
        <w:spacing w:line="276" w:lineRule="auto"/>
        <w:jc w:val="left"/>
      </w:pPr>
    </w:p>
    <w:p w:rsidR="00D66132" w:rsidRDefault="00D66132" w:rsidP="00D66132">
      <w:pPr>
        <w:spacing w:line="276" w:lineRule="auto"/>
        <w:jc w:val="left"/>
      </w:pPr>
      <w:r>
        <w:t>The company should also have lead time Key Performance Indicators (KPIs), such as:</w:t>
      </w:r>
    </w:p>
    <w:p w:rsidR="00D66132" w:rsidRDefault="00D66132" w:rsidP="00012706">
      <w:pPr>
        <w:pStyle w:val="ListParagraph"/>
        <w:numPr>
          <w:ilvl w:val="0"/>
          <w:numId w:val="19"/>
        </w:numPr>
        <w:spacing w:line="276" w:lineRule="auto"/>
        <w:jc w:val="left"/>
      </w:pPr>
      <w:r>
        <w:t>Mean time with suppliers.</w:t>
      </w:r>
    </w:p>
    <w:p w:rsidR="00D66132" w:rsidRDefault="00D66132" w:rsidP="00012706">
      <w:pPr>
        <w:pStyle w:val="ListParagraph"/>
        <w:numPr>
          <w:ilvl w:val="0"/>
          <w:numId w:val="19"/>
        </w:numPr>
        <w:spacing w:line="276" w:lineRule="auto"/>
        <w:jc w:val="left"/>
      </w:pPr>
      <w:r>
        <w:t>Lead time variability</w:t>
      </w:r>
    </w:p>
    <w:p w:rsidR="00D66132" w:rsidRDefault="00D66132" w:rsidP="00012706">
      <w:pPr>
        <w:pStyle w:val="ListParagraph"/>
        <w:numPr>
          <w:ilvl w:val="0"/>
          <w:numId w:val="19"/>
        </w:numPr>
        <w:spacing w:line="276" w:lineRule="auto"/>
        <w:jc w:val="left"/>
      </w:pPr>
      <w:r>
        <w:t>On-time delivery percentage</w:t>
      </w:r>
    </w:p>
    <w:p w:rsidR="00D66132" w:rsidRDefault="00D66132" w:rsidP="00012706">
      <w:pPr>
        <w:pStyle w:val="ListParagraph"/>
        <w:numPr>
          <w:ilvl w:val="0"/>
          <w:numId w:val="19"/>
        </w:numPr>
        <w:spacing w:line="276" w:lineRule="auto"/>
        <w:jc w:val="left"/>
      </w:pPr>
      <w:r>
        <w:t>Production cycle time</w:t>
      </w:r>
    </w:p>
    <w:p w:rsidR="00D66132" w:rsidRDefault="00D66132" w:rsidP="00012706">
      <w:pPr>
        <w:pStyle w:val="ListParagraph"/>
        <w:numPr>
          <w:ilvl w:val="0"/>
          <w:numId w:val="19"/>
        </w:numPr>
        <w:spacing w:line="276" w:lineRule="auto"/>
        <w:jc w:val="left"/>
      </w:pPr>
      <w:r>
        <w:t>Order fulfilment time</w:t>
      </w:r>
    </w:p>
    <w:p w:rsidR="00D66132" w:rsidRDefault="00D66132" w:rsidP="00D66132">
      <w:pPr>
        <w:spacing w:line="276" w:lineRule="auto"/>
        <w:jc w:val="left"/>
      </w:pPr>
      <w:r>
        <w:t>Example</w:t>
      </w:r>
    </w:p>
    <w:p w:rsidR="00D66132" w:rsidRDefault="00D66132" w:rsidP="00012706">
      <w:pPr>
        <w:spacing w:line="276" w:lineRule="auto"/>
        <w:jc w:val="center"/>
      </w:pPr>
      <w:r>
        <w:t>KPI Calculation = 92% (Details in Appendix)</w:t>
      </w:r>
    </w:p>
    <w:p w:rsidR="00D66132" w:rsidRDefault="00D66132" w:rsidP="00012706">
      <w:r>
        <w:t>This KPI assists the management in determining the reliability of suppliers. Lastly, training of employees is a must. The purchasing, warehousing and production planning staff should be aware of the concepts of lead time, forecasting and inventory management methods. Even sophisticated systems might not work without highly qualified employees (Shokouhifar et al., 2021). On the whole, Brocksweir can enhance the understanding of lead times with the help of supply chain mapping, digital ERP systems, collaboration with suppliers, KPI monitoring, calculation of safety stocks and lean manufacturing practices. The increased visibility of lead time would reduce the number of obsolete inventories, enhance continuity in production, and increase operational efficiency in the long term.</w:t>
      </w:r>
    </w:p>
    <w:p w:rsidR="00D66132" w:rsidRDefault="00D66132" w:rsidP="00D66132">
      <w:pPr>
        <w:spacing w:line="276" w:lineRule="auto"/>
        <w:jc w:val="left"/>
      </w:pPr>
    </w:p>
    <w:p w:rsidR="00D66132" w:rsidRDefault="00D66132" w:rsidP="00D66132">
      <w:pPr>
        <w:spacing w:line="276" w:lineRule="auto"/>
        <w:jc w:val="left"/>
      </w:pPr>
    </w:p>
    <w:p w:rsidR="00D66132" w:rsidRDefault="00D66132" w:rsidP="00D66132">
      <w:pPr>
        <w:spacing w:line="276" w:lineRule="auto"/>
        <w:jc w:val="left"/>
      </w:pPr>
    </w:p>
    <w:p w:rsidR="00D66132" w:rsidRDefault="00D66132" w:rsidP="00D66132">
      <w:pPr>
        <w:spacing w:line="276" w:lineRule="auto"/>
        <w:jc w:val="left"/>
      </w:pPr>
    </w:p>
    <w:p w:rsidR="00D66132" w:rsidRDefault="00D66132" w:rsidP="00D66132">
      <w:pPr>
        <w:spacing w:line="276" w:lineRule="auto"/>
        <w:jc w:val="left"/>
      </w:pPr>
    </w:p>
    <w:p w:rsidR="00012706" w:rsidRDefault="00012706">
      <w:pPr>
        <w:spacing w:line="276" w:lineRule="auto"/>
        <w:jc w:val="left"/>
        <w:rPr>
          <w:rFonts w:eastAsiaTheme="majorEastAsia" w:cstheme="majorBidi"/>
          <w:b/>
          <w:bCs/>
          <w:color w:val="365F91" w:themeColor="accent1" w:themeShade="BF"/>
          <w:sz w:val="32"/>
          <w:szCs w:val="28"/>
        </w:rPr>
      </w:pPr>
      <w:r>
        <w:br w:type="page"/>
      </w:r>
    </w:p>
    <w:p w:rsidR="00D66132" w:rsidRDefault="00D66132" w:rsidP="00012706">
      <w:pPr>
        <w:pStyle w:val="Heading1"/>
      </w:pPr>
      <w:bookmarkStart w:id="5" w:name="_Toc228891715"/>
      <w:r>
        <w:t>Conclusion and Recommendations</w:t>
      </w:r>
      <w:bookmarkEnd w:id="5"/>
    </w:p>
    <w:p w:rsidR="00D66132" w:rsidRDefault="00D66132" w:rsidP="00012706">
      <w:r>
        <w:t>Brocksweir and Sons Ltd are in the process of experiencing significant operational and supply chain management issues in its sand foundry department. The business has been able to experience an increase in the demand for sand castings and machining services, but due to poor inventory management practices, it has faced serious financial and environmental problems. Making an excessive order of the sand binding resins without due forecasting or monitoring has led to an obsolete stock to the tune of approximately £20,000. The extra expenses of special waste disposal, storage and drying have diminished the financial gains accrued as a result of bulk purchasing. These problems show that the modern inventory and supply chain management methods should be adopted. The analysis reveals that the company needs to implement structured inventory management systems like Economic order quantity (EOQ), minimum and maximum stock quantities, Vendor Managed Inventory (VMI) and First-In-First-Out (FIFO) systems. The strategies would help minimise wastage, enhance stock management and reduce operational expenses. Digital inventory management or Enterprise Resource Planning (ERP) systems should also be invested in by the company to enhance visibility and coordination across departments. Also required are better forecasting and supplier relationship management to enable the purchasing decisions and minimise the risk of future obsolete stock. In general, the company needs to concentrate on an enhanced and more integrated supply chain strategy. The regular monitoring of the business, training of the staff and frequent count of the inventory will assist the business to have better control of its operations and enhance its competitiveness in the long run in the manufacturing industry.</w:t>
      </w:r>
    </w:p>
    <w:p w:rsidR="00D66132" w:rsidRDefault="00D66132" w:rsidP="00D66132">
      <w:pPr>
        <w:spacing w:line="276" w:lineRule="auto"/>
        <w:jc w:val="left"/>
      </w:pPr>
    </w:p>
    <w:p w:rsidR="00D66132" w:rsidRDefault="00D66132" w:rsidP="00D66132">
      <w:pPr>
        <w:spacing w:line="276" w:lineRule="auto"/>
        <w:jc w:val="left"/>
      </w:pPr>
    </w:p>
    <w:p w:rsidR="00D66132" w:rsidRDefault="00D66132" w:rsidP="00D66132">
      <w:pPr>
        <w:spacing w:line="276" w:lineRule="auto"/>
        <w:jc w:val="left"/>
      </w:pPr>
    </w:p>
    <w:p w:rsidR="00025B74" w:rsidRDefault="00025B74">
      <w:pPr>
        <w:spacing w:line="276" w:lineRule="auto"/>
        <w:jc w:val="left"/>
        <w:rPr>
          <w:rFonts w:eastAsiaTheme="majorEastAsia" w:cstheme="majorBidi"/>
          <w:b/>
          <w:bCs/>
          <w:color w:val="365F91" w:themeColor="accent1" w:themeShade="BF"/>
          <w:sz w:val="32"/>
          <w:szCs w:val="28"/>
        </w:rPr>
      </w:pPr>
      <w:r>
        <w:br w:type="page"/>
      </w:r>
    </w:p>
    <w:p w:rsidR="00D66132" w:rsidRDefault="00D66132" w:rsidP="00025B74">
      <w:pPr>
        <w:pStyle w:val="Heading1"/>
      </w:pPr>
      <w:bookmarkStart w:id="6" w:name="_Toc228891716"/>
      <w:r>
        <w:t>References</w:t>
      </w:r>
      <w:bookmarkEnd w:id="6"/>
    </w:p>
    <w:p w:rsidR="00025B74" w:rsidRDefault="00025B74" w:rsidP="00025B74">
      <w:pPr>
        <w:ind w:left="720" w:hanging="720"/>
        <w:rPr>
          <w:lang w:val="en-US"/>
        </w:rPr>
      </w:pPr>
      <w:r w:rsidRPr="0098409E">
        <w:rPr>
          <w:lang w:val="en-US"/>
        </w:rPr>
        <w:t xml:space="preserve">Alansari, M.M. (2022) “Optimized Automatic Course Timetabling Service Architecture for Integration with Vendor Management Systems,” </w:t>
      </w:r>
      <w:r w:rsidRPr="0098409E">
        <w:rPr>
          <w:i/>
          <w:iCs/>
          <w:lang w:val="en-US"/>
        </w:rPr>
        <w:t>International journal of advanced computer science &amp; applications</w:t>
      </w:r>
      <w:r w:rsidRPr="0098409E">
        <w:rPr>
          <w:lang w:val="en-US"/>
        </w:rPr>
        <w:t xml:space="preserve">, 13(10). Available at: </w:t>
      </w:r>
      <w:hyperlink r:id="rId11" w:history="1">
        <w:r w:rsidRPr="00FF37E0">
          <w:rPr>
            <w:rStyle w:val="Hyperlink"/>
            <w:rFonts w:eastAsia="Times New Roman" w:cs="Times New Roman"/>
            <w:szCs w:val="24"/>
            <w:lang w:val="en-US"/>
          </w:rPr>
          <w:t>https://doi.org/10.14569/IJACSA.2022.01310104</w:t>
        </w:r>
      </w:hyperlink>
      <w:r w:rsidRPr="0098409E">
        <w:rPr>
          <w:lang w:val="en-US"/>
        </w:rPr>
        <w:t>.</w:t>
      </w:r>
    </w:p>
    <w:p w:rsidR="00025B74" w:rsidRPr="0098409E" w:rsidRDefault="00025B74" w:rsidP="00025B74">
      <w:pPr>
        <w:ind w:left="720" w:hanging="720"/>
      </w:pPr>
      <w:r w:rsidRPr="0098409E">
        <w:t xml:space="preserve">Ariyanti, F.D., Russell, A. and Setiawan, L. (2021) “Vendor management system improvement using PDCA and optimizing transporter vendor selection using fuzzy analytical hierarchy process,” </w:t>
      </w:r>
      <w:r w:rsidRPr="0098409E">
        <w:rPr>
          <w:i/>
          <w:iCs/>
        </w:rPr>
        <w:t>IOP conference series. Earth and environmental science</w:t>
      </w:r>
      <w:r w:rsidRPr="0098409E">
        <w:t xml:space="preserve">, 794(1), p. 12077. Available at: </w:t>
      </w:r>
      <w:hyperlink r:id="rId12" w:history="1">
        <w:r w:rsidRPr="0098409E">
          <w:rPr>
            <w:rStyle w:val="Hyperlink"/>
            <w:rFonts w:eastAsia="Times New Roman" w:cs="Times New Roman"/>
            <w:szCs w:val="24"/>
          </w:rPr>
          <w:t>https://doi.org/10.1088/1755-1315/794/1/012077</w:t>
        </w:r>
      </w:hyperlink>
      <w:r w:rsidRPr="0098409E">
        <w:t>.</w:t>
      </w:r>
    </w:p>
    <w:p w:rsidR="00025B74" w:rsidRPr="0098409E" w:rsidRDefault="00025B74" w:rsidP="00025B74">
      <w:pPr>
        <w:ind w:left="720" w:hanging="720"/>
      </w:pPr>
      <w:r w:rsidRPr="0098409E">
        <w:t xml:space="preserve">Candry Yurlina Waruwu, </w:t>
      </w:r>
      <w:r w:rsidRPr="00DA37EA">
        <w:t>Novianti Telaumbanua, Agusniaman Zega, Osadikman Zega, Jurisman Waruwu, and Arliyanto Zai.</w:t>
      </w:r>
      <w:r w:rsidRPr="0098409E">
        <w:rPr>
          <w:rFonts w:ascii="Helvetica" w:hAnsi="Helvetica"/>
          <w:color w:val="3A3A3A"/>
          <w:sz w:val="23"/>
          <w:szCs w:val="23"/>
          <w:shd w:val="clear" w:color="auto" w:fill="FFFFFF"/>
        </w:rPr>
        <w:t> </w:t>
      </w:r>
      <w:r w:rsidRPr="0098409E">
        <w:t xml:space="preserve"> (2025) “Implementation of the FIFO System and Its Impact on Asset Stock Accuracy at the Nias Regency Statistics Office,” </w:t>
      </w:r>
      <w:r w:rsidRPr="0098409E">
        <w:rPr>
          <w:i/>
          <w:iCs/>
        </w:rPr>
        <w:t>Jurnal Teknologi Informatika &amp; Komputer</w:t>
      </w:r>
      <w:r w:rsidRPr="0098409E">
        <w:t xml:space="preserve">, 11(2), pp. 553–569. Available at: </w:t>
      </w:r>
      <w:hyperlink r:id="rId13" w:history="1">
        <w:r w:rsidRPr="0098409E">
          <w:rPr>
            <w:rStyle w:val="Hyperlink"/>
            <w:rFonts w:eastAsia="Times New Roman" w:cs="Times New Roman"/>
            <w:szCs w:val="24"/>
          </w:rPr>
          <w:t>https://doi.org/10.37012/jtik.v11i2.2728</w:t>
        </w:r>
      </w:hyperlink>
      <w:r w:rsidRPr="0098409E">
        <w:t>.</w:t>
      </w:r>
    </w:p>
    <w:p w:rsidR="00025B74" w:rsidRDefault="00025B74" w:rsidP="00025B74">
      <w:pPr>
        <w:ind w:left="720" w:hanging="720"/>
        <w:rPr>
          <w:lang w:val="en-US"/>
        </w:rPr>
      </w:pPr>
      <w:r w:rsidRPr="00DA37EA">
        <w:rPr>
          <w:lang w:val="en-US"/>
        </w:rPr>
        <w:t xml:space="preserve">de Souza, E.A.G. </w:t>
      </w:r>
      <w:r w:rsidRPr="00DA37EA">
        <w:t>Mlinar, T., Van den Broeke, M., and Creemers, S</w:t>
      </w:r>
      <w:r w:rsidRPr="00DA37EA">
        <w:rPr>
          <w:lang w:val="en-US"/>
        </w:rPr>
        <w:t xml:space="preserve"> (2025) “Dynamic programming in inventory management: A review,” </w:t>
      </w:r>
      <w:r w:rsidRPr="00DA37EA">
        <w:rPr>
          <w:i/>
          <w:iCs/>
          <w:lang w:val="en-US"/>
        </w:rPr>
        <w:t>Computers &amp; operations research</w:t>
      </w:r>
      <w:r w:rsidRPr="00DA37EA">
        <w:rPr>
          <w:lang w:val="en-US"/>
        </w:rPr>
        <w:t xml:space="preserve">, 183. Available at: </w:t>
      </w:r>
      <w:hyperlink r:id="rId14" w:history="1">
        <w:r w:rsidRPr="00FF37E0">
          <w:rPr>
            <w:rStyle w:val="Hyperlink"/>
            <w:rFonts w:eastAsia="Times New Roman" w:cs="Times New Roman"/>
            <w:szCs w:val="24"/>
            <w:lang w:val="en-US"/>
          </w:rPr>
          <w:t>https://doi.org/10.1016/j.cor.2025.107164</w:t>
        </w:r>
      </w:hyperlink>
      <w:r w:rsidRPr="00DA37EA">
        <w:rPr>
          <w:lang w:val="en-US"/>
        </w:rPr>
        <w:t>.</w:t>
      </w:r>
    </w:p>
    <w:p w:rsidR="00025B74" w:rsidRDefault="00025B74" w:rsidP="00025B74">
      <w:pPr>
        <w:ind w:left="720" w:hanging="720"/>
        <w:rPr>
          <w:lang w:val="en-US"/>
        </w:rPr>
      </w:pPr>
      <w:r w:rsidRPr="0098409E">
        <w:rPr>
          <w:lang w:val="en-US"/>
        </w:rPr>
        <w:t xml:space="preserve">Fang, X. and Chen, H.-C. (2022) “Using vendor management inventory system for goods inventory management in IoT manufacturing,” </w:t>
      </w:r>
      <w:r w:rsidRPr="0098409E">
        <w:rPr>
          <w:i/>
          <w:iCs/>
          <w:lang w:val="en-US"/>
        </w:rPr>
        <w:t>Enterprise information systems</w:t>
      </w:r>
      <w:r w:rsidRPr="0098409E">
        <w:rPr>
          <w:lang w:val="en-US"/>
        </w:rPr>
        <w:t xml:space="preserve">, 16(7). Available at: </w:t>
      </w:r>
      <w:hyperlink r:id="rId15" w:history="1">
        <w:r w:rsidRPr="00FF37E0">
          <w:rPr>
            <w:rStyle w:val="Hyperlink"/>
            <w:rFonts w:eastAsia="Times New Roman" w:cs="Times New Roman"/>
            <w:szCs w:val="24"/>
            <w:lang w:val="en-US"/>
          </w:rPr>
          <w:t>https://doi.org/10.1080/17517575.2021.1885743</w:t>
        </w:r>
      </w:hyperlink>
      <w:r w:rsidRPr="0098409E">
        <w:rPr>
          <w:lang w:val="en-US"/>
        </w:rPr>
        <w:t>.</w:t>
      </w:r>
    </w:p>
    <w:p w:rsidR="00025B74" w:rsidRPr="0098409E" w:rsidRDefault="00025B74" w:rsidP="00025B74">
      <w:pPr>
        <w:ind w:left="720" w:hanging="720"/>
      </w:pPr>
      <w:r w:rsidRPr="0098409E">
        <w:t xml:space="preserve">Fu, K. </w:t>
      </w:r>
      <w:r w:rsidRPr="00DA37EA">
        <w:t>Gong, X., Hsu, V. N., and Xue, J. (</w:t>
      </w:r>
      <w:r w:rsidRPr="0098409E">
        <w:t xml:space="preserve">2021) “Dynamic Inventory Management with Inventory‐based Financing,” </w:t>
      </w:r>
      <w:r w:rsidRPr="0098409E">
        <w:rPr>
          <w:i/>
          <w:iCs/>
        </w:rPr>
        <w:t>Production and operations management</w:t>
      </w:r>
      <w:r w:rsidRPr="0098409E">
        <w:t xml:space="preserve">, 30(5), pp. 1313–1330. Available at: </w:t>
      </w:r>
      <w:hyperlink r:id="rId16" w:history="1">
        <w:r w:rsidRPr="0098409E">
          <w:rPr>
            <w:rStyle w:val="Hyperlink"/>
            <w:rFonts w:eastAsia="Times New Roman" w:cs="Times New Roman"/>
            <w:szCs w:val="24"/>
          </w:rPr>
          <w:t>https://doi.org/10.1111/poms.13323</w:t>
        </w:r>
      </w:hyperlink>
      <w:r w:rsidRPr="0098409E">
        <w:t>.</w:t>
      </w:r>
    </w:p>
    <w:p w:rsidR="00025B74" w:rsidRPr="0098409E" w:rsidRDefault="00025B74" w:rsidP="00025B74">
      <w:pPr>
        <w:ind w:left="720" w:hanging="720"/>
      </w:pPr>
      <w:r w:rsidRPr="0098409E">
        <w:t xml:space="preserve">Gijsbrechts, J. </w:t>
      </w:r>
      <w:r w:rsidRPr="00892C1A">
        <w:t>Boute, R. N., Van Mieghem, J. A., and Zhang, D. J.</w:t>
      </w:r>
      <w:r w:rsidRPr="0098409E">
        <w:t xml:space="preserve"> (2022) “Can Deep Reinforcement Learning Improve Inventory Management? Performance on Lost Sales, Dual-Sourcing, and Multi-Echelon Problems,” </w:t>
      </w:r>
      <w:r w:rsidRPr="0098409E">
        <w:rPr>
          <w:i/>
          <w:iCs/>
        </w:rPr>
        <w:t>Manufacturing &amp; service operations management</w:t>
      </w:r>
      <w:r w:rsidRPr="0098409E">
        <w:t xml:space="preserve">, 24(3), pp. 1349–1368. Available at: </w:t>
      </w:r>
      <w:hyperlink r:id="rId17" w:history="1">
        <w:r w:rsidRPr="0098409E">
          <w:rPr>
            <w:rStyle w:val="Hyperlink"/>
            <w:rFonts w:eastAsia="Times New Roman" w:cs="Times New Roman"/>
            <w:szCs w:val="24"/>
          </w:rPr>
          <w:t>https://doi.org/10.1287/msom.2021.1064</w:t>
        </w:r>
      </w:hyperlink>
      <w:r w:rsidRPr="0098409E">
        <w:t>.</w:t>
      </w:r>
    </w:p>
    <w:p w:rsidR="00025B74" w:rsidRDefault="00025B74" w:rsidP="00025B74">
      <w:pPr>
        <w:ind w:left="720" w:hanging="720"/>
        <w:rPr>
          <w:lang w:val="en-US"/>
        </w:rPr>
      </w:pPr>
      <w:r w:rsidRPr="0098409E">
        <w:rPr>
          <w:lang w:val="en-US"/>
        </w:rPr>
        <w:t xml:space="preserve">Gupta, S., Guha, S. and Kumar, S. (2025) “Advancements in Inventory Management: Insights From INFORMS Franz Edelman Award Finalists,” </w:t>
      </w:r>
      <w:r w:rsidRPr="0098409E">
        <w:rPr>
          <w:i/>
          <w:iCs/>
          <w:lang w:val="en-US"/>
        </w:rPr>
        <w:t>Production and operations management</w:t>
      </w:r>
      <w:r w:rsidRPr="0098409E">
        <w:rPr>
          <w:lang w:val="en-US"/>
        </w:rPr>
        <w:t xml:space="preserve">, 34(8), pp. 2063–2082. Available at: </w:t>
      </w:r>
      <w:hyperlink r:id="rId18" w:history="1">
        <w:r w:rsidRPr="00FF37E0">
          <w:rPr>
            <w:rStyle w:val="Hyperlink"/>
            <w:rFonts w:eastAsia="Times New Roman" w:cs="Times New Roman"/>
            <w:szCs w:val="24"/>
            <w:lang w:val="en-US"/>
          </w:rPr>
          <w:t>https://doi.org/10.1177/10591478241310225</w:t>
        </w:r>
      </w:hyperlink>
      <w:r w:rsidRPr="0098409E">
        <w:rPr>
          <w:lang w:val="en-US"/>
        </w:rPr>
        <w:t>.</w:t>
      </w:r>
    </w:p>
    <w:p w:rsidR="00025B74" w:rsidRDefault="00025B74" w:rsidP="00025B74">
      <w:pPr>
        <w:ind w:left="720" w:hanging="720"/>
        <w:rPr>
          <w:lang w:val="en-US"/>
        </w:rPr>
      </w:pPr>
      <w:r w:rsidRPr="0098409E">
        <w:rPr>
          <w:lang w:val="en-US"/>
        </w:rPr>
        <w:t xml:space="preserve">Heribertus Ary Setyadi, Budi Al Amin and Pudji Widodo (2024) “Implementation Economic Order Quantity and Reorder Point Methods in Inventory Management Information Systems,” </w:t>
      </w:r>
      <w:r w:rsidRPr="0098409E">
        <w:rPr>
          <w:i/>
          <w:iCs/>
          <w:lang w:val="en-US"/>
        </w:rPr>
        <w:t>Journal of information systems and informatics (Palembang.Online)</w:t>
      </w:r>
      <w:r w:rsidRPr="0098409E">
        <w:rPr>
          <w:lang w:val="en-US"/>
        </w:rPr>
        <w:t xml:space="preserve">, 6(1). Available at: </w:t>
      </w:r>
      <w:hyperlink r:id="rId19" w:history="1">
        <w:r w:rsidRPr="00FF37E0">
          <w:rPr>
            <w:rStyle w:val="Hyperlink"/>
            <w:rFonts w:eastAsia="Times New Roman" w:cs="Times New Roman"/>
            <w:szCs w:val="24"/>
            <w:lang w:val="en-US"/>
          </w:rPr>
          <w:t>https://doi.org/10.51519/journalisi.v6i1.647</w:t>
        </w:r>
      </w:hyperlink>
      <w:r w:rsidRPr="0098409E">
        <w:rPr>
          <w:lang w:val="en-US"/>
        </w:rPr>
        <w:t>.</w:t>
      </w:r>
    </w:p>
    <w:p w:rsidR="00025B74" w:rsidRDefault="00025B74" w:rsidP="00025B74">
      <w:pPr>
        <w:ind w:left="720" w:hanging="720"/>
        <w:rPr>
          <w:lang w:val="en-US"/>
        </w:rPr>
      </w:pPr>
      <w:r w:rsidRPr="00DA37EA">
        <w:rPr>
          <w:lang w:val="en-US"/>
        </w:rPr>
        <w:t xml:space="preserve">Mahajan, P.S. </w:t>
      </w:r>
      <w:r w:rsidRPr="00892C1A">
        <w:t>Raut, R. D., Kumar, P. R., and Singh, V.</w:t>
      </w:r>
      <w:r>
        <w:rPr>
          <w:rFonts w:ascii="Helvetica" w:hAnsi="Helvetica"/>
          <w:color w:val="3A3A3A"/>
          <w:sz w:val="23"/>
          <w:szCs w:val="23"/>
          <w:shd w:val="clear" w:color="auto" w:fill="FFFFFF"/>
        </w:rPr>
        <w:t> </w:t>
      </w:r>
      <w:r w:rsidRPr="00DA37EA">
        <w:rPr>
          <w:lang w:val="en-US"/>
        </w:rPr>
        <w:t xml:space="preserve"> (2024) “Inventory management and TQM practices for better firm performance: a systematic and bibliometric review,” </w:t>
      </w:r>
      <w:r w:rsidRPr="00DA37EA">
        <w:rPr>
          <w:i/>
          <w:iCs/>
          <w:lang w:val="en-US"/>
        </w:rPr>
        <w:t>TQM journal</w:t>
      </w:r>
      <w:r w:rsidRPr="00DA37EA">
        <w:rPr>
          <w:lang w:val="en-US"/>
        </w:rPr>
        <w:t xml:space="preserve">, 36(2), pp. 405–430. Available at: </w:t>
      </w:r>
      <w:hyperlink r:id="rId20" w:history="1">
        <w:r w:rsidRPr="00FF37E0">
          <w:rPr>
            <w:rStyle w:val="Hyperlink"/>
            <w:rFonts w:eastAsia="Times New Roman" w:cs="Times New Roman"/>
            <w:szCs w:val="24"/>
            <w:lang w:val="en-US"/>
          </w:rPr>
          <w:t>https://doi.org/10.1108/TQM-04-2022-0113</w:t>
        </w:r>
      </w:hyperlink>
      <w:r w:rsidRPr="00DA37EA">
        <w:rPr>
          <w:lang w:val="en-US"/>
        </w:rPr>
        <w:t>.</w:t>
      </w:r>
    </w:p>
    <w:p w:rsidR="00025B74" w:rsidRDefault="00025B74" w:rsidP="00025B74">
      <w:pPr>
        <w:ind w:left="720" w:hanging="720"/>
        <w:rPr>
          <w:lang w:val="en-US"/>
        </w:rPr>
      </w:pPr>
      <w:r w:rsidRPr="00DA37EA">
        <w:rPr>
          <w:lang w:val="en-US"/>
        </w:rPr>
        <w:t xml:space="preserve">Mashayekhy, Y. </w:t>
      </w:r>
      <w:r w:rsidRPr="00892C1A">
        <w:t>Babaei, A., Yuan, X., and Xue, A.</w:t>
      </w:r>
      <w:r>
        <w:rPr>
          <w:rFonts w:ascii="Helvetica" w:hAnsi="Helvetica"/>
          <w:color w:val="3A3A3A"/>
          <w:sz w:val="23"/>
          <w:szCs w:val="23"/>
          <w:shd w:val="clear" w:color="auto" w:fill="FFFFFF"/>
        </w:rPr>
        <w:t> </w:t>
      </w:r>
      <w:r w:rsidRPr="00DA37EA">
        <w:rPr>
          <w:lang w:val="en-US"/>
        </w:rPr>
        <w:t xml:space="preserve"> (2022) “Impact of internet of things (IoT) on inventory management: A literature survey,” </w:t>
      </w:r>
      <w:r w:rsidRPr="00DA37EA">
        <w:rPr>
          <w:i/>
          <w:iCs/>
          <w:lang w:val="en-US"/>
        </w:rPr>
        <w:t>Logistics</w:t>
      </w:r>
      <w:r w:rsidRPr="00DA37EA">
        <w:rPr>
          <w:lang w:val="en-US"/>
        </w:rPr>
        <w:t xml:space="preserve">, 6(2), pp. 1–19. Available at: </w:t>
      </w:r>
      <w:hyperlink r:id="rId21" w:history="1">
        <w:r w:rsidRPr="00FF37E0">
          <w:rPr>
            <w:rStyle w:val="Hyperlink"/>
            <w:rFonts w:eastAsia="Times New Roman" w:cs="Times New Roman"/>
            <w:szCs w:val="24"/>
            <w:lang w:val="en-US"/>
          </w:rPr>
          <w:t>https://doi.org/10.3390/logistics6020033</w:t>
        </w:r>
      </w:hyperlink>
      <w:r w:rsidRPr="00DA37EA">
        <w:rPr>
          <w:lang w:val="en-US"/>
        </w:rPr>
        <w:t>.</w:t>
      </w:r>
    </w:p>
    <w:p w:rsidR="00025B74" w:rsidRDefault="00025B74" w:rsidP="00025B74">
      <w:pPr>
        <w:ind w:left="720" w:hanging="720"/>
        <w:rPr>
          <w:lang w:val="en-US"/>
        </w:rPr>
      </w:pPr>
      <w:r w:rsidRPr="0098409E">
        <w:rPr>
          <w:lang w:val="en-US"/>
        </w:rPr>
        <w:t xml:space="preserve">Ngoc Anh Nguyen, T. </w:t>
      </w:r>
      <w:r w:rsidRPr="00892C1A">
        <w:t>Xuan Hoa Nguyen, T., Thang Tran, N., Ha Nguyen, T., Anh Nguyen, P., and Anh Vu, H.</w:t>
      </w:r>
      <w:r w:rsidRPr="0098409E">
        <w:rPr>
          <w:lang w:val="en-US"/>
        </w:rPr>
        <w:t xml:space="preserve"> (2026) “Optimizing supply chain operations using advanced Time-Series Mixer models for demand forecasting and inventory under uncertain demand,” </w:t>
      </w:r>
      <w:r w:rsidRPr="0098409E">
        <w:rPr>
          <w:i/>
          <w:iCs/>
          <w:lang w:val="en-US"/>
        </w:rPr>
        <w:t>Expert systems with applications</w:t>
      </w:r>
      <w:r w:rsidRPr="0098409E">
        <w:rPr>
          <w:lang w:val="en-US"/>
        </w:rPr>
        <w:t xml:space="preserve">, 296. Available at: </w:t>
      </w:r>
      <w:hyperlink r:id="rId22" w:history="1">
        <w:r w:rsidRPr="00FF37E0">
          <w:rPr>
            <w:rStyle w:val="Hyperlink"/>
            <w:rFonts w:eastAsia="Times New Roman" w:cs="Times New Roman"/>
            <w:szCs w:val="24"/>
            <w:lang w:val="en-US"/>
          </w:rPr>
          <w:t>https://doi.org/10.1016/j.eswa.2025.128955</w:t>
        </w:r>
      </w:hyperlink>
      <w:r w:rsidRPr="0098409E">
        <w:rPr>
          <w:lang w:val="en-US"/>
        </w:rPr>
        <w:t>.</w:t>
      </w:r>
    </w:p>
    <w:p w:rsidR="00025B74" w:rsidRDefault="00025B74" w:rsidP="00025B74">
      <w:pPr>
        <w:ind w:left="720" w:hanging="720"/>
        <w:rPr>
          <w:lang w:val="en-US"/>
        </w:rPr>
      </w:pPr>
      <w:r w:rsidRPr="0098409E">
        <w:rPr>
          <w:lang w:val="en-US"/>
        </w:rPr>
        <w:t xml:space="preserve">Salih, S.H. </w:t>
      </w:r>
      <w:r w:rsidRPr="00892C1A">
        <w:t>Abdelsalam, S., Hamdan, M., Abdelmaboud, A., Hamzah, M., Hilal, A. M., and Motwakel, A.</w:t>
      </w:r>
      <w:r>
        <w:rPr>
          <w:rFonts w:ascii="Helvetica" w:hAnsi="Helvetica"/>
          <w:color w:val="3A3A3A"/>
          <w:sz w:val="23"/>
          <w:szCs w:val="23"/>
          <w:shd w:val="clear" w:color="auto" w:fill="FFFFFF"/>
        </w:rPr>
        <w:t> </w:t>
      </w:r>
      <w:r w:rsidRPr="0098409E">
        <w:rPr>
          <w:lang w:val="en-US"/>
        </w:rPr>
        <w:t xml:space="preserve"> (2022) “Critical Success Factors for ERP Systems’ Post-Implementations of SMEs in Saudi Arabia: A Top Management and Vendors’ Perspective,” </w:t>
      </w:r>
      <w:r w:rsidRPr="0098409E">
        <w:rPr>
          <w:i/>
          <w:iCs/>
          <w:lang w:val="en-US"/>
        </w:rPr>
        <w:t>IEEE access</w:t>
      </w:r>
      <w:r w:rsidRPr="0098409E">
        <w:rPr>
          <w:lang w:val="en-US"/>
        </w:rPr>
        <w:t xml:space="preserve">, 10, pp. 108004–108020. Available at: </w:t>
      </w:r>
      <w:hyperlink r:id="rId23" w:history="1">
        <w:r w:rsidRPr="00FF37E0">
          <w:rPr>
            <w:rStyle w:val="Hyperlink"/>
            <w:rFonts w:eastAsia="Times New Roman" w:cs="Times New Roman"/>
            <w:szCs w:val="24"/>
            <w:lang w:val="en-US"/>
          </w:rPr>
          <w:t>https://doi.org/10.1109/ACCESS.2022.3202954</w:t>
        </w:r>
      </w:hyperlink>
      <w:r w:rsidRPr="0098409E">
        <w:rPr>
          <w:lang w:val="en-US"/>
        </w:rPr>
        <w:t>.</w:t>
      </w:r>
    </w:p>
    <w:p w:rsidR="00025B74" w:rsidRDefault="00025B74" w:rsidP="00025B74">
      <w:pPr>
        <w:ind w:left="720" w:hanging="720"/>
        <w:rPr>
          <w:lang w:val="en-US"/>
        </w:rPr>
      </w:pPr>
      <w:r w:rsidRPr="00DA37EA">
        <w:rPr>
          <w:lang w:val="en-US"/>
        </w:rPr>
        <w:t xml:space="preserve">Shokouhifar, M., Sabbaghi, M.M. and Pilevari, N. (2021) “Inventory management in blood supply chain considering fuzzy supply/demand uncertainties and lateral transshipment,” </w:t>
      </w:r>
      <w:r w:rsidRPr="00DA37EA">
        <w:rPr>
          <w:i/>
          <w:iCs/>
          <w:lang w:val="en-US"/>
        </w:rPr>
        <w:t>Transfusion and apheresis science</w:t>
      </w:r>
      <w:r w:rsidRPr="00DA37EA">
        <w:rPr>
          <w:lang w:val="en-US"/>
        </w:rPr>
        <w:t xml:space="preserve">, 60(3). Available at: </w:t>
      </w:r>
      <w:hyperlink r:id="rId24" w:history="1">
        <w:r w:rsidRPr="00FF37E0">
          <w:rPr>
            <w:rStyle w:val="Hyperlink"/>
            <w:rFonts w:eastAsia="Times New Roman" w:cs="Times New Roman"/>
            <w:szCs w:val="24"/>
            <w:lang w:val="en-US"/>
          </w:rPr>
          <w:t>https://doi.org/10.1016/j.transci.2021.103103</w:t>
        </w:r>
      </w:hyperlink>
      <w:r w:rsidRPr="00DA37EA">
        <w:rPr>
          <w:lang w:val="en-US"/>
        </w:rPr>
        <w:t>.</w:t>
      </w:r>
    </w:p>
    <w:p w:rsidR="00025B74" w:rsidRPr="0098409E" w:rsidRDefault="00025B74" w:rsidP="00025B74">
      <w:pPr>
        <w:ind w:left="720" w:hanging="720"/>
        <w:rPr>
          <w:lang w:val="en-US"/>
        </w:rPr>
      </w:pPr>
      <w:r w:rsidRPr="0098409E">
        <w:rPr>
          <w:lang w:val="en-US"/>
        </w:rPr>
        <w:t xml:space="preserve">Sinnock, B. (2024) “How to ensure mortgage vendor outages don’t disrupt business: Some vendors can act as backups when a cyberattack knocks the regular provider’s system offline. Others offer vendor management expertise that may help,” </w:t>
      </w:r>
      <w:r w:rsidRPr="0098409E">
        <w:rPr>
          <w:i/>
          <w:iCs/>
          <w:lang w:val="en-US"/>
        </w:rPr>
        <w:t>National Mortgage News</w:t>
      </w:r>
      <w:r w:rsidRPr="0098409E">
        <w:rPr>
          <w:lang w:val="en-US"/>
        </w:rPr>
        <w:t>, 48(6), p. 12.</w:t>
      </w:r>
    </w:p>
    <w:p w:rsidR="00025B74" w:rsidRDefault="00025B74" w:rsidP="00025B74">
      <w:pPr>
        <w:ind w:left="720" w:hanging="720"/>
        <w:rPr>
          <w:lang w:val="en-US"/>
        </w:rPr>
      </w:pPr>
      <w:r w:rsidRPr="0098409E">
        <w:rPr>
          <w:lang w:val="en-US"/>
        </w:rPr>
        <w:t xml:space="preserve">Tsang, Y.P. </w:t>
      </w:r>
      <w:r w:rsidRPr="00892C1A">
        <w:t>Lam, H. Y., Wu, C. H., and Chan, C. Y.</w:t>
      </w:r>
      <w:r>
        <w:rPr>
          <w:rFonts w:ascii="Helvetica" w:hAnsi="Helvetica"/>
          <w:color w:val="3A3A3A"/>
          <w:sz w:val="23"/>
          <w:szCs w:val="23"/>
          <w:shd w:val="clear" w:color="auto" w:fill="FFFFFF"/>
        </w:rPr>
        <w:t> </w:t>
      </w:r>
      <w:r w:rsidRPr="0098409E">
        <w:rPr>
          <w:lang w:val="en-US"/>
        </w:rPr>
        <w:t xml:space="preserve"> (2021) “Intelligent E-Vendor Relationship Management for Enhancing Global B2C E-Commerce Ecosystems,” </w:t>
      </w:r>
      <w:r w:rsidRPr="0098409E">
        <w:rPr>
          <w:i/>
          <w:iCs/>
          <w:lang w:val="en-US"/>
        </w:rPr>
        <w:t>Journal of global information management</w:t>
      </w:r>
      <w:r w:rsidRPr="0098409E">
        <w:rPr>
          <w:lang w:val="en-US"/>
        </w:rPr>
        <w:t xml:space="preserve">, 29(3), pp. 1–25. Available at: </w:t>
      </w:r>
      <w:hyperlink r:id="rId25" w:history="1">
        <w:r w:rsidRPr="00FF37E0">
          <w:rPr>
            <w:rStyle w:val="Hyperlink"/>
            <w:rFonts w:eastAsia="Times New Roman" w:cs="Times New Roman"/>
            <w:szCs w:val="24"/>
            <w:lang w:val="en-US"/>
          </w:rPr>
          <w:t>https://doi.org/10.4018/JGIM.2021050101</w:t>
        </w:r>
      </w:hyperlink>
      <w:r w:rsidRPr="0098409E">
        <w:rPr>
          <w:lang w:val="en-US"/>
        </w:rPr>
        <w:t>.</w:t>
      </w:r>
    </w:p>
    <w:p w:rsidR="00025B74" w:rsidRDefault="00025B74" w:rsidP="00025B74">
      <w:pPr>
        <w:ind w:left="720" w:hanging="720"/>
        <w:rPr>
          <w:lang w:val="en-US"/>
        </w:rPr>
      </w:pPr>
      <w:r w:rsidRPr="00DA37EA">
        <w:rPr>
          <w:lang w:val="en-US"/>
        </w:rPr>
        <w:t xml:space="preserve">Zhang, D. </w:t>
      </w:r>
      <w:r w:rsidRPr="00892C1A">
        <w:t>Song, G., Leus, R., and Zhang, L. (</w:t>
      </w:r>
      <w:r w:rsidRPr="00DA37EA">
        <w:rPr>
          <w:lang w:val="en-US"/>
        </w:rPr>
        <w:t xml:space="preserve">2026) “Adjustable Target‐Oriented Robust Optimization for Inventory Management,” </w:t>
      </w:r>
      <w:r w:rsidRPr="00DA37EA">
        <w:rPr>
          <w:i/>
          <w:iCs/>
          <w:lang w:val="en-US"/>
        </w:rPr>
        <w:t>Naval research logistics</w:t>
      </w:r>
      <w:r w:rsidRPr="00DA37EA">
        <w:rPr>
          <w:lang w:val="en-US"/>
        </w:rPr>
        <w:t xml:space="preserve">, 73(2), pp. 268–290. Available at: </w:t>
      </w:r>
      <w:hyperlink r:id="rId26" w:history="1">
        <w:r w:rsidRPr="00FF37E0">
          <w:rPr>
            <w:rStyle w:val="Hyperlink"/>
            <w:rFonts w:eastAsia="Times New Roman" w:cs="Times New Roman"/>
            <w:szCs w:val="24"/>
            <w:lang w:val="en-US"/>
          </w:rPr>
          <w:t>https://doi.org/10.1002/nav.70013</w:t>
        </w:r>
      </w:hyperlink>
      <w:r w:rsidRPr="00DA37EA">
        <w:rPr>
          <w:lang w:val="en-US"/>
        </w:rPr>
        <w:t>.</w:t>
      </w:r>
    </w:p>
    <w:p w:rsidR="00D66132" w:rsidRDefault="00D66132">
      <w:pPr>
        <w:spacing w:line="276" w:lineRule="auto"/>
        <w:jc w:val="left"/>
      </w:pPr>
      <w:r>
        <w:br w:type="page"/>
      </w:r>
    </w:p>
    <w:p w:rsidR="00D66132" w:rsidRDefault="00D66132" w:rsidP="00D66132">
      <w:pPr>
        <w:spacing w:line="276" w:lineRule="auto"/>
        <w:jc w:val="left"/>
      </w:pPr>
    </w:p>
    <w:p w:rsidR="00D66132" w:rsidRDefault="00D66132" w:rsidP="00D66132">
      <w:pPr>
        <w:spacing w:line="276" w:lineRule="auto"/>
        <w:jc w:val="left"/>
      </w:pPr>
    </w:p>
    <w:p w:rsidR="00164F73" w:rsidRPr="0098409E" w:rsidRDefault="00164F73" w:rsidP="00281C13">
      <w:pPr>
        <w:pStyle w:val="Heading1"/>
      </w:pPr>
      <w:bookmarkStart w:id="7" w:name="_Toc228891717"/>
      <w:r w:rsidRPr="0098409E">
        <w:t>Appendix</w:t>
      </w:r>
      <w:bookmarkEnd w:id="7"/>
    </w:p>
    <w:p w:rsidR="00164F73" w:rsidRPr="0098409E" w:rsidRDefault="00164F73" w:rsidP="00281C13">
      <w:pPr>
        <w:jc w:val="center"/>
      </w:pPr>
      <w:r w:rsidRPr="0098409E">
        <w:t>Table 1: Economic Order Quantity (EOQ) Calculation – Resin Inventory</w:t>
      </w:r>
    </w:p>
    <w:tbl>
      <w:tblPr>
        <w:tblStyle w:val="TableGrid"/>
        <w:tblW w:w="0" w:type="auto"/>
        <w:jc w:val="center"/>
        <w:tblLook w:val="04A0" w:firstRow="1" w:lastRow="0" w:firstColumn="1" w:lastColumn="0" w:noHBand="0" w:noVBand="1"/>
      </w:tblPr>
      <w:tblGrid>
        <w:gridCol w:w="2816"/>
        <w:gridCol w:w="3203"/>
      </w:tblGrid>
      <w:tr w:rsidR="00164F73" w:rsidRPr="00DA37EA" w:rsidTr="00281C13">
        <w:trPr>
          <w:jc w:val="center"/>
        </w:trPr>
        <w:tc>
          <w:tcPr>
            <w:tcW w:w="0" w:type="auto"/>
            <w:hideMark/>
          </w:tcPr>
          <w:p w:rsidR="00164F73" w:rsidRPr="00DA37EA" w:rsidRDefault="00164F73" w:rsidP="00DA37EA">
            <w:pPr>
              <w:jc w:val="center"/>
              <w:rPr>
                <w:b/>
              </w:rPr>
            </w:pPr>
            <w:r w:rsidRPr="00DA37EA">
              <w:rPr>
                <w:b/>
              </w:rPr>
              <w:t>Item</w:t>
            </w:r>
          </w:p>
        </w:tc>
        <w:tc>
          <w:tcPr>
            <w:tcW w:w="0" w:type="auto"/>
            <w:hideMark/>
          </w:tcPr>
          <w:p w:rsidR="00164F73" w:rsidRPr="00DA37EA" w:rsidRDefault="00164F73" w:rsidP="00DA37EA">
            <w:pPr>
              <w:jc w:val="center"/>
              <w:rPr>
                <w:b/>
              </w:rPr>
            </w:pPr>
            <w:r w:rsidRPr="00DA37EA">
              <w:rPr>
                <w:b/>
              </w:rPr>
              <w:t>Value</w:t>
            </w:r>
          </w:p>
        </w:tc>
      </w:tr>
      <w:tr w:rsidR="00164F73" w:rsidRPr="0098409E" w:rsidTr="00281C13">
        <w:trPr>
          <w:jc w:val="center"/>
        </w:trPr>
        <w:tc>
          <w:tcPr>
            <w:tcW w:w="0" w:type="auto"/>
            <w:hideMark/>
          </w:tcPr>
          <w:p w:rsidR="00164F73" w:rsidRPr="0098409E" w:rsidRDefault="00164F73" w:rsidP="00DA37EA">
            <w:pPr>
              <w:jc w:val="center"/>
            </w:pPr>
            <w:r w:rsidRPr="0098409E">
              <w:t>Annual demand (D)</w:t>
            </w:r>
          </w:p>
        </w:tc>
        <w:tc>
          <w:tcPr>
            <w:tcW w:w="0" w:type="auto"/>
            <w:hideMark/>
          </w:tcPr>
          <w:p w:rsidR="00164F73" w:rsidRPr="0098409E" w:rsidRDefault="00164F73" w:rsidP="00DA37EA">
            <w:pPr>
              <w:jc w:val="center"/>
            </w:pPr>
            <w:r w:rsidRPr="0098409E">
              <w:t>40,000 litres</w:t>
            </w:r>
          </w:p>
        </w:tc>
      </w:tr>
      <w:tr w:rsidR="00164F73" w:rsidRPr="0098409E" w:rsidTr="00281C13">
        <w:trPr>
          <w:jc w:val="center"/>
        </w:trPr>
        <w:tc>
          <w:tcPr>
            <w:tcW w:w="0" w:type="auto"/>
            <w:hideMark/>
          </w:tcPr>
          <w:p w:rsidR="00164F73" w:rsidRPr="0098409E" w:rsidRDefault="00164F73" w:rsidP="00DA37EA">
            <w:pPr>
              <w:jc w:val="center"/>
            </w:pPr>
            <w:r w:rsidRPr="0098409E">
              <w:t>Ordering cost per order (S)</w:t>
            </w:r>
          </w:p>
        </w:tc>
        <w:tc>
          <w:tcPr>
            <w:tcW w:w="0" w:type="auto"/>
            <w:hideMark/>
          </w:tcPr>
          <w:p w:rsidR="00164F73" w:rsidRPr="0098409E" w:rsidRDefault="00164F73" w:rsidP="00DA37EA">
            <w:pPr>
              <w:jc w:val="center"/>
            </w:pPr>
            <w:r w:rsidRPr="0098409E">
              <w:t>£250</w:t>
            </w:r>
          </w:p>
        </w:tc>
      </w:tr>
      <w:tr w:rsidR="00164F73" w:rsidRPr="0098409E" w:rsidTr="00281C13">
        <w:trPr>
          <w:jc w:val="center"/>
        </w:trPr>
        <w:tc>
          <w:tcPr>
            <w:tcW w:w="0" w:type="auto"/>
            <w:hideMark/>
          </w:tcPr>
          <w:p w:rsidR="00164F73" w:rsidRPr="0098409E" w:rsidRDefault="00164F73" w:rsidP="00DA37EA">
            <w:pPr>
              <w:jc w:val="center"/>
            </w:pPr>
            <w:r w:rsidRPr="0098409E">
              <w:t>Holding cost per litre (H)</w:t>
            </w:r>
          </w:p>
        </w:tc>
        <w:tc>
          <w:tcPr>
            <w:tcW w:w="0" w:type="auto"/>
            <w:hideMark/>
          </w:tcPr>
          <w:p w:rsidR="00164F73" w:rsidRPr="0098409E" w:rsidRDefault="00164F73" w:rsidP="00DA37EA">
            <w:pPr>
              <w:jc w:val="center"/>
            </w:pPr>
            <w:r w:rsidRPr="0098409E">
              <w:t>£8</w:t>
            </w:r>
          </w:p>
        </w:tc>
      </w:tr>
      <w:tr w:rsidR="00164F73" w:rsidRPr="0098409E" w:rsidTr="00281C13">
        <w:trPr>
          <w:jc w:val="center"/>
        </w:trPr>
        <w:tc>
          <w:tcPr>
            <w:tcW w:w="0" w:type="auto"/>
            <w:hideMark/>
          </w:tcPr>
          <w:p w:rsidR="00164F73" w:rsidRPr="0098409E" w:rsidRDefault="00164F73" w:rsidP="00DA37EA">
            <w:pPr>
              <w:jc w:val="center"/>
            </w:pPr>
            <w:r w:rsidRPr="0098409E">
              <w:t>Formula Used</w:t>
            </w:r>
          </w:p>
        </w:tc>
        <w:tc>
          <w:tcPr>
            <w:tcW w:w="0" w:type="auto"/>
            <w:hideMark/>
          </w:tcPr>
          <w:p w:rsidR="00164F73" w:rsidRPr="0098409E" w:rsidRDefault="00164F73" w:rsidP="00DA37EA">
            <w:pPr>
              <w:jc w:val="center"/>
            </w:pPr>
            <w:r w:rsidRPr="0098409E">
              <w:t>√((2 × D × S) ÷ H)</w:t>
            </w:r>
          </w:p>
        </w:tc>
      </w:tr>
      <w:tr w:rsidR="00164F73" w:rsidRPr="0098409E" w:rsidTr="00281C13">
        <w:trPr>
          <w:jc w:val="center"/>
        </w:trPr>
        <w:tc>
          <w:tcPr>
            <w:tcW w:w="0" w:type="auto"/>
            <w:hideMark/>
          </w:tcPr>
          <w:p w:rsidR="00164F73" w:rsidRPr="0098409E" w:rsidRDefault="00164F73" w:rsidP="00DA37EA">
            <w:pPr>
              <w:jc w:val="center"/>
            </w:pPr>
            <w:r w:rsidRPr="0098409E">
              <w:t>Calculation Step 1</w:t>
            </w:r>
          </w:p>
        </w:tc>
        <w:tc>
          <w:tcPr>
            <w:tcW w:w="0" w:type="auto"/>
            <w:hideMark/>
          </w:tcPr>
          <w:p w:rsidR="00164F73" w:rsidRPr="0098409E" w:rsidRDefault="00164F73" w:rsidP="00DA37EA">
            <w:pPr>
              <w:jc w:val="center"/>
            </w:pPr>
            <w:r w:rsidRPr="0098409E">
              <w:t>2 × 40,000 × 250 = 20,000,000</w:t>
            </w:r>
          </w:p>
        </w:tc>
      </w:tr>
      <w:tr w:rsidR="00164F73" w:rsidRPr="0098409E" w:rsidTr="00281C13">
        <w:trPr>
          <w:jc w:val="center"/>
        </w:trPr>
        <w:tc>
          <w:tcPr>
            <w:tcW w:w="0" w:type="auto"/>
            <w:hideMark/>
          </w:tcPr>
          <w:p w:rsidR="00164F73" w:rsidRPr="0098409E" w:rsidRDefault="00164F73" w:rsidP="00DA37EA">
            <w:pPr>
              <w:jc w:val="center"/>
            </w:pPr>
            <w:r w:rsidRPr="0098409E">
              <w:t>Calculation Step 2</w:t>
            </w:r>
          </w:p>
        </w:tc>
        <w:tc>
          <w:tcPr>
            <w:tcW w:w="0" w:type="auto"/>
            <w:hideMark/>
          </w:tcPr>
          <w:p w:rsidR="00164F73" w:rsidRPr="0098409E" w:rsidRDefault="00164F73" w:rsidP="00DA37EA">
            <w:pPr>
              <w:jc w:val="center"/>
            </w:pPr>
            <w:r w:rsidRPr="0098409E">
              <w:t>20,000,000 ÷ 8 = 2,500,000</w:t>
            </w:r>
          </w:p>
        </w:tc>
      </w:tr>
      <w:tr w:rsidR="00164F73" w:rsidRPr="0098409E" w:rsidTr="00281C13">
        <w:trPr>
          <w:jc w:val="center"/>
        </w:trPr>
        <w:tc>
          <w:tcPr>
            <w:tcW w:w="0" w:type="auto"/>
            <w:hideMark/>
          </w:tcPr>
          <w:p w:rsidR="00164F73" w:rsidRPr="0098409E" w:rsidRDefault="00164F73" w:rsidP="00DA37EA">
            <w:pPr>
              <w:jc w:val="center"/>
            </w:pPr>
            <w:r w:rsidRPr="0098409E">
              <w:t>Calculation Step 3</w:t>
            </w:r>
          </w:p>
        </w:tc>
        <w:tc>
          <w:tcPr>
            <w:tcW w:w="0" w:type="auto"/>
            <w:hideMark/>
          </w:tcPr>
          <w:p w:rsidR="00164F73" w:rsidRPr="0098409E" w:rsidRDefault="00164F73" w:rsidP="00DA37EA">
            <w:pPr>
              <w:jc w:val="center"/>
            </w:pPr>
            <w:r w:rsidRPr="0098409E">
              <w:t>√2,500,000</w:t>
            </w:r>
          </w:p>
        </w:tc>
      </w:tr>
      <w:tr w:rsidR="00164F73" w:rsidRPr="0098409E" w:rsidTr="00281C13">
        <w:trPr>
          <w:jc w:val="center"/>
        </w:trPr>
        <w:tc>
          <w:tcPr>
            <w:tcW w:w="0" w:type="auto"/>
            <w:hideMark/>
          </w:tcPr>
          <w:p w:rsidR="00164F73" w:rsidRPr="0098409E" w:rsidRDefault="00164F73" w:rsidP="00DA37EA">
            <w:pPr>
              <w:jc w:val="center"/>
            </w:pPr>
            <w:r w:rsidRPr="0098409E">
              <w:t>EOQ Result</w:t>
            </w:r>
          </w:p>
        </w:tc>
        <w:tc>
          <w:tcPr>
            <w:tcW w:w="0" w:type="auto"/>
            <w:hideMark/>
          </w:tcPr>
          <w:p w:rsidR="00164F73" w:rsidRPr="0098409E" w:rsidRDefault="00164F73" w:rsidP="00DA37EA">
            <w:pPr>
              <w:jc w:val="center"/>
            </w:pPr>
            <w:r w:rsidRPr="0098409E">
              <w:t>1,581 litres</w:t>
            </w:r>
          </w:p>
        </w:tc>
      </w:tr>
    </w:tbl>
    <w:p w:rsidR="00164F73" w:rsidRPr="0098409E" w:rsidRDefault="00164F73" w:rsidP="003E3613"/>
    <w:p w:rsidR="00164F73" w:rsidRPr="0098409E" w:rsidRDefault="00164F73" w:rsidP="00281C13">
      <w:pPr>
        <w:jc w:val="center"/>
      </w:pPr>
      <w:r w:rsidRPr="0098409E">
        <w:t>Table 2: Inventory Turnover Ratio Calculation</w:t>
      </w:r>
    </w:p>
    <w:tbl>
      <w:tblPr>
        <w:tblStyle w:val="TableGrid"/>
        <w:tblW w:w="0" w:type="auto"/>
        <w:jc w:val="center"/>
        <w:tblLook w:val="04A0" w:firstRow="1" w:lastRow="0" w:firstColumn="1" w:lastColumn="0" w:noHBand="0" w:noVBand="1"/>
      </w:tblPr>
      <w:tblGrid>
        <w:gridCol w:w="2682"/>
        <w:gridCol w:w="4161"/>
      </w:tblGrid>
      <w:tr w:rsidR="00164F73" w:rsidRPr="00DA37EA" w:rsidTr="00281C13">
        <w:trPr>
          <w:jc w:val="center"/>
        </w:trPr>
        <w:tc>
          <w:tcPr>
            <w:tcW w:w="0" w:type="auto"/>
            <w:hideMark/>
          </w:tcPr>
          <w:p w:rsidR="00164F73" w:rsidRPr="00DA37EA" w:rsidRDefault="00164F73" w:rsidP="00DA37EA">
            <w:pPr>
              <w:jc w:val="center"/>
              <w:rPr>
                <w:b/>
              </w:rPr>
            </w:pPr>
            <w:r w:rsidRPr="00DA37EA">
              <w:rPr>
                <w:b/>
              </w:rPr>
              <w:t>Item</w:t>
            </w:r>
          </w:p>
        </w:tc>
        <w:tc>
          <w:tcPr>
            <w:tcW w:w="0" w:type="auto"/>
            <w:hideMark/>
          </w:tcPr>
          <w:p w:rsidR="00164F73" w:rsidRPr="00DA37EA" w:rsidRDefault="00164F73" w:rsidP="00DA37EA">
            <w:pPr>
              <w:jc w:val="center"/>
              <w:rPr>
                <w:b/>
              </w:rPr>
            </w:pPr>
            <w:r w:rsidRPr="00DA37EA">
              <w:rPr>
                <w:b/>
              </w:rPr>
              <w:t>Value</w:t>
            </w:r>
          </w:p>
        </w:tc>
      </w:tr>
      <w:tr w:rsidR="00164F73" w:rsidRPr="0098409E" w:rsidTr="00281C13">
        <w:trPr>
          <w:jc w:val="center"/>
        </w:trPr>
        <w:tc>
          <w:tcPr>
            <w:tcW w:w="0" w:type="auto"/>
            <w:hideMark/>
          </w:tcPr>
          <w:p w:rsidR="00164F73" w:rsidRPr="0098409E" w:rsidRDefault="00164F73" w:rsidP="00DA37EA">
            <w:pPr>
              <w:jc w:val="center"/>
            </w:pPr>
            <w:r w:rsidRPr="0098409E">
              <w:t>Cost of Goods Sold</w:t>
            </w:r>
          </w:p>
        </w:tc>
        <w:tc>
          <w:tcPr>
            <w:tcW w:w="0" w:type="auto"/>
            <w:hideMark/>
          </w:tcPr>
          <w:p w:rsidR="00164F73" w:rsidRPr="0098409E" w:rsidRDefault="00164F73" w:rsidP="00DA37EA">
            <w:pPr>
              <w:jc w:val="center"/>
            </w:pPr>
            <w:r w:rsidRPr="0098409E">
              <w:t>£500,000</w:t>
            </w:r>
          </w:p>
        </w:tc>
      </w:tr>
      <w:tr w:rsidR="00164F73" w:rsidRPr="0098409E" w:rsidTr="00281C13">
        <w:trPr>
          <w:jc w:val="center"/>
        </w:trPr>
        <w:tc>
          <w:tcPr>
            <w:tcW w:w="0" w:type="auto"/>
            <w:hideMark/>
          </w:tcPr>
          <w:p w:rsidR="00164F73" w:rsidRPr="0098409E" w:rsidRDefault="00164F73" w:rsidP="00DA37EA">
            <w:pPr>
              <w:jc w:val="center"/>
            </w:pPr>
            <w:r w:rsidRPr="0098409E">
              <w:t>Average Inventory</w:t>
            </w:r>
          </w:p>
        </w:tc>
        <w:tc>
          <w:tcPr>
            <w:tcW w:w="0" w:type="auto"/>
            <w:hideMark/>
          </w:tcPr>
          <w:p w:rsidR="00164F73" w:rsidRPr="0098409E" w:rsidRDefault="00164F73" w:rsidP="00DA37EA">
            <w:pPr>
              <w:jc w:val="center"/>
            </w:pPr>
            <w:r w:rsidRPr="0098409E">
              <w:t>£100,000</w:t>
            </w:r>
          </w:p>
        </w:tc>
      </w:tr>
      <w:tr w:rsidR="00164F73" w:rsidRPr="0098409E" w:rsidTr="00281C13">
        <w:trPr>
          <w:jc w:val="center"/>
        </w:trPr>
        <w:tc>
          <w:tcPr>
            <w:tcW w:w="0" w:type="auto"/>
            <w:hideMark/>
          </w:tcPr>
          <w:p w:rsidR="00164F73" w:rsidRPr="0098409E" w:rsidRDefault="00164F73" w:rsidP="00DA37EA">
            <w:pPr>
              <w:jc w:val="center"/>
            </w:pPr>
            <w:r w:rsidRPr="0098409E">
              <w:t>Formula Used</w:t>
            </w:r>
          </w:p>
        </w:tc>
        <w:tc>
          <w:tcPr>
            <w:tcW w:w="0" w:type="auto"/>
            <w:hideMark/>
          </w:tcPr>
          <w:p w:rsidR="00164F73" w:rsidRPr="0098409E" w:rsidRDefault="00164F73" w:rsidP="00DA37EA">
            <w:pPr>
              <w:jc w:val="center"/>
            </w:pPr>
            <w:r w:rsidRPr="0098409E">
              <w:t>Cost of Goods Sold ÷ Average Inventory</w:t>
            </w:r>
          </w:p>
        </w:tc>
      </w:tr>
      <w:tr w:rsidR="00164F73" w:rsidRPr="0098409E" w:rsidTr="00281C13">
        <w:trPr>
          <w:jc w:val="center"/>
        </w:trPr>
        <w:tc>
          <w:tcPr>
            <w:tcW w:w="0" w:type="auto"/>
            <w:hideMark/>
          </w:tcPr>
          <w:p w:rsidR="00164F73" w:rsidRPr="0098409E" w:rsidRDefault="00164F73" w:rsidP="00DA37EA">
            <w:pPr>
              <w:jc w:val="center"/>
            </w:pPr>
            <w:r w:rsidRPr="0098409E">
              <w:t>Calculation</w:t>
            </w:r>
          </w:p>
        </w:tc>
        <w:tc>
          <w:tcPr>
            <w:tcW w:w="0" w:type="auto"/>
            <w:hideMark/>
          </w:tcPr>
          <w:p w:rsidR="00164F73" w:rsidRPr="0098409E" w:rsidRDefault="00164F73" w:rsidP="00DA37EA">
            <w:pPr>
              <w:jc w:val="center"/>
            </w:pPr>
            <w:r w:rsidRPr="0098409E">
              <w:t>500,000 ÷ 100,000</w:t>
            </w:r>
          </w:p>
        </w:tc>
      </w:tr>
      <w:tr w:rsidR="00164F73" w:rsidRPr="0098409E" w:rsidTr="00281C13">
        <w:trPr>
          <w:jc w:val="center"/>
        </w:trPr>
        <w:tc>
          <w:tcPr>
            <w:tcW w:w="0" w:type="auto"/>
            <w:hideMark/>
          </w:tcPr>
          <w:p w:rsidR="00164F73" w:rsidRPr="0098409E" w:rsidRDefault="00164F73" w:rsidP="00DA37EA">
            <w:pPr>
              <w:jc w:val="center"/>
            </w:pPr>
            <w:r w:rsidRPr="0098409E">
              <w:t>Inventory Turnover Ratio</w:t>
            </w:r>
          </w:p>
        </w:tc>
        <w:tc>
          <w:tcPr>
            <w:tcW w:w="0" w:type="auto"/>
            <w:hideMark/>
          </w:tcPr>
          <w:p w:rsidR="00164F73" w:rsidRPr="0098409E" w:rsidRDefault="00164F73" w:rsidP="00DA37EA">
            <w:pPr>
              <w:jc w:val="center"/>
            </w:pPr>
            <w:r w:rsidRPr="0098409E">
              <w:t>5 times per year</w:t>
            </w:r>
          </w:p>
        </w:tc>
      </w:tr>
    </w:tbl>
    <w:p w:rsidR="00164F73" w:rsidRPr="0098409E" w:rsidRDefault="00164F73" w:rsidP="003E3613"/>
    <w:p w:rsidR="00164F73" w:rsidRPr="0098409E" w:rsidRDefault="00164F73" w:rsidP="00281C13">
      <w:pPr>
        <w:jc w:val="center"/>
      </w:pPr>
      <w:r w:rsidRPr="0098409E">
        <w:t>Table 3: Hazardous Waste Disposal Cost Calculation</w:t>
      </w:r>
    </w:p>
    <w:tbl>
      <w:tblPr>
        <w:tblStyle w:val="TableGrid"/>
        <w:tblW w:w="0" w:type="auto"/>
        <w:jc w:val="center"/>
        <w:tblLook w:val="04A0" w:firstRow="1" w:lastRow="0" w:firstColumn="1" w:lastColumn="0" w:noHBand="0" w:noVBand="1"/>
      </w:tblPr>
      <w:tblGrid>
        <w:gridCol w:w="2742"/>
        <w:gridCol w:w="2518"/>
      </w:tblGrid>
      <w:tr w:rsidR="00164F73" w:rsidRPr="00DA37EA" w:rsidTr="00281C13">
        <w:trPr>
          <w:jc w:val="center"/>
        </w:trPr>
        <w:tc>
          <w:tcPr>
            <w:tcW w:w="0" w:type="auto"/>
            <w:hideMark/>
          </w:tcPr>
          <w:p w:rsidR="00164F73" w:rsidRPr="00DA37EA" w:rsidRDefault="00164F73" w:rsidP="00DA37EA">
            <w:pPr>
              <w:jc w:val="center"/>
              <w:rPr>
                <w:b/>
              </w:rPr>
            </w:pPr>
            <w:r w:rsidRPr="00DA37EA">
              <w:rPr>
                <w:b/>
              </w:rPr>
              <w:t>Item</w:t>
            </w:r>
          </w:p>
        </w:tc>
        <w:tc>
          <w:tcPr>
            <w:tcW w:w="0" w:type="auto"/>
            <w:hideMark/>
          </w:tcPr>
          <w:p w:rsidR="00164F73" w:rsidRPr="00DA37EA" w:rsidRDefault="00164F73" w:rsidP="00DA37EA">
            <w:pPr>
              <w:jc w:val="center"/>
              <w:rPr>
                <w:b/>
              </w:rPr>
            </w:pPr>
            <w:r w:rsidRPr="00DA37EA">
              <w:rPr>
                <w:b/>
              </w:rPr>
              <w:t>Value</w:t>
            </w:r>
          </w:p>
        </w:tc>
      </w:tr>
      <w:tr w:rsidR="00164F73" w:rsidRPr="0098409E" w:rsidTr="00281C13">
        <w:trPr>
          <w:jc w:val="center"/>
        </w:trPr>
        <w:tc>
          <w:tcPr>
            <w:tcW w:w="0" w:type="auto"/>
            <w:hideMark/>
          </w:tcPr>
          <w:p w:rsidR="00164F73" w:rsidRPr="0098409E" w:rsidRDefault="00164F73" w:rsidP="00DA37EA">
            <w:pPr>
              <w:jc w:val="center"/>
            </w:pPr>
            <w:r w:rsidRPr="0098409E">
              <w:t>Obsolete resin stock value</w:t>
            </w:r>
          </w:p>
        </w:tc>
        <w:tc>
          <w:tcPr>
            <w:tcW w:w="0" w:type="auto"/>
            <w:hideMark/>
          </w:tcPr>
          <w:p w:rsidR="00164F73" w:rsidRPr="0098409E" w:rsidRDefault="00164F73" w:rsidP="00DA37EA">
            <w:pPr>
              <w:jc w:val="center"/>
            </w:pPr>
            <w:r w:rsidRPr="0098409E">
              <w:t>£20,000</w:t>
            </w:r>
          </w:p>
        </w:tc>
      </w:tr>
      <w:tr w:rsidR="00164F73" w:rsidRPr="0098409E" w:rsidTr="00281C13">
        <w:trPr>
          <w:jc w:val="center"/>
        </w:trPr>
        <w:tc>
          <w:tcPr>
            <w:tcW w:w="0" w:type="auto"/>
            <w:hideMark/>
          </w:tcPr>
          <w:p w:rsidR="00164F73" w:rsidRPr="0098409E" w:rsidRDefault="00164F73" w:rsidP="00DA37EA">
            <w:pPr>
              <w:jc w:val="center"/>
            </w:pPr>
            <w:r w:rsidRPr="0098409E">
              <w:t>Total resin weight</w:t>
            </w:r>
          </w:p>
        </w:tc>
        <w:tc>
          <w:tcPr>
            <w:tcW w:w="0" w:type="auto"/>
            <w:hideMark/>
          </w:tcPr>
          <w:p w:rsidR="00164F73" w:rsidRPr="0098409E" w:rsidRDefault="00164F73" w:rsidP="00DA37EA">
            <w:pPr>
              <w:jc w:val="center"/>
            </w:pPr>
            <w:r w:rsidRPr="0098409E">
              <w:t>6,000 kg</w:t>
            </w:r>
          </w:p>
        </w:tc>
      </w:tr>
      <w:tr w:rsidR="00164F73" w:rsidRPr="0098409E" w:rsidTr="00281C13">
        <w:trPr>
          <w:jc w:val="center"/>
        </w:trPr>
        <w:tc>
          <w:tcPr>
            <w:tcW w:w="0" w:type="auto"/>
            <w:hideMark/>
          </w:tcPr>
          <w:p w:rsidR="00164F73" w:rsidRPr="0098409E" w:rsidRDefault="00164F73" w:rsidP="00DA37EA">
            <w:pPr>
              <w:jc w:val="center"/>
            </w:pPr>
            <w:r w:rsidRPr="0098409E">
              <w:t>Disposal cost per kg</w:t>
            </w:r>
          </w:p>
        </w:tc>
        <w:tc>
          <w:tcPr>
            <w:tcW w:w="0" w:type="auto"/>
            <w:hideMark/>
          </w:tcPr>
          <w:p w:rsidR="00164F73" w:rsidRPr="0098409E" w:rsidRDefault="00164F73" w:rsidP="00DA37EA">
            <w:pPr>
              <w:jc w:val="center"/>
            </w:pPr>
            <w:r w:rsidRPr="0098409E">
              <w:t>£2.50</w:t>
            </w:r>
          </w:p>
        </w:tc>
      </w:tr>
      <w:tr w:rsidR="00164F73" w:rsidRPr="0098409E" w:rsidTr="00281C13">
        <w:trPr>
          <w:jc w:val="center"/>
        </w:trPr>
        <w:tc>
          <w:tcPr>
            <w:tcW w:w="0" w:type="auto"/>
            <w:hideMark/>
          </w:tcPr>
          <w:p w:rsidR="00164F73" w:rsidRPr="0098409E" w:rsidRDefault="00164F73" w:rsidP="00DA37EA">
            <w:pPr>
              <w:jc w:val="center"/>
            </w:pPr>
            <w:r w:rsidRPr="0098409E">
              <w:t>Formula Used</w:t>
            </w:r>
          </w:p>
        </w:tc>
        <w:tc>
          <w:tcPr>
            <w:tcW w:w="0" w:type="auto"/>
            <w:hideMark/>
          </w:tcPr>
          <w:p w:rsidR="00164F73" w:rsidRPr="0098409E" w:rsidRDefault="00164F73" w:rsidP="00DA37EA">
            <w:pPr>
              <w:jc w:val="center"/>
            </w:pPr>
            <w:r w:rsidRPr="0098409E">
              <w:t>Weight × Disposal Cost</w:t>
            </w:r>
          </w:p>
        </w:tc>
      </w:tr>
      <w:tr w:rsidR="00164F73" w:rsidRPr="0098409E" w:rsidTr="00281C13">
        <w:trPr>
          <w:jc w:val="center"/>
        </w:trPr>
        <w:tc>
          <w:tcPr>
            <w:tcW w:w="0" w:type="auto"/>
            <w:hideMark/>
          </w:tcPr>
          <w:p w:rsidR="00164F73" w:rsidRPr="0098409E" w:rsidRDefault="00164F73" w:rsidP="00DA37EA">
            <w:pPr>
              <w:jc w:val="center"/>
            </w:pPr>
            <w:r w:rsidRPr="0098409E">
              <w:t>Calculation</w:t>
            </w:r>
          </w:p>
        </w:tc>
        <w:tc>
          <w:tcPr>
            <w:tcW w:w="0" w:type="auto"/>
            <w:hideMark/>
          </w:tcPr>
          <w:p w:rsidR="00164F73" w:rsidRPr="0098409E" w:rsidRDefault="00164F73" w:rsidP="00DA37EA">
            <w:pPr>
              <w:jc w:val="center"/>
            </w:pPr>
            <w:r w:rsidRPr="0098409E">
              <w:t>6,000 × 2.50</w:t>
            </w:r>
          </w:p>
        </w:tc>
      </w:tr>
      <w:tr w:rsidR="00164F73" w:rsidRPr="0098409E" w:rsidTr="00281C13">
        <w:trPr>
          <w:jc w:val="center"/>
        </w:trPr>
        <w:tc>
          <w:tcPr>
            <w:tcW w:w="0" w:type="auto"/>
            <w:hideMark/>
          </w:tcPr>
          <w:p w:rsidR="00164F73" w:rsidRPr="0098409E" w:rsidRDefault="00164F73" w:rsidP="00DA37EA">
            <w:pPr>
              <w:jc w:val="center"/>
            </w:pPr>
            <w:r w:rsidRPr="0098409E">
              <w:t>Total Disposal Cost</w:t>
            </w:r>
          </w:p>
        </w:tc>
        <w:tc>
          <w:tcPr>
            <w:tcW w:w="0" w:type="auto"/>
            <w:hideMark/>
          </w:tcPr>
          <w:p w:rsidR="00164F73" w:rsidRPr="0098409E" w:rsidRDefault="00164F73" w:rsidP="00DA37EA">
            <w:pPr>
              <w:jc w:val="center"/>
            </w:pPr>
            <w:r w:rsidRPr="0098409E">
              <w:t>£15,000</w:t>
            </w:r>
          </w:p>
        </w:tc>
      </w:tr>
      <w:tr w:rsidR="00164F73" w:rsidRPr="0098409E" w:rsidTr="00281C13">
        <w:trPr>
          <w:jc w:val="center"/>
        </w:trPr>
        <w:tc>
          <w:tcPr>
            <w:tcW w:w="0" w:type="auto"/>
            <w:hideMark/>
          </w:tcPr>
          <w:p w:rsidR="00164F73" w:rsidRPr="0098409E" w:rsidRDefault="00164F73" w:rsidP="00DA37EA">
            <w:pPr>
              <w:jc w:val="center"/>
            </w:pPr>
            <w:r w:rsidRPr="0098409E">
              <w:t>Total Financial Loss</w:t>
            </w:r>
          </w:p>
        </w:tc>
        <w:tc>
          <w:tcPr>
            <w:tcW w:w="0" w:type="auto"/>
            <w:hideMark/>
          </w:tcPr>
          <w:p w:rsidR="00164F73" w:rsidRPr="0098409E" w:rsidRDefault="00164F73" w:rsidP="00DA37EA">
            <w:pPr>
              <w:jc w:val="center"/>
            </w:pPr>
            <w:r w:rsidRPr="0098409E">
              <w:t>£20,000 + £15,000</w:t>
            </w:r>
          </w:p>
        </w:tc>
      </w:tr>
      <w:tr w:rsidR="00164F73" w:rsidRPr="0098409E" w:rsidTr="00281C13">
        <w:trPr>
          <w:jc w:val="center"/>
        </w:trPr>
        <w:tc>
          <w:tcPr>
            <w:tcW w:w="0" w:type="auto"/>
            <w:hideMark/>
          </w:tcPr>
          <w:p w:rsidR="00164F73" w:rsidRPr="0098409E" w:rsidRDefault="00164F73" w:rsidP="00DA37EA">
            <w:pPr>
              <w:jc w:val="center"/>
            </w:pPr>
            <w:r w:rsidRPr="0098409E">
              <w:t>Final Loss</w:t>
            </w:r>
          </w:p>
        </w:tc>
        <w:tc>
          <w:tcPr>
            <w:tcW w:w="0" w:type="auto"/>
            <w:hideMark/>
          </w:tcPr>
          <w:p w:rsidR="00164F73" w:rsidRPr="0098409E" w:rsidRDefault="00164F73" w:rsidP="00DA37EA">
            <w:pPr>
              <w:jc w:val="center"/>
            </w:pPr>
            <w:r w:rsidRPr="0098409E">
              <w:t>£35,000</w:t>
            </w:r>
          </w:p>
        </w:tc>
      </w:tr>
    </w:tbl>
    <w:p w:rsidR="00164F73" w:rsidRPr="0098409E" w:rsidRDefault="00164F73" w:rsidP="003E3613"/>
    <w:p w:rsidR="00164F73" w:rsidRPr="0098409E" w:rsidRDefault="00164F73" w:rsidP="00281C13">
      <w:pPr>
        <w:jc w:val="center"/>
      </w:pPr>
      <w:r w:rsidRPr="0098409E">
        <w:t>Table 4: Controlled Reuse – Quality Risk Calculation</w:t>
      </w:r>
    </w:p>
    <w:tbl>
      <w:tblPr>
        <w:tblStyle w:val="TableGrid"/>
        <w:tblW w:w="0" w:type="auto"/>
        <w:jc w:val="center"/>
        <w:tblLook w:val="04A0" w:firstRow="1" w:lastRow="0" w:firstColumn="1" w:lastColumn="0" w:noHBand="0" w:noVBand="1"/>
      </w:tblPr>
      <w:tblGrid>
        <w:gridCol w:w="2429"/>
        <w:gridCol w:w="3297"/>
      </w:tblGrid>
      <w:tr w:rsidR="00164F73" w:rsidRPr="00DA37EA" w:rsidTr="00281C13">
        <w:trPr>
          <w:jc w:val="center"/>
        </w:trPr>
        <w:tc>
          <w:tcPr>
            <w:tcW w:w="0" w:type="auto"/>
            <w:hideMark/>
          </w:tcPr>
          <w:p w:rsidR="00164F73" w:rsidRPr="00DA37EA" w:rsidRDefault="00164F73" w:rsidP="00DA37EA">
            <w:pPr>
              <w:jc w:val="center"/>
              <w:rPr>
                <w:b/>
              </w:rPr>
            </w:pPr>
            <w:r w:rsidRPr="00DA37EA">
              <w:rPr>
                <w:b/>
              </w:rPr>
              <w:t>Item</w:t>
            </w:r>
          </w:p>
        </w:tc>
        <w:tc>
          <w:tcPr>
            <w:tcW w:w="0" w:type="auto"/>
            <w:hideMark/>
          </w:tcPr>
          <w:p w:rsidR="00164F73" w:rsidRPr="00DA37EA" w:rsidRDefault="00164F73" w:rsidP="00DA37EA">
            <w:pPr>
              <w:jc w:val="center"/>
              <w:rPr>
                <w:b/>
              </w:rPr>
            </w:pPr>
            <w:r w:rsidRPr="00DA37EA">
              <w:rPr>
                <w:b/>
              </w:rPr>
              <w:t>Value</w:t>
            </w:r>
          </w:p>
        </w:tc>
      </w:tr>
      <w:tr w:rsidR="00164F73" w:rsidRPr="0098409E" w:rsidTr="00281C13">
        <w:trPr>
          <w:jc w:val="center"/>
        </w:trPr>
        <w:tc>
          <w:tcPr>
            <w:tcW w:w="0" w:type="auto"/>
            <w:hideMark/>
          </w:tcPr>
          <w:p w:rsidR="00164F73" w:rsidRPr="0098409E" w:rsidRDefault="00164F73" w:rsidP="00DA37EA">
            <w:pPr>
              <w:jc w:val="center"/>
            </w:pPr>
            <w:r w:rsidRPr="0098409E">
              <w:t>Production batch value</w:t>
            </w:r>
          </w:p>
        </w:tc>
        <w:tc>
          <w:tcPr>
            <w:tcW w:w="0" w:type="auto"/>
            <w:hideMark/>
          </w:tcPr>
          <w:p w:rsidR="00164F73" w:rsidRPr="0098409E" w:rsidRDefault="00164F73" w:rsidP="00DA37EA">
            <w:pPr>
              <w:jc w:val="center"/>
            </w:pPr>
            <w:r w:rsidRPr="0098409E">
              <w:t>£80,000</w:t>
            </w:r>
          </w:p>
        </w:tc>
      </w:tr>
      <w:tr w:rsidR="00164F73" w:rsidRPr="0098409E" w:rsidTr="00281C13">
        <w:trPr>
          <w:jc w:val="center"/>
        </w:trPr>
        <w:tc>
          <w:tcPr>
            <w:tcW w:w="0" w:type="auto"/>
            <w:hideMark/>
          </w:tcPr>
          <w:p w:rsidR="00164F73" w:rsidRPr="0098409E" w:rsidRDefault="00164F73" w:rsidP="00DA37EA">
            <w:pPr>
              <w:jc w:val="center"/>
            </w:pPr>
            <w:r w:rsidRPr="0098409E">
              <w:t>Defect increase rate</w:t>
            </w:r>
          </w:p>
        </w:tc>
        <w:tc>
          <w:tcPr>
            <w:tcW w:w="0" w:type="auto"/>
            <w:hideMark/>
          </w:tcPr>
          <w:p w:rsidR="00164F73" w:rsidRPr="0098409E" w:rsidRDefault="00164F73" w:rsidP="00DA37EA">
            <w:pPr>
              <w:jc w:val="center"/>
            </w:pPr>
            <w:r w:rsidRPr="0098409E">
              <w:t>8%</w:t>
            </w:r>
          </w:p>
        </w:tc>
      </w:tr>
      <w:tr w:rsidR="00164F73" w:rsidRPr="0098409E" w:rsidTr="00281C13">
        <w:trPr>
          <w:jc w:val="center"/>
        </w:trPr>
        <w:tc>
          <w:tcPr>
            <w:tcW w:w="0" w:type="auto"/>
            <w:hideMark/>
          </w:tcPr>
          <w:p w:rsidR="00164F73" w:rsidRPr="0098409E" w:rsidRDefault="00164F73" w:rsidP="00DA37EA">
            <w:pPr>
              <w:jc w:val="center"/>
            </w:pPr>
            <w:r w:rsidRPr="0098409E">
              <w:t>Formula Used</w:t>
            </w:r>
          </w:p>
        </w:tc>
        <w:tc>
          <w:tcPr>
            <w:tcW w:w="0" w:type="auto"/>
            <w:hideMark/>
          </w:tcPr>
          <w:p w:rsidR="00164F73" w:rsidRPr="0098409E" w:rsidRDefault="00164F73" w:rsidP="00DA37EA">
            <w:pPr>
              <w:jc w:val="center"/>
            </w:pPr>
            <w:r w:rsidRPr="0098409E">
              <w:t>Production Value × Defect Rate</w:t>
            </w:r>
          </w:p>
        </w:tc>
      </w:tr>
      <w:tr w:rsidR="00164F73" w:rsidRPr="0098409E" w:rsidTr="00281C13">
        <w:trPr>
          <w:jc w:val="center"/>
        </w:trPr>
        <w:tc>
          <w:tcPr>
            <w:tcW w:w="0" w:type="auto"/>
            <w:hideMark/>
          </w:tcPr>
          <w:p w:rsidR="00164F73" w:rsidRPr="0098409E" w:rsidRDefault="00164F73" w:rsidP="00DA37EA">
            <w:pPr>
              <w:jc w:val="center"/>
            </w:pPr>
            <w:r w:rsidRPr="0098409E">
              <w:t>Calculation</w:t>
            </w:r>
          </w:p>
        </w:tc>
        <w:tc>
          <w:tcPr>
            <w:tcW w:w="0" w:type="auto"/>
            <w:hideMark/>
          </w:tcPr>
          <w:p w:rsidR="00164F73" w:rsidRPr="0098409E" w:rsidRDefault="00164F73" w:rsidP="00DA37EA">
            <w:pPr>
              <w:jc w:val="center"/>
            </w:pPr>
            <w:r w:rsidRPr="0098409E">
              <w:t>80,000 × 0.08</w:t>
            </w:r>
          </w:p>
        </w:tc>
      </w:tr>
      <w:tr w:rsidR="00164F73" w:rsidRPr="0098409E" w:rsidTr="00281C13">
        <w:trPr>
          <w:jc w:val="center"/>
        </w:trPr>
        <w:tc>
          <w:tcPr>
            <w:tcW w:w="0" w:type="auto"/>
            <w:hideMark/>
          </w:tcPr>
          <w:p w:rsidR="00164F73" w:rsidRPr="0098409E" w:rsidRDefault="00164F73" w:rsidP="00DA37EA">
            <w:pPr>
              <w:jc w:val="center"/>
            </w:pPr>
            <w:r w:rsidRPr="0098409E">
              <w:t>Potential Defect Cost</w:t>
            </w:r>
          </w:p>
        </w:tc>
        <w:tc>
          <w:tcPr>
            <w:tcW w:w="0" w:type="auto"/>
            <w:hideMark/>
          </w:tcPr>
          <w:p w:rsidR="00164F73" w:rsidRPr="0098409E" w:rsidRDefault="00164F73" w:rsidP="00DA37EA">
            <w:pPr>
              <w:jc w:val="center"/>
            </w:pPr>
            <w:r w:rsidRPr="0098409E">
              <w:t>£6,400</w:t>
            </w:r>
          </w:p>
        </w:tc>
      </w:tr>
    </w:tbl>
    <w:p w:rsidR="00164F73" w:rsidRPr="0098409E" w:rsidRDefault="00164F73" w:rsidP="003E3613"/>
    <w:p w:rsidR="00164F73" w:rsidRPr="0098409E" w:rsidRDefault="00164F73" w:rsidP="00281C13">
      <w:pPr>
        <w:jc w:val="center"/>
      </w:pPr>
      <w:r w:rsidRPr="0098409E">
        <w:t>Table 5: Discount Resale Recovery Calculation</w:t>
      </w:r>
    </w:p>
    <w:tbl>
      <w:tblPr>
        <w:tblStyle w:val="TableGrid"/>
        <w:tblW w:w="0" w:type="auto"/>
        <w:jc w:val="center"/>
        <w:tblLook w:val="04A0" w:firstRow="1" w:lastRow="0" w:firstColumn="1" w:lastColumn="0" w:noHBand="0" w:noVBand="1"/>
      </w:tblPr>
      <w:tblGrid>
        <w:gridCol w:w="2689"/>
        <w:gridCol w:w="3684"/>
      </w:tblGrid>
      <w:tr w:rsidR="00164F73" w:rsidRPr="00DA37EA" w:rsidTr="00281C13">
        <w:trPr>
          <w:jc w:val="center"/>
        </w:trPr>
        <w:tc>
          <w:tcPr>
            <w:tcW w:w="0" w:type="auto"/>
            <w:hideMark/>
          </w:tcPr>
          <w:p w:rsidR="00164F73" w:rsidRPr="00DA37EA" w:rsidRDefault="00164F73" w:rsidP="00DA37EA">
            <w:pPr>
              <w:jc w:val="center"/>
              <w:rPr>
                <w:b/>
              </w:rPr>
            </w:pPr>
            <w:r w:rsidRPr="00DA37EA">
              <w:rPr>
                <w:b/>
              </w:rPr>
              <w:t>Item</w:t>
            </w:r>
          </w:p>
        </w:tc>
        <w:tc>
          <w:tcPr>
            <w:tcW w:w="0" w:type="auto"/>
            <w:hideMark/>
          </w:tcPr>
          <w:p w:rsidR="00164F73" w:rsidRPr="00DA37EA" w:rsidRDefault="00164F73" w:rsidP="00DA37EA">
            <w:pPr>
              <w:jc w:val="center"/>
              <w:rPr>
                <w:b/>
              </w:rPr>
            </w:pPr>
            <w:r w:rsidRPr="00DA37EA">
              <w:rPr>
                <w:b/>
              </w:rPr>
              <w:t>Value</w:t>
            </w:r>
          </w:p>
        </w:tc>
      </w:tr>
      <w:tr w:rsidR="00164F73" w:rsidRPr="0098409E" w:rsidTr="00281C13">
        <w:trPr>
          <w:jc w:val="center"/>
        </w:trPr>
        <w:tc>
          <w:tcPr>
            <w:tcW w:w="0" w:type="auto"/>
            <w:hideMark/>
          </w:tcPr>
          <w:p w:rsidR="00164F73" w:rsidRPr="0098409E" w:rsidRDefault="00164F73" w:rsidP="00DA37EA">
            <w:pPr>
              <w:jc w:val="center"/>
            </w:pPr>
            <w:r w:rsidRPr="0098409E">
              <w:t>Original resin stock value</w:t>
            </w:r>
          </w:p>
        </w:tc>
        <w:tc>
          <w:tcPr>
            <w:tcW w:w="0" w:type="auto"/>
            <w:hideMark/>
          </w:tcPr>
          <w:p w:rsidR="00164F73" w:rsidRPr="0098409E" w:rsidRDefault="00164F73" w:rsidP="00DA37EA">
            <w:pPr>
              <w:jc w:val="center"/>
            </w:pPr>
            <w:r w:rsidRPr="0098409E">
              <w:t>£20,000</w:t>
            </w:r>
          </w:p>
        </w:tc>
      </w:tr>
      <w:tr w:rsidR="00164F73" w:rsidRPr="0098409E" w:rsidTr="00281C13">
        <w:trPr>
          <w:jc w:val="center"/>
        </w:trPr>
        <w:tc>
          <w:tcPr>
            <w:tcW w:w="0" w:type="auto"/>
            <w:hideMark/>
          </w:tcPr>
          <w:p w:rsidR="00164F73" w:rsidRPr="0098409E" w:rsidRDefault="00164F73" w:rsidP="00DA37EA">
            <w:pPr>
              <w:jc w:val="center"/>
            </w:pPr>
            <w:r w:rsidRPr="0098409E">
              <w:t>Recovery percentage</w:t>
            </w:r>
          </w:p>
        </w:tc>
        <w:tc>
          <w:tcPr>
            <w:tcW w:w="0" w:type="auto"/>
            <w:hideMark/>
          </w:tcPr>
          <w:p w:rsidR="00164F73" w:rsidRPr="0098409E" w:rsidRDefault="00164F73" w:rsidP="00DA37EA">
            <w:pPr>
              <w:jc w:val="center"/>
            </w:pPr>
            <w:r w:rsidRPr="0098409E">
              <w:t>40%</w:t>
            </w:r>
          </w:p>
        </w:tc>
      </w:tr>
      <w:tr w:rsidR="00164F73" w:rsidRPr="0098409E" w:rsidTr="00281C13">
        <w:trPr>
          <w:jc w:val="center"/>
        </w:trPr>
        <w:tc>
          <w:tcPr>
            <w:tcW w:w="0" w:type="auto"/>
            <w:hideMark/>
          </w:tcPr>
          <w:p w:rsidR="00164F73" w:rsidRPr="0098409E" w:rsidRDefault="00164F73" w:rsidP="00DA37EA">
            <w:pPr>
              <w:jc w:val="center"/>
            </w:pPr>
            <w:r w:rsidRPr="0098409E">
              <w:t>Formula Used</w:t>
            </w:r>
          </w:p>
        </w:tc>
        <w:tc>
          <w:tcPr>
            <w:tcW w:w="0" w:type="auto"/>
            <w:hideMark/>
          </w:tcPr>
          <w:p w:rsidR="00164F73" w:rsidRPr="0098409E" w:rsidRDefault="00164F73" w:rsidP="00DA37EA">
            <w:pPr>
              <w:jc w:val="center"/>
            </w:pPr>
            <w:r w:rsidRPr="0098409E">
              <w:t>Stock Value × Recovery Percentage</w:t>
            </w:r>
          </w:p>
        </w:tc>
      </w:tr>
      <w:tr w:rsidR="00164F73" w:rsidRPr="0098409E" w:rsidTr="00281C13">
        <w:trPr>
          <w:jc w:val="center"/>
        </w:trPr>
        <w:tc>
          <w:tcPr>
            <w:tcW w:w="0" w:type="auto"/>
            <w:hideMark/>
          </w:tcPr>
          <w:p w:rsidR="00164F73" w:rsidRPr="0098409E" w:rsidRDefault="00164F73" w:rsidP="00DA37EA">
            <w:pPr>
              <w:jc w:val="center"/>
            </w:pPr>
            <w:r w:rsidRPr="0098409E">
              <w:t>Calculation</w:t>
            </w:r>
          </w:p>
        </w:tc>
        <w:tc>
          <w:tcPr>
            <w:tcW w:w="0" w:type="auto"/>
            <w:hideMark/>
          </w:tcPr>
          <w:p w:rsidR="00164F73" w:rsidRPr="0098409E" w:rsidRDefault="00164F73" w:rsidP="00DA37EA">
            <w:pPr>
              <w:jc w:val="center"/>
            </w:pPr>
            <w:r w:rsidRPr="0098409E">
              <w:t>20,000 × 0.40</w:t>
            </w:r>
          </w:p>
        </w:tc>
      </w:tr>
      <w:tr w:rsidR="00164F73" w:rsidRPr="0098409E" w:rsidTr="00281C13">
        <w:trPr>
          <w:jc w:val="center"/>
        </w:trPr>
        <w:tc>
          <w:tcPr>
            <w:tcW w:w="0" w:type="auto"/>
            <w:hideMark/>
          </w:tcPr>
          <w:p w:rsidR="00164F73" w:rsidRPr="0098409E" w:rsidRDefault="00164F73" w:rsidP="00DA37EA">
            <w:pPr>
              <w:jc w:val="center"/>
            </w:pPr>
            <w:r w:rsidRPr="0098409E">
              <w:t>Recovered Value</w:t>
            </w:r>
          </w:p>
        </w:tc>
        <w:tc>
          <w:tcPr>
            <w:tcW w:w="0" w:type="auto"/>
            <w:hideMark/>
          </w:tcPr>
          <w:p w:rsidR="00164F73" w:rsidRPr="0098409E" w:rsidRDefault="00164F73" w:rsidP="00DA37EA">
            <w:pPr>
              <w:jc w:val="center"/>
            </w:pPr>
            <w:r w:rsidRPr="0098409E">
              <w:t>£8,000</w:t>
            </w:r>
          </w:p>
        </w:tc>
      </w:tr>
    </w:tbl>
    <w:p w:rsidR="00164F73" w:rsidRPr="0098409E" w:rsidRDefault="00164F73" w:rsidP="003E3613"/>
    <w:p w:rsidR="00164F73" w:rsidRPr="0098409E" w:rsidRDefault="00164F73" w:rsidP="00281C13">
      <w:pPr>
        <w:jc w:val="center"/>
      </w:pPr>
      <w:r w:rsidRPr="0098409E">
        <w:t>Table 6: Reorder Point (ROP) Calculation</w:t>
      </w:r>
    </w:p>
    <w:tbl>
      <w:tblPr>
        <w:tblStyle w:val="TableGrid"/>
        <w:tblW w:w="0" w:type="auto"/>
        <w:jc w:val="center"/>
        <w:tblLook w:val="04A0" w:firstRow="1" w:lastRow="0" w:firstColumn="1" w:lastColumn="0" w:noHBand="0" w:noVBand="1"/>
      </w:tblPr>
      <w:tblGrid>
        <w:gridCol w:w="1990"/>
        <w:gridCol w:w="4559"/>
      </w:tblGrid>
      <w:tr w:rsidR="00164F73" w:rsidRPr="00DA37EA" w:rsidTr="00281C13">
        <w:trPr>
          <w:jc w:val="center"/>
        </w:trPr>
        <w:tc>
          <w:tcPr>
            <w:tcW w:w="0" w:type="auto"/>
            <w:hideMark/>
          </w:tcPr>
          <w:p w:rsidR="00164F73" w:rsidRPr="00DA37EA" w:rsidRDefault="00164F73" w:rsidP="00DA37EA">
            <w:pPr>
              <w:jc w:val="center"/>
              <w:rPr>
                <w:b/>
              </w:rPr>
            </w:pPr>
            <w:r w:rsidRPr="00DA37EA">
              <w:rPr>
                <w:b/>
              </w:rPr>
              <w:t>Item</w:t>
            </w:r>
          </w:p>
        </w:tc>
        <w:tc>
          <w:tcPr>
            <w:tcW w:w="0" w:type="auto"/>
            <w:hideMark/>
          </w:tcPr>
          <w:p w:rsidR="00164F73" w:rsidRPr="00DA37EA" w:rsidRDefault="00164F73" w:rsidP="00DA37EA">
            <w:pPr>
              <w:jc w:val="center"/>
              <w:rPr>
                <w:b/>
              </w:rPr>
            </w:pPr>
            <w:r w:rsidRPr="00DA37EA">
              <w:rPr>
                <w:b/>
              </w:rPr>
              <w:t>Value</w:t>
            </w:r>
          </w:p>
        </w:tc>
      </w:tr>
      <w:tr w:rsidR="00164F73" w:rsidRPr="0098409E" w:rsidTr="00281C13">
        <w:trPr>
          <w:jc w:val="center"/>
        </w:trPr>
        <w:tc>
          <w:tcPr>
            <w:tcW w:w="0" w:type="auto"/>
            <w:hideMark/>
          </w:tcPr>
          <w:p w:rsidR="00164F73" w:rsidRPr="0098409E" w:rsidRDefault="00164F73" w:rsidP="00DA37EA">
            <w:pPr>
              <w:jc w:val="center"/>
            </w:pPr>
            <w:r w:rsidRPr="0098409E">
              <w:t>Daily demand (d)</w:t>
            </w:r>
          </w:p>
        </w:tc>
        <w:tc>
          <w:tcPr>
            <w:tcW w:w="0" w:type="auto"/>
            <w:hideMark/>
          </w:tcPr>
          <w:p w:rsidR="00164F73" w:rsidRPr="0098409E" w:rsidRDefault="00164F73" w:rsidP="00DA37EA">
            <w:pPr>
              <w:jc w:val="center"/>
            </w:pPr>
            <w:r w:rsidRPr="0098409E">
              <w:t>120 kg</w:t>
            </w:r>
          </w:p>
        </w:tc>
      </w:tr>
      <w:tr w:rsidR="00164F73" w:rsidRPr="0098409E" w:rsidTr="00281C13">
        <w:trPr>
          <w:jc w:val="center"/>
        </w:trPr>
        <w:tc>
          <w:tcPr>
            <w:tcW w:w="0" w:type="auto"/>
            <w:hideMark/>
          </w:tcPr>
          <w:p w:rsidR="00164F73" w:rsidRPr="0098409E" w:rsidRDefault="00164F73" w:rsidP="00DA37EA">
            <w:pPr>
              <w:jc w:val="center"/>
            </w:pPr>
            <w:r w:rsidRPr="0098409E">
              <w:t>Lead time (L)</w:t>
            </w:r>
          </w:p>
        </w:tc>
        <w:tc>
          <w:tcPr>
            <w:tcW w:w="0" w:type="auto"/>
            <w:hideMark/>
          </w:tcPr>
          <w:p w:rsidR="00164F73" w:rsidRPr="0098409E" w:rsidRDefault="00164F73" w:rsidP="00DA37EA">
            <w:pPr>
              <w:jc w:val="center"/>
            </w:pPr>
            <w:r w:rsidRPr="0098409E">
              <w:t>7 days</w:t>
            </w:r>
          </w:p>
        </w:tc>
      </w:tr>
      <w:tr w:rsidR="00164F73" w:rsidRPr="0098409E" w:rsidTr="00281C13">
        <w:trPr>
          <w:jc w:val="center"/>
        </w:trPr>
        <w:tc>
          <w:tcPr>
            <w:tcW w:w="0" w:type="auto"/>
            <w:hideMark/>
          </w:tcPr>
          <w:p w:rsidR="00164F73" w:rsidRPr="0098409E" w:rsidRDefault="00164F73" w:rsidP="00DA37EA">
            <w:pPr>
              <w:jc w:val="center"/>
            </w:pPr>
            <w:r w:rsidRPr="0098409E">
              <w:t>Safety stock (SS)</w:t>
            </w:r>
          </w:p>
        </w:tc>
        <w:tc>
          <w:tcPr>
            <w:tcW w:w="0" w:type="auto"/>
            <w:hideMark/>
          </w:tcPr>
          <w:p w:rsidR="00164F73" w:rsidRPr="0098409E" w:rsidRDefault="00164F73" w:rsidP="00DA37EA">
            <w:pPr>
              <w:jc w:val="center"/>
            </w:pPr>
            <w:r w:rsidRPr="0098409E">
              <w:t>300 kg</w:t>
            </w:r>
          </w:p>
        </w:tc>
      </w:tr>
      <w:tr w:rsidR="00164F73" w:rsidRPr="0098409E" w:rsidTr="00281C13">
        <w:trPr>
          <w:jc w:val="center"/>
        </w:trPr>
        <w:tc>
          <w:tcPr>
            <w:tcW w:w="0" w:type="auto"/>
            <w:hideMark/>
          </w:tcPr>
          <w:p w:rsidR="00164F73" w:rsidRPr="0098409E" w:rsidRDefault="00164F73" w:rsidP="00DA37EA">
            <w:pPr>
              <w:jc w:val="center"/>
            </w:pPr>
            <w:r w:rsidRPr="0098409E">
              <w:t>Formula Used</w:t>
            </w:r>
          </w:p>
        </w:tc>
        <w:tc>
          <w:tcPr>
            <w:tcW w:w="0" w:type="auto"/>
            <w:hideMark/>
          </w:tcPr>
          <w:p w:rsidR="00164F73" w:rsidRPr="0098409E" w:rsidRDefault="00164F73" w:rsidP="00DA37EA">
            <w:pPr>
              <w:jc w:val="center"/>
            </w:pPr>
            <w:r w:rsidRPr="0098409E">
              <w:t>(Daily Demand × Lead Time) + Safety Stock</w:t>
            </w:r>
          </w:p>
        </w:tc>
      </w:tr>
      <w:tr w:rsidR="00164F73" w:rsidRPr="0098409E" w:rsidTr="00281C13">
        <w:trPr>
          <w:jc w:val="center"/>
        </w:trPr>
        <w:tc>
          <w:tcPr>
            <w:tcW w:w="0" w:type="auto"/>
            <w:hideMark/>
          </w:tcPr>
          <w:p w:rsidR="00164F73" w:rsidRPr="0098409E" w:rsidRDefault="00164F73" w:rsidP="00DA37EA">
            <w:pPr>
              <w:jc w:val="center"/>
            </w:pPr>
            <w:r w:rsidRPr="0098409E">
              <w:t>Calculation Step 1</w:t>
            </w:r>
          </w:p>
        </w:tc>
        <w:tc>
          <w:tcPr>
            <w:tcW w:w="0" w:type="auto"/>
            <w:hideMark/>
          </w:tcPr>
          <w:p w:rsidR="00164F73" w:rsidRPr="0098409E" w:rsidRDefault="00164F73" w:rsidP="00DA37EA">
            <w:pPr>
              <w:jc w:val="center"/>
            </w:pPr>
            <w:r w:rsidRPr="0098409E">
              <w:t>120 × 7 = 840</w:t>
            </w:r>
          </w:p>
        </w:tc>
      </w:tr>
      <w:tr w:rsidR="00164F73" w:rsidRPr="0098409E" w:rsidTr="00281C13">
        <w:trPr>
          <w:jc w:val="center"/>
        </w:trPr>
        <w:tc>
          <w:tcPr>
            <w:tcW w:w="0" w:type="auto"/>
            <w:hideMark/>
          </w:tcPr>
          <w:p w:rsidR="00164F73" w:rsidRPr="0098409E" w:rsidRDefault="00164F73" w:rsidP="00DA37EA">
            <w:pPr>
              <w:jc w:val="center"/>
            </w:pPr>
            <w:r w:rsidRPr="0098409E">
              <w:t>Calculation Step 2</w:t>
            </w:r>
          </w:p>
        </w:tc>
        <w:tc>
          <w:tcPr>
            <w:tcW w:w="0" w:type="auto"/>
            <w:hideMark/>
          </w:tcPr>
          <w:p w:rsidR="00164F73" w:rsidRPr="0098409E" w:rsidRDefault="00164F73" w:rsidP="00DA37EA">
            <w:pPr>
              <w:jc w:val="center"/>
            </w:pPr>
            <w:r w:rsidRPr="0098409E">
              <w:t>840 + 300</w:t>
            </w:r>
          </w:p>
        </w:tc>
      </w:tr>
      <w:tr w:rsidR="00164F73" w:rsidRPr="0098409E" w:rsidTr="00281C13">
        <w:trPr>
          <w:jc w:val="center"/>
        </w:trPr>
        <w:tc>
          <w:tcPr>
            <w:tcW w:w="0" w:type="auto"/>
            <w:hideMark/>
          </w:tcPr>
          <w:p w:rsidR="00164F73" w:rsidRPr="0098409E" w:rsidRDefault="00164F73" w:rsidP="00DA37EA">
            <w:pPr>
              <w:jc w:val="center"/>
            </w:pPr>
            <w:r w:rsidRPr="0098409E">
              <w:t>Reorder Point</w:t>
            </w:r>
          </w:p>
        </w:tc>
        <w:tc>
          <w:tcPr>
            <w:tcW w:w="0" w:type="auto"/>
            <w:hideMark/>
          </w:tcPr>
          <w:p w:rsidR="00164F73" w:rsidRPr="0098409E" w:rsidRDefault="00164F73" w:rsidP="00DA37EA">
            <w:pPr>
              <w:jc w:val="center"/>
            </w:pPr>
            <w:r w:rsidRPr="0098409E">
              <w:t>1,140 kg</w:t>
            </w:r>
          </w:p>
        </w:tc>
      </w:tr>
    </w:tbl>
    <w:p w:rsidR="00164F73" w:rsidRPr="0098409E" w:rsidRDefault="00164F73" w:rsidP="003E3613"/>
    <w:p w:rsidR="00164F73" w:rsidRPr="0098409E" w:rsidRDefault="00164F73" w:rsidP="00281C13">
      <w:pPr>
        <w:jc w:val="center"/>
      </w:pPr>
      <w:r w:rsidRPr="0098409E">
        <w:t>Table 7: Lead Time Calculation</w:t>
      </w:r>
    </w:p>
    <w:p w:rsidR="00164F73" w:rsidRPr="0098409E" w:rsidRDefault="00164F73" w:rsidP="00164F73">
      <w:r w:rsidRPr="0098409E">
        <w:t>Lead Time</w:t>
      </w:r>
      <w:r w:rsidR="00281C13" w:rsidRPr="0098409E">
        <w:t xml:space="preserve"> </w:t>
      </w:r>
      <w:r w:rsidRPr="0098409E">
        <w:t>=</w:t>
      </w:r>
      <w:r w:rsidR="00281C13" w:rsidRPr="0098409E">
        <w:t xml:space="preserve"> </w:t>
      </w:r>
      <w:r w:rsidRPr="0098409E">
        <w:t>Procurement Time+Production Time+Transportation Time+Inspection Time</w:t>
      </w:r>
    </w:p>
    <w:tbl>
      <w:tblPr>
        <w:tblStyle w:val="TableGrid"/>
        <w:tblW w:w="0" w:type="auto"/>
        <w:jc w:val="center"/>
        <w:tblLook w:val="04A0" w:firstRow="1" w:lastRow="0" w:firstColumn="1" w:lastColumn="0" w:noHBand="0" w:noVBand="1"/>
      </w:tblPr>
      <w:tblGrid>
        <w:gridCol w:w="3129"/>
        <w:gridCol w:w="5675"/>
      </w:tblGrid>
      <w:tr w:rsidR="00164F73" w:rsidRPr="00DA37EA" w:rsidTr="00281C13">
        <w:trPr>
          <w:jc w:val="center"/>
        </w:trPr>
        <w:tc>
          <w:tcPr>
            <w:tcW w:w="0" w:type="auto"/>
            <w:hideMark/>
          </w:tcPr>
          <w:p w:rsidR="00164F73" w:rsidRPr="00DA37EA" w:rsidRDefault="00164F73" w:rsidP="00DA37EA">
            <w:pPr>
              <w:jc w:val="center"/>
              <w:rPr>
                <w:b/>
              </w:rPr>
            </w:pPr>
            <w:r w:rsidRPr="00DA37EA">
              <w:rPr>
                <w:b/>
              </w:rPr>
              <w:t>Item</w:t>
            </w:r>
          </w:p>
        </w:tc>
        <w:tc>
          <w:tcPr>
            <w:tcW w:w="0" w:type="auto"/>
            <w:hideMark/>
          </w:tcPr>
          <w:p w:rsidR="00164F73" w:rsidRPr="00DA37EA" w:rsidRDefault="00164F73" w:rsidP="00DA37EA">
            <w:pPr>
              <w:jc w:val="center"/>
              <w:rPr>
                <w:b/>
              </w:rPr>
            </w:pPr>
            <w:r w:rsidRPr="00DA37EA">
              <w:rPr>
                <w:b/>
              </w:rPr>
              <w:t>Value</w:t>
            </w:r>
          </w:p>
        </w:tc>
      </w:tr>
      <w:tr w:rsidR="00164F73" w:rsidRPr="0098409E" w:rsidTr="00281C13">
        <w:trPr>
          <w:jc w:val="center"/>
        </w:trPr>
        <w:tc>
          <w:tcPr>
            <w:tcW w:w="0" w:type="auto"/>
            <w:hideMark/>
          </w:tcPr>
          <w:p w:rsidR="00164F73" w:rsidRPr="0098409E" w:rsidRDefault="00164F73" w:rsidP="00DA37EA">
            <w:pPr>
              <w:jc w:val="center"/>
            </w:pPr>
            <w:r w:rsidRPr="0098409E">
              <w:t>Procurement processing time</w:t>
            </w:r>
          </w:p>
        </w:tc>
        <w:tc>
          <w:tcPr>
            <w:tcW w:w="0" w:type="auto"/>
            <w:hideMark/>
          </w:tcPr>
          <w:p w:rsidR="00164F73" w:rsidRPr="0098409E" w:rsidRDefault="00164F73" w:rsidP="00DA37EA">
            <w:pPr>
              <w:jc w:val="center"/>
            </w:pPr>
            <w:r w:rsidRPr="0098409E">
              <w:t>2 days</w:t>
            </w:r>
          </w:p>
        </w:tc>
      </w:tr>
      <w:tr w:rsidR="00164F73" w:rsidRPr="0098409E" w:rsidTr="00281C13">
        <w:trPr>
          <w:jc w:val="center"/>
        </w:trPr>
        <w:tc>
          <w:tcPr>
            <w:tcW w:w="0" w:type="auto"/>
            <w:hideMark/>
          </w:tcPr>
          <w:p w:rsidR="00164F73" w:rsidRPr="0098409E" w:rsidRDefault="00164F73" w:rsidP="00DA37EA">
            <w:pPr>
              <w:jc w:val="center"/>
            </w:pPr>
            <w:r w:rsidRPr="0098409E">
              <w:t>Supplier production time</w:t>
            </w:r>
          </w:p>
        </w:tc>
        <w:tc>
          <w:tcPr>
            <w:tcW w:w="0" w:type="auto"/>
            <w:hideMark/>
          </w:tcPr>
          <w:p w:rsidR="00164F73" w:rsidRPr="0098409E" w:rsidRDefault="00164F73" w:rsidP="00DA37EA">
            <w:pPr>
              <w:jc w:val="center"/>
            </w:pPr>
            <w:r w:rsidRPr="0098409E">
              <w:t>4 days</w:t>
            </w:r>
          </w:p>
        </w:tc>
      </w:tr>
      <w:tr w:rsidR="00164F73" w:rsidRPr="0098409E" w:rsidTr="00281C13">
        <w:trPr>
          <w:jc w:val="center"/>
        </w:trPr>
        <w:tc>
          <w:tcPr>
            <w:tcW w:w="0" w:type="auto"/>
            <w:hideMark/>
          </w:tcPr>
          <w:p w:rsidR="00164F73" w:rsidRPr="0098409E" w:rsidRDefault="00164F73" w:rsidP="00DA37EA">
            <w:pPr>
              <w:jc w:val="center"/>
            </w:pPr>
            <w:r w:rsidRPr="0098409E">
              <w:t>Transportation time</w:t>
            </w:r>
          </w:p>
        </w:tc>
        <w:tc>
          <w:tcPr>
            <w:tcW w:w="0" w:type="auto"/>
            <w:hideMark/>
          </w:tcPr>
          <w:p w:rsidR="00164F73" w:rsidRPr="0098409E" w:rsidRDefault="00164F73" w:rsidP="00DA37EA">
            <w:pPr>
              <w:jc w:val="center"/>
            </w:pPr>
            <w:r w:rsidRPr="0098409E">
              <w:t>3 days</w:t>
            </w:r>
          </w:p>
        </w:tc>
      </w:tr>
      <w:tr w:rsidR="00164F73" w:rsidRPr="0098409E" w:rsidTr="00281C13">
        <w:trPr>
          <w:jc w:val="center"/>
        </w:trPr>
        <w:tc>
          <w:tcPr>
            <w:tcW w:w="0" w:type="auto"/>
            <w:hideMark/>
          </w:tcPr>
          <w:p w:rsidR="00164F73" w:rsidRPr="0098409E" w:rsidRDefault="00164F73" w:rsidP="00DA37EA">
            <w:pPr>
              <w:jc w:val="center"/>
            </w:pPr>
            <w:r w:rsidRPr="0098409E">
              <w:t>Inspection and unloading time</w:t>
            </w:r>
          </w:p>
        </w:tc>
        <w:tc>
          <w:tcPr>
            <w:tcW w:w="0" w:type="auto"/>
            <w:hideMark/>
          </w:tcPr>
          <w:p w:rsidR="00164F73" w:rsidRPr="0098409E" w:rsidRDefault="00164F73" w:rsidP="00DA37EA">
            <w:pPr>
              <w:jc w:val="center"/>
            </w:pPr>
            <w:r w:rsidRPr="0098409E">
              <w:t>1 day</w:t>
            </w:r>
          </w:p>
        </w:tc>
      </w:tr>
      <w:tr w:rsidR="00164F73" w:rsidRPr="0098409E" w:rsidTr="00281C13">
        <w:trPr>
          <w:jc w:val="center"/>
        </w:trPr>
        <w:tc>
          <w:tcPr>
            <w:tcW w:w="0" w:type="auto"/>
            <w:hideMark/>
          </w:tcPr>
          <w:p w:rsidR="00164F73" w:rsidRPr="0098409E" w:rsidRDefault="00164F73" w:rsidP="00DA37EA">
            <w:pPr>
              <w:jc w:val="center"/>
            </w:pPr>
            <w:r w:rsidRPr="0098409E">
              <w:t>Formula Used</w:t>
            </w:r>
          </w:p>
        </w:tc>
        <w:tc>
          <w:tcPr>
            <w:tcW w:w="0" w:type="auto"/>
            <w:hideMark/>
          </w:tcPr>
          <w:p w:rsidR="00164F73" w:rsidRPr="0098409E" w:rsidRDefault="00164F73" w:rsidP="00DA37EA">
            <w:pPr>
              <w:jc w:val="center"/>
            </w:pPr>
            <w:r w:rsidRPr="0098409E">
              <w:t>Procurement + Production + Transportation + Inspection</w:t>
            </w:r>
          </w:p>
        </w:tc>
      </w:tr>
      <w:tr w:rsidR="00164F73" w:rsidRPr="0098409E" w:rsidTr="00281C13">
        <w:trPr>
          <w:jc w:val="center"/>
        </w:trPr>
        <w:tc>
          <w:tcPr>
            <w:tcW w:w="0" w:type="auto"/>
            <w:hideMark/>
          </w:tcPr>
          <w:p w:rsidR="00164F73" w:rsidRPr="0098409E" w:rsidRDefault="00164F73" w:rsidP="00DA37EA">
            <w:pPr>
              <w:jc w:val="center"/>
            </w:pPr>
            <w:r w:rsidRPr="0098409E">
              <w:t>Calculation</w:t>
            </w:r>
          </w:p>
        </w:tc>
        <w:tc>
          <w:tcPr>
            <w:tcW w:w="0" w:type="auto"/>
            <w:hideMark/>
          </w:tcPr>
          <w:p w:rsidR="00164F73" w:rsidRPr="0098409E" w:rsidRDefault="00164F73" w:rsidP="00DA37EA">
            <w:pPr>
              <w:jc w:val="center"/>
            </w:pPr>
            <w:r w:rsidRPr="0098409E">
              <w:t>2 + 4 + 3 + 1</w:t>
            </w:r>
          </w:p>
        </w:tc>
      </w:tr>
      <w:tr w:rsidR="00164F73" w:rsidRPr="0098409E" w:rsidTr="00281C13">
        <w:trPr>
          <w:jc w:val="center"/>
        </w:trPr>
        <w:tc>
          <w:tcPr>
            <w:tcW w:w="0" w:type="auto"/>
            <w:hideMark/>
          </w:tcPr>
          <w:p w:rsidR="00164F73" w:rsidRPr="0098409E" w:rsidRDefault="00164F73" w:rsidP="00DA37EA">
            <w:pPr>
              <w:jc w:val="center"/>
            </w:pPr>
            <w:r w:rsidRPr="0098409E">
              <w:t>Total Lead Time</w:t>
            </w:r>
          </w:p>
        </w:tc>
        <w:tc>
          <w:tcPr>
            <w:tcW w:w="0" w:type="auto"/>
            <w:hideMark/>
          </w:tcPr>
          <w:p w:rsidR="00164F73" w:rsidRPr="0098409E" w:rsidRDefault="00164F73" w:rsidP="00DA37EA">
            <w:pPr>
              <w:jc w:val="center"/>
            </w:pPr>
            <w:r w:rsidRPr="0098409E">
              <w:t>10 days</w:t>
            </w:r>
          </w:p>
        </w:tc>
      </w:tr>
    </w:tbl>
    <w:p w:rsidR="00164F73" w:rsidRPr="0098409E" w:rsidRDefault="00164F73" w:rsidP="00DA37EA">
      <w:pPr>
        <w:jc w:val="center"/>
      </w:pPr>
    </w:p>
    <w:p w:rsidR="00164F73" w:rsidRPr="0098409E" w:rsidRDefault="00164F73" w:rsidP="00281C13">
      <w:pPr>
        <w:jc w:val="center"/>
      </w:pPr>
      <w:r w:rsidRPr="0098409E">
        <w:t>Table 8: Safety Stock Calculation</w:t>
      </w:r>
    </w:p>
    <w:p w:rsidR="00164F73" w:rsidRPr="0098409E" w:rsidRDefault="00164F73" w:rsidP="00164F73">
      <w:r w:rsidRPr="0098409E">
        <w:t>Safety Stock</w:t>
      </w:r>
      <w:r w:rsidR="00281C13" w:rsidRPr="0098409E">
        <w:t xml:space="preserve"> </w:t>
      </w:r>
      <w:r w:rsidRPr="0098409E">
        <w:t>=</w:t>
      </w:r>
      <w:r w:rsidR="00281C13" w:rsidRPr="0098409E">
        <w:t xml:space="preserve"> </w:t>
      </w:r>
      <w:r w:rsidRPr="0098409E">
        <w:t>(Maximum Daily Usage×Maximum Lead Time)−(Average Daily Usage×Average Lead Time)</w:t>
      </w:r>
    </w:p>
    <w:tbl>
      <w:tblPr>
        <w:tblStyle w:val="TableGrid"/>
        <w:tblW w:w="0" w:type="auto"/>
        <w:jc w:val="center"/>
        <w:tblLook w:val="04A0" w:firstRow="1" w:lastRow="0" w:firstColumn="1" w:lastColumn="0" w:noHBand="0" w:noVBand="1"/>
      </w:tblPr>
      <w:tblGrid>
        <w:gridCol w:w="2205"/>
        <w:gridCol w:w="7371"/>
      </w:tblGrid>
      <w:tr w:rsidR="00164F73" w:rsidRPr="00DA37EA" w:rsidTr="00281C13">
        <w:trPr>
          <w:jc w:val="center"/>
        </w:trPr>
        <w:tc>
          <w:tcPr>
            <w:tcW w:w="0" w:type="auto"/>
            <w:hideMark/>
          </w:tcPr>
          <w:p w:rsidR="00164F73" w:rsidRPr="00DA37EA" w:rsidRDefault="00164F73" w:rsidP="00DA37EA">
            <w:pPr>
              <w:jc w:val="center"/>
              <w:rPr>
                <w:b/>
              </w:rPr>
            </w:pPr>
            <w:r w:rsidRPr="00DA37EA">
              <w:rPr>
                <w:b/>
              </w:rPr>
              <w:t>Item</w:t>
            </w:r>
          </w:p>
        </w:tc>
        <w:tc>
          <w:tcPr>
            <w:tcW w:w="0" w:type="auto"/>
            <w:hideMark/>
          </w:tcPr>
          <w:p w:rsidR="00164F73" w:rsidRPr="00DA37EA" w:rsidRDefault="00164F73" w:rsidP="00DA37EA">
            <w:pPr>
              <w:jc w:val="center"/>
              <w:rPr>
                <w:b/>
              </w:rPr>
            </w:pPr>
            <w:r w:rsidRPr="00DA37EA">
              <w:rPr>
                <w:b/>
              </w:rPr>
              <w:t>Value</w:t>
            </w:r>
          </w:p>
        </w:tc>
      </w:tr>
      <w:tr w:rsidR="00164F73" w:rsidRPr="0098409E" w:rsidTr="00281C13">
        <w:trPr>
          <w:jc w:val="center"/>
        </w:trPr>
        <w:tc>
          <w:tcPr>
            <w:tcW w:w="0" w:type="auto"/>
            <w:hideMark/>
          </w:tcPr>
          <w:p w:rsidR="00164F73" w:rsidRPr="0098409E" w:rsidRDefault="00164F73" w:rsidP="00DA37EA">
            <w:pPr>
              <w:jc w:val="center"/>
            </w:pPr>
            <w:r w:rsidRPr="0098409E">
              <w:t>Maximum daily usage</w:t>
            </w:r>
          </w:p>
        </w:tc>
        <w:tc>
          <w:tcPr>
            <w:tcW w:w="0" w:type="auto"/>
            <w:hideMark/>
          </w:tcPr>
          <w:p w:rsidR="00164F73" w:rsidRPr="0098409E" w:rsidRDefault="00164F73" w:rsidP="00DA37EA">
            <w:pPr>
              <w:jc w:val="center"/>
            </w:pPr>
            <w:r w:rsidRPr="0098409E">
              <w:t>180 kg</w:t>
            </w:r>
          </w:p>
        </w:tc>
      </w:tr>
      <w:tr w:rsidR="00164F73" w:rsidRPr="0098409E" w:rsidTr="00281C13">
        <w:trPr>
          <w:jc w:val="center"/>
        </w:trPr>
        <w:tc>
          <w:tcPr>
            <w:tcW w:w="0" w:type="auto"/>
            <w:hideMark/>
          </w:tcPr>
          <w:p w:rsidR="00164F73" w:rsidRPr="0098409E" w:rsidRDefault="00164F73" w:rsidP="00DA37EA">
            <w:pPr>
              <w:jc w:val="center"/>
            </w:pPr>
            <w:r w:rsidRPr="0098409E">
              <w:t>Maximum lead time</w:t>
            </w:r>
          </w:p>
        </w:tc>
        <w:tc>
          <w:tcPr>
            <w:tcW w:w="0" w:type="auto"/>
            <w:hideMark/>
          </w:tcPr>
          <w:p w:rsidR="00164F73" w:rsidRPr="0098409E" w:rsidRDefault="00164F73" w:rsidP="00DA37EA">
            <w:pPr>
              <w:jc w:val="center"/>
            </w:pPr>
            <w:r w:rsidRPr="0098409E">
              <w:t>12 days</w:t>
            </w:r>
          </w:p>
        </w:tc>
      </w:tr>
      <w:tr w:rsidR="00164F73" w:rsidRPr="0098409E" w:rsidTr="00281C13">
        <w:trPr>
          <w:jc w:val="center"/>
        </w:trPr>
        <w:tc>
          <w:tcPr>
            <w:tcW w:w="0" w:type="auto"/>
            <w:hideMark/>
          </w:tcPr>
          <w:p w:rsidR="00164F73" w:rsidRPr="0098409E" w:rsidRDefault="00164F73" w:rsidP="00DA37EA">
            <w:pPr>
              <w:jc w:val="center"/>
            </w:pPr>
            <w:r w:rsidRPr="0098409E">
              <w:t>Average daily usage</w:t>
            </w:r>
          </w:p>
        </w:tc>
        <w:tc>
          <w:tcPr>
            <w:tcW w:w="0" w:type="auto"/>
            <w:hideMark/>
          </w:tcPr>
          <w:p w:rsidR="00164F73" w:rsidRPr="0098409E" w:rsidRDefault="00164F73" w:rsidP="00DA37EA">
            <w:pPr>
              <w:jc w:val="center"/>
            </w:pPr>
            <w:r w:rsidRPr="0098409E">
              <w:t>120 kg</w:t>
            </w:r>
          </w:p>
        </w:tc>
      </w:tr>
      <w:tr w:rsidR="00164F73" w:rsidRPr="0098409E" w:rsidTr="00281C13">
        <w:trPr>
          <w:jc w:val="center"/>
        </w:trPr>
        <w:tc>
          <w:tcPr>
            <w:tcW w:w="0" w:type="auto"/>
            <w:hideMark/>
          </w:tcPr>
          <w:p w:rsidR="00164F73" w:rsidRPr="0098409E" w:rsidRDefault="00164F73" w:rsidP="00DA37EA">
            <w:pPr>
              <w:jc w:val="center"/>
            </w:pPr>
            <w:r w:rsidRPr="0098409E">
              <w:t>Average lead time</w:t>
            </w:r>
          </w:p>
        </w:tc>
        <w:tc>
          <w:tcPr>
            <w:tcW w:w="0" w:type="auto"/>
            <w:hideMark/>
          </w:tcPr>
          <w:p w:rsidR="00164F73" w:rsidRPr="0098409E" w:rsidRDefault="00164F73" w:rsidP="00DA37EA">
            <w:pPr>
              <w:jc w:val="center"/>
            </w:pPr>
            <w:r w:rsidRPr="0098409E">
              <w:t>8 days</w:t>
            </w:r>
          </w:p>
        </w:tc>
      </w:tr>
      <w:tr w:rsidR="00164F73" w:rsidRPr="0098409E" w:rsidTr="00281C13">
        <w:trPr>
          <w:jc w:val="center"/>
        </w:trPr>
        <w:tc>
          <w:tcPr>
            <w:tcW w:w="0" w:type="auto"/>
            <w:hideMark/>
          </w:tcPr>
          <w:p w:rsidR="00164F73" w:rsidRPr="0098409E" w:rsidRDefault="00164F73" w:rsidP="00DA37EA">
            <w:pPr>
              <w:jc w:val="center"/>
            </w:pPr>
            <w:r w:rsidRPr="0098409E">
              <w:t>Formula Used</w:t>
            </w:r>
          </w:p>
        </w:tc>
        <w:tc>
          <w:tcPr>
            <w:tcW w:w="0" w:type="auto"/>
            <w:hideMark/>
          </w:tcPr>
          <w:p w:rsidR="00164F73" w:rsidRPr="0098409E" w:rsidRDefault="00164F73" w:rsidP="00DA37EA">
            <w:pPr>
              <w:jc w:val="center"/>
            </w:pPr>
            <w:r w:rsidRPr="0098409E">
              <w:t>(Maximum Usage × Maximum Lead Time) − (Average Usage × Average Lead Time)</w:t>
            </w:r>
          </w:p>
        </w:tc>
      </w:tr>
      <w:tr w:rsidR="00164F73" w:rsidRPr="0098409E" w:rsidTr="00281C13">
        <w:trPr>
          <w:jc w:val="center"/>
        </w:trPr>
        <w:tc>
          <w:tcPr>
            <w:tcW w:w="0" w:type="auto"/>
            <w:hideMark/>
          </w:tcPr>
          <w:p w:rsidR="00164F73" w:rsidRPr="0098409E" w:rsidRDefault="00164F73" w:rsidP="00DA37EA">
            <w:pPr>
              <w:jc w:val="center"/>
            </w:pPr>
            <w:r w:rsidRPr="0098409E">
              <w:t>Calculation Step 1</w:t>
            </w:r>
          </w:p>
        </w:tc>
        <w:tc>
          <w:tcPr>
            <w:tcW w:w="0" w:type="auto"/>
            <w:hideMark/>
          </w:tcPr>
          <w:p w:rsidR="00164F73" w:rsidRPr="0098409E" w:rsidRDefault="00164F73" w:rsidP="00DA37EA">
            <w:pPr>
              <w:jc w:val="center"/>
            </w:pPr>
            <w:r w:rsidRPr="0098409E">
              <w:t>180 × 12 = 2,160</w:t>
            </w:r>
          </w:p>
        </w:tc>
      </w:tr>
      <w:tr w:rsidR="00164F73" w:rsidRPr="0098409E" w:rsidTr="00281C13">
        <w:trPr>
          <w:jc w:val="center"/>
        </w:trPr>
        <w:tc>
          <w:tcPr>
            <w:tcW w:w="0" w:type="auto"/>
            <w:hideMark/>
          </w:tcPr>
          <w:p w:rsidR="00164F73" w:rsidRPr="0098409E" w:rsidRDefault="00164F73" w:rsidP="00DA37EA">
            <w:pPr>
              <w:jc w:val="center"/>
            </w:pPr>
            <w:r w:rsidRPr="0098409E">
              <w:t>Calculation Step 2</w:t>
            </w:r>
          </w:p>
        </w:tc>
        <w:tc>
          <w:tcPr>
            <w:tcW w:w="0" w:type="auto"/>
            <w:hideMark/>
          </w:tcPr>
          <w:p w:rsidR="00164F73" w:rsidRPr="0098409E" w:rsidRDefault="00164F73" w:rsidP="00DA37EA">
            <w:pPr>
              <w:jc w:val="center"/>
            </w:pPr>
            <w:r w:rsidRPr="0098409E">
              <w:t>120 × 8 = 960</w:t>
            </w:r>
          </w:p>
        </w:tc>
      </w:tr>
      <w:tr w:rsidR="00164F73" w:rsidRPr="0098409E" w:rsidTr="00281C13">
        <w:trPr>
          <w:jc w:val="center"/>
        </w:trPr>
        <w:tc>
          <w:tcPr>
            <w:tcW w:w="0" w:type="auto"/>
            <w:hideMark/>
          </w:tcPr>
          <w:p w:rsidR="00164F73" w:rsidRPr="0098409E" w:rsidRDefault="00164F73" w:rsidP="00DA37EA">
            <w:pPr>
              <w:jc w:val="center"/>
            </w:pPr>
            <w:r w:rsidRPr="0098409E">
              <w:t>Calculation Step 3</w:t>
            </w:r>
          </w:p>
        </w:tc>
        <w:tc>
          <w:tcPr>
            <w:tcW w:w="0" w:type="auto"/>
            <w:hideMark/>
          </w:tcPr>
          <w:p w:rsidR="00164F73" w:rsidRPr="0098409E" w:rsidRDefault="00164F73" w:rsidP="00DA37EA">
            <w:pPr>
              <w:jc w:val="center"/>
            </w:pPr>
            <w:r w:rsidRPr="0098409E">
              <w:t>2,160 − 960</w:t>
            </w:r>
          </w:p>
        </w:tc>
      </w:tr>
      <w:tr w:rsidR="00164F73" w:rsidRPr="0098409E" w:rsidTr="00281C13">
        <w:trPr>
          <w:jc w:val="center"/>
        </w:trPr>
        <w:tc>
          <w:tcPr>
            <w:tcW w:w="0" w:type="auto"/>
            <w:hideMark/>
          </w:tcPr>
          <w:p w:rsidR="00164F73" w:rsidRPr="0098409E" w:rsidRDefault="00164F73" w:rsidP="00DA37EA">
            <w:pPr>
              <w:jc w:val="center"/>
            </w:pPr>
            <w:r w:rsidRPr="0098409E">
              <w:t>Safety Stock Result</w:t>
            </w:r>
          </w:p>
        </w:tc>
        <w:tc>
          <w:tcPr>
            <w:tcW w:w="0" w:type="auto"/>
            <w:hideMark/>
          </w:tcPr>
          <w:p w:rsidR="00164F73" w:rsidRPr="0098409E" w:rsidRDefault="00164F73" w:rsidP="00DA37EA">
            <w:pPr>
              <w:jc w:val="center"/>
            </w:pPr>
            <w:r w:rsidRPr="0098409E">
              <w:t>1,200 kg</w:t>
            </w:r>
          </w:p>
        </w:tc>
      </w:tr>
    </w:tbl>
    <w:p w:rsidR="00281C13" w:rsidRPr="0098409E" w:rsidRDefault="00281C13" w:rsidP="00164F73"/>
    <w:p w:rsidR="00164F73" w:rsidRPr="0098409E" w:rsidRDefault="00164F73" w:rsidP="00281C13">
      <w:pPr>
        <w:jc w:val="center"/>
      </w:pPr>
      <w:r w:rsidRPr="0098409E">
        <w:t>Table 9: On-Time Delivery KPI Calculation</w:t>
      </w:r>
    </w:p>
    <w:tbl>
      <w:tblPr>
        <w:tblStyle w:val="TableGrid"/>
        <w:tblW w:w="0" w:type="auto"/>
        <w:jc w:val="center"/>
        <w:tblLook w:val="04A0" w:firstRow="1" w:lastRow="0" w:firstColumn="1" w:lastColumn="0" w:noHBand="0" w:noVBand="1"/>
      </w:tblPr>
      <w:tblGrid>
        <w:gridCol w:w="2522"/>
        <w:gridCol w:w="4722"/>
      </w:tblGrid>
      <w:tr w:rsidR="00164F73" w:rsidRPr="00DA37EA" w:rsidTr="00281C13">
        <w:trPr>
          <w:jc w:val="center"/>
        </w:trPr>
        <w:tc>
          <w:tcPr>
            <w:tcW w:w="0" w:type="auto"/>
            <w:hideMark/>
          </w:tcPr>
          <w:p w:rsidR="00164F73" w:rsidRPr="00DA37EA" w:rsidRDefault="00164F73" w:rsidP="00DA37EA">
            <w:pPr>
              <w:jc w:val="center"/>
              <w:rPr>
                <w:b/>
              </w:rPr>
            </w:pPr>
            <w:r w:rsidRPr="00DA37EA">
              <w:rPr>
                <w:b/>
              </w:rPr>
              <w:t>Item</w:t>
            </w:r>
          </w:p>
        </w:tc>
        <w:tc>
          <w:tcPr>
            <w:tcW w:w="0" w:type="auto"/>
            <w:hideMark/>
          </w:tcPr>
          <w:p w:rsidR="00164F73" w:rsidRPr="00DA37EA" w:rsidRDefault="00164F73" w:rsidP="00DA37EA">
            <w:pPr>
              <w:jc w:val="center"/>
              <w:rPr>
                <w:b/>
              </w:rPr>
            </w:pPr>
            <w:r w:rsidRPr="00DA37EA">
              <w:rPr>
                <w:b/>
              </w:rPr>
              <w:t>Value</w:t>
            </w:r>
          </w:p>
        </w:tc>
      </w:tr>
      <w:tr w:rsidR="00164F73" w:rsidRPr="0098409E" w:rsidTr="00281C13">
        <w:trPr>
          <w:jc w:val="center"/>
        </w:trPr>
        <w:tc>
          <w:tcPr>
            <w:tcW w:w="0" w:type="auto"/>
            <w:hideMark/>
          </w:tcPr>
          <w:p w:rsidR="00164F73" w:rsidRPr="0098409E" w:rsidRDefault="00164F73" w:rsidP="00DA37EA">
            <w:pPr>
              <w:jc w:val="center"/>
            </w:pPr>
            <w:r w:rsidRPr="0098409E">
              <w:t>Total on-time deliveries</w:t>
            </w:r>
          </w:p>
        </w:tc>
        <w:tc>
          <w:tcPr>
            <w:tcW w:w="0" w:type="auto"/>
            <w:hideMark/>
          </w:tcPr>
          <w:p w:rsidR="00164F73" w:rsidRPr="0098409E" w:rsidRDefault="00164F73" w:rsidP="00DA37EA">
            <w:pPr>
              <w:jc w:val="center"/>
            </w:pPr>
            <w:r w:rsidRPr="0098409E">
              <w:t>92</w:t>
            </w:r>
          </w:p>
        </w:tc>
      </w:tr>
      <w:tr w:rsidR="00164F73" w:rsidRPr="0098409E" w:rsidTr="00281C13">
        <w:trPr>
          <w:jc w:val="center"/>
        </w:trPr>
        <w:tc>
          <w:tcPr>
            <w:tcW w:w="0" w:type="auto"/>
            <w:hideMark/>
          </w:tcPr>
          <w:p w:rsidR="00164F73" w:rsidRPr="0098409E" w:rsidRDefault="00164F73" w:rsidP="00DA37EA">
            <w:pPr>
              <w:jc w:val="center"/>
            </w:pPr>
            <w:r w:rsidRPr="0098409E">
              <w:t>Total deliveries</w:t>
            </w:r>
          </w:p>
        </w:tc>
        <w:tc>
          <w:tcPr>
            <w:tcW w:w="0" w:type="auto"/>
            <w:hideMark/>
          </w:tcPr>
          <w:p w:rsidR="00164F73" w:rsidRPr="0098409E" w:rsidRDefault="00164F73" w:rsidP="00DA37EA">
            <w:pPr>
              <w:jc w:val="center"/>
            </w:pPr>
            <w:r w:rsidRPr="0098409E">
              <w:t>100</w:t>
            </w:r>
          </w:p>
        </w:tc>
      </w:tr>
      <w:tr w:rsidR="00164F73" w:rsidRPr="0098409E" w:rsidTr="00281C13">
        <w:trPr>
          <w:jc w:val="center"/>
        </w:trPr>
        <w:tc>
          <w:tcPr>
            <w:tcW w:w="0" w:type="auto"/>
            <w:hideMark/>
          </w:tcPr>
          <w:p w:rsidR="00164F73" w:rsidRPr="0098409E" w:rsidRDefault="00164F73" w:rsidP="00DA37EA">
            <w:pPr>
              <w:jc w:val="center"/>
            </w:pPr>
            <w:r w:rsidRPr="0098409E">
              <w:t>Formula Used</w:t>
            </w:r>
          </w:p>
        </w:tc>
        <w:tc>
          <w:tcPr>
            <w:tcW w:w="0" w:type="auto"/>
            <w:hideMark/>
          </w:tcPr>
          <w:p w:rsidR="00164F73" w:rsidRPr="0098409E" w:rsidRDefault="00164F73" w:rsidP="00DA37EA">
            <w:pPr>
              <w:jc w:val="center"/>
            </w:pPr>
            <w:r w:rsidRPr="0098409E">
              <w:t>(On-Time Deliveries ÷ Total Deliveries) × 100</w:t>
            </w:r>
          </w:p>
        </w:tc>
      </w:tr>
      <w:tr w:rsidR="00164F73" w:rsidRPr="0098409E" w:rsidTr="00281C13">
        <w:trPr>
          <w:jc w:val="center"/>
        </w:trPr>
        <w:tc>
          <w:tcPr>
            <w:tcW w:w="0" w:type="auto"/>
            <w:hideMark/>
          </w:tcPr>
          <w:p w:rsidR="00164F73" w:rsidRPr="0098409E" w:rsidRDefault="00164F73" w:rsidP="00DA37EA">
            <w:pPr>
              <w:jc w:val="center"/>
            </w:pPr>
            <w:r w:rsidRPr="0098409E">
              <w:t>Calculation</w:t>
            </w:r>
          </w:p>
        </w:tc>
        <w:tc>
          <w:tcPr>
            <w:tcW w:w="0" w:type="auto"/>
            <w:hideMark/>
          </w:tcPr>
          <w:p w:rsidR="00164F73" w:rsidRPr="0098409E" w:rsidRDefault="00164F73" w:rsidP="00DA37EA">
            <w:pPr>
              <w:jc w:val="center"/>
            </w:pPr>
            <w:r w:rsidRPr="0098409E">
              <w:t>(92 ÷ 100) × 100</w:t>
            </w:r>
          </w:p>
        </w:tc>
      </w:tr>
      <w:tr w:rsidR="00164F73" w:rsidRPr="0098409E" w:rsidTr="00281C13">
        <w:trPr>
          <w:jc w:val="center"/>
        </w:trPr>
        <w:tc>
          <w:tcPr>
            <w:tcW w:w="0" w:type="auto"/>
            <w:hideMark/>
          </w:tcPr>
          <w:p w:rsidR="00164F73" w:rsidRPr="0098409E" w:rsidRDefault="00164F73" w:rsidP="00DA37EA">
            <w:pPr>
              <w:jc w:val="center"/>
            </w:pPr>
            <w:r w:rsidRPr="0098409E">
              <w:t>On-Time Delivery Rate</w:t>
            </w:r>
          </w:p>
        </w:tc>
        <w:tc>
          <w:tcPr>
            <w:tcW w:w="0" w:type="auto"/>
            <w:hideMark/>
          </w:tcPr>
          <w:p w:rsidR="00164F73" w:rsidRPr="0098409E" w:rsidRDefault="00164F73" w:rsidP="00DA37EA">
            <w:pPr>
              <w:jc w:val="center"/>
            </w:pPr>
            <w:r w:rsidRPr="0098409E">
              <w:t>92%</w:t>
            </w:r>
          </w:p>
        </w:tc>
      </w:tr>
    </w:tbl>
    <w:p w:rsidR="00962E7C" w:rsidRPr="0098409E" w:rsidRDefault="00962E7C" w:rsidP="00164F73"/>
    <w:p w:rsidR="00962E7C" w:rsidRPr="00892C1A" w:rsidRDefault="00962E7C" w:rsidP="00892C1A">
      <w:pPr>
        <w:spacing w:line="276" w:lineRule="auto"/>
        <w:jc w:val="left"/>
        <w:rPr>
          <w:rFonts w:eastAsiaTheme="majorEastAsia" w:cstheme="majorBidi"/>
          <w:b/>
          <w:bCs/>
          <w:color w:val="365F91" w:themeColor="accent1" w:themeShade="BF"/>
          <w:sz w:val="32"/>
          <w:szCs w:val="28"/>
        </w:rPr>
      </w:pPr>
    </w:p>
    <w:sectPr w:rsidR="00962E7C" w:rsidRPr="00892C1A" w:rsidSect="000A7E5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96193" w:rsidRDefault="00496193" w:rsidP="00892C1A">
      <w:pPr>
        <w:spacing w:after="0" w:line="240" w:lineRule="auto"/>
      </w:pPr>
      <w:r>
        <w:separator/>
      </w:r>
    </w:p>
  </w:endnote>
  <w:endnote w:type="continuationSeparator" w:id="0">
    <w:p w:rsidR="00496193" w:rsidRDefault="00496193" w:rsidP="00892C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26459849"/>
      <w:docPartObj>
        <w:docPartGallery w:val="Page Numbers (Bottom of Page)"/>
        <w:docPartUnique/>
      </w:docPartObj>
    </w:sdtPr>
    <w:sdtEndPr>
      <w:rPr>
        <w:noProof/>
      </w:rPr>
    </w:sdtEndPr>
    <w:sdtContent>
      <w:p w:rsidR="00892C1A" w:rsidRDefault="00892C1A">
        <w:pPr>
          <w:pStyle w:val="Footer"/>
        </w:pPr>
        <w:r>
          <w:fldChar w:fldCharType="begin"/>
        </w:r>
        <w:r>
          <w:instrText xml:space="preserve"> PAGE   \* MERGEFORMAT </w:instrText>
        </w:r>
        <w:r>
          <w:fldChar w:fldCharType="separate"/>
        </w:r>
        <w:r w:rsidR="00496193">
          <w:rPr>
            <w:noProof/>
          </w:rPr>
          <w:t>i</w:t>
        </w:r>
        <w:r>
          <w:rPr>
            <w:noProof/>
          </w:rPr>
          <w:fldChar w:fldCharType="end"/>
        </w:r>
      </w:p>
    </w:sdtContent>
  </w:sdt>
  <w:p w:rsidR="00892C1A" w:rsidRDefault="00892C1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96193" w:rsidRDefault="00496193" w:rsidP="00892C1A">
      <w:pPr>
        <w:spacing w:after="0" w:line="240" w:lineRule="auto"/>
      </w:pPr>
      <w:r>
        <w:separator/>
      </w:r>
    </w:p>
  </w:footnote>
  <w:footnote w:type="continuationSeparator" w:id="0">
    <w:p w:rsidR="00496193" w:rsidRDefault="00496193" w:rsidP="00892C1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AA7412"/>
    <w:multiLevelType w:val="hybridMultilevel"/>
    <w:tmpl w:val="453EE29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38B260E"/>
    <w:multiLevelType w:val="hybridMultilevel"/>
    <w:tmpl w:val="CAC6B51E"/>
    <w:lvl w:ilvl="0" w:tplc="C3F64D0A">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86F366C"/>
    <w:multiLevelType w:val="hybridMultilevel"/>
    <w:tmpl w:val="71985ED8"/>
    <w:lvl w:ilvl="0" w:tplc="C3F64D0A">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9134896"/>
    <w:multiLevelType w:val="hybridMultilevel"/>
    <w:tmpl w:val="A8A4470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99E27B7"/>
    <w:multiLevelType w:val="hybridMultilevel"/>
    <w:tmpl w:val="B4C0C79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6DD48A2"/>
    <w:multiLevelType w:val="hybridMultilevel"/>
    <w:tmpl w:val="528C566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7C75CC1"/>
    <w:multiLevelType w:val="hybridMultilevel"/>
    <w:tmpl w:val="3B52114E"/>
    <w:lvl w:ilvl="0" w:tplc="C3F64D0A">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B9D1A51"/>
    <w:multiLevelType w:val="hybridMultilevel"/>
    <w:tmpl w:val="A0E6401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39A04BA"/>
    <w:multiLevelType w:val="hybridMultilevel"/>
    <w:tmpl w:val="077A0F9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46C6A5D"/>
    <w:multiLevelType w:val="hybridMultilevel"/>
    <w:tmpl w:val="B45CAF94"/>
    <w:lvl w:ilvl="0" w:tplc="C3F64D0A">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9630561"/>
    <w:multiLevelType w:val="hybridMultilevel"/>
    <w:tmpl w:val="08727116"/>
    <w:lvl w:ilvl="0" w:tplc="25989E5E">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C934915"/>
    <w:multiLevelType w:val="hybridMultilevel"/>
    <w:tmpl w:val="D0E0D11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CCA07CE"/>
    <w:multiLevelType w:val="hybridMultilevel"/>
    <w:tmpl w:val="25E8A13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F8D78E8"/>
    <w:multiLevelType w:val="hybridMultilevel"/>
    <w:tmpl w:val="1DEC5560"/>
    <w:lvl w:ilvl="0" w:tplc="B3901948">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24F4320"/>
    <w:multiLevelType w:val="hybridMultilevel"/>
    <w:tmpl w:val="CB728EF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5AC48F6"/>
    <w:multiLevelType w:val="hybridMultilevel"/>
    <w:tmpl w:val="B56C95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6F765826"/>
    <w:multiLevelType w:val="hybridMultilevel"/>
    <w:tmpl w:val="F81C058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FFC71A6"/>
    <w:multiLevelType w:val="hybridMultilevel"/>
    <w:tmpl w:val="7856088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FFD0301"/>
    <w:multiLevelType w:val="hybridMultilevel"/>
    <w:tmpl w:val="FE20A82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CCB4669"/>
    <w:multiLevelType w:val="hybridMultilevel"/>
    <w:tmpl w:val="E4760B12"/>
    <w:lvl w:ilvl="0" w:tplc="3B164066">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8"/>
  </w:num>
  <w:num w:numId="2">
    <w:abstractNumId w:val="11"/>
  </w:num>
  <w:num w:numId="3">
    <w:abstractNumId w:val="3"/>
  </w:num>
  <w:num w:numId="4">
    <w:abstractNumId w:val="4"/>
  </w:num>
  <w:num w:numId="5">
    <w:abstractNumId w:val="16"/>
  </w:num>
  <w:num w:numId="6">
    <w:abstractNumId w:val="8"/>
  </w:num>
  <w:num w:numId="7">
    <w:abstractNumId w:val="15"/>
  </w:num>
  <w:num w:numId="8">
    <w:abstractNumId w:val="14"/>
  </w:num>
  <w:num w:numId="9">
    <w:abstractNumId w:val="13"/>
  </w:num>
  <w:num w:numId="10">
    <w:abstractNumId w:val="7"/>
  </w:num>
  <w:num w:numId="11">
    <w:abstractNumId w:val="10"/>
  </w:num>
  <w:num w:numId="12">
    <w:abstractNumId w:val="5"/>
  </w:num>
  <w:num w:numId="13">
    <w:abstractNumId w:val="19"/>
  </w:num>
  <w:num w:numId="14">
    <w:abstractNumId w:val="0"/>
  </w:num>
  <w:num w:numId="15">
    <w:abstractNumId w:val="1"/>
  </w:num>
  <w:num w:numId="16">
    <w:abstractNumId w:val="6"/>
  </w:num>
  <w:num w:numId="17">
    <w:abstractNumId w:val="9"/>
  </w:num>
  <w:num w:numId="18">
    <w:abstractNumId w:val="17"/>
  </w:num>
  <w:num w:numId="19">
    <w:abstractNumId w:val="12"/>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5B2D"/>
    <w:rsid w:val="00012706"/>
    <w:rsid w:val="00025B74"/>
    <w:rsid w:val="000A7E52"/>
    <w:rsid w:val="00164F73"/>
    <w:rsid w:val="001948EF"/>
    <w:rsid w:val="00281C13"/>
    <w:rsid w:val="002E0E57"/>
    <w:rsid w:val="00355B2D"/>
    <w:rsid w:val="00385C62"/>
    <w:rsid w:val="003D53D4"/>
    <w:rsid w:val="003E3613"/>
    <w:rsid w:val="00434A5B"/>
    <w:rsid w:val="00487CC1"/>
    <w:rsid w:val="00496193"/>
    <w:rsid w:val="00892C1A"/>
    <w:rsid w:val="008E6A0E"/>
    <w:rsid w:val="0093188D"/>
    <w:rsid w:val="00962E7C"/>
    <w:rsid w:val="0098409E"/>
    <w:rsid w:val="00B435A9"/>
    <w:rsid w:val="00B74DA7"/>
    <w:rsid w:val="00C65A9B"/>
    <w:rsid w:val="00D66132"/>
    <w:rsid w:val="00DA37EA"/>
    <w:rsid w:val="00F71122"/>
    <w:rsid w:val="00F806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5B2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55B2D"/>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355B2D"/>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5B2D"/>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semiHidden/>
    <w:rsid w:val="00355B2D"/>
    <w:rPr>
      <w:rFonts w:ascii="Times New Roman" w:eastAsiaTheme="majorEastAsia" w:hAnsi="Times New Roman" w:cstheme="majorBidi"/>
      <w:b/>
      <w:bCs/>
      <w:color w:val="4F81BD" w:themeColor="accent1"/>
      <w:sz w:val="28"/>
      <w:szCs w:val="26"/>
      <w:lang w:val="en-GB"/>
    </w:rPr>
  </w:style>
  <w:style w:type="paragraph" w:styleId="ListParagraph">
    <w:name w:val="List Paragraph"/>
    <w:basedOn w:val="Normal"/>
    <w:uiPriority w:val="34"/>
    <w:qFormat/>
    <w:rsid w:val="00281C13"/>
    <w:pPr>
      <w:ind w:left="720"/>
      <w:contextualSpacing/>
    </w:pPr>
  </w:style>
  <w:style w:type="table" w:styleId="TableGrid">
    <w:name w:val="Table Grid"/>
    <w:basedOn w:val="TableNormal"/>
    <w:uiPriority w:val="59"/>
    <w:rsid w:val="00281C1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62E7C"/>
    <w:rPr>
      <w:color w:val="0000FF" w:themeColor="hyperlink"/>
      <w:u w:val="single"/>
    </w:rPr>
  </w:style>
  <w:style w:type="paragraph" w:styleId="Header">
    <w:name w:val="header"/>
    <w:basedOn w:val="Normal"/>
    <w:link w:val="HeaderChar"/>
    <w:uiPriority w:val="99"/>
    <w:unhideWhenUsed/>
    <w:rsid w:val="00892C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2C1A"/>
    <w:rPr>
      <w:rFonts w:ascii="Times New Roman" w:hAnsi="Times New Roman"/>
      <w:sz w:val="24"/>
      <w:lang w:val="en-GB"/>
    </w:rPr>
  </w:style>
  <w:style w:type="paragraph" w:styleId="Footer">
    <w:name w:val="footer"/>
    <w:basedOn w:val="Normal"/>
    <w:link w:val="FooterChar"/>
    <w:uiPriority w:val="99"/>
    <w:unhideWhenUsed/>
    <w:rsid w:val="00892C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2C1A"/>
    <w:rPr>
      <w:rFonts w:ascii="Times New Roman" w:hAnsi="Times New Roman"/>
      <w:sz w:val="24"/>
      <w:lang w:val="en-GB"/>
    </w:rPr>
  </w:style>
  <w:style w:type="character" w:customStyle="1" w:styleId="NoSpacingChar">
    <w:name w:val="No Spacing Char"/>
    <w:basedOn w:val="DefaultParagraphFont"/>
    <w:link w:val="NoSpacing"/>
    <w:uiPriority w:val="1"/>
    <w:locked/>
    <w:rsid w:val="000A7E52"/>
    <w:rPr>
      <w:rFonts w:ascii="Times New Roman" w:eastAsiaTheme="minorEastAsia" w:hAnsi="Times New Roman" w:cs="Times New Roman"/>
      <w:lang w:eastAsia="ja-JP"/>
    </w:rPr>
  </w:style>
  <w:style w:type="paragraph" w:styleId="NoSpacing">
    <w:name w:val="No Spacing"/>
    <w:link w:val="NoSpacingChar"/>
    <w:uiPriority w:val="1"/>
    <w:qFormat/>
    <w:rsid w:val="000A7E52"/>
    <w:pPr>
      <w:spacing w:after="0" w:line="240" w:lineRule="auto"/>
    </w:pPr>
    <w:rPr>
      <w:rFonts w:ascii="Times New Roman" w:eastAsiaTheme="minorEastAsia" w:hAnsi="Times New Roman" w:cs="Times New Roman"/>
      <w:lang w:eastAsia="ja-JP"/>
    </w:rPr>
  </w:style>
  <w:style w:type="paragraph" w:styleId="BalloonText">
    <w:name w:val="Balloon Text"/>
    <w:basedOn w:val="Normal"/>
    <w:link w:val="BalloonTextChar"/>
    <w:uiPriority w:val="99"/>
    <w:semiHidden/>
    <w:unhideWhenUsed/>
    <w:rsid w:val="000A7E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7E52"/>
    <w:rPr>
      <w:rFonts w:ascii="Tahoma" w:hAnsi="Tahoma" w:cs="Tahoma"/>
      <w:sz w:val="16"/>
      <w:szCs w:val="16"/>
      <w:lang w:val="en-GB"/>
    </w:rPr>
  </w:style>
  <w:style w:type="paragraph" w:styleId="TOCHeading">
    <w:name w:val="TOC Heading"/>
    <w:basedOn w:val="Heading1"/>
    <w:next w:val="Normal"/>
    <w:uiPriority w:val="39"/>
    <w:semiHidden/>
    <w:unhideWhenUsed/>
    <w:qFormat/>
    <w:rsid w:val="000A7E52"/>
    <w:pPr>
      <w:spacing w:line="276" w:lineRule="auto"/>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0A7E52"/>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5B2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55B2D"/>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355B2D"/>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5B2D"/>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semiHidden/>
    <w:rsid w:val="00355B2D"/>
    <w:rPr>
      <w:rFonts w:ascii="Times New Roman" w:eastAsiaTheme="majorEastAsia" w:hAnsi="Times New Roman" w:cstheme="majorBidi"/>
      <w:b/>
      <w:bCs/>
      <w:color w:val="4F81BD" w:themeColor="accent1"/>
      <w:sz w:val="28"/>
      <w:szCs w:val="26"/>
      <w:lang w:val="en-GB"/>
    </w:rPr>
  </w:style>
  <w:style w:type="paragraph" w:styleId="ListParagraph">
    <w:name w:val="List Paragraph"/>
    <w:basedOn w:val="Normal"/>
    <w:uiPriority w:val="34"/>
    <w:qFormat/>
    <w:rsid w:val="00281C13"/>
    <w:pPr>
      <w:ind w:left="720"/>
      <w:contextualSpacing/>
    </w:pPr>
  </w:style>
  <w:style w:type="table" w:styleId="TableGrid">
    <w:name w:val="Table Grid"/>
    <w:basedOn w:val="TableNormal"/>
    <w:uiPriority w:val="59"/>
    <w:rsid w:val="00281C1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62E7C"/>
    <w:rPr>
      <w:color w:val="0000FF" w:themeColor="hyperlink"/>
      <w:u w:val="single"/>
    </w:rPr>
  </w:style>
  <w:style w:type="paragraph" w:styleId="Header">
    <w:name w:val="header"/>
    <w:basedOn w:val="Normal"/>
    <w:link w:val="HeaderChar"/>
    <w:uiPriority w:val="99"/>
    <w:unhideWhenUsed/>
    <w:rsid w:val="00892C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2C1A"/>
    <w:rPr>
      <w:rFonts w:ascii="Times New Roman" w:hAnsi="Times New Roman"/>
      <w:sz w:val="24"/>
      <w:lang w:val="en-GB"/>
    </w:rPr>
  </w:style>
  <w:style w:type="paragraph" w:styleId="Footer">
    <w:name w:val="footer"/>
    <w:basedOn w:val="Normal"/>
    <w:link w:val="FooterChar"/>
    <w:uiPriority w:val="99"/>
    <w:unhideWhenUsed/>
    <w:rsid w:val="00892C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2C1A"/>
    <w:rPr>
      <w:rFonts w:ascii="Times New Roman" w:hAnsi="Times New Roman"/>
      <w:sz w:val="24"/>
      <w:lang w:val="en-GB"/>
    </w:rPr>
  </w:style>
  <w:style w:type="character" w:customStyle="1" w:styleId="NoSpacingChar">
    <w:name w:val="No Spacing Char"/>
    <w:basedOn w:val="DefaultParagraphFont"/>
    <w:link w:val="NoSpacing"/>
    <w:uiPriority w:val="1"/>
    <w:locked/>
    <w:rsid w:val="000A7E52"/>
    <w:rPr>
      <w:rFonts w:ascii="Times New Roman" w:eastAsiaTheme="minorEastAsia" w:hAnsi="Times New Roman" w:cs="Times New Roman"/>
      <w:lang w:eastAsia="ja-JP"/>
    </w:rPr>
  </w:style>
  <w:style w:type="paragraph" w:styleId="NoSpacing">
    <w:name w:val="No Spacing"/>
    <w:link w:val="NoSpacingChar"/>
    <w:uiPriority w:val="1"/>
    <w:qFormat/>
    <w:rsid w:val="000A7E52"/>
    <w:pPr>
      <w:spacing w:after="0" w:line="240" w:lineRule="auto"/>
    </w:pPr>
    <w:rPr>
      <w:rFonts w:ascii="Times New Roman" w:eastAsiaTheme="minorEastAsia" w:hAnsi="Times New Roman" w:cs="Times New Roman"/>
      <w:lang w:eastAsia="ja-JP"/>
    </w:rPr>
  </w:style>
  <w:style w:type="paragraph" w:styleId="BalloonText">
    <w:name w:val="Balloon Text"/>
    <w:basedOn w:val="Normal"/>
    <w:link w:val="BalloonTextChar"/>
    <w:uiPriority w:val="99"/>
    <w:semiHidden/>
    <w:unhideWhenUsed/>
    <w:rsid w:val="000A7E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7E52"/>
    <w:rPr>
      <w:rFonts w:ascii="Tahoma" w:hAnsi="Tahoma" w:cs="Tahoma"/>
      <w:sz w:val="16"/>
      <w:szCs w:val="16"/>
      <w:lang w:val="en-GB"/>
    </w:rPr>
  </w:style>
  <w:style w:type="paragraph" w:styleId="TOCHeading">
    <w:name w:val="TOC Heading"/>
    <w:basedOn w:val="Heading1"/>
    <w:next w:val="Normal"/>
    <w:uiPriority w:val="39"/>
    <w:semiHidden/>
    <w:unhideWhenUsed/>
    <w:qFormat/>
    <w:rsid w:val="000A7E52"/>
    <w:pPr>
      <w:spacing w:line="276" w:lineRule="auto"/>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0A7E5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83961">
      <w:bodyDiv w:val="1"/>
      <w:marLeft w:val="0"/>
      <w:marRight w:val="0"/>
      <w:marTop w:val="0"/>
      <w:marBottom w:val="0"/>
      <w:divBdr>
        <w:top w:val="none" w:sz="0" w:space="0" w:color="auto"/>
        <w:left w:val="none" w:sz="0" w:space="0" w:color="auto"/>
        <w:bottom w:val="none" w:sz="0" w:space="0" w:color="auto"/>
        <w:right w:val="none" w:sz="0" w:space="0" w:color="auto"/>
      </w:divBdr>
      <w:divsChild>
        <w:div w:id="1582058551">
          <w:marLeft w:val="0"/>
          <w:marRight w:val="0"/>
          <w:marTop w:val="0"/>
          <w:marBottom w:val="0"/>
          <w:divBdr>
            <w:top w:val="none" w:sz="0" w:space="0" w:color="auto"/>
            <w:left w:val="none" w:sz="0" w:space="0" w:color="auto"/>
            <w:bottom w:val="none" w:sz="0" w:space="0" w:color="auto"/>
            <w:right w:val="none" w:sz="0" w:space="0" w:color="auto"/>
          </w:divBdr>
          <w:divsChild>
            <w:div w:id="2038044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3277">
      <w:bodyDiv w:val="1"/>
      <w:marLeft w:val="0"/>
      <w:marRight w:val="0"/>
      <w:marTop w:val="0"/>
      <w:marBottom w:val="0"/>
      <w:divBdr>
        <w:top w:val="none" w:sz="0" w:space="0" w:color="auto"/>
        <w:left w:val="none" w:sz="0" w:space="0" w:color="auto"/>
        <w:bottom w:val="none" w:sz="0" w:space="0" w:color="auto"/>
        <w:right w:val="none" w:sz="0" w:space="0" w:color="auto"/>
      </w:divBdr>
      <w:divsChild>
        <w:div w:id="1859003728">
          <w:marLeft w:val="0"/>
          <w:marRight w:val="0"/>
          <w:marTop w:val="0"/>
          <w:marBottom w:val="0"/>
          <w:divBdr>
            <w:top w:val="none" w:sz="0" w:space="0" w:color="auto"/>
            <w:left w:val="none" w:sz="0" w:space="0" w:color="auto"/>
            <w:bottom w:val="none" w:sz="0" w:space="0" w:color="auto"/>
            <w:right w:val="none" w:sz="0" w:space="0" w:color="auto"/>
          </w:divBdr>
          <w:divsChild>
            <w:div w:id="1103837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72652">
      <w:bodyDiv w:val="1"/>
      <w:marLeft w:val="0"/>
      <w:marRight w:val="0"/>
      <w:marTop w:val="0"/>
      <w:marBottom w:val="0"/>
      <w:divBdr>
        <w:top w:val="none" w:sz="0" w:space="0" w:color="auto"/>
        <w:left w:val="none" w:sz="0" w:space="0" w:color="auto"/>
        <w:bottom w:val="none" w:sz="0" w:space="0" w:color="auto"/>
        <w:right w:val="none" w:sz="0" w:space="0" w:color="auto"/>
      </w:divBdr>
    </w:div>
    <w:div w:id="85998797">
      <w:bodyDiv w:val="1"/>
      <w:marLeft w:val="0"/>
      <w:marRight w:val="0"/>
      <w:marTop w:val="0"/>
      <w:marBottom w:val="0"/>
      <w:divBdr>
        <w:top w:val="none" w:sz="0" w:space="0" w:color="auto"/>
        <w:left w:val="none" w:sz="0" w:space="0" w:color="auto"/>
        <w:bottom w:val="none" w:sz="0" w:space="0" w:color="auto"/>
        <w:right w:val="none" w:sz="0" w:space="0" w:color="auto"/>
      </w:divBdr>
      <w:divsChild>
        <w:div w:id="1369531916">
          <w:marLeft w:val="0"/>
          <w:marRight w:val="0"/>
          <w:marTop w:val="0"/>
          <w:marBottom w:val="0"/>
          <w:divBdr>
            <w:top w:val="none" w:sz="0" w:space="0" w:color="auto"/>
            <w:left w:val="none" w:sz="0" w:space="0" w:color="auto"/>
            <w:bottom w:val="none" w:sz="0" w:space="0" w:color="auto"/>
            <w:right w:val="none" w:sz="0" w:space="0" w:color="auto"/>
          </w:divBdr>
          <w:divsChild>
            <w:div w:id="199173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346751">
      <w:bodyDiv w:val="1"/>
      <w:marLeft w:val="0"/>
      <w:marRight w:val="0"/>
      <w:marTop w:val="0"/>
      <w:marBottom w:val="0"/>
      <w:divBdr>
        <w:top w:val="none" w:sz="0" w:space="0" w:color="auto"/>
        <w:left w:val="none" w:sz="0" w:space="0" w:color="auto"/>
        <w:bottom w:val="none" w:sz="0" w:space="0" w:color="auto"/>
        <w:right w:val="none" w:sz="0" w:space="0" w:color="auto"/>
      </w:divBdr>
      <w:divsChild>
        <w:div w:id="1668750645">
          <w:marLeft w:val="0"/>
          <w:marRight w:val="0"/>
          <w:marTop w:val="0"/>
          <w:marBottom w:val="0"/>
          <w:divBdr>
            <w:top w:val="none" w:sz="0" w:space="0" w:color="auto"/>
            <w:left w:val="none" w:sz="0" w:space="0" w:color="auto"/>
            <w:bottom w:val="none" w:sz="0" w:space="0" w:color="auto"/>
            <w:right w:val="none" w:sz="0" w:space="0" w:color="auto"/>
          </w:divBdr>
          <w:divsChild>
            <w:div w:id="1617827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274835">
      <w:bodyDiv w:val="1"/>
      <w:marLeft w:val="0"/>
      <w:marRight w:val="0"/>
      <w:marTop w:val="0"/>
      <w:marBottom w:val="0"/>
      <w:divBdr>
        <w:top w:val="none" w:sz="0" w:space="0" w:color="auto"/>
        <w:left w:val="none" w:sz="0" w:space="0" w:color="auto"/>
        <w:bottom w:val="none" w:sz="0" w:space="0" w:color="auto"/>
        <w:right w:val="none" w:sz="0" w:space="0" w:color="auto"/>
      </w:divBdr>
      <w:divsChild>
        <w:div w:id="422729441">
          <w:marLeft w:val="0"/>
          <w:marRight w:val="0"/>
          <w:marTop w:val="0"/>
          <w:marBottom w:val="0"/>
          <w:divBdr>
            <w:top w:val="none" w:sz="0" w:space="0" w:color="auto"/>
            <w:left w:val="none" w:sz="0" w:space="0" w:color="auto"/>
            <w:bottom w:val="none" w:sz="0" w:space="0" w:color="auto"/>
            <w:right w:val="none" w:sz="0" w:space="0" w:color="auto"/>
          </w:divBdr>
          <w:divsChild>
            <w:div w:id="423189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750079">
      <w:bodyDiv w:val="1"/>
      <w:marLeft w:val="0"/>
      <w:marRight w:val="0"/>
      <w:marTop w:val="0"/>
      <w:marBottom w:val="0"/>
      <w:divBdr>
        <w:top w:val="none" w:sz="0" w:space="0" w:color="auto"/>
        <w:left w:val="none" w:sz="0" w:space="0" w:color="auto"/>
        <w:bottom w:val="none" w:sz="0" w:space="0" w:color="auto"/>
        <w:right w:val="none" w:sz="0" w:space="0" w:color="auto"/>
      </w:divBdr>
      <w:divsChild>
        <w:div w:id="1939093885">
          <w:marLeft w:val="0"/>
          <w:marRight w:val="0"/>
          <w:marTop w:val="0"/>
          <w:marBottom w:val="0"/>
          <w:divBdr>
            <w:top w:val="none" w:sz="0" w:space="0" w:color="auto"/>
            <w:left w:val="none" w:sz="0" w:space="0" w:color="auto"/>
            <w:bottom w:val="none" w:sz="0" w:space="0" w:color="auto"/>
            <w:right w:val="none" w:sz="0" w:space="0" w:color="auto"/>
          </w:divBdr>
          <w:divsChild>
            <w:div w:id="838421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779200">
      <w:bodyDiv w:val="1"/>
      <w:marLeft w:val="0"/>
      <w:marRight w:val="0"/>
      <w:marTop w:val="0"/>
      <w:marBottom w:val="0"/>
      <w:divBdr>
        <w:top w:val="none" w:sz="0" w:space="0" w:color="auto"/>
        <w:left w:val="none" w:sz="0" w:space="0" w:color="auto"/>
        <w:bottom w:val="none" w:sz="0" w:space="0" w:color="auto"/>
        <w:right w:val="none" w:sz="0" w:space="0" w:color="auto"/>
      </w:divBdr>
      <w:divsChild>
        <w:div w:id="2126076398">
          <w:marLeft w:val="0"/>
          <w:marRight w:val="0"/>
          <w:marTop w:val="0"/>
          <w:marBottom w:val="0"/>
          <w:divBdr>
            <w:top w:val="none" w:sz="0" w:space="0" w:color="auto"/>
            <w:left w:val="none" w:sz="0" w:space="0" w:color="auto"/>
            <w:bottom w:val="none" w:sz="0" w:space="0" w:color="auto"/>
            <w:right w:val="none" w:sz="0" w:space="0" w:color="auto"/>
          </w:divBdr>
          <w:divsChild>
            <w:div w:id="40168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261254">
      <w:bodyDiv w:val="1"/>
      <w:marLeft w:val="0"/>
      <w:marRight w:val="0"/>
      <w:marTop w:val="0"/>
      <w:marBottom w:val="0"/>
      <w:divBdr>
        <w:top w:val="none" w:sz="0" w:space="0" w:color="auto"/>
        <w:left w:val="none" w:sz="0" w:space="0" w:color="auto"/>
        <w:bottom w:val="none" w:sz="0" w:space="0" w:color="auto"/>
        <w:right w:val="none" w:sz="0" w:space="0" w:color="auto"/>
      </w:divBdr>
    </w:div>
    <w:div w:id="542180827">
      <w:bodyDiv w:val="1"/>
      <w:marLeft w:val="0"/>
      <w:marRight w:val="0"/>
      <w:marTop w:val="0"/>
      <w:marBottom w:val="0"/>
      <w:divBdr>
        <w:top w:val="none" w:sz="0" w:space="0" w:color="auto"/>
        <w:left w:val="none" w:sz="0" w:space="0" w:color="auto"/>
        <w:bottom w:val="none" w:sz="0" w:space="0" w:color="auto"/>
        <w:right w:val="none" w:sz="0" w:space="0" w:color="auto"/>
      </w:divBdr>
    </w:div>
    <w:div w:id="566189552">
      <w:bodyDiv w:val="1"/>
      <w:marLeft w:val="0"/>
      <w:marRight w:val="0"/>
      <w:marTop w:val="0"/>
      <w:marBottom w:val="0"/>
      <w:divBdr>
        <w:top w:val="none" w:sz="0" w:space="0" w:color="auto"/>
        <w:left w:val="none" w:sz="0" w:space="0" w:color="auto"/>
        <w:bottom w:val="none" w:sz="0" w:space="0" w:color="auto"/>
        <w:right w:val="none" w:sz="0" w:space="0" w:color="auto"/>
      </w:divBdr>
      <w:divsChild>
        <w:div w:id="723067293">
          <w:marLeft w:val="0"/>
          <w:marRight w:val="0"/>
          <w:marTop w:val="0"/>
          <w:marBottom w:val="0"/>
          <w:divBdr>
            <w:top w:val="none" w:sz="0" w:space="0" w:color="auto"/>
            <w:left w:val="none" w:sz="0" w:space="0" w:color="auto"/>
            <w:bottom w:val="none" w:sz="0" w:space="0" w:color="auto"/>
            <w:right w:val="none" w:sz="0" w:space="0" w:color="auto"/>
          </w:divBdr>
          <w:divsChild>
            <w:div w:id="117041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090760">
      <w:bodyDiv w:val="1"/>
      <w:marLeft w:val="0"/>
      <w:marRight w:val="0"/>
      <w:marTop w:val="0"/>
      <w:marBottom w:val="0"/>
      <w:divBdr>
        <w:top w:val="none" w:sz="0" w:space="0" w:color="auto"/>
        <w:left w:val="none" w:sz="0" w:space="0" w:color="auto"/>
        <w:bottom w:val="none" w:sz="0" w:space="0" w:color="auto"/>
        <w:right w:val="none" w:sz="0" w:space="0" w:color="auto"/>
      </w:divBdr>
      <w:divsChild>
        <w:div w:id="1428651661">
          <w:marLeft w:val="0"/>
          <w:marRight w:val="0"/>
          <w:marTop w:val="0"/>
          <w:marBottom w:val="0"/>
          <w:divBdr>
            <w:top w:val="none" w:sz="0" w:space="0" w:color="auto"/>
            <w:left w:val="none" w:sz="0" w:space="0" w:color="auto"/>
            <w:bottom w:val="none" w:sz="0" w:space="0" w:color="auto"/>
            <w:right w:val="none" w:sz="0" w:space="0" w:color="auto"/>
          </w:divBdr>
          <w:divsChild>
            <w:div w:id="1059862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811164">
      <w:bodyDiv w:val="1"/>
      <w:marLeft w:val="0"/>
      <w:marRight w:val="0"/>
      <w:marTop w:val="0"/>
      <w:marBottom w:val="0"/>
      <w:divBdr>
        <w:top w:val="none" w:sz="0" w:space="0" w:color="auto"/>
        <w:left w:val="none" w:sz="0" w:space="0" w:color="auto"/>
        <w:bottom w:val="none" w:sz="0" w:space="0" w:color="auto"/>
        <w:right w:val="none" w:sz="0" w:space="0" w:color="auto"/>
      </w:divBdr>
    </w:div>
    <w:div w:id="741610392">
      <w:bodyDiv w:val="1"/>
      <w:marLeft w:val="0"/>
      <w:marRight w:val="0"/>
      <w:marTop w:val="0"/>
      <w:marBottom w:val="0"/>
      <w:divBdr>
        <w:top w:val="none" w:sz="0" w:space="0" w:color="auto"/>
        <w:left w:val="none" w:sz="0" w:space="0" w:color="auto"/>
        <w:bottom w:val="none" w:sz="0" w:space="0" w:color="auto"/>
        <w:right w:val="none" w:sz="0" w:space="0" w:color="auto"/>
      </w:divBdr>
      <w:divsChild>
        <w:div w:id="299652824">
          <w:marLeft w:val="0"/>
          <w:marRight w:val="0"/>
          <w:marTop w:val="0"/>
          <w:marBottom w:val="0"/>
          <w:divBdr>
            <w:top w:val="none" w:sz="0" w:space="0" w:color="auto"/>
            <w:left w:val="none" w:sz="0" w:space="0" w:color="auto"/>
            <w:bottom w:val="none" w:sz="0" w:space="0" w:color="auto"/>
            <w:right w:val="none" w:sz="0" w:space="0" w:color="auto"/>
          </w:divBdr>
          <w:divsChild>
            <w:div w:id="138556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036754">
      <w:bodyDiv w:val="1"/>
      <w:marLeft w:val="0"/>
      <w:marRight w:val="0"/>
      <w:marTop w:val="0"/>
      <w:marBottom w:val="0"/>
      <w:divBdr>
        <w:top w:val="none" w:sz="0" w:space="0" w:color="auto"/>
        <w:left w:val="none" w:sz="0" w:space="0" w:color="auto"/>
        <w:bottom w:val="none" w:sz="0" w:space="0" w:color="auto"/>
        <w:right w:val="none" w:sz="0" w:space="0" w:color="auto"/>
      </w:divBdr>
    </w:div>
    <w:div w:id="752121671">
      <w:bodyDiv w:val="1"/>
      <w:marLeft w:val="0"/>
      <w:marRight w:val="0"/>
      <w:marTop w:val="0"/>
      <w:marBottom w:val="0"/>
      <w:divBdr>
        <w:top w:val="none" w:sz="0" w:space="0" w:color="auto"/>
        <w:left w:val="none" w:sz="0" w:space="0" w:color="auto"/>
        <w:bottom w:val="none" w:sz="0" w:space="0" w:color="auto"/>
        <w:right w:val="none" w:sz="0" w:space="0" w:color="auto"/>
      </w:divBdr>
    </w:div>
    <w:div w:id="1132097065">
      <w:bodyDiv w:val="1"/>
      <w:marLeft w:val="0"/>
      <w:marRight w:val="0"/>
      <w:marTop w:val="0"/>
      <w:marBottom w:val="0"/>
      <w:divBdr>
        <w:top w:val="none" w:sz="0" w:space="0" w:color="auto"/>
        <w:left w:val="none" w:sz="0" w:space="0" w:color="auto"/>
        <w:bottom w:val="none" w:sz="0" w:space="0" w:color="auto"/>
        <w:right w:val="none" w:sz="0" w:space="0" w:color="auto"/>
      </w:divBdr>
    </w:div>
    <w:div w:id="1143349960">
      <w:bodyDiv w:val="1"/>
      <w:marLeft w:val="0"/>
      <w:marRight w:val="0"/>
      <w:marTop w:val="0"/>
      <w:marBottom w:val="0"/>
      <w:divBdr>
        <w:top w:val="none" w:sz="0" w:space="0" w:color="auto"/>
        <w:left w:val="none" w:sz="0" w:space="0" w:color="auto"/>
        <w:bottom w:val="none" w:sz="0" w:space="0" w:color="auto"/>
        <w:right w:val="none" w:sz="0" w:space="0" w:color="auto"/>
      </w:divBdr>
      <w:divsChild>
        <w:div w:id="1869685180">
          <w:marLeft w:val="0"/>
          <w:marRight w:val="0"/>
          <w:marTop w:val="0"/>
          <w:marBottom w:val="0"/>
          <w:divBdr>
            <w:top w:val="none" w:sz="0" w:space="0" w:color="auto"/>
            <w:left w:val="none" w:sz="0" w:space="0" w:color="auto"/>
            <w:bottom w:val="none" w:sz="0" w:space="0" w:color="auto"/>
            <w:right w:val="none" w:sz="0" w:space="0" w:color="auto"/>
          </w:divBdr>
          <w:divsChild>
            <w:div w:id="408356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775802">
      <w:bodyDiv w:val="1"/>
      <w:marLeft w:val="0"/>
      <w:marRight w:val="0"/>
      <w:marTop w:val="0"/>
      <w:marBottom w:val="0"/>
      <w:divBdr>
        <w:top w:val="none" w:sz="0" w:space="0" w:color="auto"/>
        <w:left w:val="none" w:sz="0" w:space="0" w:color="auto"/>
        <w:bottom w:val="none" w:sz="0" w:space="0" w:color="auto"/>
        <w:right w:val="none" w:sz="0" w:space="0" w:color="auto"/>
      </w:divBdr>
    </w:div>
    <w:div w:id="1203058359">
      <w:bodyDiv w:val="1"/>
      <w:marLeft w:val="0"/>
      <w:marRight w:val="0"/>
      <w:marTop w:val="0"/>
      <w:marBottom w:val="0"/>
      <w:divBdr>
        <w:top w:val="none" w:sz="0" w:space="0" w:color="auto"/>
        <w:left w:val="none" w:sz="0" w:space="0" w:color="auto"/>
        <w:bottom w:val="none" w:sz="0" w:space="0" w:color="auto"/>
        <w:right w:val="none" w:sz="0" w:space="0" w:color="auto"/>
      </w:divBdr>
      <w:divsChild>
        <w:div w:id="206333400">
          <w:marLeft w:val="0"/>
          <w:marRight w:val="0"/>
          <w:marTop w:val="0"/>
          <w:marBottom w:val="0"/>
          <w:divBdr>
            <w:top w:val="none" w:sz="0" w:space="0" w:color="auto"/>
            <w:left w:val="none" w:sz="0" w:space="0" w:color="auto"/>
            <w:bottom w:val="none" w:sz="0" w:space="0" w:color="auto"/>
            <w:right w:val="none" w:sz="0" w:space="0" w:color="auto"/>
          </w:divBdr>
          <w:divsChild>
            <w:div w:id="105003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900578">
      <w:bodyDiv w:val="1"/>
      <w:marLeft w:val="0"/>
      <w:marRight w:val="0"/>
      <w:marTop w:val="0"/>
      <w:marBottom w:val="0"/>
      <w:divBdr>
        <w:top w:val="none" w:sz="0" w:space="0" w:color="auto"/>
        <w:left w:val="none" w:sz="0" w:space="0" w:color="auto"/>
        <w:bottom w:val="none" w:sz="0" w:space="0" w:color="auto"/>
        <w:right w:val="none" w:sz="0" w:space="0" w:color="auto"/>
      </w:divBdr>
      <w:divsChild>
        <w:div w:id="501698191">
          <w:marLeft w:val="0"/>
          <w:marRight w:val="0"/>
          <w:marTop w:val="0"/>
          <w:marBottom w:val="0"/>
          <w:divBdr>
            <w:top w:val="none" w:sz="0" w:space="0" w:color="auto"/>
            <w:left w:val="none" w:sz="0" w:space="0" w:color="auto"/>
            <w:bottom w:val="none" w:sz="0" w:space="0" w:color="auto"/>
            <w:right w:val="none" w:sz="0" w:space="0" w:color="auto"/>
          </w:divBdr>
          <w:divsChild>
            <w:div w:id="1369069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025923">
      <w:bodyDiv w:val="1"/>
      <w:marLeft w:val="0"/>
      <w:marRight w:val="0"/>
      <w:marTop w:val="0"/>
      <w:marBottom w:val="0"/>
      <w:divBdr>
        <w:top w:val="none" w:sz="0" w:space="0" w:color="auto"/>
        <w:left w:val="none" w:sz="0" w:space="0" w:color="auto"/>
        <w:bottom w:val="none" w:sz="0" w:space="0" w:color="auto"/>
        <w:right w:val="none" w:sz="0" w:space="0" w:color="auto"/>
      </w:divBdr>
      <w:divsChild>
        <w:div w:id="247349745">
          <w:marLeft w:val="0"/>
          <w:marRight w:val="0"/>
          <w:marTop w:val="0"/>
          <w:marBottom w:val="0"/>
          <w:divBdr>
            <w:top w:val="none" w:sz="0" w:space="0" w:color="auto"/>
            <w:left w:val="none" w:sz="0" w:space="0" w:color="auto"/>
            <w:bottom w:val="none" w:sz="0" w:space="0" w:color="auto"/>
            <w:right w:val="none" w:sz="0" w:space="0" w:color="auto"/>
          </w:divBdr>
          <w:divsChild>
            <w:div w:id="60765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510665">
      <w:bodyDiv w:val="1"/>
      <w:marLeft w:val="0"/>
      <w:marRight w:val="0"/>
      <w:marTop w:val="0"/>
      <w:marBottom w:val="0"/>
      <w:divBdr>
        <w:top w:val="none" w:sz="0" w:space="0" w:color="auto"/>
        <w:left w:val="none" w:sz="0" w:space="0" w:color="auto"/>
        <w:bottom w:val="none" w:sz="0" w:space="0" w:color="auto"/>
        <w:right w:val="none" w:sz="0" w:space="0" w:color="auto"/>
      </w:divBdr>
      <w:divsChild>
        <w:div w:id="1430271303">
          <w:marLeft w:val="0"/>
          <w:marRight w:val="0"/>
          <w:marTop w:val="0"/>
          <w:marBottom w:val="0"/>
          <w:divBdr>
            <w:top w:val="none" w:sz="0" w:space="0" w:color="auto"/>
            <w:left w:val="none" w:sz="0" w:space="0" w:color="auto"/>
            <w:bottom w:val="none" w:sz="0" w:space="0" w:color="auto"/>
            <w:right w:val="none" w:sz="0" w:space="0" w:color="auto"/>
          </w:divBdr>
          <w:divsChild>
            <w:div w:id="124337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907159">
      <w:bodyDiv w:val="1"/>
      <w:marLeft w:val="0"/>
      <w:marRight w:val="0"/>
      <w:marTop w:val="0"/>
      <w:marBottom w:val="0"/>
      <w:divBdr>
        <w:top w:val="none" w:sz="0" w:space="0" w:color="auto"/>
        <w:left w:val="none" w:sz="0" w:space="0" w:color="auto"/>
        <w:bottom w:val="none" w:sz="0" w:space="0" w:color="auto"/>
        <w:right w:val="none" w:sz="0" w:space="0" w:color="auto"/>
      </w:divBdr>
      <w:divsChild>
        <w:div w:id="1833790181">
          <w:marLeft w:val="0"/>
          <w:marRight w:val="0"/>
          <w:marTop w:val="0"/>
          <w:marBottom w:val="0"/>
          <w:divBdr>
            <w:top w:val="none" w:sz="0" w:space="0" w:color="auto"/>
            <w:left w:val="none" w:sz="0" w:space="0" w:color="auto"/>
            <w:bottom w:val="none" w:sz="0" w:space="0" w:color="auto"/>
            <w:right w:val="none" w:sz="0" w:space="0" w:color="auto"/>
          </w:divBdr>
          <w:divsChild>
            <w:div w:id="1398285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972755">
      <w:bodyDiv w:val="1"/>
      <w:marLeft w:val="0"/>
      <w:marRight w:val="0"/>
      <w:marTop w:val="0"/>
      <w:marBottom w:val="0"/>
      <w:divBdr>
        <w:top w:val="none" w:sz="0" w:space="0" w:color="auto"/>
        <w:left w:val="none" w:sz="0" w:space="0" w:color="auto"/>
        <w:bottom w:val="none" w:sz="0" w:space="0" w:color="auto"/>
        <w:right w:val="none" w:sz="0" w:space="0" w:color="auto"/>
      </w:divBdr>
      <w:divsChild>
        <w:div w:id="1920361952">
          <w:marLeft w:val="0"/>
          <w:marRight w:val="0"/>
          <w:marTop w:val="0"/>
          <w:marBottom w:val="0"/>
          <w:divBdr>
            <w:top w:val="none" w:sz="0" w:space="0" w:color="auto"/>
            <w:left w:val="none" w:sz="0" w:space="0" w:color="auto"/>
            <w:bottom w:val="none" w:sz="0" w:space="0" w:color="auto"/>
            <w:right w:val="none" w:sz="0" w:space="0" w:color="auto"/>
          </w:divBdr>
          <w:divsChild>
            <w:div w:id="5940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398095">
      <w:bodyDiv w:val="1"/>
      <w:marLeft w:val="0"/>
      <w:marRight w:val="0"/>
      <w:marTop w:val="0"/>
      <w:marBottom w:val="0"/>
      <w:divBdr>
        <w:top w:val="none" w:sz="0" w:space="0" w:color="auto"/>
        <w:left w:val="none" w:sz="0" w:space="0" w:color="auto"/>
        <w:bottom w:val="none" w:sz="0" w:space="0" w:color="auto"/>
        <w:right w:val="none" w:sz="0" w:space="0" w:color="auto"/>
      </w:divBdr>
    </w:div>
    <w:div w:id="2022538764">
      <w:bodyDiv w:val="1"/>
      <w:marLeft w:val="0"/>
      <w:marRight w:val="0"/>
      <w:marTop w:val="0"/>
      <w:marBottom w:val="0"/>
      <w:divBdr>
        <w:top w:val="none" w:sz="0" w:space="0" w:color="auto"/>
        <w:left w:val="none" w:sz="0" w:space="0" w:color="auto"/>
        <w:bottom w:val="none" w:sz="0" w:space="0" w:color="auto"/>
        <w:right w:val="none" w:sz="0" w:space="0" w:color="auto"/>
      </w:divBdr>
    </w:div>
    <w:div w:id="2058503404">
      <w:bodyDiv w:val="1"/>
      <w:marLeft w:val="0"/>
      <w:marRight w:val="0"/>
      <w:marTop w:val="0"/>
      <w:marBottom w:val="0"/>
      <w:divBdr>
        <w:top w:val="none" w:sz="0" w:space="0" w:color="auto"/>
        <w:left w:val="none" w:sz="0" w:space="0" w:color="auto"/>
        <w:bottom w:val="none" w:sz="0" w:space="0" w:color="auto"/>
        <w:right w:val="none" w:sz="0" w:space="0" w:color="auto"/>
      </w:divBdr>
      <w:divsChild>
        <w:div w:id="141242908">
          <w:marLeft w:val="0"/>
          <w:marRight w:val="0"/>
          <w:marTop w:val="0"/>
          <w:marBottom w:val="0"/>
          <w:divBdr>
            <w:top w:val="none" w:sz="0" w:space="0" w:color="auto"/>
            <w:left w:val="none" w:sz="0" w:space="0" w:color="auto"/>
            <w:bottom w:val="none" w:sz="0" w:space="0" w:color="auto"/>
            <w:right w:val="none" w:sz="0" w:space="0" w:color="auto"/>
          </w:divBdr>
          <w:divsChild>
            <w:div w:id="199016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37012/jtik.v11i2.2728" TargetMode="External"/><Relationship Id="rId18" Type="http://schemas.openxmlformats.org/officeDocument/2006/relationships/hyperlink" Target="https://doi.org/10.1177/10591478241310225" TargetMode="External"/><Relationship Id="rId26" Type="http://schemas.openxmlformats.org/officeDocument/2006/relationships/hyperlink" Target="https://doi.org/10.1002/nav.70013" TargetMode="External"/><Relationship Id="rId3" Type="http://schemas.openxmlformats.org/officeDocument/2006/relationships/styles" Target="styles.xml"/><Relationship Id="rId21" Type="http://schemas.openxmlformats.org/officeDocument/2006/relationships/hyperlink" Target="https://doi.org/10.3390/logistics6020033" TargetMode="External"/><Relationship Id="rId7" Type="http://schemas.openxmlformats.org/officeDocument/2006/relationships/footnotes" Target="footnotes.xml"/><Relationship Id="rId12" Type="http://schemas.openxmlformats.org/officeDocument/2006/relationships/hyperlink" Target="https://doi.org/10.1088/1755-1315/794/1/012077" TargetMode="External"/><Relationship Id="rId17" Type="http://schemas.openxmlformats.org/officeDocument/2006/relationships/hyperlink" Target="https://doi.org/10.1287/msom.2021.1064" TargetMode="External"/><Relationship Id="rId25" Type="http://schemas.openxmlformats.org/officeDocument/2006/relationships/hyperlink" Target="https://doi.org/10.4018/JGIM.2021050101" TargetMode="External"/><Relationship Id="rId2" Type="http://schemas.openxmlformats.org/officeDocument/2006/relationships/numbering" Target="numbering.xml"/><Relationship Id="rId16" Type="http://schemas.openxmlformats.org/officeDocument/2006/relationships/hyperlink" Target="https://doi.org/10.1111/poms.13323" TargetMode="External"/><Relationship Id="rId20" Type="http://schemas.openxmlformats.org/officeDocument/2006/relationships/hyperlink" Target="https://doi.org/10.1108/TQM-04-2022-0113"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4569/IJACSA.2022.01310104" TargetMode="External"/><Relationship Id="rId24" Type="http://schemas.openxmlformats.org/officeDocument/2006/relationships/hyperlink" Target="https://doi.org/10.1016/j.transci.2021.103103" TargetMode="External"/><Relationship Id="rId5" Type="http://schemas.openxmlformats.org/officeDocument/2006/relationships/settings" Target="settings.xml"/><Relationship Id="rId15" Type="http://schemas.openxmlformats.org/officeDocument/2006/relationships/hyperlink" Target="https://doi.org/10.1080/17517575.2021.1885743" TargetMode="External"/><Relationship Id="rId23" Type="http://schemas.openxmlformats.org/officeDocument/2006/relationships/hyperlink" Target="https://doi.org/10.1109/ACCESS.2022.3202954" TargetMode="Externa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doi.org/10.51519/journalisi.v6i1.647"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doi.org/10.1016/j.cor.2025.107164" TargetMode="External"/><Relationship Id="rId22" Type="http://schemas.openxmlformats.org/officeDocument/2006/relationships/hyperlink" Target="https://doi.org/10.1016/j.eswa.2025.128955"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1C4CED-52B5-4D7F-B993-88CB9E9C5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21</Pages>
  <Words>4436</Words>
  <Characters>25289</Characters>
  <DocSecurity>0</DocSecurity>
  <Lines>210</Lines>
  <Paragraphs>59</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
      <vt:lpstr>Introduction</vt:lpstr>
      <vt:lpstr>Critically analyse the options available to the company to deal with the obsolet</vt:lpstr>
      <vt:lpstr>Reasoning for the actions that have to be taken</vt:lpstr>
      <vt:lpstr>Conclusion and Recommendations</vt:lpstr>
      <vt:lpstr>References</vt:lpstr>
      <vt:lpstr>Appendix</vt:lpstr>
    </vt:vector>
  </TitlesOfParts>
  <Company/>
  <LinksUpToDate>false</LinksUpToDate>
  <CharactersWithSpaces>29666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2026-05-05T09:45:00Z</dcterms:created>
  <dcterms:modified xsi:type="dcterms:W3CDTF">2026-05-05T19:03:00Z</dcterms:modified>
</cp:coreProperties>
</file>