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B86A" w14:textId="77777777" w:rsidR="00C66588" w:rsidRDefault="00C66588">
      <w:pPr>
        <w:jc w:val="center"/>
        <w:rPr>
          <w:rFonts w:ascii="Arial" w:hAnsi="Arial" w:cs="Arial"/>
          <w:b/>
          <w:bCs/>
          <w:sz w:val="22"/>
          <w:szCs w:val="22"/>
        </w:rPr>
      </w:pPr>
    </w:p>
    <w:p w14:paraId="0154B039" w14:textId="77777777" w:rsidR="00C66588" w:rsidRDefault="00C66588">
      <w:pPr>
        <w:jc w:val="center"/>
        <w:rPr>
          <w:rFonts w:ascii="Arial" w:hAnsi="Arial" w:cs="Arial"/>
          <w:b/>
          <w:bCs/>
          <w:sz w:val="22"/>
          <w:szCs w:val="22"/>
        </w:rPr>
      </w:pPr>
    </w:p>
    <w:p w14:paraId="28F93BE5" w14:textId="77777777" w:rsidR="00C66588" w:rsidRDefault="00C66588">
      <w:pPr>
        <w:jc w:val="center"/>
        <w:rPr>
          <w:rFonts w:ascii="Arial" w:hAnsi="Arial" w:cs="Arial"/>
          <w:b/>
          <w:bCs/>
          <w:sz w:val="22"/>
          <w:szCs w:val="22"/>
        </w:rPr>
      </w:pPr>
    </w:p>
    <w:p w14:paraId="7C7B9B14" w14:textId="77777777" w:rsidR="00C66588" w:rsidRPr="00171A46" w:rsidRDefault="00171A46">
      <w:pPr>
        <w:jc w:val="center"/>
        <w:rPr>
          <w:rFonts w:ascii="Arial" w:hAnsi="Arial" w:cs="Arial"/>
          <w:b/>
          <w:bCs/>
          <w:sz w:val="28"/>
          <w:szCs w:val="28"/>
        </w:rPr>
      </w:pPr>
      <w:r w:rsidRPr="00171A46">
        <w:rPr>
          <w:rFonts w:ascii="Arial" w:hAnsi="Arial" w:cs="Arial"/>
          <w:b/>
          <w:bCs/>
          <w:noProof/>
          <w:sz w:val="28"/>
          <w:szCs w:val="28"/>
        </w:rPr>
        <w:drawing>
          <wp:inline distT="0" distB="0" distL="0" distR="0" wp14:anchorId="73287AD4" wp14:editId="72FD01C9">
            <wp:extent cx="2749691" cy="1244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9691" cy="1244664"/>
                    </a:xfrm>
                    <a:prstGeom prst="rect">
                      <a:avLst/>
                    </a:prstGeom>
                  </pic:spPr>
                </pic:pic>
              </a:graphicData>
            </a:graphic>
          </wp:inline>
        </w:drawing>
      </w:r>
    </w:p>
    <w:p w14:paraId="2CF94045" w14:textId="77777777" w:rsidR="00C66588" w:rsidRPr="00171A46" w:rsidRDefault="0084114E">
      <w:pPr>
        <w:jc w:val="center"/>
        <w:rPr>
          <w:rFonts w:ascii="Arial" w:hAnsi="Arial" w:cs="Arial"/>
          <w:b/>
          <w:bCs/>
          <w:sz w:val="28"/>
          <w:szCs w:val="28"/>
        </w:rPr>
      </w:pPr>
      <w:r w:rsidRPr="00171A46">
        <w:rPr>
          <w:rFonts w:ascii="Arial" w:hAnsi="Arial" w:cs="Arial"/>
          <w:b/>
          <w:bCs/>
          <w:sz w:val="28"/>
          <w:szCs w:val="28"/>
        </w:rPr>
        <w:t>Module: Health Care System, Organisation and Leadership</w:t>
      </w:r>
    </w:p>
    <w:p w14:paraId="71236BCF" w14:textId="77777777" w:rsidR="00C66588" w:rsidRPr="00171A46" w:rsidRDefault="0084114E">
      <w:pPr>
        <w:jc w:val="center"/>
        <w:rPr>
          <w:rFonts w:ascii="Arial" w:hAnsi="Arial" w:cs="Arial"/>
          <w:b/>
          <w:bCs/>
          <w:sz w:val="28"/>
          <w:szCs w:val="28"/>
        </w:rPr>
      </w:pPr>
      <w:r w:rsidRPr="00171A46">
        <w:rPr>
          <w:rFonts w:ascii="Arial" w:hAnsi="Arial" w:cs="Arial"/>
          <w:b/>
          <w:bCs/>
          <w:sz w:val="28"/>
          <w:szCs w:val="28"/>
        </w:rPr>
        <w:t>Module code: LCHS7002</w:t>
      </w:r>
      <w:r w:rsidRPr="00171A46">
        <w:rPr>
          <w:rFonts w:ascii="Arial" w:hAnsi="Arial" w:cs="Arial"/>
          <w:b/>
          <w:bCs/>
          <w:sz w:val="28"/>
          <w:szCs w:val="28"/>
        </w:rPr>
        <w:tab/>
      </w:r>
    </w:p>
    <w:p w14:paraId="76EBCEBF" w14:textId="77777777" w:rsidR="00C66588" w:rsidRPr="00171A46" w:rsidRDefault="0084114E">
      <w:pPr>
        <w:jc w:val="center"/>
        <w:rPr>
          <w:rFonts w:ascii="Arial" w:hAnsi="Arial" w:cs="Arial"/>
          <w:b/>
          <w:bCs/>
          <w:sz w:val="28"/>
          <w:szCs w:val="28"/>
        </w:rPr>
      </w:pPr>
      <w:r w:rsidRPr="00171A46">
        <w:rPr>
          <w:rFonts w:ascii="Arial" w:hAnsi="Arial" w:cs="Arial"/>
          <w:b/>
          <w:bCs/>
          <w:sz w:val="28"/>
          <w:szCs w:val="28"/>
        </w:rPr>
        <w:t>Assignment Title: Case Study Analysis Report: Comparative report on COVID-19 leadership responses</w:t>
      </w:r>
      <w:r w:rsidRPr="00171A46">
        <w:rPr>
          <w:rFonts w:ascii="Arial" w:hAnsi="Arial" w:cs="Arial"/>
          <w:b/>
          <w:bCs/>
          <w:sz w:val="28"/>
          <w:szCs w:val="28"/>
        </w:rPr>
        <w:tab/>
      </w:r>
    </w:p>
    <w:p w14:paraId="4F675A9D" w14:textId="0C983A19" w:rsidR="00C66588" w:rsidRPr="00171A46" w:rsidRDefault="0084114E">
      <w:pPr>
        <w:jc w:val="center"/>
        <w:rPr>
          <w:rFonts w:ascii="Arial" w:hAnsi="Arial" w:cs="Arial"/>
          <w:b/>
          <w:bCs/>
          <w:sz w:val="28"/>
          <w:szCs w:val="28"/>
        </w:rPr>
      </w:pPr>
      <w:r w:rsidRPr="00171A46">
        <w:rPr>
          <w:rFonts w:ascii="Arial" w:hAnsi="Arial" w:cs="Arial"/>
          <w:b/>
          <w:bCs/>
          <w:sz w:val="28"/>
          <w:szCs w:val="28"/>
        </w:rPr>
        <w:t>Student Name:</w:t>
      </w:r>
      <w:r w:rsidR="007553DB">
        <w:rPr>
          <w:rFonts w:ascii="Arial" w:hAnsi="Arial" w:cs="Arial"/>
          <w:b/>
          <w:bCs/>
          <w:sz w:val="28"/>
          <w:szCs w:val="28"/>
        </w:rPr>
        <w:t xml:space="preserve"> Pratham </w:t>
      </w:r>
      <w:proofErr w:type="spellStart"/>
      <w:r w:rsidR="007553DB">
        <w:rPr>
          <w:rFonts w:ascii="Arial" w:hAnsi="Arial" w:cs="Arial"/>
          <w:b/>
          <w:bCs/>
          <w:sz w:val="28"/>
          <w:szCs w:val="28"/>
        </w:rPr>
        <w:t>Ravindrakumar</w:t>
      </w:r>
      <w:proofErr w:type="spellEnd"/>
      <w:r w:rsidR="007553DB">
        <w:rPr>
          <w:rFonts w:ascii="Arial" w:hAnsi="Arial" w:cs="Arial"/>
          <w:b/>
          <w:bCs/>
          <w:sz w:val="28"/>
          <w:szCs w:val="28"/>
        </w:rPr>
        <w:t xml:space="preserve"> </w:t>
      </w:r>
      <w:proofErr w:type="spellStart"/>
      <w:r w:rsidR="007553DB">
        <w:rPr>
          <w:rFonts w:ascii="Arial" w:hAnsi="Arial" w:cs="Arial"/>
          <w:b/>
          <w:bCs/>
          <w:sz w:val="28"/>
          <w:szCs w:val="28"/>
        </w:rPr>
        <w:t>Luhar</w:t>
      </w:r>
      <w:proofErr w:type="spellEnd"/>
    </w:p>
    <w:p w14:paraId="4B0C2229" w14:textId="64BD55B5" w:rsidR="00C66588" w:rsidRDefault="0084114E">
      <w:pPr>
        <w:jc w:val="center"/>
        <w:rPr>
          <w:rFonts w:ascii="Arial" w:hAnsi="Arial" w:cs="Arial"/>
          <w:b/>
          <w:bCs/>
          <w:sz w:val="28"/>
          <w:szCs w:val="28"/>
        </w:rPr>
      </w:pPr>
      <w:r w:rsidRPr="00171A46">
        <w:rPr>
          <w:rFonts w:ascii="Arial" w:hAnsi="Arial" w:cs="Arial"/>
          <w:b/>
          <w:bCs/>
          <w:sz w:val="28"/>
          <w:szCs w:val="28"/>
        </w:rPr>
        <w:t>Student ID:</w:t>
      </w:r>
      <w:r w:rsidR="007553DB">
        <w:rPr>
          <w:rFonts w:ascii="Arial" w:hAnsi="Arial" w:cs="Arial"/>
          <w:b/>
          <w:bCs/>
          <w:sz w:val="28"/>
          <w:szCs w:val="28"/>
        </w:rPr>
        <w:t xml:space="preserve"> 2426580</w:t>
      </w:r>
    </w:p>
    <w:p w14:paraId="3488F990" w14:textId="5BED838C" w:rsidR="007553DB" w:rsidRPr="00171A46" w:rsidRDefault="007553DB">
      <w:pPr>
        <w:jc w:val="center"/>
        <w:rPr>
          <w:rFonts w:ascii="Arial" w:hAnsi="Arial" w:cs="Arial"/>
          <w:b/>
          <w:bCs/>
          <w:sz w:val="28"/>
          <w:szCs w:val="28"/>
        </w:rPr>
      </w:pPr>
      <w:r>
        <w:rPr>
          <w:rFonts w:ascii="Arial" w:hAnsi="Arial" w:cs="Arial"/>
          <w:b/>
          <w:bCs/>
          <w:sz w:val="28"/>
          <w:szCs w:val="28"/>
        </w:rPr>
        <w:t xml:space="preserve">Lecturer Name: </w:t>
      </w:r>
      <w:r w:rsidRPr="007553DB">
        <w:rPr>
          <w:rFonts w:ascii="Arial" w:hAnsi="Arial" w:cs="Arial"/>
          <w:b/>
          <w:bCs/>
          <w:sz w:val="28"/>
          <w:szCs w:val="28"/>
        </w:rPr>
        <w:t>Dr. Shepherd Ziko</w:t>
      </w:r>
    </w:p>
    <w:p w14:paraId="2B8752AA" w14:textId="77777777" w:rsidR="00C66588" w:rsidRPr="00171A46" w:rsidRDefault="0084114E">
      <w:pPr>
        <w:rPr>
          <w:rFonts w:ascii="Arial" w:hAnsi="Arial" w:cs="Arial"/>
          <w:sz w:val="28"/>
          <w:szCs w:val="28"/>
        </w:rPr>
      </w:pPr>
      <w:r w:rsidRPr="00171A46">
        <w:rPr>
          <w:rFonts w:ascii="Arial" w:hAnsi="Arial" w:cs="Arial"/>
          <w:sz w:val="28"/>
          <w:szCs w:val="28"/>
        </w:rPr>
        <w:br w:type="page"/>
      </w:r>
    </w:p>
    <w:p w14:paraId="017B2073" w14:textId="77777777" w:rsidR="00C66588" w:rsidRDefault="0084114E">
      <w:pPr>
        <w:spacing w:before="360" w:after="80"/>
        <w:jc w:val="center"/>
        <w:rPr>
          <w:rFonts w:ascii="Arial" w:hAnsi="Arial" w:cs="Arial"/>
          <w:b/>
          <w:bCs/>
          <w:sz w:val="22"/>
          <w:szCs w:val="22"/>
        </w:rPr>
      </w:pPr>
      <w:r>
        <w:rPr>
          <w:rFonts w:ascii="Arial" w:hAnsi="Arial" w:cs="Arial"/>
          <w:b/>
          <w:bCs/>
          <w:sz w:val="22"/>
          <w:szCs w:val="22"/>
        </w:rPr>
        <w:lastRenderedPageBreak/>
        <w:t>Executive Summary</w:t>
      </w:r>
    </w:p>
    <w:p w14:paraId="6B988356" w14:textId="77777777" w:rsidR="00C66588" w:rsidRDefault="0084114E">
      <w:pPr>
        <w:spacing w:before="360" w:after="80"/>
        <w:rPr>
          <w:rFonts w:ascii="Arial" w:hAnsi="Arial" w:cs="Arial"/>
          <w:sz w:val="22"/>
          <w:szCs w:val="22"/>
        </w:rPr>
      </w:pPr>
      <w:r>
        <w:rPr>
          <w:rFonts w:ascii="Arial" w:hAnsi="Arial" w:cs="Arial"/>
          <w:sz w:val="22"/>
          <w:szCs w:val="22"/>
        </w:rPr>
        <w:t>This report is a critical assessment of how the design of health systems, the arrangements of governance, and leadership influenced the national responses to the COVID-19 pandemic in Spain, South Korea, and Canada. The analysis, based on a systems thinking approach, examines how centralised and decentralised forms of governance affect the process of coordination, responsiveness and health system resilience in a public health crisis. The results reveal that centralisation strategies improved speed, consistency, and coordination across the system in cases where quick response was needed, as depicted best by the case of South Korea and the subsequent emergency response of Spain. Decentralised systems, on the other hand, favoured flexibility and local responsiveness at the cost of creating coordination difficulties and policy inconsistency, especially in Canada and at the initial phases of the pandemic in Spain. In all three cases, there was no particular governance model that had been effective. Rather, mixed modifications that allowed governments to re-equilibrate central control and local independence were most robust. Already, leadership has become a major driving force in assisting in coordination, maintaining public trust and aligning actors within the system, which underscores the need to embrace an integrated governance and leadership capacity in the future to prepare against the pandemic.</w:t>
      </w:r>
    </w:p>
    <w:p w14:paraId="54F376D9" w14:textId="77777777" w:rsidR="00C66588" w:rsidRDefault="0084114E">
      <w:pPr>
        <w:spacing w:before="360" w:after="80"/>
        <w:rPr>
          <w:rFonts w:ascii="Arial" w:hAnsi="Arial" w:cs="Arial"/>
          <w:sz w:val="22"/>
          <w:szCs w:val="22"/>
        </w:rPr>
      </w:pPr>
      <w:r>
        <w:rPr>
          <w:rFonts w:ascii="Arial" w:hAnsi="Arial" w:cs="Arial"/>
          <w:sz w:val="22"/>
          <w:szCs w:val="22"/>
        </w:rPr>
        <w:br w:type="page"/>
      </w:r>
    </w:p>
    <w:sdt>
      <w:sdtPr>
        <w:rPr>
          <w:rFonts w:ascii="Arial" w:eastAsia="Times New Roman" w:hAnsi="Arial" w:cs="Arial"/>
          <w:color w:val="auto"/>
          <w:sz w:val="22"/>
          <w:szCs w:val="22"/>
          <w:lang w:val="en-GB" w:eastAsia="zh-CN"/>
        </w:rPr>
        <w:id w:val="-594397671"/>
        <w:docPartObj>
          <w:docPartGallery w:val="Table of Contents"/>
          <w:docPartUnique/>
        </w:docPartObj>
      </w:sdtPr>
      <w:sdtEndPr>
        <w:rPr>
          <w:b/>
          <w:bCs/>
        </w:rPr>
      </w:sdtEndPr>
      <w:sdtContent>
        <w:p w14:paraId="1B234AE9" w14:textId="77777777" w:rsidR="00C66588" w:rsidRDefault="0084114E">
          <w:pPr>
            <w:pStyle w:val="TOCHeading2"/>
            <w:spacing w:line="240" w:lineRule="auto"/>
            <w:rPr>
              <w:rFonts w:ascii="Arial" w:hAnsi="Arial" w:cs="Arial"/>
              <w:sz w:val="22"/>
              <w:szCs w:val="22"/>
            </w:rPr>
          </w:pPr>
          <w:r>
            <w:rPr>
              <w:rFonts w:ascii="Arial" w:hAnsi="Arial" w:cs="Arial"/>
              <w:sz w:val="22"/>
              <w:szCs w:val="22"/>
            </w:rPr>
            <w:t>Table of Contents</w:t>
          </w:r>
        </w:p>
        <w:p w14:paraId="33FD8B96" w14:textId="77777777" w:rsidR="00171A46" w:rsidRDefault="0084114E">
          <w:pPr>
            <w:pStyle w:val="TOC1"/>
            <w:tabs>
              <w:tab w:val="right" w:leader="dot" w:pos="9054"/>
            </w:tabs>
            <w:rPr>
              <w:rFonts w:asciiTheme="minorHAnsi" w:eastAsiaTheme="minorEastAsia" w:hAnsiTheme="minorHAnsi" w:cs="Mangal"/>
              <w:noProof/>
              <w:sz w:val="22"/>
              <w:szCs w:val="20"/>
              <w:lang w:val="en-IN" w:eastAsia="en-IN" w:bidi="hi-IN"/>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hyperlink w:anchor="_Toc216787592" w:history="1">
            <w:r w:rsidR="00171A46" w:rsidRPr="00106EE5">
              <w:rPr>
                <w:rStyle w:val="Hyperlink"/>
                <w:rFonts w:ascii="Arial" w:hAnsi="Arial" w:cs="Arial"/>
                <w:noProof/>
              </w:rPr>
              <w:t>1. Introduction</w:t>
            </w:r>
            <w:r w:rsidR="00171A46">
              <w:rPr>
                <w:noProof/>
                <w:webHidden/>
              </w:rPr>
              <w:tab/>
            </w:r>
            <w:r w:rsidR="00171A46">
              <w:rPr>
                <w:noProof/>
                <w:webHidden/>
              </w:rPr>
              <w:fldChar w:fldCharType="begin"/>
            </w:r>
            <w:r w:rsidR="00171A46">
              <w:rPr>
                <w:noProof/>
                <w:webHidden/>
              </w:rPr>
              <w:instrText xml:space="preserve"> PAGEREF _Toc216787592 \h </w:instrText>
            </w:r>
            <w:r w:rsidR="00171A46">
              <w:rPr>
                <w:noProof/>
                <w:webHidden/>
              </w:rPr>
            </w:r>
            <w:r w:rsidR="00171A46">
              <w:rPr>
                <w:noProof/>
                <w:webHidden/>
              </w:rPr>
              <w:fldChar w:fldCharType="separate"/>
            </w:r>
            <w:r w:rsidR="00171A46">
              <w:rPr>
                <w:noProof/>
                <w:webHidden/>
              </w:rPr>
              <w:t>5</w:t>
            </w:r>
            <w:r w:rsidR="00171A46">
              <w:rPr>
                <w:noProof/>
                <w:webHidden/>
              </w:rPr>
              <w:fldChar w:fldCharType="end"/>
            </w:r>
          </w:hyperlink>
        </w:p>
        <w:p w14:paraId="20E0C326" w14:textId="77777777" w:rsidR="00171A46" w:rsidRDefault="00171A46">
          <w:pPr>
            <w:pStyle w:val="TOC1"/>
            <w:tabs>
              <w:tab w:val="right" w:leader="dot" w:pos="9054"/>
            </w:tabs>
            <w:rPr>
              <w:rFonts w:asciiTheme="minorHAnsi" w:eastAsiaTheme="minorEastAsia" w:hAnsiTheme="minorHAnsi" w:cs="Mangal"/>
              <w:noProof/>
              <w:sz w:val="22"/>
              <w:szCs w:val="20"/>
              <w:lang w:val="en-IN" w:eastAsia="en-IN" w:bidi="hi-IN"/>
            </w:rPr>
          </w:pPr>
          <w:hyperlink w:anchor="_Toc216787593" w:history="1">
            <w:r w:rsidRPr="00106EE5">
              <w:rPr>
                <w:rStyle w:val="Hyperlink"/>
                <w:rFonts w:ascii="Arial" w:hAnsi="Arial" w:cs="Arial"/>
                <w:noProof/>
              </w:rPr>
              <w:t>2. Country Case Study Analysis</w:t>
            </w:r>
            <w:r>
              <w:rPr>
                <w:noProof/>
                <w:webHidden/>
              </w:rPr>
              <w:tab/>
            </w:r>
            <w:r>
              <w:rPr>
                <w:noProof/>
                <w:webHidden/>
              </w:rPr>
              <w:fldChar w:fldCharType="begin"/>
            </w:r>
            <w:r>
              <w:rPr>
                <w:noProof/>
                <w:webHidden/>
              </w:rPr>
              <w:instrText xml:space="preserve"> PAGEREF _Toc216787593 \h </w:instrText>
            </w:r>
            <w:r>
              <w:rPr>
                <w:noProof/>
                <w:webHidden/>
              </w:rPr>
            </w:r>
            <w:r>
              <w:rPr>
                <w:noProof/>
                <w:webHidden/>
              </w:rPr>
              <w:fldChar w:fldCharType="separate"/>
            </w:r>
            <w:r>
              <w:rPr>
                <w:noProof/>
                <w:webHidden/>
              </w:rPr>
              <w:t>6</w:t>
            </w:r>
            <w:r>
              <w:rPr>
                <w:noProof/>
                <w:webHidden/>
              </w:rPr>
              <w:fldChar w:fldCharType="end"/>
            </w:r>
          </w:hyperlink>
        </w:p>
        <w:p w14:paraId="69AB517C"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594" w:history="1">
            <w:r w:rsidRPr="00106EE5">
              <w:rPr>
                <w:rStyle w:val="Hyperlink"/>
                <w:rFonts w:ascii="Arial" w:hAnsi="Arial" w:cs="Arial"/>
                <w:noProof/>
              </w:rPr>
              <w:t>2.1 Centralisation and Decentralisation in Healthcare</w:t>
            </w:r>
            <w:r>
              <w:rPr>
                <w:noProof/>
                <w:webHidden/>
              </w:rPr>
              <w:tab/>
            </w:r>
            <w:r>
              <w:rPr>
                <w:noProof/>
                <w:webHidden/>
              </w:rPr>
              <w:fldChar w:fldCharType="begin"/>
            </w:r>
            <w:r>
              <w:rPr>
                <w:noProof/>
                <w:webHidden/>
              </w:rPr>
              <w:instrText xml:space="preserve"> PAGEREF _Toc216787594 \h </w:instrText>
            </w:r>
            <w:r>
              <w:rPr>
                <w:noProof/>
                <w:webHidden/>
              </w:rPr>
            </w:r>
            <w:r>
              <w:rPr>
                <w:noProof/>
                <w:webHidden/>
              </w:rPr>
              <w:fldChar w:fldCharType="separate"/>
            </w:r>
            <w:r>
              <w:rPr>
                <w:noProof/>
                <w:webHidden/>
              </w:rPr>
              <w:t>6</w:t>
            </w:r>
            <w:r>
              <w:rPr>
                <w:noProof/>
                <w:webHidden/>
              </w:rPr>
              <w:fldChar w:fldCharType="end"/>
            </w:r>
          </w:hyperlink>
        </w:p>
        <w:p w14:paraId="6C61E33A"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595" w:history="1">
            <w:r w:rsidRPr="00106EE5">
              <w:rPr>
                <w:rStyle w:val="Hyperlink"/>
                <w:rFonts w:ascii="Arial" w:hAnsi="Arial" w:cs="Arial"/>
                <w:noProof/>
              </w:rPr>
              <w:t>2.2 Systems Thinking and Pandemic Governance</w:t>
            </w:r>
            <w:r>
              <w:rPr>
                <w:noProof/>
                <w:webHidden/>
              </w:rPr>
              <w:tab/>
            </w:r>
            <w:r>
              <w:rPr>
                <w:noProof/>
                <w:webHidden/>
              </w:rPr>
              <w:fldChar w:fldCharType="begin"/>
            </w:r>
            <w:r>
              <w:rPr>
                <w:noProof/>
                <w:webHidden/>
              </w:rPr>
              <w:instrText xml:space="preserve"> PAGEREF _Toc216787595 \h </w:instrText>
            </w:r>
            <w:r>
              <w:rPr>
                <w:noProof/>
                <w:webHidden/>
              </w:rPr>
            </w:r>
            <w:r>
              <w:rPr>
                <w:noProof/>
                <w:webHidden/>
              </w:rPr>
              <w:fldChar w:fldCharType="separate"/>
            </w:r>
            <w:r>
              <w:rPr>
                <w:noProof/>
                <w:webHidden/>
              </w:rPr>
              <w:t>7</w:t>
            </w:r>
            <w:r>
              <w:rPr>
                <w:noProof/>
                <w:webHidden/>
              </w:rPr>
              <w:fldChar w:fldCharType="end"/>
            </w:r>
          </w:hyperlink>
        </w:p>
        <w:p w14:paraId="02571878"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596" w:history="1">
            <w:r w:rsidRPr="00106EE5">
              <w:rPr>
                <w:rStyle w:val="Hyperlink"/>
                <w:rFonts w:ascii="Arial" w:hAnsi="Arial" w:cs="Arial"/>
                <w:noProof/>
              </w:rPr>
              <w:t>2.3 Spain</w:t>
            </w:r>
            <w:r>
              <w:rPr>
                <w:noProof/>
                <w:webHidden/>
              </w:rPr>
              <w:tab/>
            </w:r>
            <w:r>
              <w:rPr>
                <w:noProof/>
                <w:webHidden/>
              </w:rPr>
              <w:fldChar w:fldCharType="begin"/>
            </w:r>
            <w:r>
              <w:rPr>
                <w:noProof/>
                <w:webHidden/>
              </w:rPr>
              <w:instrText xml:space="preserve"> PAGEREF _Toc216787596 \h </w:instrText>
            </w:r>
            <w:r>
              <w:rPr>
                <w:noProof/>
                <w:webHidden/>
              </w:rPr>
            </w:r>
            <w:r>
              <w:rPr>
                <w:noProof/>
                <w:webHidden/>
              </w:rPr>
              <w:fldChar w:fldCharType="separate"/>
            </w:r>
            <w:r>
              <w:rPr>
                <w:noProof/>
                <w:webHidden/>
              </w:rPr>
              <w:t>7</w:t>
            </w:r>
            <w:r>
              <w:rPr>
                <w:noProof/>
                <w:webHidden/>
              </w:rPr>
              <w:fldChar w:fldCharType="end"/>
            </w:r>
          </w:hyperlink>
        </w:p>
        <w:p w14:paraId="62525263"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597" w:history="1">
            <w:r w:rsidRPr="00106EE5">
              <w:rPr>
                <w:rStyle w:val="Hyperlink"/>
                <w:rFonts w:ascii="Arial" w:hAnsi="Arial" w:cs="Arial"/>
                <w:noProof/>
              </w:rPr>
              <w:t>2.3.1 Health System Structure</w:t>
            </w:r>
            <w:r>
              <w:rPr>
                <w:noProof/>
                <w:webHidden/>
              </w:rPr>
              <w:tab/>
            </w:r>
            <w:r>
              <w:rPr>
                <w:noProof/>
                <w:webHidden/>
              </w:rPr>
              <w:fldChar w:fldCharType="begin"/>
            </w:r>
            <w:r>
              <w:rPr>
                <w:noProof/>
                <w:webHidden/>
              </w:rPr>
              <w:instrText xml:space="preserve"> PAGEREF _Toc216787597 \h </w:instrText>
            </w:r>
            <w:r>
              <w:rPr>
                <w:noProof/>
                <w:webHidden/>
              </w:rPr>
            </w:r>
            <w:r>
              <w:rPr>
                <w:noProof/>
                <w:webHidden/>
              </w:rPr>
              <w:fldChar w:fldCharType="separate"/>
            </w:r>
            <w:r>
              <w:rPr>
                <w:noProof/>
                <w:webHidden/>
              </w:rPr>
              <w:t>7</w:t>
            </w:r>
            <w:r>
              <w:rPr>
                <w:noProof/>
                <w:webHidden/>
              </w:rPr>
              <w:fldChar w:fldCharType="end"/>
            </w:r>
          </w:hyperlink>
        </w:p>
        <w:p w14:paraId="0B2F92E9"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598" w:history="1">
            <w:r w:rsidRPr="00106EE5">
              <w:rPr>
                <w:rStyle w:val="Hyperlink"/>
                <w:rFonts w:ascii="Arial" w:hAnsi="Arial" w:cs="Arial"/>
                <w:noProof/>
              </w:rPr>
              <w:t>2.3.2 COVID-19 Governance Approach</w:t>
            </w:r>
            <w:r>
              <w:rPr>
                <w:noProof/>
                <w:webHidden/>
              </w:rPr>
              <w:tab/>
            </w:r>
            <w:r>
              <w:rPr>
                <w:noProof/>
                <w:webHidden/>
              </w:rPr>
              <w:fldChar w:fldCharType="begin"/>
            </w:r>
            <w:r>
              <w:rPr>
                <w:noProof/>
                <w:webHidden/>
              </w:rPr>
              <w:instrText xml:space="preserve"> PAGEREF _Toc216787598 \h </w:instrText>
            </w:r>
            <w:r>
              <w:rPr>
                <w:noProof/>
                <w:webHidden/>
              </w:rPr>
            </w:r>
            <w:r>
              <w:rPr>
                <w:noProof/>
                <w:webHidden/>
              </w:rPr>
              <w:fldChar w:fldCharType="separate"/>
            </w:r>
            <w:r>
              <w:rPr>
                <w:noProof/>
                <w:webHidden/>
              </w:rPr>
              <w:t>8</w:t>
            </w:r>
            <w:r>
              <w:rPr>
                <w:noProof/>
                <w:webHidden/>
              </w:rPr>
              <w:fldChar w:fldCharType="end"/>
            </w:r>
          </w:hyperlink>
        </w:p>
        <w:p w14:paraId="3B23B130"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599" w:history="1">
            <w:r w:rsidRPr="00106EE5">
              <w:rPr>
                <w:rStyle w:val="Hyperlink"/>
                <w:rFonts w:ascii="Arial" w:hAnsi="Arial" w:cs="Arial"/>
                <w:noProof/>
              </w:rPr>
              <w:t>2.3.3 Critical Analysis</w:t>
            </w:r>
            <w:r>
              <w:rPr>
                <w:noProof/>
                <w:webHidden/>
              </w:rPr>
              <w:tab/>
            </w:r>
            <w:r>
              <w:rPr>
                <w:noProof/>
                <w:webHidden/>
              </w:rPr>
              <w:fldChar w:fldCharType="begin"/>
            </w:r>
            <w:r>
              <w:rPr>
                <w:noProof/>
                <w:webHidden/>
              </w:rPr>
              <w:instrText xml:space="preserve"> PAGEREF _Toc216787599 \h </w:instrText>
            </w:r>
            <w:r>
              <w:rPr>
                <w:noProof/>
                <w:webHidden/>
              </w:rPr>
            </w:r>
            <w:r>
              <w:rPr>
                <w:noProof/>
                <w:webHidden/>
              </w:rPr>
              <w:fldChar w:fldCharType="separate"/>
            </w:r>
            <w:r>
              <w:rPr>
                <w:noProof/>
                <w:webHidden/>
              </w:rPr>
              <w:t>9</w:t>
            </w:r>
            <w:r>
              <w:rPr>
                <w:noProof/>
                <w:webHidden/>
              </w:rPr>
              <w:fldChar w:fldCharType="end"/>
            </w:r>
          </w:hyperlink>
        </w:p>
        <w:p w14:paraId="63514F49"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0" w:history="1">
            <w:r w:rsidRPr="00106EE5">
              <w:rPr>
                <w:rStyle w:val="Hyperlink"/>
                <w:rFonts w:ascii="Arial" w:hAnsi="Arial" w:cs="Arial"/>
                <w:noProof/>
              </w:rPr>
              <w:t>2.3.4 Outcomes and Challenges</w:t>
            </w:r>
            <w:r>
              <w:rPr>
                <w:noProof/>
                <w:webHidden/>
              </w:rPr>
              <w:tab/>
            </w:r>
            <w:r>
              <w:rPr>
                <w:noProof/>
                <w:webHidden/>
              </w:rPr>
              <w:fldChar w:fldCharType="begin"/>
            </w:r>
            <w:r>
              <w:rPr>
                <w:noProof/>
                <w:webHidden/>
              </w:rPr>
              <w:instrText xml:space="preserve"> PAGEREF _Toc216787600 \h </w:instrText>
            </w:r>
            <w:r>
              <w:rPr>
                <w:noProof/>
                <w:webHidden/>
              </w:rPr>
            </w:r>
            <w:r>
              <w:rPr>
                <w:noProof/>
                <w:webHidden/>
              </w:rPr>
              <w:fldChar w:fldCharType="separate"/>
            </w:r>
            <w:r>
              <w:rPr>
                <w:noProof/>
                <w:webHidden/>
              </w:rPr>
              <w:t>10</w:t>
            </w:r>
            <w:r>
              <w:rPr>
                <w:noProof/>
                <w:webHidden/>
              </w:rPr>
              <w:fldChar w:fldCharType="end"/>
            </w:r>
          </w:hyperlink>
        </w:p>
        <w:p w14:paraId="415B7CFC"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01" w:history="1">
            <w:r w:rsidRPr="00106EE5">
              <w:rPr>
                <w:rStyle w:val="Hyperlink"/>
                <w:rFonts w:ascii="Arial" w:hAnsi="Arial" w:cs="Arial"/>
                <w:noProof/>
              </w:rPr>
              <w:t>2.4 South Korea</w:t>
            </w:r>
            <w:r>
              <w:rPr>
                <w:noProof/>
                <w:webHidden/>
              </w:rPr>
              <w:tab/>
            </w:r>
            <w:r>
              <w:rPr>
                <w:noProof/>
                <w:webHidden/>
              </w:rPr>
              <w:fldChar w:fldCharType="begin"/>
            </w:r>
            <w:r>
              <w:rPr>
                <w:noProof/>
                <w:webHidden/>
              </w:rPr>
              <w:instrText xml:space="preserve"> PAGEREF _Toc216787601 \h </w:instrText>
            </w:r>
            <w:r>
              <w:rPr>
                <w:noProof/>
                <w:webHidden/>
              </w:rPr>
            </w:r>
            <w:r>
              <w:rPr>
                <w:noProof/>
                <w:webHidden/>
              </w:rPr>
              <w:fldChar w:fldCharType="separate"/>
            </w:r>
            <w:r>
              <w:rPr>
                <w:noProof/>
                <w:webHidden/>
              </w:rPr>
              <w:t>10</w:t>
            </w:r>
            <w:r>
              <w:rPr>
                <w:noProof/>
                <w:webHidden/>
              </w:rPr>
              <w:fldChar w:fldCharType="end"/>
            </w:r>
          </w:hyperlink>
        </w:p>
        <w:p w14:paraId="6DD6A4BD"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2" w:history="1">
            <w:r w:rsidRPr="00106EE5">
              <w:rPr>
                <w:rStyle w:val="Hyperlink"/>
                <w:rFonts w:ascii="Arial" w:hAnsi="Arial" w:cs="Arial"/>
                <w:noProof/>
              </w:rPr>
              <w:t>2.4.1 Health System and Governance Context</w:t>
            </w:r>
            <w:r>
              <w:rPr>
                <w:noProof/>
                <w:webHidden/>
              </w:rPr>
              <w:tab/>
            </w:r>
            <w:r>
              <w:rPr>
                <w:noProof/>
                <w:webHidden/>
              </w:rPr>
              <w:fldChar w:fldCharType="begin"/>
            </w:r>
            <w:r>
              <w:rPr>
                <w:noProof/>
                <w:webHidden/>
              </w:rPr>
              <w:instrText xml:space="preserve"> PAGEREF _Toc216787602 \h </w:instrText>
            </w:r>
            <w:r>
              <w:rPr>
                <w:noProof/>
                <w:webHidden/>
              </w:rPr>
            </w:r>
            <w:r>
              <w:rPr>
                <w:noProof/>
                <w:webHidden/>
              </w:rPr>
              <w:fldChar w:fldCharType="separate"/>
            </w:r>
            <w:r>
              <w:rPr>
                <w:noProof/>
                <w:webHidden/>
              </w:rPr>
              <w:t>10</w:t>
            </w:r>
            <w:r>
              <w:rPr>
                <w:noProof/>
                <w:webHidden/>
              </w:rPr>
              <w:fldChar w:fldCharType="end"/>
            </w:r>
          </w:hyperlink>
        </w:p>
        <w:p w14:paraId="5E7AD4A7"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3" w:history="1">
            <w:r w:rsidRPr="00106EE5">
              <w:rPr>
                <w:rStyle w:val="Hyperlink"/>
                <w:rFonts w:ascii="Arial" w:hAnsi="Arial" w:cs="Arial"/>
                <w:noProof/>
              </w:rPr>
              <w:t>2.4.2 COVID-19 Response Model</w:t>
            </w:r>
            <w:r>
              <w:rPr>
                <w:noProof/>
                <w:webHidden/>
              </w:rPr>
              <w:tab/>
            </w:r>
            <w:r>
              <w:rPr>
                <w:noProof/>
                <w:webHidden/>
              </w:rPr>
              <w:fldChar w:fldCharType="begin"/>
            </w:r>
            <w:r>
              <w:rPr>
                <w:noProof/>
                <w:webHidden/>
              </w:rPr>
              <w:instrText xml:space="preserve"> PAGEREF _Toc216787603 \h </w:instrText>
            </w:r>
            <w:r>
              <w:rPr>
                <w:noProof/>
                <w:webHidden/>
              </w:rPr>
            </w:r>
            <w:r>
              <w:rPr>
                <w:noProof/>
                <w:webHidden/>
              </w:rPr>
              <w:fldChar w:fldCharType="separate"/>
            </w:r>
            <w:r>
              <w:rPr>
                <w:noProof/>
                <w:webHidden/>
              </w:rPr>
              <w:t>11</w:t>
            </w:r>
            <w:r>
              <w:rPr>
                <w:noProof/>
                <w:webHidden/>
              </w:rPr>
              <w:fldChar w:fldCharType="end"/>
            </w:r>
          </w:hyperlink>
        </w:p>
        <w:p w14:paraId="293CFD63"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4" w:history="1">
            <w:r w:rsidRPr="00106EE5">
              <w:rPr>
                <w:rStyle w:val="Hyperlink"/>
                <w:rFonts w:ascii="Arial" w:hAnsi="Arial" w:cs="Arial"/>
                <w:noProof/>
              </w:rPr>
              <w:t>2.4.3 Critical Analysis</w:t>
            </w:r>
            <w:r>
              <w:rPr>
                <w:noProof/>
                <w:webHidden/>
              </w:rPr>
              <w:tab/>
            </w:r>
            <w:r>
              <w:rPr>
                <w:noProof/>
                <w:webHidden/>
              </w:rPr>
              <w:fldChar w:fldCharType="begin"/>
            </w:r>
            <w:r>
              <w:rPr>
                <w:noProof/>
                <w:webHidden/>
              </w:rPr>
              <w:instrText xml:space="preserve"> PAGEREF _Toc216787604 \h </w:instrText>
            </w:r>
            <w:r>
              <w:rPr>
                <w:noProof/>
                <w:webHidden/>
              </w:rPr>
            </w:r>
            <w:r>
              <w:rPr>
                <w:noProof/>
                <w:webHidden/>
              </w:rPr>
              <w:fldChar w:fldCharType="separate"/>
            </w:r>
            <w:r>
              <w:rPr>
                <w:noProof/>
                <w:webHidden/>
              </w:rPr>
              <w:t>12</w:t>
            </w:r>
            <w:r>
              <w:rPr>
                <w:noProof/>
                <w:webHidden/>
              </w:rPr>
              <w:fldChar w:fldCharType="end"/>
            </w:r>
          </w:hyperlink>
        </w:p>
        <w:p w14:paraId="23D175F7"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5" w:history="1">
            <w:r w:rsidRPr="00106EE5">
              <w:rPr>
                <w:rStyle w:val="Hyperlink"/>
                <w:rFonts w:ascii="Arial" w:hAnsi="Arial" w:cs="Arial"/>
                <w:noProof/>
              </w:rPr>
              <w:t>2.4.4 Outcomes</w:t>
            </w:r>
            <w:r>
              <w:rPr>
                <w:noProof/>
                <w:webHidden/>
              </w:rPr>
              <w:tab/>
            </w:r>
            <w:r>
              <w:rPr>
                <w:noProof/>
                <w:webHidden/>
              </w:rPr>
              <w:fldChar w:fldCharType="begin"/>
            </w:r>
            <w:r>
              <w:rPr>
                <w:noProof/>
                <w:webHidden/>
              </w:rPr>
              <w:instrText xml:space="preserve"> PAGEREF _Toc216787605 \h </w:instrText>
            </w:r>
            <w:r>
              <w:rPr>
                <w:noProof/>
                <w:webHidden/>
              </w:rPr>
            </w:r>
            <w:r>
              <w:rPr>
                <w:noProof/>
                <w:webHidden/>
              </w:rPr>
              <w:fldChar w:fldCharType="separate"/>
            </w:r>
            <w:r>
              <w:rPr>
                <w:noProof/>
                <w:webHidden/>
              </w:rPr>
              <w:t>12</w:t>
            </w:r>
            <w:r>
              <w:rPr>
                <w:noProof/>
                <w:webHidden/>
              </w:rPr>
              <w:fldChar w:fldCharType="end"/>
            </w:r>
          </w:hyperlink>
        </w:p>
        <w:p w14:paraId="35A744A5"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06" w:history="1">
            <w:r w:rsidRPr="00106EE5">
              <w:rPr>
                <w:rStyle w:val="Hyperlink"/>
                <w:rFonts w:ascii="Arial" w:hAnsi="Arial" w:cs="Arial"/>
                <w:noProof/>
              </w:rPr>
              <w:t>2.5 Canada</w:t>
            </w:r>
            <w:r>
              <w:rPr>
                <w:noProof/>
                <w:webHidden/>
              </w:rPr>
              <w:tab/>
            </w:r>
            <w:r>
              <w:rPr>
                <w:noProof/>
                <w:webHidden/>
              </w:rPr>
              <w:fldChar w:fldCharType="begin"/>
            </w:r>
            <w:r>
              <w:rPr>
                <w:noProof/>
                <w:webHidden/>
              </w:rPr>
              <w:instrText xml:space="preserve"> PAGEREF _Toc216787606 \h </w:instrText>
            </w:r>
            <w:r>
              <w:rPr>
                <w:noProof/>
                <w:webHidden/>
              </w:rPr>
            </w:r>
            <w:r>
              <w:rPr>
                <w:noProof/>
                <w:webHidden/>
              </w:rPr>
              <w:fldChar w:fldCharType="separate"/>
            </w:r>
            <w:r>
              <w:rPr>
                <w:noProof/>
                <w:webHidden/>
              </w:rPr>
              <w:t>13</w:t>
            </w:r>
            <w:r>
              <w:rPr>
                <w:noProof/>
                <w:webHidden/>
              </w:rPr>
              <w:fldChar w:fldCharType="end"/>
            </w:r>
          </w:hyperlink>
        </w:p>
        <w:p w14:paraId="6D014575"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7" w:history="1">
            <w:r w:rsidRPr="00106EE5">
              <w:rPr>
                <w:rStyle w:val="Hyperlink"/>
                <w:rFonts w:ascii="Arial" w:hAnsi="Arial" w:cs="Arial"/>
                <w:noProof/>
              </w:rPr>
              <w:t>2.5.1 Health System Structure</w:t>
            </w:r>
            <w:r>
              <w:rPr>
                <w:noProof/>
                <w:webHidden/>
              </w:rPr>
              <w:tab/>
            </w:r>
            <w:r>
              <w:rPr>
                <w:noProof/>
                <w:webHidden/>
              </w:rPr>
              <w:fldChar w:fldCharType="begin"/>
            </w:r>
            <w:r>
              <w:rPr>
                <w:noProof/>
                <w:webHidden/>
              </w:rPr>
              <w:instrText xml:space="preserve"> PAGEREF _Toc216787607 \h </w:instrText>
            </w:r>
            <w:r>
              <w:rPr>
                <w:noProof/>
                <w:webHidden/>
              </w:rPr>
            </w:r>
            <w:r>
              <w:rPr>
                <w:noProof/>
                <w:webHidden/>
              </w:rPr>
              <w:fldChar w:fldCharType="separate"/>
            </w:r>
            <w:r>
              <w:rPr>
                <w:noProof/>
                <w:webHidden/>
              </w:rPr>
              <w:t>13</w:t>
            </w:r>
            <w:r>
              <w:rPr>
                <w:noProof/>
                <w:webHidden/>
              </w:rPr>
              <w:fldChar w:fldCharType="end"/>
            </w:r>
          </w:hyperlink>
        </w:p>
        <w:p w14:paraId="64D27956"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8" w:history="1">
            <w:r w:rsidRPr="00106EE5">
              <w:rPr>
                <w:rStyle w:val="Hyperlink"/>
                <w:rFonts w:ascii="Arial" w:hAnsi="Arial" w:cs="Arial"/>
                <w:noProof/>
              </w:rPr>
              <w:t>2.5.2 COVID-19 Governance Approach</w:t>
            </w:r>
            <w:r>
              <w:rPr>
                <w:noProof/>
                <w:webHidden/>
              </w:rPr>
              <w:tab/>
            </w:r>
            <w:r>
              <w:rPr>
                <w:noProof/>
                <w:webHidden/>
              </w:rPr>
              <w:fldChar w:fldCharType="begin"/>
            </w:r>
            <w:r>
              <w:rPr>
                <w:noProof/>
                <w:webHidden/>
              </w:rPr>
              <w:instrText xml:space="preserve"> PAGEREF _Toc216787608 \h </w:instrText>
            </w:r>
            <w:r>
              <w:rPr>
                <w:noProof/>
                <w:webHidden/>
              </w:rPr>
            </w:r>
            <w:r>
              <w:rPr>
                <w:noProof/>
                <w:webHidden/>
              </w:rPr>
              <w:fldChar w:fldCharType="separate"/>
            </w:r>
            <w:r>
              <w:rPr>
                <w:noProof/>
                <w:webHidden/>
              </w:rPr>
              <w:t>14</w:t>
            </w:r>
            <w:r>
              <w:rPr>
                <w:noProof/>
                <w:webHidden/>
              </w:rPr>
              <w:fldChar w:fldCharType="end"/>
            </w:r>
          </w:hyperlink>
        </w:p>
        <w:p w14:paraId="7985BE5E"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09" w:history="1">
            <w:r w:rsidRPr="00106EE5">
              <w:rPr>
                <w:rStyle w:val="Hyperlink"/>
                <w:rFonts w:ascii="Arial" w:hAnsi="Arial" w:cs="Arial"/>
                <w:noProof/>
              </w:rPr>
              <w:t>2.5.3 Critical Analysis</w:t>
            </w:r>
            <w:r>
              <w:rPr>
                <w:noProof/>
                <w:webHidden/>
              </w:rPr>
              <w:tab/>
            </w:r>
            <w:r>
              <w:rPr>
                <w:noProof/>
                <w:webHidden/>
              </w:rPr>
              <w:fldChar w:fldCharType="begin"/>
            </w:r>
            <w:r>
              <w:rPr>
                <w:noProof/>
                <w:webHidden/>
              </w:rPr>
              <w:instrText xml:space="preserve"> PAGEREF _Toc216787609 \h </w:instrText>
            </w:r>
            <w:r>
              <w:rPr>
                <w:noProof/>
                <w:webHidden/>
              </w:rPr>
            </w:r>
            <w:r>
              <w:rPr>
                <w:noProof/>
                <w:webHidden/>
              </w:rPr>
              <w:fldChar w:fldCharType="separate"/>
            </w:r>
            <w:r>
              <w:rPr>
                <w:noProof/>
                <w:webHidden/>
              </w:rPr>
              <w:t>14</w:t>
            </w:r>
            <w:r>
              <w:rPr>
                <w:noProof/>
                <w:webHidden/>
              </w:rPr>
              <w:fldChar w:fldCharType="end"/>
            </w:r>
          </w:hyperlink>
        </w:p>
        <w:p w14:paraId="1AE50C18" w14:textId="77777777" w:rsidR="00171A46" w:rsidRDefault="00171A46">
          <w:pPr>
            <w:pStyle w:val="TOC3"/>
            <w:tabs>
              <w:tab w:val="right" w:leader="dot" w:pos="9054"/>
            </w:tabs>
            <w:rPr>
              <w:rFonts w:asciiTheme="minorHAnsi" w:eastAsiaTheme="minorEastAsia" w:hAnsiTheme="minorHAnsi" w:cs="Mangal"/>
              <w:noProof/>
              <w:sz w:val="22"/>
              <w:szCs w:val="20"/>
              <w:lang w:val="en-IN" w:eastAsia="en-IN" w:bidi="hi-IN"/>
            </w:rPr>
          </w:pPr>
          <w:hyperlink w:anchor="_Toc216787610" w:history="1">
            <w:r w:rsidRPr="00106EE5">
              <w:rPr>
                <w:rStyle w:val="Hyperlink"/>
                <w:rFonts w:ascii="Arial" w:hAnsi="Arial" w:cs="Arial"/>
                <w:noProof/>
              </w:rPr>
              <w:t>2.5.4 Outcomes and Challenges</w:t>
            </w:r>
            <w:r>
              <w:rPr>
                <w:noProof/>
                <w:webHidden/>
              </w:rPr>
              <w:tab/>
            </w:r>
            <w:r>
              <w:rPr>
                <w:noProof/>
                <w:webHidden/>
              </w:rPr>
              <w:fldChar w:fldCharType="begin"/>
            </w:r>
            <w:r>
              <w:rPr>
                <w:noProof/>
                <w:webHidden/>
              </w:rPr>
              <w:instrText xml:space="preserve"> PAGEREF _Toc216787610 \h </w:instrText>
            </w:r>
            <w:r>
              <w:rPr>
                <w:noProof/>
                <w:webHidden/>
              </w:rPr>
            </w:r>
            <w:r>
              <w:rPr>
                <w:noProof/>
                <w:webHidden/>
              </w:rPr>
              <w:fldChar w:fldCharType="separate"/>
            </w:r>
            <w:r>
              <w:rPr>
                <w:noProof/>
                <w:webHidden/>
              </w:rPr>
              <w:t>15</w:t>
            </w:r>
            <w:r>
              <w:rPr>
                <w:noProof/>
                <w:webHidden/>
              </w:rPr>
              <w:fldChar w:fldCharType="end"/>
            </w:r>
          </w:hyperlink>
        </w:p>
        <w:p w14:paraId="600DB694" w14:textId="77777777" w:rsidR="00171A46" w:rsidRDefault="00171A46">
          <w:pPr>
            <w:pStyle w:val="TOC1"/>
            <w:tabs>
              <w:tab w:val="right" w:leader="dot" w:pos="9054"/>
            </w:tabs>
            <w:rPr>
              <w:rFonts w:asciiTheme="minorHAnsi" w:eastAsiaTheme="minorEastAsia" w:hAnsiTheme="minorHAnsi" w:cs="Mangal"/>
              <w:noProof/>
              <w:sz w:val="22"/>
              <w:szCs w:val="20"/>
              <w:lang w:val="en-IN" w:eastAsia="en-IN" w:bidi="hi-IN"/>
            </w:rPr>
          </w:pPr>
          <w:hyperlink w:anchor="_Toc216787611" w:history="1">
            <w:r w:rsidRPr="00106EE5">
              <w:rPr>
                <w:rStyle w:val="Hyperlink"/>
                <w:rFonts w:ascii="Arial" w:hAnsi="Arial" w:cs="Arial"/>
                <w:noProof/>
              </w:rPr>
              <w:t>3. Critical Analysis of Leadership Styles Taken in Each Country</w:t>
            </w:r>
            <w:r>
              <w:rPr>
                <w:noProof/>
                <w:webHidden/>
              </w:rPr>
              <w:tab/>
            </w:r>
            <w:r>
              <w:rPr>
                <w:noProof/>
                <w:webHidden/>
              </w:rPr>
              <w:fldChar w:fldCharType="begin"/>
            </w:r>
            <w:r>
              <w:rPr>
                <w:noProof/>
                <w:webHidden/>
              </w:rPr>
              <w:instrText xml:space="preserve"> PAGEREF _Toc216787611 \h </w:instrText>
            </w:r>
            <w:r>
              <w:rPr>
                <w:noProof/>
                <w:webHidden/>
              </w:rPr>
            </w:r>
            <w:r>
              <w:rPr>
                <w:noProof/>
                <w:webHidden/>
              </w:rPr>
              <w:fldChar w:fldCharType="separate"/>
            </w:r>
            <w:r>
              <w:rPr>
                <w:noProof/>
                <w:webHidden/>
              </w:rPr>
              <w:t>17</w:t>
            </w:r>
            <w:r>
              <w:rPr>
                <w:noProof/>
                <w:webHidden/>
              </w:rPr>
              <w:fldChar w:fldCharType="end"/>
            </w:r>
          </w:hyperlink>
        </w:p>
        <w:p w14:paraId="09223F02"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12" w:history="1">
            <w:r w:rsidRPr="00106EE5">
              <w:rPr>
                <w:rStyle w:val="Hyperlink"/>
                <w:rFonts w:ascii="Arial" w:hAnsi="Arial" w:cs="Arial"/>
                <w:noProof/>
              </w:rPr>
              <w:t>3.1 Leadership Styles in Spain</w:t>
            </w:r>
            <w:r>
              <w:rPr>
                <w:noProof/>
                <w:webHidden/>
              </w:rPr>
              <w:tab/>
            </w:r>
            <w:r>
              <w:rPr>
                <w:noProof/>
                <w:webHidden/>
              </w:rPr>
              <w:fldChar w:fldCharType="begin"/>
            </w:r>
            <w:r>
              <w:rPr>
                <w:noProof/>
                <w:webHidden/>
              </w:rPr>
              <w:instrText xml:space="preserve"> PAGEREF _Toc216787612 \h </w:instrText>
            </w:r>
            <w:r>
              <w:rPr>
                <w:noProof/>
                <w:webHidden/>
              </w:rPr>
            </w:r>
            <w:r>
              <w:rPr>
                <w:noProof/>
                <w:webHidden/>
              </w:rPr>
              <w:fldChar w:fldCharType="separate"/>
            </w:r>
            <w:r>
              <w:rPr>
                <w:noProof/>
                <w:webHidden/>
              </w:rPr>
              <w:t>17</w:t>
            </w:r>
            <w:r>
              <w:rPr>
                <w:noProof/>
                <w:webHidden/>
              </w:rPr>
              <w:fldChar w:fldCharType="end"/>
            </w:r>
          </w:hyperlink>
        </w:p>
        <w:p w14:paraId="01D7F125"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13" w:history="1">
            <w:r w:rsidRPr="00106EE5">
              <w:rPr>
                <w:rStyle w:val="Hyperlink"/>
                <w:rFonts w:ascii="Arial" w:hAnsi="Arial" w:cs="Arial"/>
                <w:noProof/>
              </w:rPr>
              <w:t>3.2 Leadership Styles in South Korea</w:t>
            </w:r>
            <w:r>
              <w:rPr>
                <w:noProof/>
                <w:webHidden/>
              </w:rPr>
              <w:tab/>
            </w:r>
            <w:r>
              <w:rPr>
                <w:noProof/>
                <w:webHidden/>
              </w:rPr>
              <w:fldChar w:fldCharType="begin"/>
            </w:r>
            <w:r>
              <w:rPr>
                <w:noProof/>
                <w:webHidden/>
              </w:rPr>
              <w:instrText xml:space="preserve"> PAGEREF _Toc216787613 \h </w:instrText>
            </w:r>
            <w:r>
              <w:rPr>
                <w:noProof/>
                <w:webHidden/>
              </w:rPr>
            </w:r>
            <w:r>
              <w:rPr>
                <w:noProof/>
                <w:webHidden/>
              </w:rPr>
              <w:fldChar w:fldCharType="separate"/>
            </w:r>
            <w:r>
              <w:rPr>
                <w:noProof/>
                <w:webHidden/>
              </w:rPr>
              <w:t>19</w:t>
            </w:r>
            <w:r>
              <w:rPr>
                <w:noProof/>
                <w:webHidden/>
              </w:rPr>
              <w:fldChar w:fldCharType="end"/>
            </w:r>
          </w:hyperlink>
        </w:p>
        <w:p w14:paraId="544ABB82"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14" w:history="1">
            <w:r w:rsidRPr="00106EE5">
              <w:rPr>
                <w:rStyle w:val="Hyperlink"/>
                <w:rFonts w:ascii="Arial" w:hAnsi="Arial" w:cs="Arial"/>
                <w:noProof/>
              </w:rPr>
              <w:t>3.3 Leadership Styles in Canada</w:t>
            </w:r>
            <w:r>
              <w:rPr>
                <w:noProof/>
                <w:webHidden/>
              </w:rPr>
              <w:tab/>
            </w:r>
            <w:r>
              <w:rPr>
                <w:noProof/>
                <w:webHidden/>
              </w:rPr>
              <w:fldChar w:fldCharType="begin"/>
            </w:r>
            <w:r>
              <w:rPr>
                <w:noProof/>
                <w:webHidden/>
              </w:rPr>
              <w:instrText xml:space="preserve"> PAGEREF _Toc216787614 \h </w:instrText>
            </w:r>
            <w:r>
              <w:rPr>
                <w:noProof/>
                <w:webHidden/>
              </w:rPr>
            </w:r>
            <w:r>
              <w:rPr>
                <w:noProof/>
                <w:webHidden/>
              </w:rPr>
              <w:fldChar w:fldCharType="separate"/>
            </w:r>
            <w:r>
              <w:rPr>
                <w:noProof/>
                <w:webHidden/>
              </w:rPr>
              <w:t>21</w:t>
            </w:r>
            <w:r>
              <w:rPr>
                <w:noProof/>
                <w:webHidden/>
              </w:rPr>
              <w:fldChar w:fldCharType="end"/>
            </w:r>
          </w:hyperlink>
        </w:p>
        <w:p w14:paraId="5208445E" w14:textId="77777777" w:rsidR="00171A46" w:rsidRDefault="00171A46">
          <w:pPr>
            <w:pStyle w:val="TOC2"/>
            <w:tabs>
              <w:tab w:val="right" w:leader="dot" w:pos="9054"/>
            </w:tabs>
            <w:rPr>
              <w:rFonts w:asciiTheme="minorHAnsi" w:eastAsiaTheme="minorEastAsia" w:hAnsiTheme="minorHAnsi" w:cs="Mangal"/>
              <w:noProof/>
              <w:sz w:val="22"/>
              <w:szCs w:val="20"/>
              <w:lang w:val="en-IN" w:eastAsia="en-IN" w:bidi="hi-IN"/>
            </w:rPr>
          </w:pPr>
          <w:hyperlink w:anchor="_Toc216787615" w:history="1">
            <w:r w:rsidRPr="00106EE5">
              <w:rPr>
                <w:rStyle w:val="Hyperlink"/>
                <w:rFonts w:ascii="Arial" w:hAnsi="Arial" w:cs="Arial"/>
                <w:noProof/>
              </w:rPr>
              <w:t>3.4 Comparative Leadership Insights</w:t>
            </w:r>
            <w:r>
              <w:rPr>
                <w:noProof/>
                <w:webHidden/>
              </w:rPr>
              <w:tab/>
            </w:r>
            <w:r>
              <w:rPr>
                <w:noProof/>
                <w:webHidden/>
              </w:rPr>
              <w:fldChar w:fldCharType="begin"/>
            </w:r>
            <w:r>
              <w:rPr>
                <w:noProof/>
                <w:webHidden/>
              </w:rPr>
              <w:instrText xml:space="preserve"> PAGEREF _Toc216787615 \h </w:instrText>
            </w:r>
            <w:r>
              <w:rPr>
                <w:noProof/>
                <w:webHidden/>
              </w:rPr>
            </w:r>
            <w:r>
              <w:rPr>
                <w:noProof/>
                <w:webHidden/>
              </w:rPr>
              <w:fldChar w:fldCharType="separate"/>
            </w:r>
            <w:r>
              <w:rPr>
                <w:noProof/>
                <w:webHidden/>
              </w:rPr>
              <w:t>23</w:t>
            </w:r>
            <w:r>
              <w:rPr>
                <w:noProof/>
                <w:webHidden/>
              </w:rPr>
              <w:fldChar w:fldCharType="end"/>
            </w:r>
          </w:hyperlink>
        </w:p>
        <w:p w14:paraId="2233A856" w14:textId="77777777" w:rsidR="00171A46" w:rsidRDefault="00171A46">
          <w:pPr>
            <w:pStyle w:val="TOC1"/>
            <w:tabs>
              <w:tab w:val="right" w:leader="dot" w:pos="9054"/>
            </w:tabs>
            <w:rPr>
              <w:rFonts w:asciiTheme="minorHAnsi" w:eastAsiaTheme="minorEastAsia" w:hAnsiTheme="minorHAnsi" w:cs="Mangal"/>
              <w:noProof/>
              <w:sz w:val="22"/>
              <w:szCs w:val="20"/>
              <w:lang w:val="en-IN" w:eastAsia="en-IN" w:bidi="hi-IN"/>
            </w:rPr>
          </w:pPr>
          <w:hyperlink w:anchor="_Toc216787616" w:history="1">
            <w:r w:rsidRPr="00106EE5">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_Toc216787616 \h </w:instrText>
            </w:r>
            <w:r>
              <w:rPr>
                <w:noProof/>
                <w:webHidden/>
              </w:rPr>
            </w:r>
            <w:r>
              <w:rPr>
                <w:noProof/>
                <w:webHidden/>
              </w:rPr>
              <w:fldChar w:fldCharType="separate"/>
            </w:r>
            <w:r>
              <w:rPr>
                <w:noProof/>
                <w:webHidden/>
              </w:rPr>
              <w:t>24</w:t>
            </w:r>
            <w:r>
              <w:rPr>
                <w:noProof/>
                <w:webHidden/>
              </w:rPr>
              <w:fldChar w:fldCharType="end"/>
            </w:r>
          </w:hyperlink>
        </w:p>
        <w:p w14:paraId="32CDAB15" w14:textId="77777777" w:rsidR="00171A46" w:rsidRDefault="00171A46">
          <w:pPr>
            <w:pStyle w:val="TOC1"/>
            <w:tabs>
              <w:tab w:val="right" w:leader="dot" w:pos="9054"/>
            </w:tabs>
            <w:rPr>
              <w:rFonts w:asciiTheme="minorHAnsi" w:eastAsiaTheme="minorEastAsia" w:hAnsiTheme="minorHAnsi" w:cs="Mangal"/>
              <w:noProof/>
              <w:sz w:val="22"/>
              <w:szCs w:val="20"/>
              <w:lang w:val="en-IN" w:eastAsia="en-IN" w:bidi="hi-IN"/>
            </w:rPr>
          </w:pPr>
          <w:hyperlink w:anchor="_Toc216787617" w:history="1">
            <w:r w:rsidRPr="00106EE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_Toc216787617 \h </w:instrText>
            </w:r>
            <w:r>
              <w:rPr>
                <w:noProof/>
                <w:webHidden/>
              </w:rPr>
            </w:r>
            <w:r>
              <w:rPr>
                <w:noProof/>
                <w:webHidden/>
              </w:rPr>
              <w:fldChar w:fldCharType="separate"/>
            </w:r>
            <w:r>
              <w:rPr>
                <w:noProof/>
                <w:webHidden/>
              </w:rPr>
              <w:t>25</w:t>
            </w:r>
            <w:r>
              <w:rPr>
                <w:noProof/>
                <w:webHidden/>
              </w:rPr>
              <w:fldChar w:fldCharType="end"/>
            </w:r>
          </w:hyperlink>
        </w:p>
        <w:p w14:paraId="1729152E" w14:textId="77777777" w:rsidR="00C66588" w:rsidRDefault="0084114E">
          <w:pPr>
            <w:spacing w:line="240" w:lineRule="auto"/>
            <w:rPr>
              <w:rFonts w:ascii="Arial" w:hAnsi="Arial" w:cs="Arial"/>
              <w:sz w:val="22"/>
              <w:szCs w:val="22"/>
            </w:rPr>
          </w:pPr>
          <w:r>
            <w:rPr>
              <w:rFonts w:ascii="Arial" w:hAnsi="Arial" w:cs="Arial"/>
              <w:b/>
              <w:bCs/>
              <w:sz w:val="22"/>
              <w:szCs w:val="22"/>
            </w:rPr>
            <w:fldChar w:fldCharType="end"/>
          </w:r>
        </w:p>
      </w:sdtContent>
    </w:sdt>
    <w:p w14:paraId="1E1E434E" w14:textId="77777777" w:rsidR="00C66588" w:rsidRDefault="0084114E">
      <w:pPr>
        <w:spacing w:before="360" w:after="80"/>
        <w:rPr>
          <w:rFonts w:ascii="Arial" w:hAnsi="Arial" w:cs="Arial"/>
          <w:sz w:val="22"/>
          <w:szCs w:val="22"/>
        </w:rPr>
      </w:pPr>
      <w:r>
        <w:rPr>
          <w:rFonts w:ascii="Arial" w:hAnsi="Arial" w:cs="Arial"/>
          <w:sz w:val="22"/>
          <w:szCs w:val="22"/>
        </w:rPr>
        <w:br w:type="page"/>
      </w:r>
    </w:p>
    <w:p w14:paraId="0A08C6A7" w14:textId="77777777" w:rsidR="00C66588" w:rsidRDefault="0084114E">
      <w:pPr>
        <w:pStyle w:val="Heading1"/>
        <w:keepNext w:val="0"/>
        <w:keepLines w:val="0"/>
        <w:spacing w:before="360" w:after="80"/>
        <w:rPr>
          <w:rFonts w:ascii="Arial" w:hAnsi="Arial" w:cs="Arial"/>
          <w:sz w:val="22"/>
          <w:szCs w:val="22"/>
        </w:rPr>
      </w:pPr>
      <w:bookmarkStart w:id="0" w:name="_heading=h.oyazrgqilujj" w:colFirst="0" w:colLast="0"/>
      <w:bookmarkStart w:id="1" w:name="_Toc216787592"/>
      <w:bookmarkEnd w:id="0"/>
      <w:r>
        <w:rPr>
          <w:rFonts w:ascii="Arial" w:hAnsi="Arial" w:cs="Arial"/>
          <w:sz w:val="22"/>
          <w:szCs w:val="22"/>
        </w:rPr>
        <w:lastRenderedPageBreak/>
        <w:t>1. Introduction</w:t>
      </w:r>
      <w:bookmarkEnd w:id="1"/>
    </w:p>
    <w:p w14:paraId="0DB9BACE" w14:textId="77777777" w:rsidR="00C66588" w:rsidRDefault="0084114E">
      <w:pPr>
        <w:rPr>
          <w:rFonts w:ascii="Arial" w:hAnsi="Arial" w:cs="Arial"/>
          <w:sz w:val="22"/>
          <w:szCs w:val="22"/>
        </w:rPr>
      </w:pPr>
      <w:r>
        <w:rPr>
          <w:rFonts w:ascii="Arial" w:hAnsi="Arial" w:cs="Arial"/>
          <w:sz w:val="22"/>
          <w:szCs w:val="22"/>
        </w:rPr>
        <w:t>The COVID-19 pandemic was a vast and unprecedented public health catastrophe which subjected health systems to extreme challenges in all parts of the globe. In addition to affecting human health epidemiologically, the pandemic served as a stress test of the construction of health systems, governance structures, and political leadership. The extent, pace and unpredictability of the crisis revealed the extent to which health systems were capable of coordinating themselves across institutional scales, adapting to new and unstable conditions as well as upholding civic confidence still providing critically needed services.</w:t>
      </w:r>
    </w:p>
    <w:p w14:paraId="294024EA" w14:textId="77777777" w:rsidR="00C66588" w:rsidRDefault="0084114E">
      <w:pPr>
        <w:rPr>
          <w:rFonts w:ascii="Arial" w:hAnsi="Arial" w:cs="Arial"/>
          <w:sz w:val="22"/>
          <w:szCs w:val="22"/>
        </w:rPr>
      </w:pPr>
      <w:r>
        <w:rPr>
          <w:rFonts w:ascii="Arial" w:hAnsi="Arial" w:cs="Arial"/>
          <w:sz w:val="22"/>
          <w:szCs w:val="22"/>
        </w:rPr>
        <w:t>The governance structures at the health system level, especially the extent of centralisation and decentralisation of decision-making, had a strong influence on health systems' response to COVID-19. Centralised systems were seen as potentially providing rapid and homogenous action, whereas in decentralised arrangements, flexibility and responsiveness to local situations were improved. The pandemic, however, proved that these approaches do not work independently. Rather, national, regional, and local lines of interaction with other countries affected the outcomes, with multilevel governance during a crisis playing an important role.</w:t>
      </w:r>
    </w:p>
    <w:p w14:paraId="1CD4E1B4" w14:textId="77777777" w:rsidR="00C66588" w:rsidRDefault="0084114E">
      <w:pPr>
        <w:rPr>
          <w:rFonts w:ascii="Arial" w:hAnsi="Arial" w:cs="Arial"/>
          <w:sz w:val="22"/>
          <w:szCs w:val="22"/>
        </w:rPr>
      </w:pPr>
      <w:r>
        <w:rPr>
          <w:rFonts w:ascii="Arial" w:hAnsi="Arial" w:cs="Arial"/>
          <w:sz w:val="22"/>
          <w:szCs w:val="22"/>
        </w:rPr>
        <w:t>Governance and Leadership should be analysed in combination. Leadership shapes how authority is employed, coordination takes place among institutions, and systems react to pressure. Structural weaknesses can be countered through good leadership, and structural difficulties can be compounded by bad leadership. The report applies the systems thinking approach, which perceives health systems in the form of complex adaptive systems, which are characterised by interdependency, feedback loops and dynamic interaction. And in this regard, it analyses critically the role of differing levels of centralisation as well as leadership in responding to COVID-19 in Spain, South Korea, and Canada, especially focusing on the aspect of governance alignment, coordination, and system resilience.</w:t>
      </w:r>
      <w:r>
        <w:rPr>
          <w:rFonts w:ascii="Arial" w:hAnsi="Arial" w:cs="Arial"/>
          <w:sz w:val="22"/>
          <w:szCs w:val="22"/>
        </w:rPr>
        <w:br w:type="page"/>
      </w:r>
    </w:p>
    <w:p w14:paraId="2DE36ED0" w14:textId="77777777" w:rsidR="00C66588" w:rsidRDefault="0084114E">
      <w:pPr>
        <w:pStyle w:val="Heading1"/>
        <w:keepNext w:val="0"/>
        <w:keepLines w:val="0"/>
        <w:spacing w:before="360" w:after="80"/>
        <w:rPr>
          <w:rFonts w:ascii="Arial" w:hAnsi="Arial" w:cs="Arial"/>
          <w:sz w:val="22"/>
          <w:szCs w:val="22"/>
        </w:rPr>
      </w:pPr>
      <w:bookmarkStart w:id="2" w:name="_heading=h.qnaiwu1jv5ry" w:colFirst="0" w:colLast="0"/>
      <w:bookmarkStart w:id="3" w:name="_Toc216787593"/>
      <w:bookmarkEnd w:id="2"/>
      <w:r>
        <w:rPr>
          <w:rFonts w:ascii="Arial" w:hAnsi="Arial" w:cs="Arial"/>
          <w:sz w:val="22"/>
          <w:szCs w:val="22"/>
        </w:rPr>
        <w:lastRenderedPageBreak/>
        <w:t>2. Country Case Study Analysis</w:t>
      </w:r>
      <w:bookmarkEnd w:id="3"/>
    </w:p>
    <w:p w14:paraId="091EF2CA" w14:textId="77777777" w:rsidR="00C66588" w:rsidRDefault="0084114E">
      <w:pPr>
        <w:pStyle w:val="Heading2"/>
        <w:rPr>
          <w:rFonts w:ascii="Arial" w:hAnsi="Arial" w:cs="Arial"/>
          <w:sz w:val="22"/>
          <w:szCs w:val="22"/>
        </w:rPr>
      </w:pPr>
      <w:bookmarkStart w:id="4" w:name="_heading=h.rop06maarlqu" w:colFirst="0" w:colLast="0"/>
      <w:bookmarkStart w:id="5" w:name="_Toc216787594"/>
      <w:bookmarkEnd w:id="4"/>
      <w:r>
        <w:rPr>
          <w:rFonts w:ascii="Arial" w:hAnsi="Arial" w:cs="Arial"/>
          <w:sz w:val="22"/>
          <w:szCs w:val="22"/>
        </w:rPr>
        <w:t>2.1 Centralisation and Decentralisation in Healthcare</w:t>
      </w:r>
      <w:bookmarkEnd w:id="5"/>
    </w:p>
    <w:p w14:paraId="0354DEF7" w14:textId="77777777" w:rsidR="00C66588" w:rsidRDefault="0084114E">
      <w:pPr>
        <w:rPr>
          <w:rFonts w:ascii="Arial" w:hAnsi="Arial" w:cs="Arial"/>
          <w:sz w:val="22"/>
          <w:szCs w:val="22"/>
        </w:rPr>
      </w:pPr>
      <w:r>
        <w:rPr>
          <w:rFonts w:ascii="Arial" w:hAnsi="Arial" w:cs="Arial"/>
          <w:sz w:val="22"/>
          <w:szCs w:val="22"/>
        </w:rPr>
        <w:t>Centralisation in the field of healthcare refers to the control of power, authority, and resource distribution at the national level. In the very centralised systems, governments are in direct control of policy direction, crisis management, and implementation by use of standardised regulations and formalised command lines. Centralisation may be used during nationally significant COVID-19 incidents, specifically the pandemics, to help mobilise resources quickly, provide effective communication nationally and make a decisive intervention throughout the health sector (Royo, 2020). The characteristics have the potential to increase system-wide coordination and minimise policy ambiguity during crises.</w:t>
      </w:r>
    </w:p>
    <w:p w14:paraId="69FA6A51" w14:textId="77777777" w:rsidR="00C66588" w:rsidRDefault="0084114E">
      <w:pPr>
        <w:rPr>
          <w:rFonts w:ascii="Arial" w:hAnsi="Arial" w:cs="Arial"/>
          <w:sz w:val="22"/>
          <w:szCs w:val="22"/>
        </w:rPr>
      </w:pPr>
      <w:r>
        <w:rPr>
          <w:rFonts w:ascii="Arial" w:hAnsi="Arial" w:cs="Arial"/>
          <w:sz w:val="22"/>
          <w:szCs w:val="22"/>
        </w:rPr>
        <w:t>Centralisation is, however, also limited. Highly centralised decision-making may decrease its flexibility and slow its context-responsive reactions, specifically when the local epidemiological circumstances differ. Policies on a national level might be inadequate in capturing regional variations in the ability of the health system, the demography of the population, or social determinants of health. This leads to over-centralisation that may result in a stiffening of responses that fail to fit the local requirements, which may affect performance in a long-term crisis.</w:t>
      </w:r>
    </w:p>
    <w:p w14:paraId="46CD954C" w14:textId="77777777" w:rsidR="00C66588" w:rsidRDefault="0084114E">
      <w:pPr>
        <w:rPr>
          <w:rFonts w:ascii="Arial" w:hAnsi="Arial" w:cs="Arial"/>
          <w:sz w:val="22"/>
          <w:szCs w:val="22"/>
        </w:rPr>
      </w:pPr>
      <w:r>
        <w:rPr>
          <w:rFonts w:ascii="Arial" w:hAnsi="Arial" w:cs="Arial"/>
          <w:sz w:val="22"/>
          <w:szCs w:val="22"/>
        </w:rPr>
        <w:t xml:space="preserve">On the other hand, decentralisation is associated with the dispensing of decision-making procedures to the local, regional, or provincial level. Decentralised systems provide the subnational actors with added autonomy in planning, service execution and decision-making. This model allows locally specific interventions to be more responsive to the trends in epidemiological patterns and population needs (Acosta-Hernández et al., 2023). </w:t>
      </w:r>
      <w:r>
        <w:rPr>
          <w:rFonts w:ascii="Arial" w:hAnsi="Arial" w:cs="Arial"/>
          <w:sz w:val="22"/>
          <w:szCs w:val="22"/>
        </w:rPr>
        <w:lastRenderedPageBreak/>
        <w:t>Decentralisation is thus able to make them responsive, promote innovation and create local ownership of the measures of public health.</w:t>
      </w:r>
    </w:p>
    <w:p w14:paraId="57E5565B" w14:textId="77777777" w:rsidR="00C66588" w:rsidRDefault="0084114E">
      <w:pPr>
        <w:pStyle w:val="Heading2"/>
        <w:rPr>
          <w:rFonts w:ascii="Arial" w:hAnsi="Arial" w:cs="Arial"/>
          <w:sz w:val="22"/>
          <w:szCs w:val="22"/>
        </w:rPr>
      </w:pPr>
      <w:bookmarkStart w:id="6" w:name="_heading=h.jq4u1ty2s0ok" w:colFirst="0" w:colLast="0"/>
      <w:bookmarkStart w:id="7" w:name="_Toc216787595"/>
      <w:bookmarkEnd w:id="6"/>
      <w:r>
        <w:rPr>
          <w:rFonts w:ascii="Arial" w:hAnsi="Arial" w:cs="Arial"/>
          <w:sz w:val="22"/>
          <w:szCs w:val="22"/>
        </w:rPr>
        <w:t>2.2 Systems Thinking and Pandemic Governance</w:t>
      </w:r>
      <w:bookmarkEnd w:id="7"/>
    </w:p>
    <w:p w14:paraId="142EC16B" w14:textId="77777777" w:rsidR="00C66588" w:rsidRDefault="0084114E">
      <w:pPr>
        <w:rPr>
          <w:rFonts w:ascii="Arial" w:hAnsi="Arial" w:cs="Arial"/>
          <w:sz w:val="22"/>
          <w:szCs w:val="22"/>
        </w:rPr>
      </w:pPr>
      <w:r>
        <w:rPr>
          <w:rFonts w:ascii="Arial" w:hAnsi="Arial" w:cs="Arial"/>
          <w:sz w:val="22"/>
          <w:szCs w:val="22"/>
        </w:rPr>
        <w:t>Complex adaptive systems conceptualised as associated with health systems are made up of various interacting components, and they include institutions, professionals, policies, as well as populations. Such systems are typified by non-linear behaviour, interdependencies and dynamic feedback loops which affect the way decisions spread through various levels of governance. Systems thinking gives a sense of how these interactions produce health system performance, especially in uncertain conditions.</w:t>
      </w:r>
    </w:p>
    <w:p w14:paraId="60BEEFF9" w14:textId="77777777" w:rsidR="00C66588" w:rsidRDefault="0084114E">
      <w:pPr>
        <w:rPr>
          <w:rFonts w:ascii="Arial" w:hAnsi="Arial" w:cs="Arial"/>
          <w:sz w:val="22"/>
          <w:szCs w:val="22"/>
        </w:rPr>
      </w:pPr>
      <w:r>
        <w:rPr>
          <w:rFonts w:ascii="Arial" w:hAnsi="Arial" w:cs="Arial"/>
          <w:sz w:val="22"/>
          <w:szCs w:val="22"/>
        </w:rPr>
        <w:t>Through the systems thinking approach, pandemic governance requires that coordination across institutional boundaries works, that there is alignment between policy levels, and that there is a continuous flow of information that can serve adaptive decision making (Kang and Lee, 2021). The feedback processes - surveillance data, service capacity indicators, and the response of the people are very vital in allowing systems to be varied over time. The stress or lack of resilience in a system may be increased by having weak feedback loops or a lack of coordination.</w:t>
      </w:r>
    </w:p>
    <w:p w14:paraId="180915F3" w14:textId="77777777" w:rsidR="00C66588" w:rsidRDefault="0084114E">
      <w:pPr>
        <w:pStyle w:val="Heading2"/>
        <w:keepNext w:val="0"/>
        <w:keepLines w:val="0"/>
        <w:spacing w:before="280" w:after="80"/>
        <w:rPr>
          <w:rFonts w:ascii="Arial" w:hAnsi="Arial" w:cs="Arial"/>
          <w:sz w:val="22"/>
          <w:szCs w:val="22"/>
        </w:rPr>
      </w:pPr>
      <w:bookmarkStart w:id="8" w:name="_heading=h.122h5ljrewld" w:colFirst="0" w:colLast="0"/>
      <w:bookmarkStart w:id="9" w:name="_Toc216787596"/>
      <w:bookmarkEnd w:id="8"/>
      <w:r>
        <w:rPr>
          <w:rFonts w:ascii="Arial" w:hAnsi="Arial" w:cs="Arial"/>
          <w:sz w:val="22"/>
          <w:szCs w:val="22"/>
        </w:rPr>
        <w:t>2.3 Spain</w:t>
      </w:r>
      <w:bookmarkEnd w:id="9"/>
    </w:p>
    <w:p w14:paraId="2F9BD3BC" w14:textId="77777777" w:rsidR="00C66588" w:rsidRDefault="0084114E">
      <w:pPr>
        <w:pStyle w:val="Heading3"/>
        <w:keepNext w:val="0"/>
        <w:keepLines w:val="0"/>
        <w:spacing w:after="40" w:line="360" w:lineRule="auto"/>
        <w:rPr>
          <w:rFonts w:ascii="Arial" w:hAnsi="Arial" w:cs="Arial"/>
          <w:sz w:val="22"/>
          <w:szCs w:val="22"/>
        </w:rPr>
      </w:pPr>
      <w:bookmarkStart w:id="10" w:name="_heading=h.ax4t4xwm6dl7" w:colFirst="0" w:colLast="0"/>
      <w:bookmarkStart w:id="11" w:name="_Toc216787597"/>
      <w:bookmarkEnd w:id="10"/>
      <w:r>
        <w:rPr>
          <w:rFonts w:ascii="Arial" w:hAnsi="Arial" w:cs="Arial"/>
          <w:sz w:val="22"/>
          <w:szCs w:val="22"/>
        </w:rPr>
        <w:t>2.3.1 Health System Structure</w:t>
      </w:r>
      <w:bookmarkEnd w:id="11"/>
    </w:p>
    <w:p w14:paraId="08169F94" w14:textId="77777777" w:rsidR="00C66588" w:rsidRDefault="0084114E">
      <w:pPr>
        <w:rPr>
          <w:rFonts w:ascii="Arial" w:hAnsi="Arial" w:cs="Arial"/>
          <w:sz w:val="22"/>
          <w:szCs w:val="22"/>
        </w:rPr>
      </w:pPr>
      <w:r>
        <w:rPr>
          <w:rFonts w:ascii="Arial" w:hAnsi="Arial" w:cs="Arial"/>
          <w:sz w:val="22"/>
          <w:szCs w:val="22"/>
        </w:rPr>
        <w:t xml:space="preserve">Spain has a high-level of decentralised National Health System where the Autonomous Communities have taken a leading role in planning, financing, and delivering healthcare services (Bernal-Delgado et al., 2024). Though the national government still has a stewardship and regulatory role, most of the operational authority lies on the regional level, where </w:t>
      </w:r>
      <w:r>
        <w:rPr>
          <w:rFonts w:ascii="Arial" w:hAnsi="Arial" w:cs="Arial"/>
          <w:sz w:val="22"/>
          <w:szCs w:val="22"/>
        </w:rPr>
        <w:lastRenderedPageBreak/>
        <w:t xml:space="preserve">subnational governments are free to concentrate on healthcare provision to fulfil local population needs (López-Casasnovas and </w:t>
      </w:r>
      <w:proofErr w:type="spellStart"/>
      <w:r>
        <w:rPr>
          <w:rFonts w:ascii="Arial" w:hAnsi="Arial" w:cs="Arial"/>
          <w:sz w:val="22"/>
          <w:szCs w:val="22"/>
        </w:rPr>
        <w:t>Pifarré</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Arolas, 2021). In normal conditions, this decentralised form favours responsiveness, innovativeness in policy and territorial diversity responsiveness within Spain.</w:t>
      </w:r>
    </w:p>
    <w:p w14:paraId="66F4A0CB" w14:textId="77777777" w:rsidR="00C66588" w:rsidRDefault="0084114E">
      <w:pPr>
        <w:rPr>
          <w:rFonts w:ascii="Arial" w:hAnsi="Arial" w:cs="Arial"/>
          <w:sz w:val="22"/>
          <w:szCs w:val="22"/>
        </w:rPr>
      </w:pPr>
      <w:r>
        <w:rPr>
          <w:rFonts w:ascii="Arial" w:hAnsi="Arial" w:cs="Arial"/>
          <w:sz w:val="22"/>
          <w:szCs w:val="22"/>
        </w:rPr>
        <w:t>Nevertheless, structural fragmentation is also embedded in this model within the system. Different levels of administrative capacity, availability of resources, and governance efficiency in the Autonomous Communities cause unequal levels of preparedness and delivery of services. These variations are usually easily handled in regular situations, but are even more apparent when there is a national disaster which necessitates action taken by various regions. The Spanish system of health, thus, is a perfect example of the natural clash between decentralised governance and its requirement of common, national coordination in case of crisis.</w:t>
      </w:r>
    </w:p>
    <w:p w14:paraId="51C97625" w14:textId="77777777" w:rsidR="00C66588" w:rsidRDefault="0084114E">
      <w:pPr>
        <w:pStyle w:val="Heading3"/>
        <w:keepNext w:val="0"/>
        <w:keepLines w:val="0"/>
        <w:spacing w:after="40" w:line="360" w:lineRule="auto"/>
        <w:rPr>
          <w:rFonts w:ascii="Arial" w:hAnsi="Arial" w:cs="Arial"/>
          <w:sz w:val="22"/>
          <w:szCs w:val="22"/>
        </w:rPr>
      </w:pPr>
      <w:bookmarkStart w:id="12" w:name="_heading=h.l2is8k5irnso" w:colFirst="0" w:colLast="0"/>
      <w:bookmarkStart w:id="13" w:name="_Toc216787598"/>
      <w:bookmarkEnd w:id="12"/>
      <w:r>
        <w:rPr>
          <w:rFonts w:ascii="Arial" w:hAnsi="Arial" w:cs="Arial"/>
          <w:sz w:val="22"/>
          <w:szCs w:val="22"/>
        </w:rPr>
        <w:t>2.3.2 COVID-19 Governance Approach</w:t>
      </w:r>
      <w:bookmarkEnd w:id="13"/>
    </w:p>
    <w:p w14:paraId="38C64095" w14:textId="77777777" w:rsidR="00C66588" w:rsidRDefault="0084114E">
      <w:pPr>
        <w:rPr>
          <w:rFonts w:ascii="Arial" w:hAnsi="Arial" w:cs="Arial"/>
          <w:sz w:val="22"/>
          <w:szCs w:val="22"/>
        </w:rPr>
      </w:pPr>
      <w:r>
        <w:rPr>
          <w:rFonts w:ascii="Arial" w:hAnsi="Arial" w:cs="Arial"/>
          <w:sz w:val="22"/>
          <w:szCs w:val="22"/>
        </w:rPr>
        <w:t>The decentralised form of government in the early days of the COVID-19 pandemic has led to the chaotic national response in Spain. The containment measures were first performed with a lot of discretion by the regional authorities and led to disproportions in the timing, extent and severity of interventions nationwide (Royo, 2020). Weak initial coordination efforts prevented the central government from executing a consistent public health policy to further forestall its capacity to act decisively on a national level.</w:t>
      </w:r>
    </w:p>
    <w:p w14:paraId="28A8777C" w14:textId="77777777" w:rsidR="00C66588" w:rsidRDefault="0084114E">
      <w:pPr>
        <w:rPr>
          <w:rFonts w:ascii="Arial" w:hAnsi="Arial" w:cs="Arial"/>
          <w:sz w:val="22"/>
          <w:szCs w:val="22"/>
        </w:rPr>
      </w:pPr>
      <w:r>
        <w:rPr>
          <w:rFonts w:ascii="Arial" w:hAnsi="Arial" w:cs="Arial"/>
          <w:sz w:val="22"/>
          <w:szCs w:val="22"/>
        </w:rPr>
        <w:t>When the rates of infection grew at a fast pace, the government of Spain proclaimed the state of alarm, re-centralising the power control over primary issues in the pandemic regulation, such as mobility restrictions, emergency procurement, and collective decision-making of a medical institution (</w:t>
      </w:r>
      <w:proofErr w:type="spellStart"/>
      <w:r>
        <w:rPr>
          <w:rFonts w:ascii="Arial" w:hAnsi="Arial" w:cs="Arial"/>
          <w:sz w:val="22"/>
          <w:szCs w:val="22"/>
        </w:rPr>
        <w:t>Angelici</w:t>
      </w:r>
      <w:proofErr w:type="spellEnd"/>
      <w:r>
        <w:rPr>
          <w:rFonts w:ascii="Arial" w:hAnsi="Arial" w:cs="Arial"/>
          <w:sz w:val="22"/>
          <w:szCs w:val="22"/>
        </w:rPr>
        <w:t xml:space="preserve"> et al., 2023). This change was a great reorganisation of the multilevel </w:t>
      </w:r>
      <w:r>
        <w:rPr>
          <w:rFonts w:ascii="Arial" w:hAnsi="Arial" w:cs="Arial"/>
          <w:sz w:val="22"/>
          <w:szCs w:val="22"/>
        </w:rPr>
        <w:lastRenderedPageBreak/>
        <w:t>government structures in Spain. Emergency powers allowed the central government to take over the autonomy of the regions to offer homogeneous measures that were aimed at curbing the transmission of viruses and stabilising the health system.</w:t>
      </w:r>
    </w:p>
    <w:p w14:paraId="61FCA457" w14:textId="77777777" w:rsidR="00C66588" w:rsidRDefault="0084114E">
      <w:pPr>
        <w:pStyle w:val="Heading3"/>
        <w:keepNext w:val="0"/>
        <w:keepLines w:val="0"/>
        <w:spacing w:after="40" w:line="360" w:lineRule="auto"/>
        <w:rPr>
          <w:rFonts w:ascii="Arial" w:hAnsi="Arial" w:cs="Arial"/>
          <w:sz w:val="22"/>
          <w:szCs w:val="22"/>
        </w:rPr>
      </w:pPr>
      <w:bookmarkStart w:id="14" w:name="_heading=h.h94398zctmv" w:colFirst="0" w:colLast="0"/>
      <w:bookmarkStart w:id="15" w:name="_Toc216787599"/>
      <w:bookmarkEnd w:id="14"/>
      <w:r>
        <w:rPr>
          <w:rFonts w:ascii="Arial" w:hAnsi="Arial" w:cs="Arial"/>
          <w:sz w:val="22"/>
          <w:szCs w:val="22"/>
        </w:rPr>
        <w:t>2.3.3 Critical Analysis</w:t>
      </w:r>
      <w:bookmarkEnd w:id="15"/>
    </w:p>
    <w:p w14:paraId="343984B5" w14:textId="77777777" w:rsidR="00C66588" w:rsidRDefault="0084114E">
      <w:pPr>
        <w:rPr>
          <w:rFonts w:ascii="Arial" w:hAnsi="Arial" w:cs="Arial"/>
          <w:sz w:val="22"/>
          <w:szCs w:val="22"/>
        </w:rPr>
      </w:pPr>
      <w:r>
        <w:rPr>
          <w:rFonts w:ascii="Arial" w:hAnsi="Arial" w:cs="Arial"/>
          <w:sz w:val="22"/>
          <w:szCs w:val="22"/>
        </w:rPr>
        <w:t>Emergency centralisation allowed the national government to have uniform lockdown restrictions throughout Spain and lessen policy heterogeneity and respond more quickly to the acute stage of the pandemic on a country-wide scale (Navarro and Velasco, 2022). A more coordinated approach to vaccinations was also made easier by centralised authority, and it helped Spain achieve one of the highest vaccination coverage rates after getting vaccines (Koehling, 2021). All these actions underscore the ability of centralisation to improve the strategic coordination process, equity in the accessibility of interventions, and interregional disparities during times of increased risk.</w:t>
      </w:r>
    </w:p>
    <w:p w14:paraId="1DA4EB33" w14:textId="77777777" w:rsidR="00C66588" w:rsidRDefault="0084114E">
      <w:pPr>
        <w:rPr>
          <w:rFonts w:ascii="Arial" w:hAnsi="Arial" w:cs="Arial"/>
          <w:sz w:val="22"/>
          <w:szCs w:val="22"/>
        </w:rPr>
      </w:pPr>
      <w:r>
        <w:rPr>
          <w:rFonts w:ascii="Arial" w:hAnsi="Arial" w:cs="Arial"/>
          <w:sz w:val="22"/>
          <w:szCs w:val="22"/>
        </w:rPr>
        <w:t>Governance-wise, centralisation of decision-making helped deal with the failure to coordinate among the responses that had arisen in the first decentralised response. The consistency of policies minimised uncertainty both between the healthcare providers and to the general population, which increased the effectiveness of compliance and legitimacy of containment actions. This stage was accompanied by central leadership that gave greater direction and mobilisation of the national resources became more efficient.</w:t>
      </w:r>
    </w:p>
    <w:p w14:paraId="5ADFB607" w14:textId="77777777" w:rsidR="00C66588" w:rsidRDefault="0084114E">
      <w:pPr>
        <w:rPr>
          <w:rFonts w:ascii="Arial" w:hAnsi="Arial" w:cs="Arial"/>
          <w:sz w:val="22"/>
          <w:szCs w:val="22"/>
        </w:rPr>
      </w:pPr>
      <w:r>
        <w:rPr>
          <w:rFonts w:ascii="Arial" w:hAnsi="Arial" w:cs="Arial"/>
          <w:sz w:val="22"/>
          <w:szCs w:val="22"/>
        </w:rPr>
        <w:t xml:space="preserve">Nonetheless, this shift could not be as effective as limited by previous delays. A lack of national coordination in the first wave inhibited preparedness and increased the regional difference in response capacity (Mattei and Del Pino, 2021). A decentralised structure was not followed with adequately strong mechanisms of rapid escalation and coordination, which exposed the system to risks, particularly when the crisis was at an early stage. The centralisation of </w:t>
      </w:r>
      <w:r>
        <w:rPr>
          <w:rFonts w:ascii="Arial" w:hAnsi="Arial" w:cs="Arial"/>
          <w:sz w:val="22"/>
          <w:szCs w:val="22"/>
        </w:rPr>
        <w:lastRenderedPageBreak/>
        <w:t xml:space="preserve">emergency was therefore more of a corrective move as opposed to an offensive </w:t>
      </w:r>
      <w:proofErr w:type="gramStart"/>
      <w:r>
        <w:rPr>
          <w:rFonts w:ascii="Arial" w:hAnsi="Arial" w:cs="Arial"/>
          <w:sz w:val="22"/>
          <w:szCs w:val="22"/>
        </w:rPr>
        <w:t>strategy  (</w:t>
      </w:r>
      <w:proofErr w:type="gramEnd"/>
      <w:r>
        <w:rPr>
          <w:rFonts w:ascii="Arial" w:hAnsi="Arial" w:cs="Arial"/>
          <w:sz w:val="22"/>
          <w:szCs w:val="22"/>
        </w:rPr>
        <w:t>Vampa, 2021).</w:t>
      </w:r>
    </w:p>
    <w:p w14:paraId="535714B7" w14:textId="77777777" w:rsidR="00C66588" w:rsidRDefault="0084114E">
      <w:pPr>
        <w:pStyle w:val="Heading3"/>
        <w:keepNext w:val="0"/>
        <w:keepLines w:val="0"/>
        <w:spacing w:after="40" w:line="360" w:lineRule="auto"/>
        <w:rPr>
          <w:rFonts w:ascii="Arial" w:hAnsi="Arial" w:cs="Arial"/>
          <w:sz w:val="22"/>
          <w:szCs w:val="22"/>
        </w:rPr>
      </w:pPr>
      <w:bookmarkStart w:id="16" w:name="_heading=h.ooqy0kgiojqd" w:colFirst="0" w:colLast="0"/>
      <w:bookmarkStart w:id="17" w:name="_Toc216787600"/>
      <w:bookmarkEnd w:id="16"/>
      <w:r>
        <w:rPr>
          <w:rFonts w:ascii="Arial" w:hAnsi="Arial" w:cs="Arial"/>
          <w:sz w:val="22"/>
          <w:szCs w:val="22"/>
        </w:rPr>
        <w:t>2.3.4 Outcomes and Challenges</w:t>
      </w:r>
      <w:bookmarkEnd w:id="17"/>
    </w:p>
    <w:p w14:paraId="4EC29914" w14:textId="77777777" w:rsidR="00C66588" w:rsidRDefault="0084114E">
      <w:pPr>
        <w:rPr>
          <w:rFonts w:ascii="Arial" w:hAnsi="Arial" w:cs="Arial"/>
          <w:sz w:val="22"/>
          <w:szCs w:val="22"/>
        </w:rPr>
      </w:pPr>
      <w:r>
        <w:rPr>
          <w:rFonts w:ascii="Arial" w:hAnsi="Arial" w:cs="Arial"/>
          <w:sz w:val="22"/>
          <w:szCs w:val="22"/>
        </w:rPr>
        <w:t>Divided initial appeal led to major pressure in intensive care units, which revealed vulnerabilities in intensive care capacity, staff coordination, and resource distribution (Acosta-Hernandez et al., 2023). Such pressures were situated unequally all over the regions, and they reflected disparities in healthcare infrastructure and readiness. The failure to quickly redistribute resources across Autonomous Communities also increased the strain on the systems during the peak of the moment of hospitalisation.</w:t>
      </w:r>
    </w:p>
    <w:p w14:paraId="1A7783FC" w14:textId="77777777" w:rsidR="00C66588" w:rsidRDefault="0084114E">
      <w:pPr>
        <w:rPr>
          <w:rFonts w:ascii="Arial" w:hAnsi="Arial" w:cs="Arial"/>
          <w:sz w:val="22"/>
          <w:szCs w:val="22"/>
        </w:rPr>
      </w:pPr>
      <w:r>
        <w:rPr>
          <w:rFonts w:ascii="Arial" w:hAnsi="Arial" w:cs="Arial"/>
          <w:sz w:val="22"/>
          <w:szCs w:val="22"/>
        </w:rPr>
        <w:t>Territorial and socioeconomic disparities that had persisted in Spain were also detected through the patterns of mortality during the pandemic (González and Rodríguez-Gonzalez, 2021). Areas with greater deprivation and a small healthcare capacity had disproportionately bad results, noting the potential of how the decentralised system can add to the already existing disparity in the lack of coordination mechanisms. These findings highlight the significance of equity-oriented governance in the context of the emergent situation in the field of public health.</w:t>
      </w:r>
    </w:p>
    <w:p w14:paraId="760F2DB7" w14:textId="77777777" w:rsidR="00C66588" w:rsidRDefault="0084114E">
      <w:pPr>
        <w:pStyle w:val="Heading2"/>
        <w:keepNext w:val="0"/>
        <w:keepLines w:val="0"/>
        <w:spacing w:before="280" w:after="80"/>
        <w:rPr>
          <w:rFonts w:ascii="Arial" w:hAnsi="Arial" w:cs="Arial"/>
          <w:sz w:val="22"/>
          <w:szCs w:val="22"/>
        </w:rPr>
      </w:pPr>
      <w:bookmarkStart w:id="18" w:name="_heading=h.2yvgk5mzpfac" w:colFirst="0" w:colLast="0"/>
      <w:bookmarkStart w:id="19" w:name="_Toc216787601"/>
      <w:bookmarkEnd w:id="18"/>
      <w:r>
        <w:rPr>
          <w:rFonts w:ascii="Arial" w:hAnsi="Arial" w:cs="Arial"/>
          <w:sz w:val="22"/>
          <w:szCs w:val="22"/>
        </w:rPr>
        <w:t>2.4 South Korea</w:t>
      </w:r>
      <w:bookmarkEnd w:id="19"/>
    </w:p>
    <w:p w14:paraId="3F59B726" w14:textId="77777777" w:rsidR="00C66588" w:rsidRDefault="0084114E">
      <w:pPr>
        <w:pStyle w:val="Heading3"/>
        <w:keepNext w:val="0"/>
        <w:keepLines w:val="0"/>
        <w:spacing w:after="40" w:line="360" w:lineRule="auto"/>
        <w:rPr>
          <w:rFonts w:ascii="Arial" w:hAnsi="Arial" w:cs="Arial"/>
          <w:sz w:val="22"/>
          <w:szCs w:val="22"/>
        </w:rPr>
      </w:pPr>
      <w:bookmarkStart w:id="20" w:name="_heading=h.n9n8epehrnri" w:colFirst="0" w:colLast="0"/>
      <w:bookmarkStart w:id="21" w:name="_Toc216787602"/>
      <w:bookmarkEnd w:id="20"/>
      <w:r>
        <w:rPr>
          <w:rFonts w:ascii="Arial" w:hAnsi="Arial" w:cs="Arial"/>
          <w:sz w:val="22"/>
          <w:szCs w:val="22"/>
        </w:rPr>
        <w:t>2.4.1 Health System and Governance Context</w:t>
      </w:r>
      <w:bookmarkEnd w:id="21"/>
    </w:p>
    <w:p w14:paraId="6FD3F568" w14:textId="77777777" w:rsidR="00C66588" w:rsidRDefault="0084114E">
      <w:pPr>
        <w:rPr>
          <w:rFonts w:ascii="Arial" w:hAnsi="Arial" w:cs="Arial"/>
          <w:sz w:val="22"/>
          <w:szCs w:val="22"/>
        </w:rPr>
      </w:pPr>
      <w:r>
        <w:rPr>
          <w:rFonts w:ascii="Arial" w:hAnsi="Arial" w:cs="Arial"/>
          <w:sz w:val="22"/>
          <w:szCs w:val="22"/>
        </w:rPr>
        <w:t xml:space="preserve">In South Korea, it can be said that the system of health governance is highly centralised, and the dictatorship of the leaders of the most important organizations in the context of the pandemic is based on strong institutions, and the activity of the state is regulated by a powerful legislative framework after the outbreak of the Middle East Respiratory Syndrome (MERS) (Sohn, 2022). The MERS reforms led to massive empowerment of the central government </w:t>
      </w:r>
      <w:r>
        <w:rPr>
          <w:rFonts w:ascii="Arial" w:hAnsi="Arial" w:cs="Arial"/>
          <w:sz w:val="22"/>
          <w:szCs w:val="22"/>
        </w:rPr>
        <w:lastRenderedPageBreak/>
        <w:t>agencies in monitoring, emergency management, and the coordination of the sector. This policy and legal readiness gave a good base to the organisation of the large-scale public health-related crises.</w:t>
      </w:r>
    </w:p>
    <w:p w14:paraId="317A975C" w14:textId="77777777" w:rsidR="00C66588" w:rsidRDefault="0084114E">
      <w:pPr>
        <w:rPr>
          <w:rFonts w:ascii="Arial" w:hAnsi="Arial" w:cs="Arial"/>
          <w:sz w:val="22"/>
          <w:szCs w:val="22"/>
        </w:rPr>
      </w:pPr>
      <w:r>
        <w:rPr>
          <w:rFonts w:ascii="Arial" w:hAnsi="Arial" w:cs="Arial"/>
          <w:sz w:val="22"/>
          <w:szCs w:val="22"/>
        </w:rPr>
        <w:t>The implementation of the public governance of health in the national affairs allowed South Korea to exercise the power of authority and decisiveness. Central agencies had the mandate and operational capacity to facilitate inter-ministry, healthcare providers, and local governments. Therefore, decision-making was simplified, and less confusion occurred when making roles and responsibilities. Such a readiness has provided positive opportunities to combine and respond to the crisis when COVID-19 was introduced and transition the system to a quicker shift to detection and intervention stages (Yoon et al., 2024).</w:t>
      </w:r>
    </w:p>
    <w:p w14:paraId="470D7292" w14:textId="77777777" w:rsidR="00C66588" w:rsidRDefault="0084114E">
      <w:pPr>
        <w:pStyle w:val="Heading3"/>
        <w:keepNext w:val="0"/>
        <w:keepLines w:val="0"/>
        <w:spacing w:after="40" w:line="360" w:lineRule="auto"/>
        <w:rPr>
          <w:rFonts w:ascii="Arial" w:hAnsi="Arial" w:cs="Arial"/>
          <w:sz w:val="22"/>
          <w:szCs w:val="22"/>
        </w:rPr>
      </w:pPr>
      <w:bookmarkStart w:id="22" w:name="_heading=h.mgbvhku647zo" w:colFirst="0" w:colLast="0"/>
      <w:bookmarkStart w:id="23" w:name="_Toc216787603"/>
      <w:bookmarkEnd w:id="22"/>
      <w:r>
        <w:rPr>
          <w:rFonts w:ascii="Arial" w:hAnsi="Arial" w:cs="Arial"/>
          <w:sz w:val="22"/>
          <w:szCs w:val="22"/>
        </w:rPr>
        <w:t>2.4.2 COVID-19 Response Model</w:t>
      </w:r>
      <w:bookmarkEnd w:id="23"/>
    </w:p>
    <w:p w14:paraId="69F1362F" w14:textId="77777777" w:rsidR="00C66588" w:rsidRDefault="0084114E">
      <w:pPr>
        <w:rPr>
          <w:rFonts w:ascii="Arial" w:hAnsi="Arial" w:cs="Arial"/>
          <w:sz w:val="22"/>
          <w:szCs w:val="22"/>
        </w:rPr>
      </w:pPr>
      <w:r>
        <w:rPr>
          <w:rFonts w:ascii="Arial" w:hAnsi="Arial" w:cs="Arial"/>
          <w:sz w:val="22"/>
          <w:szCs w:val="22"/>
        </w:rPr>
        <w:t>South Korea took a highly centralised model of response, which focused on mass testing, contact tracing, and isolation that was coordinated by national authorities of the national public health authorities for the majority (Rossi et al., 2022). Instead of using mass lockdowns, the approach involved early case detection and an immediate chain of transmission. The main management made sure that the testing procedures, reporting of data and containment measures were being uniformly implemented throughout the country.</w:t>
      </w:r>
    </w:p>
    <w:p w14:paraId="65B89F89" w14:textId="77777777" w:rsidR="00C66588" w:rsidRDefault="0084114E">
      <w:pPr>
        <w:rPr>
          <w:rFonts w:ascii="Arial" w:hAnsi="Arial" w:cs="Arial"/>
          <w:sz w:val="22"/>
          <w:szCs w:val="22"/>
        </w:rPr>
      </w:pPr>
      <w:r>
        <w:rPr>
          <w:rFonts w:ascii="Arial" w:hAnsi="Arial" w:cs="Arial"/>
          <w:sz w:val="22"/>
          <w:szCs w:val="22"/>
        </w:rPr>
        <w:t>The response was characterised by inter-ministerial cooperation. KDCA was used as the central coordinating body, where information and policy alignment between the health, interior, education, and technology sectors was organised (Jae Moon et al., 2021). This horizontal concern led to policy consistency and minimised redundancy, and allowed a whole-of-government response to pandemics. Standard national implementation instruction also brought regional differences down to a minimum and ensured system-wide unity (You, 2020).</w:t>
      </w:r>
    </w:p>
    <w:p w14:paraId="76CD2B46" w14:textId="77777777" w:rsidR="00C66588" w:rsidRDefault="0084114E">
      <w:pPr>
        <w:pStyle w:val="Heading3"/>
        <w:keepNext w:val="0"/>
        <w:keepLines w:val="0"/>
        <w:spacing w:after="40" w:line="360" w:lineRule="auto"/>
        <w:rPr>
          <w:rFonts w:ascii="Arial" w:hAnsi="Arial" w:cs="Arial"/>
          <w:sz w:val="22"/>
          <w:szCs w:val="22"/>
        </w:rPr>
      </w:pPr>
      <w:bookmarkStart w:id="24" w:name="_heading=h.lob1k29f15k2" w:colFirst="0" w:colLast="0"/>
      <w:bookmarkStart w:id="25" w:name="_Toc216787604"/>
      <w:bookmarkEnd w:id="24"/>
      <w:r>
        <w:rPr>
          <w:rFonts w:ascii="Arial" w:hAnsi="Arial" w:cs="Arial"/>
          <w:sz w:val="22"/>
          <w:szCs w:val="22"/>
        </w:rPr>
        <w:lastRenderedPageBreak/>
        <w:t>2.4.3 Critical Analysis</w:t>
      </w:r>
      <w:bookmarkEnd w:id="25"/>
    </w:p>
    <w:p w14:paraId="38021AD6" w14:textId="77777777" w:rsidR="00C66588" w:rsidRDefault="0084114E">
      <w:pPr>
        <w:rPr>
          <w:rFonts w:ascii="Arial" w:hAnsi="Arial" w:cs="Arial"/>
          <w:sz w:val="22"/>
          <w:szCs w:val="22"/>
        </w:rPr>
      </w:pPr>
      <w:r>
        <w:rPr>
          <w:rFonts w:ascii="Arial" w:hAnsi="Arial" w:cs="Arial"/>
          <w:sz w:val="22"/>
          <w:szCs w:val="22"/>
        </w:rPr>
        <w:t>The centralised governance allowed South Korea to be quick and decisive in the initial stages of the pandemic. Strong leadership on a national level ensured rapid development and execution of policies, which meant the nation could ensure the spread of the virus without having to lock down the nation (Lee and Wong, 2021). This would help reduce social and economic impact as it ensured control of infection rates despite demonstrating the possible efficiency benefits of centralisation in times of acute crises.</w:t>
      </w:r>
    </w:p>
    <w:p w14:paraId="43CC47B4" w14:textId="77777777" w:rsidR="00C66588" w:rsidRDefault="0084114E">
      <w:pPr>
        <w:rPr>
          <w:rFonts w:ascii="Arial" w:hAnsi="Arial" w:cs="Arial"/>
          <w:sz w:val="22"/>
          <w:szCs w:val="22"/>
        </w:rPr>
      </w:pPr>
      <w:r>
        <w:rPr>
          <w:rFonts w:ascii="Arial" w:hAnsi="Arial" w:cs="Arial"/>
          <w:sz w:val="22"/>
          <w:szCs w:val="22"/>
        </w:rPr>
        <w:t>Openness in communication also enhanced the response. Premeditated and regular communication of information on the number of cases, exposure sites, and the public health recommendations contributed to increasing the levels of trust and adopting high adherence to non-drug interventions (Ryu et al., 2022). Societal cooperation was high, minimising the enforcement burdens and maximising the effectiveness of the measures of the society's health. The existence of these results reflects that under the conditions of centralisation, combined with the institutional legitimacy and efficient communication, efficiency and collective action may be promoted.</w:t>
      </w:r>
    </w:p>
    <w:p w14:paraId="0EE79491" w14:textId="77777777" w:rsidR="00C66588" w:rsidRDefault="0084114E">
      <w:pPr>
        <w:rPr>
          <w:rFonts w:ascii="Arial" w:hAnsi="Arial" w:cs="Arial"/>
          <w:sz w:val="22"/>
          <w:szCs w:val="22"/>
        </w:rPr>
      </w:pPr>
      <w:r>
        <w:rPr>
          <w:rFonts w:ascii="Arial" w:hAnsi="Arial" w:cs="Arial"/>
          <w:sz w:val="22"/>
          <w:szCs w:val="22"/>
        </w:rPr>
        <w:t xml:space="preserve">Nonetheless, there are also ethical issues that the South Korean model brought up. The widespread adoption of digital technologies in contact tracking and monitoring was based on the gathering and sharing of personal information, which led to raised arguments on privacy, surveillance, and civil liberties (Kang and Lee, 2021). Although these actions played a part in successful containment, they have also centralised power in the hands of institutions of the state and diminished individual freedom. The ethical conflict associated with the response was between the health protection of the population and the rights of </w:t>
      </w:r>
      <w:proofErr w:type="gramStart"/>
      <w:r>
        <w:rPr>
          <w:rFonts w:ascii="Arial" w:hAnsi="Arial" w:cs="Arial"/>
          <w:sz w:val="22"/>
          <w:szCs w:val="22"/>
        </w:rPr>
        <w:t>individuals  (</w:t>
      </w:r>
      <w:proofErr w:type="gramEnd"/>
      <w:r>
        <w:rPr>
          <w:rFonts w:ascii="Arial" w:hAnsi="Arial" w:cs="Arial"/>
          <w:sz w:val="22"/>
          <w:szCs w:val="22"/>
        </w:rPr>
        <w:t>Anom, 2022).</w:t>
      </w:r>
    </w:p>
    <w:p w14:paraId="653B3FC9" w14:textId="77777777" w:rsidR="00C66588" w:rsidRDefault="0084114E">
      <w:pPr>
        <w:pStyle w:val="Heading3"/>
        <w:keepNext w:val="0"/>
        <w:keepLines w:val="0"/>
        <w:spacing w:after="40" w:line="360" w:lineRule="auto"/>
        <w:rPr>
          <w:rFonts w:ascii="Arial" w:hAnsi="Arial" w:cs="Arial"/>
          <w:sz w:val="22"/>
          <w:szCs w:val="22"/>
        </w:rPr>
      </w:pPr>
      <w:bookmarkStart w:id="26" w:name="_heading=h.cbygn5vjo2ho" w:colFirst="0" w:colLast="0"/>
      <w:bookmarkStart w:id="27" w:name="_Toc216787605"/>
      <w:bookmarkEnd w:id="26"/>
      <w:r>
        <w:rPr>
          <w:rFonts w:ascii="Arial" w:hAnsi="Arial" w:cs="Arial"/>
          <w:sz w:val="22"/>
          <w:szCs w:val="22"/>
        </w:rPr>
        <w:t>2.4.4 Outcomes</w:t>
      </w:r>
      <w:bookmarkEnd w:id="27"/>
    </w:p>
    <w:p w14:paraId="2D0AFC4E" w14:textId="77777777" w:rsidR="00C66588" w:rsidRDefault="0084114E">
      <w:pPr>
        <w:rPr>
          <w:rFonts w:ascii="Arial" w:hAnsi="Arial" w:cs="Arial"/>
          <w:sz w:val="22"/>
          <w:szCs w:val="22"/>
        </w:rPr>
      </w:pPr>
      <w:r>
        <w:rPr>
          <w:rFonts w:ascii="Arial" w:hAnsi="Arial" w:cs="Arial"/>
          <w:sz w:val="22"/>
          <w:szCs w:val="22"/>
        </w:rPr>
        <w:lastRenderedPageBreak/>
        <w:t>The performance of South Korea in terms of avoiding prolonged national lockdown and low fatality rates is evidence of the efficiency of a centralised form of governance and preparedness of the institutions (Yoon et al., 2024). The skills to cope with the pandemic and avoid significant disturbance of the current state of affairs support the necessity to take initial action, make a decision, and ensure high levels of compliance among the population.</w:t>
      </w:r>
    </w:p>
    <w:p w14:paraId="197E0099" w14:textId="77777777" w:rsidR="00C66588" w:rsidRDefault="0084114E">
      <w:pPr>
        <w:rPr>
          <w:rFonts w:ascii="Arial" w:hAnsi="Arial" w:cs="Arial"/>
          <w:sz w:val="22"/>
          <w:szCs w:val="22"/>
        </w:rPr>
      </w:pPr>
      <w:r>
        <w:rPr>
          <w:rFonts w:ascii="Arial" w:hAnsi="Arial" w:cs="Arial"/>
          <w:sz w:val="22"/>
          <w:szCs w:val="22"/>
        </w:rPr>
        <w:t>Institutional trust was also very instrumental in maintaining system resilience. There was generally a high level of trust in the existing government and community in relation to following directions and strengthened feelings of corporate responsibility. This confidence, together with the continuity in leadership and alignment in governance, made South Korea among the brightest demonstrations of effective centralised pandemic control (Park et al., 2024).</w:t>
      </w:r>
    </w:p>
    <w:p w14:paraId="11E9B345" w14:textId="77777777" w:rsidR="00C66588" w:rsidRDefault="0084114E">
      <w:pPr>
        <w:pStyle w:val="Heading2"/>
        <w:keepNext w:val="0"/>
        <w:keepLines w:val="0"/>
        <w:spacing w:before="280" w:after="80"/>
        <w:rPr>
          <w:rFonts w:ascii="Arial" w:hAnsi="Arial" w:cs="Arial"/>
          <w:sz w:val="22"/>
          <w:szCs w:val="22"/>
        </w:rPr>
      </w:pPr>
      <w:bookmarkStart w:id="28" w:name="_heading=h.rd6720q5tvjy" w:colFirst="0" w:colLast="0"/>
      <w:bookmarkStart w:id="29" w:name="_Toc216787606"/>
      <w:bookmarkEnd w:id="28"/>
      <w:r>
        <w:rPr>
          <w:rFonts w:ascii="Arial" w:hAnsi="Arial" w:cs="Arial"/>
          <w:sz w:val="22"/>
          <w:szCs w:val="22"/>
        </w:rPr>
        <w:t>2.5 Canada</w:t>
      </w:r>
      <w:bookmarkEnd w:id="29"/>
    </w:p>
    <w:p w14:paraId="4D8F0EB2" w14:textId="77777777" w:rsidR="00C66588" w:rsidRDefault="0084114E">
      <w:pPr>
        <w:pStyle w:val="Heading3"/>
        <w:keepNext w:val="0"/>
        <w:keepLines w:val="0"/>
        <w:spacing w:after="40" w:line="360" w:lineRule="auto"/>
        <w:rPr>
          <w:rFonts w:ascii="Arial" w:hAnsi="Arial" w:cs="Arial"/>
          <w:sz w:val="22"/>
          <w:szCs w:val="22"/>
        </w:rPr>
      </w:pPr>
      <w:bookmarkStart w:id="30" w:name="_heading=h.8zenwfi1oefu" w:colFirst="0" w:colLast="0"/>
      <w:bookmarkStart w:id="31" w:name="_Toc216787607"/>
      <w:bookmarkEnd w:id="30"/>
      <w:r>
        <w:rPr>
          <w:rFonts w:ascii="Arial" w:hAnsi="Arial" w:cs="Arial"/>
          <w:sz w:val="22"/>
          <w:szCs w:val="22"/>
        </w:rPr>
        <w:t>2.5.1 Health System Structure</w:t>
      </w:r>
      <w:bookmarkEnd w:id="31"/>
    </w:p>
    <w:p w14:paraId="04339816" w14:textId="77777777" w:rsidR="00C66588" w:rsidRDefault="0084114E">
      <w:pPr>
        <w:rPr>
          <w:rFonts w:ascii="Arial" w:hAnsi="Arial" w:cs="Arial"/>
          <w:sz w:val="22"/>
          <w:szCs w:val="22"/>
        </w:rPr>
      </w:pPr>
      <w:r>
        <w:rPr>
          <w:rFonts w:ascii="Arial" w:hAnsi="Arial" w:cs="Arial"/>
          <w:sz w:val="22"/>
          <w:szCs w:val="22"/>
        </w:rPr>
        <w:t>The Canadian healthcare system is one of the most visible cases of an extremely decentralised health system, where the constitutional task of healthcare delivery has been entrusted mainly to the provinces (</w:t>
      </w:r>
      <w:proofErr w:type="spellStart"/>
      <w:r>
        <w:rPr>
          <w:rFonts w:ascii="Arial" w:hAnsi="Arial" w:cs="Arial"/>
          <w:sz w:val="22"/>
          <w:szCs w:val="22"/>
        </w:rPr>
        <w:t>Rotteau</w:t>
      </w:r>
      <w:proofErr w:type="spellEnd"/>
      <w:r>
        <w:rPr>
          <w:rFonts w:ascii="Arial" w:hAnsi="Arial" w:cs="Arial"/>
          <w:sz w:val="22"/>
          <w:szCs w:val="22"/>
        </w:rPr>
        <w:t xml:space="preserve"> et al., 2024). Hospitals, public health units, and the provision of long-term care are among the various types of organisations, management, and delivery of health services that fall under the responsibility of the provinces and territories. This decentralised form is supported by high degrees of regional autonomy, whereby the jurisdictions shape services to meet the needs of the local population and the health system capabilities.</w:t>
      </w:r>
    </w:p>
    <w:p w14:paraId="4A5E3A2A" w14:textId="77777777" w:rsidR="00C66588" w:rsidRDefault="0084114E">
      <w:pPr>
        <w:rPr>
          <w:rFonts w:ascii="Arial" w:hAnsi="Arial" w:cs="Arial"/>
          <w:sz w:val="22"/>
          <w:szCs w:val="22"/>
        </w:rPr>
      </w:pPr>
      <w:r>
        <w:rPr>
          <w:rFonts w:ascii="Arial" w:hAnsi="Arial" w:cs="Arial"/>
          <w:sz w:val="22"/>
          <w:szCs w:val="22"/>
        </w:rPr>
        <w:t xml:space="preserve">The federal government has a role that is significant and minor role mainly via funding systems, coordination at a national level, and regulatory recommendations (Hertelendy et al., 2021). Although federal transfers are the backbone of provincial healthcare provision systems in the form of financial assistance, the role of making decisions on such issues as the priorities of the </w:t>
      </w:r>
      <w:r>
        <w:rPr>
          <w:rFonts w:ascii="Arial" w:hAnsi="Arial" w:cs="Arial"/>
          <w:sz w:val="22"/>
          <w:szCs w:val="22"/>
        </w:rPr>
        <w:lastRenderedPageBreak/>
        <w:t>services and the planning of operations remains mostly decentralised. In a normal environment, this type of government allows flexibility, creativity and adaptability to the different regional settings. Nonetheless, it also adds complexity in structure and restricts the capability of the federal government to implement consistent responses to national disasters.</w:t>
      </w:r>
    </w:p>
    <w:p w14:paraId="1BEA439D" w14:textId="77777777" w:rsidR="00C66588" w:rsidRDefault="0084114E">
      <w:pPr>
        <w:pStyle w:val="Heading3"/>
        <w:keepNext w:val="0"/>
        <w:keepLines w:val="0"/>
        <w:spacing w:after="40" w:line="360" w:lineRule="auto"/>
        <w:rPr>
          <w:rFonts w:ascii="Arial" w:hAnsi="Arial" w:cs="Arial"/>
          <w:sz w:val="22"/>
          <w:szCs w:val="22"/>
        </w:rPr>
      </w:pPr>
      <w:bookmarkStart w:id="32" w:name="_heading=h.j1eux97k14rd" w:colFirst="0" w:colLast="0"/>
      <w:bookmarkStart w:id="33" w:name="_Toc216787608"/>
      <w:bookmarkEnd w:id="32"/>
      <w:r>
        <w:rPr>
          <w:rFonts w:ascii="Arial" w:hAnsi="Arial" w:cs="Arial"/>
          <w:sz w:val="22"/>
          <w:szCs w:val="22"/>
        </w:rPr>
        <w:t>2.5.2 COVID-19 Governance Approach</w:t>
      </w:r>
      <w:bookmarkEnd w:id="33"/>
    </w:p>
    <w:p w14:paraId="05309629" w14:textId="77777777" w:rsidR="00C66588" w:rsidRDefault="0084114E">
      <w:pPr>
        <w:rPr>
          <w:rFonts w:ascii="Arial" w:hAnsi="Arial" w:cs="Arial"/>
          <w:sz w:val="22"/>
          <w:szCs w:val="22"/>
        </w:rPr>
      </w:pPr>
      <w:r>
        <w:rPr>
          <w:rFonts w:ascii="Arial" w:hAnsi="Arial" w:cs="Arial"/>
          <w:sz w:val="22"/>
          <w:szCs w:val="22"/>
        </w:rPr>
        <w:t>As the COVID-19 pandemic unfolded, the decentralised model of governance in Canada had created a response, with the character of shared and yet asymmetrical responsibility. The federal leadership concentrated on the coordination, international involvement, government-acquired vaccines, and provision of national guidance on public health, whereas restrictions, testing plans, and healthcare services prioritisation were determined independently by provinces (Mac-</w:t>
      </w:r>
      <w:proofErr w:type="spellStart"/>
      <w:r>
        <w:rPr>
          <w:rFonts w:ascii="Arial" w:hAnsi="Arial" w:cs="Arial"/>
          <w:sz w:val="22"/>
          <w:szCs w:val="22"/>
        </w:rPr>
        <w:t>Seing</w:t>
      </w:r>
      <w:proofErr w:type="spellEnd"/>
      <w:r>
        <w:rPr>
          <w:rFonts w:ascii="Arial" w:hAnsi="Arial" w:cs="Arial"/>
          <w:sz w:val="22"/>
          <w:szCs w:val="22"/>
        </w:rPr>
        <w:t xml:space="preserve"> and Di Ruggiero, 2024). This decentralisation of authority was constitutional but had the drawback of limiting any active, coherent form of action on the national level.</w:t>
      </w:r>
    </w:p>
    <w:p w14:paraId="33FD583F" w14:textId="77777777" w:rsidR="00C66588" w:rsidRDefault="0084114E">
      <w:pPr>
        <w:rPr>
          <w:rFonts w:ascii="Arial" w:hAnsi="Arial" w:cs="Arial"/>
          <w:sz w:val="22"/>
          <w:szCs w:val="22"/>
        </w:rPr>
      </w:pPr>
      <w:r>
        <w:rPr>
          <w:rFonts w:ascii="Arial" w:hAnsi="Arial" w:cs="Arial"/>
          <w:sz w:val="22"/>
          <w:szCs w:val="22"/>
        </w:rPr>
        <w:t>The provincial governments were very close in dispensing justice in terms of providing public health services, and thus variations among jurisdictions. Interregional epidemiological patterns, healthcare resources, and political considerations were manifested by differences in interventions in terms of timing, severity, and length (Walker et al., 2021). As much as this autonomy gave provinces the liberty to respond in local operations, nonetheless, it also led to an upscale in responses in the country in the critical stages of the pandemic.</w:t>
      </w:r>
    </w:p>
    <w:p w14:paraId="192F28F4" w14:textId="77777777" w:rsidR="00C66588" w:rsidRDefault="0084114E">
      <w:pPr>
        <w:pStyle w:val="Heading3"/>
        <w:keepNext w:val="0"/>
        <w:keepLines w:val="0"/>
        <w:spacing w:after="40" w:line="360" w:lineRule="auto"/>
        <w:rPr>
          <w:rFonts w:ascii="Arial" w:hAnsi="Arial" w:cs="Arial"/>
          <w:sz w:val="22"/>
          <w:szCs w:val="22"/>
        </w:rPr>
      </w:pPr>
      <w:bookmarkStart w:id="34" w:name="_heading=h.bxih7wmre10j" w:colFirst="0" w:colLast="0"/>
      <w:bookmarkStart w:id="35" w:name="_Toc216787609"/>
      <w:bookmarkEnd w:id="34"/>
      <w:r>
        <w:rPr>
          <w:rFonts w:ascii="Arial" w:hAnsi="Arial" w:cs="Arial"/>
          <w:sz w:val="22"/>
          <w:szCs w:val="22"/>
        </w:rPr>
        <w:t>2.5.3 Critical Analysis</w:t>
      </w:r>
      <w:bookmarkEnd w:id="35"/>
    </w:p>
    <w:p w14:paraId="4142D7BB" w14:textId="77777777" w:rsidR="00C66588" w:rsidRDefault="0084114E">
      <w:pPr>
        <w:rPr>
          <w:rFonts w:ascii="Arial" w:hAnsi="Arial" w:cs="Arial"/>
          <w:sz w:val="22"/>
          <w:szCs w:val="22"/>
        </w:rPr>
      </w:pPr>
      <w:r>
        <w:rPr>
          <w:rFonts w:ascii="Arial" w:hAnsi="Arial" w:cs="Arial"/>
          <w:sz w:val="22"/>
          <w:szCs w:val="22"/>
        </w:rPr>
        <w:t xml:space="preserve">Decentralisation allowed the provinces to formulate and execute responses tailored to the situation in their area, along with epidemiological factors and system capabilities. This flexibility contributed to the context-specific intervention and allowed creativity within public health </w:t>
      </w:r>
      <w:r>
        <w:rPr>
          <w:rFonts w:ascii="Arial" w:hAnsi="Arial" w:cs="Arial"/>
          <w:sz w:val="22"/>
          <w:szCs w:val="22"/>
        </w:rPr>
        <w:lastRenderedPageBreak/>
        <w:t>practice, especially within jurisdictions that possess a high institutional capacity (Cameron-Blake et al., 2021). Certain provinces could quickly adjust the model of service delivery, add specific restrictions, and mobilise the local sources of public health (Cyr et al., 2021). Through these strengths, an example of how decentralised governance may aid the responsiveness and flexibility to the complex and evolving crises is demonstrated.</w:t>
      </w:r>
    </w:p>
    <w:p w14:paraId="3C5AF886" w14:textId="77777777" w:rsidR="00C66588" w:rsidRDefault="0084114E">
      <w:pPr>
        <w:rPr>
          <w:rFonts w:ascii="Arial" w:hAnsi="Arial" w:cs="Arial"/>
          <w:sz w:val="22"/>
          <w:szCs w:val="22"/>
        </w:rPr>
      </w:pPr>
      <w:r>
        <w:rPr>
          <w:rFonts w:ascii="Arial" w:hAnsi="Arial" w:cs="Arial"/>
          <w:sz w:val="22"/>
          <w:szCs w:val="22"/>
        </w:rPr>
        <w:t>Nevertheless, the weakness of national coordination was also revealed through decentralisation. The absence of a central government to enforce consistent policies led to disparity amongst the provinces and confusion, and inefficiencies (Fafard et al., 2021). The mentioned challenges were especially pronounced at the initial phases of vaccine procurement and distribution, where low federal leverage over the timeline of implementation and prioritisation played a role in creating delays and uneven distribution (Blouin Genest et al., 2021). There was a disintegration of policy responses, which destroyed the illusion of a national strategy.</w:t>
      </w:r>
    </w:p>
    <w:p w14:paraId="08FD137C" w14:textId="77777777" w:rsidR="00C66588" w:rsidRDefault="0084114E">
      <w:pPr>
        <w:pStyle w:val="Heading3"/>
        <w:keepNext w:val="0"/>
        <w:keepLines w:val="0"/>
        <w:spacing w:after="40" w:line="360" w:lineRule="auto"/>
        <w:rPr>
          <w:rFonts w:ascii="Arial" w:hAnsi="Arial" w:cs="Arial"/>
          <w:sz w:val="22"/>
          <w:szCs w:val="22"/>
        </w:rPr>
      </w:pPr>
      <w:bookmarkStart w:id="36" w:name="_heading=h.6tq9hi36khk6" w:colFirst="0" w:colLast="0"/>
      <w:bookmarkStart w:id="37" w:name="_Toc216787610"/>
      <w:bookmarkEnd w:id="36"/>
      <w:r>
        <w:rPr>
          <w:rFonts w:ascii="Arial" w:hAnsi="Arial" w:cs="Arial"/>
          <w:sz w:val="22"/>
          <w:szCs w:val="22"/>
        </w:rPr>
        <w:t>2.5.4 Outcomes and Challenges</w:t>
      </w:r>
      <w:bookmarkEnd w:id="37"/>
    </w:p>
    <w:p w14:paraId="6FE1379D" w14:textId="77777777" w:rsidR="00C66588" w:rsidRDefault="0084114E">
      <w:pPr>
        <w:rPr>
          <w:rFonts w:ascii="Arial" w:hAnsi="Arial" w:cs="Arial"/>
          <w:sz w:val="22"/>
          <w:szCs w:val="22"/>
        </w:rPr>
      </w:pPr>
      <w:r>
        <w:rPr>
          <w:rFonts w:ascii="Arial" w:hAnsi="Arial" w:cs="Arial"/>
          <w:sz w:val="22"/>
          <w:szCs w:val="22"/>
        </w:rPr>
        <w:t>The performance in the face of the pandemic varied significantly between the provinces in Canada due to the inequality in capacity, preparedness, and coordination on a jurisdictional level (Begen et al., 2024). Disparities in the health system resilience and local health infrastructure affected the outcomes, supporting the previous regional disparities. These differences highlight the constraints of decentralised governance in cases where the mechanisms of coordination are not properly developed.</w:t>
      </w:r>
    </w:p>
    <w:p w14:paraId="2E1F6B63" w14:textId="77777777" w:rsidR="00C66588" w:rsidRDefault="0084114E">
      <w:pPr>
        <w:rPr>
          <w:rFonts w:ascii="Arial" w:hAnsi="Arial" w:cs="Arial"/>
          <w:sz w:val="22"/>
          <w:szCs w:val="22"/>
        </w:rPr>
      </w:pPr>
      <w:r>
        <w:rPr>
          <w:rFonts w:ascii="Arial" w:hAnsi="Arial" w:cs="Arial"/>
          <w:sz w:val="22"/>
          <w:szCs w:val="22"/>
        </w:rPr>
        <w:t xml:space="preserve">In the longer run, though, there has been incremental learning and increased inter-government cooperation leading to higher performance. The experience of shared experience, sharing of data, and adjustment of policies premised on the same experience helped provide more </w:t>
      </w:r>
      <w:r>
        <w:rPr>
          <w:rFonts w:ascii="Arial" w:hAnsi="Arial" w:cs="Arial"/>
          <w:sz w:val="22"/>
          <w:szCs w:val="22"/>
        </w:rPr>
        <w:lastRenderedPageBreak/>
        <w:t>consistent responses in subsequent stages of the pandemic (Ramsbottom, 2022). The fact that this convergence emerged increasingly over time indicates that much more coordinated acts can be created using slower-paced decentralised systems, based on learning and collaboration.</w:t>
      </w:r>
      <w:r>
        <w:rPr>
          <w:rFonts w:ascii="Arial" w:hAnsi="Arial" w:cs="Arial"/>
          <w:sz w:val="22"/>
          <w:szCs w:val="22"/>
        </w:rPr>
        <w:br w:type="page"/>
      </w:r>
    </w:p>
    <w:p w14:paraId="0667776E" w14:textId="77777777" w:rsidR="00C66588" w:rsidRDefault="0084114E">
      <w:pPr>
        <w:pStyle w:val="Heading1"/>
        <w:rPr>
          <w:rFonts w:ascii="Arial" w:hAnsi="Arial" w:cs="Arial"/>
          <w:sz w:val="22"/>
          <w:szCs w:val="22"/>
        </w:rPr>
      </w:pPr>
      <w:bookmarkStart w:id="38" w:name="_heading=h.t4qo8xoyc1zr" w:colFirst="0" w:colLast="0"/>
      <w:bookmarkStart w:id="39" w:name="_Toc216787611"/>
      <w:bookmarkEnd w:id="38"/>
      <w:r>
        <w:rPr>
          <w:rFonts w:ascii="Arial" w:hAnsi="Arial" w:cs="Arial"/>
          <w:sz w:val="22"/>
          <w:szCs w:val="22"/>
        </w:rPr>
        <w:lastRenderedPageBreak/>
        <w:t>3. Critical Analysis of Leadership Styles Taken in Each Country</w:t>
      </w:r>
      <w:bookmarkEnd w:id="39"/>
    </w:p>
    <w:p w14:paraId="4A5D6EDB" w14:textId="77777777" w:rsidR="00C66588" w:rsidRDefault="0084114E">
      <w:pPr>
        <w:pStyle w:val="Heading2"/>
        <w:rPr>
          <w:rFonts w:ascii="Arial" w:hAnsi="Arial" w:cs="Arial"/>
          <w:sz w:val="22"/>
          <w:szCs w:val="22"/>
        </w:rPr>
      </w:pPr>
      <w:bookmarkStart w:id="40" w:name="_heading=h.paxzmgkuvxnt" w:colFirst="0" w:colLast="0"/>
      <w:bookmarkStart w:id="41" w:name="_Toc216787612"/>
      <w:bookmarkEnd w:id="40"/>
      <w:r>
        <w:rPr>
          <w:rFonts w:ascii="Arial" w:hAnsi="Arial" w:cs="Arial"/>
          <w:sz w:val="22"/>
          <w:szCs w:val="22"/>
        </w:rPr>
        <w:t>3.1 Leadership Styles in Spain</w:t>
      </w:r>
      <w:bookmarkEnd w:id="41"/>
    </w:p>
    <w:p w14:paraId="7D72B4BA" w14:textId="77777777" w:rsidR="00C66588" w:rsidRDefault="0084114E">
      <w:pPr>
        <w:rPr>
          <w:rFonts w:ascii="Arial" w:hAnsi="Arial" w:cs="Arial"/>
          <w:sz w:val="22"/>
          <w:szCs w:val="22"/>
        </w:rPr>
      </w:pPr>
      <w:r>
        <w:rPr>
          <w:rFonts w:ascii="Arial" w:hAnsi="Arial" w:cs="Arial"/>
          <w:sz w:val="22"/>
          <w:szCs w:val="22"/>
        </w:rPr>
        <w:t>The COVID-19 pandemic in Spain influenced leadership through the decentralised political system and multifaceted multilevel governance systems of the country. In most instances, in Spain, the influence of authorities in healthcare provision mostly remains at the national and regional levels, with Autonomous Communities possessing residual power to affect it (Bernal-Delgado et al., 2024). This devolution of power had a major impact on leadership efficiency during the pandemic, especially during the first few months of the crisis.</w:t>
      </w:r>
    </w:p>
    <w:p w14:paraId="348C365D" w14:textId="77777777" w:rsidR="00C66588" w:rsidRDefault="0084114E">
      <w:pPr>
        <w:rPr>
          <w:rFonts w:ascii="Arial" w:hAnsi="Arial" w:cs="Arial"/>
          <w:sz w:val="22"/>
          <w:szCs w:val="22"/>
        </w:rPr>
      </w:pPr>
      <w:r>
        <w:rPr>
          <w:rFonts w:ascii="Arial" w:hAnsi="Arial" w:cs="Arial"/>
          <w:sz w:val="22"/>
          <w:szCs w:val="22"/>
        </w:rPr>
        <w:t xml:space="preserve">The style of leadership that prevailed at the national front was largely described as being reactive instead of being proactive. There were delays in decision-making as each regional government had independence in the actions to take concerning public health, leading to poor communication and coordination in response across different territories (Royo, 2020). This, in terms of leadership, showed the constraint of consensus-based and decentralised leadership in the situation of a crisis, which was evolving fast or rather in the </w:t>
      </w:r>
      <w:proofErr w:type="spellStart"/>
      <w:r>
        <w:rPr>
          <w:rFonts w:ascii="Arial" w:hAnsi="Arial" w:cs="Arial"/>
          <w:sz w:val="22"/>
          <w:szCs w:val="22"/>
        </w:rPr>
        <w:t>exosystem</w:t>
      </w:r>
      <w:proofErr w:type="spellEnd"/>
      <w:r>
        <w:rPr>
          <w:rFonts w:ascii="Arial" w:hAnsi="Arial" w:cs="Arial"/>
          <w:sz w:val="22"/>
          <w:szCs w:val="22"/>
        </w:rPr>
        <w:t xml:space="preserve">; hence, decisive and coordinated action was required. Lack of national focus undermined the capacity to respond as a nation, as well as the efficiency of the initial containment (López-Casasnovas and </w:t>
      </w:r>
      <w:proofErr w:type="spellStart"/>
      <w:r>
        <w:rPr>
          <w:rFonts w:ascii="Arial" w:hAnsi="Arial" w:cs="Arial"/>
          <w:sz w:val="22"/>
          <w:szCs w:val="22"/>
        </w:rPr>
        <w:t>Pifarré</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Arolas, 2021).</w:t>
      </w:r>
    </w:p>
    <w:p w14:paraId="020E4BC1" w14:textId="77777777" w:rsidR="00C66588" w:rsidRDefault="0084114E">
      <w:pPr>
        <w:rPr>
          <w:rFonts w:ascii="Arial" w:hAnsi="Arial" w:cs="Arial"/>
          <w:sz w:val="22"/>
          <w:szCs w:val="22"/>
        </w:rPr>
      </w:pPr>
      <w:r>
        <w:rPr>
          <w:rFonts w:ascii="Arial" w:hAnsi="Arial" w:cs="Arial"/>
          <w:sz w:val="22"/>
          <w:szCs w:val="22"/>
        </w:rPr>
        <w:t>Conversely, once the state of alarm was declared and the temporary centralization of governance regarding health was enacted in Spain, the leadership response appeared to adopt a more adaptive and proactive leadership approach. Adaptive leadership is characterized by the ability to identify system failure, reframe the issue, and develop and implement additional actions to remedy the identified issue</w:t>
      </w:r>
      <w:r>
        <w:rPr>
          <w:rFonts w:ascii="Arial" w:hAnsi="Arial" w:cs="Arial"/>
          <w:sz w:val="22"/>
          <w:szCs w:val="22"/>
          <w:lang w:val="en-IN"/>
        </w:rPr>
        <w:t xml:space="preserve"> </w:t>
      </w:r>
      <w:r>
        <w:rPr>
          <w:rFonts w:ascii="Arial" w:hAnsi="Arial" w:cs="Arial"/>
          <w:sz w:val="22"/>
          <w:szCs w:val="22"/>
        </w:rPr>
        <w:t xml:space="preserve">(López-Casasnovas and </w:t>
      </w:r>
      <w:proofErr w:type="spellStart"/>
      <w:r>
        <w:rPr>
          <w:rFonts w:ascii="Arial" w:hAnsi="Arial" w:cs="Arial"/>
          <w:sz w:val="22"/>
          <w:szCs w:val="22"/>
        </w:rPr>
        <w:t>Pifarré</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Arolas, 2021). The shift in national coordination of healthcare resources, public health mobility </w:t>
      </w:r>
      <w:r>
        <w:rPr>
          <w:rFonts w:ascii="Arial" w:hAnsi="Arial" w:cs="Arial"/>
          <w:sz w:val="22"/>
          <w:szCs w:val="22"/>
        </w:rPr>
        <w:lastRenderedPageBreak/>
        <w:t>restrictions, and procurement of vaccines is an indication of a leadership response to the pandemic based on a learning organization approach.</w:t>
      </w:r>
    </w:p>
    <w:p w14:paraId="797CE6E7" w14:textId="77777777" w:rsidR="00C66588" w:rsidRDefault="0084114E">
      <w:pPr>
        <w:rPr>
          <w:rFonts w:ascii="Arial" w:hAnsi="Arial" w:cs="Arial"/>
          <w:sz w:val="22"/>
          <w:szCs w:val="22"/>
        </w:rPr>
      </w:pPr>
      <w:r>
        <w:rPr>
          <w:rFonts w:ascii="Arial" w:hAnsi="Arial" w:cs="Arial"/>
          <w:sz w:val="22"/>
          <w:szCs w:val="22"/>
        </w:rPr>
        <w:t>With the escalation of the crisis, the leadership in the country became more directive and centralised via the declaration of a state of alarm. It was a turning point in the leadership style, and some power was concentrated at the national scale to facilitate homogenous lockdown efforts, coordinated purchasing, and national health communication (</w:t>
      </w:r>
      <w:proofErr w:type="spellStart"/>
      <w:r>
        <w:rPr>
          <w:rFonts w:ascii="Arial" w:hAnsi="Arial" w:cs="Arial"/>
          <w:sz w:val="22"/>
          <w:szCs w:val="22"/>
        </w:rPr>
        <w:t>Angelici</w:t>
      </w:r>
      <w:proofErr w:type="spellEnd"/>
      <w:r>
        <w:rPr>
          <w:rFonts w:ascii="Arial" w:hAnsi="Arial" w:cs="Arial"/>
          <w:sz w:val="22"/>
          <w:szCs w:val="22"/>
        </w:rPr>
        <w:t xml:space="preserve"> et al., 2023). This shift also demonstrates how the style of leadership may evolve in times of crisis, as leaders change their leadership style towards the disastrous mode of command leadership to combat the issue of system fragmentation.</w:t>
      </w:r>
    </w:p>
    <w:p w14:paraId="47B32A2D" w14:textId="77777777" w:rsidR="00C66588" w:rsidRDefault="0084114E">
      <w:pPr>
        <w:rPr>
          <w:rFonts w:ascii="Arial" w:hAnsi="Arial" w:cs="Arial"/>
          <w:sz w:val="22"/>
          <w:szCs w:val="22"/>
        </w:rPr>
      </w:pPr>
      <w:r>
        <w:rPr>
          <w:rFonts w:ascii="Arial" w:hAnsi="Arial" w:cs="Arial"/>
          <w:sz w:val="22"/>
          <w:szCs w:val="22"/>
        </w:rPr>
        <w:t>But this change also disclosed strains underlying the situation of leadership in Spain. The sudden re-centralisation of power created opposition and tension between the regional administrations used to ruling themselves (Vampa, 2021). The effectiveness of leadership was thus limited to the already existing interrelationship between the governance levels and a lack of trust. According to Navarro and Velasco (2022), the inability to facilitate coordination at the later stages due to the improvement in the national leadership made the situation less efficient because of the absence of the already-developed crisis leadership programs.</w:t>
      </w:r>
    </w:p>
    <w:p w14:paraId="3F65CD4D" w14:textId="77777777" w:rsidR="00C66588" w:rsidRDefault="0084114E">
      <w:pPr>
        <w:rPr>
          <w:rFonts w:ascii="Arial" w:hAnsi="Arial" w:cs="Arial"/>
          <w:sz w:val="22"/>
          <w:szCs w:val="22"/>
        </w:rPr>
      </w:pPr>
      <w:r>
        <w:rPr>
          <w:rFonts w:ascii="Arial" w:hAnsi="Arial" w:cs="Arial"/>
          <w:sz w:val="22"/>
          <w:szCs w:val="22"/>
        </w:rPr>
        <w:t xml:space="preserve">Crisis leadership-wise, the situation in Spain shows the significance of foresight in leadership and preparation. This reluctance to adopt a robust approach to leadership was also a contributing factor to health system strain, such as pressure in the ICU and staffing (Acosta-Hernández et al., 2023). In addition, the decisions made by leaders were intertwined with structural inequalities, which led to unequal mortality consequences across the regions (González and Rodríguez-González, 2021). All in all, there was evidence that Spanish leadership showed that it had the ability to reestablish coordination during times of pressure, </w:t>
      </w:r>
      <w:r>
        <w:rPr>
          <w:rFonts w:ascii="Arial" w:hAnsi="Arial" w:cs="Arial"/>
          <w:sz w:val="22"/>
          <w:szCs w:val="22"/>
        </w:rPr>
        <w:lastRenderedPageBreak/>
        <w:t>but it was short-lived due to timing, divided authority and poor initial coordination among the different levels of governance.</w:t>
      </w:r>
    </w:p>
    <w:p w14:paraId="3F81CB5B" w14:textId="77777777" w:rsidR="00C66588" w:rsidRDefault="0084114E">
      <w:pPr>
        <w:pStyle w:val="Heading2"/>
        <w:rPr>
          <w:rFonts w:ascii="Arial" w:hAnsi="Arial" w:cs="Arial"/>
          <w:sz w:val="22"/>
          <w:szCs w:val="22"/>
        </w:rPr>
      </w:pPr>
      <w:bookmarkStart w:id="42" w:name="_heading=h.cj0gtyxyrs3c" w:colFirst="0" w:colLast="0"/>
      <w:bookmarkStart w:id="43" w:name="_Toc216787613"/>
      <w:bookmarkEnd w:id="42"/>
      <w:r>
        <w:rPr>
          <w:rFonts w:ascii="Arial" w:hAnsi="Arial" w:cs="Arial"/>
          <w:sz w:val="22"/>
          <w:szCs w:val="22"/>
        </w:rPr>
        <w:t>3.2 Leadership Styles in South Korea</w:t>
      </w:r>
      <w:bookmarkEnd w:id="43"/>
    </w:p>
    <w:p w14:paraId="7163275D" w14:textId="77777777" w:rsidR="00C66588" w:rsidRDefault="0084114E">
      <w:pPr>
        <w:rPr>
          <w:rFonts w:ascii="Arial" w:hAnsi="Arial" w:cs="Arial"/>
          <w:sz w:val="22"/>
          <w:szCs w:val="22"/>
        </w:rPr>
      </w:pPr>
      <w:r>
        <w:rPr>
          <w:rFonts w:ascii="Arial" w:hAnsi="Arial" w:cs="Arial"/>
          <w:sz w:val="22"/>
          <w:szCs w:val="22"/>
        </w:rPr>
        <w:t>The response of the leadership to Covid-19 in South Korea can be seen as one of the most successful in the global arena, which is characteristic of a very centralised, directive and institutional model of leadership. The power of leadership in the field of public health is well-established at the national level and enhanced with the help of legal changes that occurred after the outbreak of MERS, which empowered the national systems to adequately react to crises and expand their executive capacity (Sohn, 2022; Yoon et al., 2024).</w:t>
      </w:r>
    </w:p>
    <w:p w14:paraId="03EA1BAA" w14:textId="77777777" w:rsidR="00C66588" w:rsidRDefault="0084114E">
      <w:pPr>
        <w:rPr>
          <w:rFonts w:ascii="Arial" w:hAnsi="Arial" w:cs="Arial"/>
          <w:sz w:val="22"/>
          <w:szCs w:val="22"/>
        </w:rPr>
      </w:pPr>
      <w:r>
        <w:rPr>
          <w:rFonts w:ascii="Arial" w:hAnsi="Arial" w:cs="Arial"/>
          <w:sz w:val="22"/>
          <w:szCs w:val="22"/>
        </w:rPr>
        <w:t>South Korea was also typified by national leadership that was decisive, had clear authority and good administrative coordination. Public health institutions were supported by the political leaders to make quick decisions, which allowed them to take large-scale testing, contact tracing, and quarantine (Rossi et al., 2022). This leadership style is in line with the leadership theory of crisis leadership, whereby quick decision making, command hierarchy and mobilising resources in periods of uncertainty are emphasised.</w:t>
      </w:r>
    </w:p>
    <w:p w14:paraId="47340C6B" w14:textId="77777777" w:rsidR="00C66588" w:rsidRDefault="0084114E">
      <w:pPr>
        <w:rPr>
          <w:rFonts w:ascii="Arial" w:hAnsi="Arial" w:cs="Arial"/>
          <w:sz w:val="22"/>
          <w:szCs w:val="22"/>
        </w:rPr>
      </w:pPr>
      <w:r>
        <w:rPr>
          <w:rFonts w:ascii="Arial" w:hAnsi="Arial" w:cs="Arial"/>
          <w:sz w:val="22"/>
          <w:szCs w:val="22"/>
        </w:rPr>
        <w:t>Transparency was a characteristic of the leadership of South Korea. Frequent communication, desiring briefings to the populace, and sharing of data facilitated the level of public trust and compliance (Kang and Lee, 2021). Such a trust is the key to maintaining behavioural compliance with non-pharmaceuticals and minimising the cases of coercive enforcement (Ryu et al., 2022). The effect of leadership was not to be based specifically on authority alone, but also on the legitimacy and credibility.</w:t>
      </w:r>
    </w:p>
    <w:p w14:paraId="32CD3F89" w14:textId="77777777" w:rsidR="00C66588" w:rsidRDefault="0084114E">
      <w:pPr>
        <w:rPr>
          <w:rFonts w:ascii="Arial" w:hAnsi="Arial" w:cs="Arial"/>
          <w:sz w:val="22"/>
          <w:szCs w:val="22"/>
        </w:rPr>
      </w:pPr>
      <w:r>
        <w:rPr>
          <w:rFonts w:ascii="Arial" w:hAnsi="Arial" w:cs="Arial"/>
          <w:sz w:val="22"/>
          <w:szCs w:val="22"/>
        </w:rPr>
        <w:t xml:space="preserve">There was also good horizontal coordination at the South Korean leadership. The collaboration between ministries coordinated by the Korea Disease Control and Prevention Agency (KDCA) </w:t>
      </w:r>
      <w:r>
        <w:rPr>
          <w:rFonts w:ascii="Arial" w:hAnsi="Arial" w:cs="Arial"/>
          <w:sz w:val="22"/>
          <w:szCs w:val="22"/>
        </w:rPr>
        <w:lastRenderedPageBreak/>
        <w:t>made it possible to align the health, technology, and security sectors (Jae Moon et al., 2021). This combined leadership approach minimised silos in the institution and improved consistency of policies, which strengthened the success of the national response (Park et al., 2024).</w:t>
      </w:r>
    </w:p>
    <w:p w14:paraId="070B3C5F" w14:textId="77777777" w:rsidR="00C66588" w:rsidRDefault="0084114E">
      <w:pPr>
        <w:pStyle w:val="NormalWeb"/>
        <w:spacing w:line="360" w:lineRule="auto"/>
        <w:jc w:val="both"/>
        <w:rPr>
          <w:rFonts w:ascii="Arial" w:hAnsi="Arial" w:cs="Arial"/>
          <w:sz w:val="22"/>
          <w:szCs w:val="22"/>
        </w:rPr>
      </w:pPr>
      <w:r>
        <w:rPr>
          <w:rFonts w:ascii="Arial" w:hAnsi="Arial" w:cs="Arial"/>
          <w:sz w:val="22"/>
          <w:szCs w:val="22"/>
        </w:rPr>
        <w:t>Leadership decisions were grounded in scientific expertise and institutional empowerment, particularly of the Korea Disease Control and Prevention Agency (KDCA). Unlike Spain, leadership did not deny or delay acknowledgment of risk. Instead, early intervention, mass testing, and digital contact tracing were prioritised.</w:t>
      </w:r>
    </w:p>
    <w:p w14:paraId="5517B492" w14:textId="77777777" w:rsidR="00C66588" w:rsidRDefault="0084114E">
      <w:pPr>
        <w:pStyle w:val="NormalWeb"/>
        <w:spacing w:line="360" w:lineRule="auto"/>
        <w:jc w:val="both"/>
        <w:rPr>
          <w:rFonts w:ascii="Arial" w:hAnsi="Arial" w:cs="Arial"/>
          <w:sz w:val="22"/>
          <w:szCs w:val="22"/>
        </w:rPr>
      </w:pPr>
      <w:r>
        <w:rPr>
          <w:rFonts w:ascii="Arial" w:hAnsi="Arial" w:cs="Arial"/>
          <w:sz w:val="22"/>
          <w:szCs w:val="22"/>
        </w:rPr>
        <w:t xml:space="preserve">The radical transparency of South Korea’s leadership is best viewed as a defining characteristic and, in fact, falls within the adaptive leadership theory. There were frequent communications-sharing of data-displaying respect for the ability of citizens to respond </w:t>
      </w:r>
      <w:proofErr w:type="gramStart"/>
      <w:r>
        <w:rPr>
          <w:rFonts w:ascii="Arial" w:hAnsi="Arial" w:cs="Arial"/>
          <w:sz w:val="22"/>
          <w:szCs w:val="22"/>
        </w:rPr>
        <w:t>appropriately</w:t>
      </w:r>
      <w:r>
        <w:rPr>
          <w:rFonts w:ascii="Arial" w:hAnsi="Arial" w:cs="Arial"/>
          <w:sz w:val="22"/>
          <w:szCs w:val="22"/>
          <w:lang w:val="en-IN"/>
        </w:rPr>
        <w:t xml:space="preserve"> </w:t>
      </w:r>
      <w:r>
        <w:rPr>
          <w:rFonts w:ascii="Arial" w:hAnsi="Arial" w:cs="Arial"/>
          <w:sz w:val="22"/>
          <w:szCs w:val="22"/>
        </w:rPr>
        <w:t xml:space="preserve"> (</w:t>
      </w:r>
      <w:proofErr w:type="gramEnd"/>
      <w:r>
        <w:rPr>
          <w:rFonts w:ascii="Arial" w:hAnsi="Arial" w:cs="Arial"/>
          <w:sz w:val="22"/>
          <w:szCs w:val="22"/>
        </w:rPr>
        <w:t>Jae Moon et al., 2021</w:t>
      </w:r>
      <w:r>
        <w:rPr>
          <w:rFonts w:ascii="Arial" w:hAnsi="Arial" w:cs="Arial"/>
          <w:sz w:val="22"/>
          <w:szCs w:val="22"/>
          <w:lang w:val="en-IN"/>
        </w:rPr>
        <w:t>)</w:t>
      </w:r>
      <w:r>
        <w:rPr>
          <w:rFonts w:ascii="Arial" w:hAnsi="Arial" w:cs="Arial"/>
          <w:sz w:val="22"/>
          <w:szCs w:val="22"/>
        </w:rPr>
        <w:t>. With true transparency, building up public trust and gaining compliance-without enforcing prolonged national lockdowns.</w:t>
      </w:r>
    </w:p>
    <w:p w14:paraId="09771764" w14:textId="77777777" w:rsidR="00C66588" w:rsidRDefault="0084114E">
      <w:pPr>
        <w:rPr>
          <w:rFonts w:ascii="Arial" w:hAnsi="Arial" w:cs="Arial"/>
          <w:sz w:val="22"/>
          <w:szCs w:val="22"/>
        </w:rPr>
      </w:pPr>
      <w:r>
        <w:rPr>
          <w:rFonts w:ascii="Arial" w:hAnsi="Arial" w:cs="Arial"/>
          <w:sz w:val="22"/>
          <w:szCs w:val="22"/>
        </w:rPr>
        <w:t>Nevertheless, the leadership style was questionable as well in terms of ethics. The comprehensive digital surveillance and personal data observation put power in the hands of the state and raised the discussion of civil liberties and privacy (Anom, 2022). Although these steps were rational in terms of public health, they provide an example of one of the drawbacks of extremely centralised leadership: it can become dangerous in case the ethical protection is inadequate. Kang and Lee (2021) believe that transparency helped to reduce some of these worries, although the ethical conflict was not resolved.</w:t>
      </w:r>
    </w:p>
    <w:p w14:paraId="38C8FC58" w14:textId="77777777" w:rsidR="00C66588" w:rsidRDefault="0084114E">
      <w:pPr>
        <w:rPr>
          <w:rFonts w:ascii="Arial" w:hAnsi="Arial" w:cs="Arial"/>
          <w:sz w:val="22"/>
          <w:szCs w:val="22"/>
        </w:rPr>
      </w:pPr>
      <w:r>
        <w:rPr>
          <w:rFonts w:ascii="Arial" w:hAnsi="Arial" w:cs="Arial"/>
          <w:sz w:val="22"/>
          <w:szCs w:val="22"/>
        </w:rPr>
        <w:t xml:space="preserve">Nevertheless, the results have shown that the effectiveness of leadership in South Korea was great. High mortality rates, the development of extended national lockdowns, and comprehensive system stability prove that robust, centralised, and open leadership can help increase performance in crisis cases (Yoon et al., 2024). You (2020) further underlines that it was leadership that learned lessons during the preceding crisis in South Korea that enabled </w:t>
      </w:r>
      <w:r>
        <w:rPr>
          <w:rFonts w:ascii="Arial" w:hAnsi="Arial" w:cs="Arial"/>
          <w:sz w:val="22"/>
          <w:szCs w:val="22"/>
        </w:rPr>
        <w:lastRenderedPageBreak/>
        <w:t>their success, and it is the importance of institutional memory and readiness in leadership when facing a crisis.</w:t>
      </w:r>
    </w:p>
    <w:p w14:paraId="11858B79" w14:textId="77777777" w:rsidR="00C66588" w:rsidRDefault="0084114E">
      <w:pPr>
        <w:pStyle w:val="Heading2"/>
        <w:rPr>
          <w:rFonts w:ascii="Arial" w:hAnsi="Arial" w:cs="Arial"/>
          <w:sz w:val="22"/>
          <w:szCs w:val="22"/>
        </w:rPr>
      </w:pPr>
      <w:bookmarkStart w:id="44" w:name="_heading=h.7v0v6iur2its" w:colFirst="0" w:colLast="0"/>
      <w:bookmarkStart w:id="45" w:name="_Toc216787614"/>
      <w:bookmarkEnd w:id="44"/>
      <w:r>
        <w:rPr>
          <w:rFonts w:ascii="Arial" w:hAnsi="Arial" w:cs="Arial"/>
          <w:sz w:val="22"/>
          <w:szCs w:val="22"/>
        </w:rPr>
        <w:t>3.3 Leadership Styles in Canada</w:t>
      </w:r>
      <w:bookmarkEnd w:id="45"/>
    </w:p>
    <w:p w14:paraId="4B4449B8" w14:textId="77777777" w:rsidR="00C66588" w:rsidRDefault="0084114E">
      <w:pPr>
        <w:rPr>
          <w:rFonts w:ascii="Arial" w:hAnsi="Arial" w:cs="Arial"/>
          <w:sz w:val="22"/>
          <w:szCs w:val="22"/>
        </w:rPr>
      </w:pPr>
      <w:r>
        <w:rPr>
          <w:rFonts w:ascii="Arial" w:hAnsi="Arial" w:cs="Arial"/>
          <w:sz w:val="22"/>
          <w:szCs w:val="22"/>
        </w:rPr>
        <w:t xml:space="preserve">The leadership style of Mr. Trudeau may best be described as collaborative and transformational—leading on unity and empathy between levels of government rather than through direct </w:t>
      </w:r>
      <w:proofErr w:type="gramStart"/>
      <w:r>
        <w:rPr>
          <w:rFonts w:ascii="Arial" w:hAnsi="Arial" w:cs="Arial"/>
          <w:sz w:val="22"/>
          <w:szCs w:val="22"/>
        </w:rPr>
        <w:t>command</w:t>
      </w:r>
      <w:r>
        <w:rPr>
          <w:rFonts w:ascii="Arial" w:hAnsi="Arial" w:cs="Arial"/>
          <w:sz w:val="22"/>
          <w:szCs w:val="22"/>
          <w:lang w:val="en-IN"/>
        </w:rPr>
        <w:t xml:space="preserve"> </w:t>
      </w:r>
      <w:r>
        <w:rPr>
          <w:rFonts w:ascii="Arial" w:hAnsi="Arial" w:cs="Arial"/>
          <w:sz w:val="22"/>
          <w:szCs w:val="22"/>
        </w:rPr>
        <w:t xml:space="preserve"> (</w:t>
      </w:r>
      <w:proofErr w:type="spellStart"/>
      <w:proofErr w:type="gramEnd"/>
      <w:r>
        <w:rPr>
          <w:rFonts w:ascii="Arial" w:hAnsi="Arial" w:cs="Arial"/>
          <w:sz w:val="22"/>
          <w:szCs w:val="22"/>
        </w:rPr>
        <w:t>Rotteau</w:t>
      </w:r>
      <w:proofErr w:type="spellEnd"/>
      <w:r>
        <w:rPr>
          <w:rFonts w:ascii="Arial" w:hAnsi="Arial" w:cs="Arial"/>
          <w:sz w:val="22"/>
          <w:szCs w:val="22"/>
        </w:rPr>
        <w:t xml:space="preserve"> et al., 2024).</w:t>
      </w:r>
      <w:r>
        <w:rPr>
          <w:rFonts w:ascii="Arial" w:hAnsi="Arial" w:cs="Arial"/>
          <w:sz w:val="22"/>
          <w:szCs w:val="22"/>
          <w:lang w:val="en-IN"/>
        </w:rPr>
        <w:t xml:space="preserve"> </w:t>
      </w:r>
      <w:proofErr w:type="spellStart"/>
      <w:r>
        <w:rPr>
          <w:rFonts w:ascii="Arial" w:hAnsi="Arial" w:cs="Arial"/>
          <w:sz w:val="22"/>
          <w:szCs w:val="22"/>
        </w:rPr>
        <w:t>Trudeau͏’s</w:t>
      </w:r>
      <w:proofErr w:type="spellEnd"/>
      <w:r>
        <w:rPr>
          <w:rFonts w:ascii="Arial" w:hAnsi="Arial" w:cs="Arial"/>
          <w:sz w:val="22"/>
          <w:szCs w:val="22"/>
        </w:rPr>
        <w:t xml:space="preserve"> messaging around collective responsibility, social solidarity, and science-based decision-making attuned the public to transformational leadership. Canadian leadership, unlike its South Korean counterpart, does not hold immediate authority over health policy execution thus was less </w:t>
      </w:r>
      <w:proofErr w:type="spellStart"/>
      <w:r>
        <w:rPr>
          <w:rFonts w:ascii="Arial" w:hAnsi="Arial" w:cs="Arial"/>
          <w:sz w:val="22"/>
          <w:szCs w:val="22"/>
        </w:rPr>
        <w:t>legerous</w:t>
      </w:r>
      <w:proofErr w:type="spellEnd"/>
      <w:r>
        <w:rPr>
          <w:rFonts w:ascii="Arial" w:hAnsi="Arial" w:cs="Arial"/>
          <w:sz w:val="22"/>
          <w:szCs w:val="22"/>
        </w:rPr>
        <w:t xml:space="preserve"> in mobilizing an entire nation at once.</w:t>
      </w:r>
      <w:r>
        <w:rPr>
          <w:rFonts w:ascii="Arial" w:hAnsi="Arial" w:cs="Arial"/>
          <w:sz w:val="22"/>
          <w:szCs w:val="22"/>
          <w:lang w:val="en-IN"/>
        </w:rPr>
        <w:t xml:space="preserve"> </w:t>
      </w:r>
      <w:r>
        <w:rPr>
          <w:rFonts w:ascii="Arial" w:hAnsi="Arial" w:cs="Arial"/>
          <w:sz w:val="22"/>
          <w:szCs w:val="22"/>
        </w:rPr>
        <w:t>The situation with leadership in the COVID-19 pandemic in Canada was influenced by the federal character of the states and the highly decentralised health system of the country. The leadership power, unlike in South Korea, was distributed to federal, provincial, and territorial levels, restricting the ability to exercise commanding leadership towards the nation (</w:t>
      </w:r>
      <w:proofErr w:type="spellStart"/>
      <w:r>
        <w:rPr>
          <w:rFonts w:ascii="Arial" w:hAnsi="Arial" w:cs="Arial"/>
          <w:sz w:val="22"/>
          <w:szCs w:val="22"/>
        </w:rPr>
        <w:t>Rotteau</w:t>
      </w:r>
      <w:proofErr w:type="spellEnd"/>
      <w:r>
        <w:rPr>
          <w:rFonts w:ascii="Arial" w:hAnsi="Arial" w:cs="Arial"/>
          <w:sz w:val="22"/>
          <w:szCs w:val="22"/>
        </w:rPr>
        <w:t xml:space="preserve"> et al., 2024). Therefore, Canadian leadership placed great emphasis on coordination, negotiation and consensus building but not a command and control approach.</w:t>
      </w:r>
    </w:p>
    <w:p w14:paraId="15CCEA7E" w14:textId="77777777" w:rsidR="00C66588" w:rsidRDefault="0084114E">
      <w:pPr>
        <w:rPr>
          <w:rFonts w:ascii="Arial" w:hAnsi="Arial" w:cs="Arial"/>
          <w:sz w:val="22"/>
          <w:szCs w:val="22"/>
        </w:rPr>
      </w:pPr>
      <w:r>
        <w:rPr>
          <w:rFonts w:ascii="Arial" w:hAnsi="Arial" w:cs="Arial"/>
          <w:sz w:val="22"/>
          <w:szCs w:val="22"/>
        </w:rPr>
        <w:t>The camps of the federal leadership were more oriented on coordination, internationalisation, and vaccine purchases, and the provincial heads made independent decisions concerning the planning of the public health sector and service delivery (Mac-</w:t>
      </w:r>
      <w:proofErr w:type="spellStart"/>
      <w:r>
        <w:rPr>
          <w:rFonts w:ascii="Arial" w:hAnsi="Arial" w:cs="Arial"/>
          <w:sz w:val="22"/>
          <w:szCs w:val="22"/>
        </w:rPr>
        <w:t>Seing</w:t>
      </w:r>
      <w:proofErr w:type="spellEnd"/>
      <w:r>
        <w:rPr>
          <w:rFonts w:ascii="Arial" w:hAnsi="Arial" w:cs="Arial"/>
          <w:sz w:val="22"/>
          <w:szCs w:val="22"/>
        </w:rPr>
        <w:t xml:space="preserve"> and Di Ruggiero, 2024). This leadership model is consistent with the collaborative and distributed leadership theories, which underline a common responsibility and local autonomy. However, in practice, this strategy limited the opportunities of providing a speedy and consistent reaction throughout the nation.</w:t>
      </w:r>
    </w:p>
    <w:p w14:paraId="714CA4A9" w14:textId="77777777" w:rsidR="00C66588" w:rsidRDefault="0084114E">
      <w:pPr>
        <w:rPr>
          <w:rFonts w:ascii="Arial" w:hAnsi="Arial" w:cs="Arial"/>
          <w:sz w:val="22"/>
          <w:szCs w:val="22"/>
        </w:rPr>
      </w:pPr>
      <w:r>
        <w:rPr>
          <w:rFonts w:ascii="Arial" w:hAnsi="Arial" w:cs="Arial"/>
          <w:sz w:val="22"/>
          <w:szCs w:val="22"/>
        </w:rPr>
        <w:lastRenderedPageBreak/>
        <w:t>The provincial leadership was quite different in effectiveness. Some provinces exhibited high levels of leadership ability due to their ability to institute timely restrictions and act well on their services, while others had problems with slow reaction and lack of consistency in their communication (Cameron-Blake et al., 2021). Lack of a significant federal enforcing role implied that the effectiveness of leadership had to rely on intergovernmental coordination and self-driven adaptability (Cyr et al., 2021).</w:t>
      </w:r>
    </w:p>
    <w:p w14:paraId="2455CCC6" w14:textId="77777777" w:rsidR="00C66588" w:rsidRDefault="0084114E">
      <w:pPr>
        <w:rPr>
          <w:rFonts w:ascii="Arial" w:hAnsi="Arial" w:cs="Arial"/>
          <w:sz w:val="22"/>
          <w:szCs w:val="22"/>
        </w:rPr>
      </w:pPr>
      <w:r>
        <w:rPr>
          <w:rFonts w:ascii="Arial" w:hAnsi="Arial" w:cs="Arial"/>
          <w:sz w:val="22"/>
          <w:szCs w:val="22"/>
        </w:rPr>
        <w:t>The leadership issues were especially pronounced at the beginning of the procurement and distribution stages of vaccines. As the federal government guaranteed access to vaccines, the lack of authority over the provincial execution created coordination gaps and a disproportionate distribution of vaccinations among the jurisdictions (Blouin Genest et al., 2021; Fafard et al., 2021). These problems explain why the weakness of decentralised leadership in overcoming structural fragmentation in times of an emergency that needs the unified response of a large number of people.</w:t>
      </w:r>
    </w:p>
    <w:p w14:paraId="0A9D98A2" w14:textId="77777777" w:rsidR="00C66588" w:rsidRDefault="0084114E">
      <w:pPr>
        <w:rPr>
          <w:rFonts w:ascii="Arial" w:hAnsi="Arial" w:cs="Arial"/>
          <w:sz w:val="22"/>
          <w:szCs w:val="22"/>
        </w:rPr>
      </w:pPr>
      <w:r>
        <w:rPr>
          <w:rFonts w:ascii="Arial" w:hAnsi="Arial" w:cs="Arial"/>
          <w:sz w:val="22"/>
          <w:szCs w:val="22"/>
        </w:rPr>
        <w:t>In the long run, the Canadian leadership was able to get better by learning and adapting. Since more coordinated responses at the later stages of the pandemic were more aligned, the enhanced intergovernmental communication, exchange of data, and better communication assisted in the latter (Ramsbottom, 2022). However, there were still differences in the results between the provinces, indicating the lack of equal leadership ability and system preparedness among the regions (Begen et al., 2024).</w:t>
      </w:r>
    </w:p>
    <w:p w14:paraId="5AF52404" w14:textId="77777777" w:rsidR="00C66588" w:rsidRDefault="0084114E">
      <w:pPr>
        <w:rPr>
          <w:rFonts w:ascii="Arial" w:hAnsi="Arial" w:cs="Arial"/>
          <w:sz w:val="22"/>
          <w:szCs w:val="22"/>
        </w:rPr>
      </w:pPr>
      <w:r>
        <w:rPr>
          <w:rFonts w:ascii="Arial" w:hAnsi="Arial" w:cs="Arial"/>
          <w:sz w:val="22"/>
          <w:szCs w:val="22"/>
        </w:rPr>
        <w:t xml:space="preserve">In general, the experience of Canada suggests that flexible and local responsiveness could be facilitated through collaborative leadership, but it is unlikely to be effective when the case concerns an acute crisis and lacks well-coordinated frameworks. The impact of leaders operating within a federal system on the effectiveness of leadership was limited not only by </w:t>
      </w:r>
      <w:r>
        <w:rPr>
          <w:rFonts w:ascii="Arial" w:hAnsi="Arial" w:cs="Arial"/>
          <w:sz w:val="22"/>
          <w:szCs w:val="22"/>
        </w:rPr>
        <w:lastRenderedPageBreak/>
        <w:t>actions of individuals in leadership positions but also by the structural constraints of power (Hertelendy et al., 2021).</w:t>
      </w:r>
    </w:p>
    <w:p w14:paraId="09738AE4" w14:textId="77777777" w:rsidR="00C66588" w:rsidRDefault="0084114E">
      <w:pPr>
        <w:pStyle w:val="Heading2"/>
        <w:rPr>
          <w:rFonts w:ascii="Arial" w:hAnsi="Arial" w:cs="Arial"/>
          <w:sz w:val="22"/>
          <w:szCs w:val="22"/>
        </w:rPr>
      </w:pPr>
      <w:bookmarkStart w:id="46" w:name="_heading=h.i4gilniexijd" w:colFirst="0" w:colLast="0"/>
      <w:bookmarkStart w:id="47" w:name="_Toc216787615"/>
      <w:bookmarkEnd w:id="46"/>
      <w:r>
        <w:rPr>
          <w:rFonts w:ascii="Arial" w:hAnsi="Arial" w:cs="Arial"/>
          <w:sz w:val="22"/>
          <w:szCs w:val="22"/>
        </w:rPr>
        <w:t>3.4 Comparative Leadership Insights</w:t>
      </w:r>
      <w:bookmarkEnd w:id="47"/>
    </w:p>
    <w:p w14:paraId="30A413B6" w14:textId="77777777" w:rsidR="00C66588" w:rsidRDefault="0084114E">
      <w:pPr>
        <w:rPr>
          <w:rFonts w:ascii="Arial" w:hAnsi="Arial" w:cs="Arial"/>
          <w:sz w:val="22"/>
          <w:szCs w:val="22"/>
        </w:rPr>
      </w:pPr>
      <w:r>
        <w:rPr>
          <w:rFonts w:ascii="Arial" w:hAnsi="Arial" w:cs="Arial"/>
          <w:sz w:val="22"/>
          <w:szCs w:val="22"/>
        </w:rPr>
        <w:t>Comparative study of leadership styles in Spain, South Korea and Canada shows that leadership performance during the COVID-19 pandemic was strongly associated with the regime situation and readiness in the institutions. The authoritative, transparent and centralised system used by South Korea facilitated quick mobilisation and maintenance of trust by people, and it achieved high success levels. The leadership in Spain also changed due to pressure, becoming less fragmented and decentralised and more of an emergency centralisation and with mixed effects depending both upon time and on intergovernmental tensions. The inclusive leadership in Canada facilitated flexibility but failed to provide national unity in times of crucial moments.</w:t>
      </w:r>
    </w:p>
    <w:p w14:paraId="21950084" w14:textId="77777777" w:rsidR="00C66588" w:rsidRDefault="0084114E">
      <w:pPr>
        <w:rPr>
          <w:rFonts w:ascii="Arial" w:hAnsi="Arial" w:cs="Arial"/>
          <w:sz w:val="22"/>
          <w:szCs w:val="22"/>
        </w:rPr>
      </w:pPr>
      <w:r>
        <w:rPr>
          <w:rFonts w:ascii="Arial" w:hAnsi="Arial" w:cs="Arial"/>
          <w:sz w:val="22"/>
          <w:szCs w:val="22"/>
        </w:rPr>
        <w:t>These results support the fact that there is no optimal leadership style that can work anywhere. Rather, successful leadership in crises is reliant on situational fit, institutional capability and authority to balance legitimate power. The likelihood of improving health system resilience in terms of facing imminent emergencies of the future in case of public health is greater when a leadership style that is integrative of system design, in addition to other enabling factors such as coordination, adaptability to crises.</w:t>
      </w:r>
    </w:p>
    <w:p w14:paraId="6C4181CC" w14:textId="77777777" w:rsidR="00C66588" w:rsidRDefault="0084114E">
      <w:pPr>
        <w:rPr>
          <w:rFonts w:ascii="Arial" w:hAnsi="Arial" w:cs="Arial"/>
          <w:sz w:val="22"/>
          <w:szCs w:val="22"/>
        </w:rPr>
      </w:pPr>
      <w:r>
        <w:rPr>
          <w:rFonts w:ascii="Arial" w:hAnsi="Arial" w:cs="Arial"/>
          <w:sz w:val="22"/>
          <w:szCs w:val="22"/>
        </w:rPr>
        <w:br w:type="page"/>
      </w:r>
    </w:p>
    <w:p w14:paraId="281D51A4" w14:textId="77777777" w:rsidR="00C66588" w:rsidRDefault="0084114E">
      <w:pPr>
        <w:pStyle w:val="Heading1"/>
        <w:keepNext w:val="0"/>
        <w:keepLines w:val="0"/>
        <w:spacing w:before="360" w:after="80"/>
        <w:rPr>
          <w:rFonts w:ascii="Arial" w:hAnsi="Arial" w:cs="Arial"/>
          <w:sz w:val="22"/>
          <w:szCs w:val="22"/>
        </w:rPr>
      </w:pPr>
      <w:bookmarkStart w:id="48" w:name="_heading=h.awtbmanv2lxt" w:colFirst="0" w:colLast="0"/>
      <w:bookmarkStart w:id="49" w:name="_Toc216787616"/>
      <w:bookmarkEnd w:id="48"/>
      <w:r>
        <w:rPr>
          <w:rFonts w:ascii="Arial" w:hAnsi="Arial" w:cs="Arial"/>
          <w:sz w:val="22"/>
          <w:szCs w:val="22"/>
        </w:rPr>
        <w:lastRenderedPageBreak/>
        <w:t>4. Conclusion</w:t>
      </w:r>
      <w:bookmarkEnd w:id="49"/>
    </w:p>
    <w:p w14:paraId="07D1D507" w14:textId="77777777" w:rsidR="00C66588" w:rsidRDefault="0084114E">
      <w:pPr>
        <w:rPr>
          <w:rFonts w:ascii="Arial" w:hAnsi="Arial" w:cs="Arial"/>
          <w:sz w:val="22"/>
          <w:szCs w:val="22"/>
        </w:rPr>
      </w:pPr>
      <w:r>
        <w:rPr>
          <w:rFonts w:ascii="Arial" w:hAnsi="Arial" w:cs="Arial"/>
          <w:sz w:val="22"/>
          <w:szCs w:val="22"/>
        </w:rPr>
        <w:t>This comparative study has revealed that the responses of the national governments to COVID-19 in Spain, South Korea, and Canada were influenced by the combination of health system design, governance structure, and leadership capacity. With these centralised methods, the speed, coordination and consistency were improved in situations where quick response was needed, as can be best seen in South Korea and during the emergency reaction of Spain in the future. On the other hand, decentralised systems promoted flexibility and local sensitivity and created coordination difficulties, especially in Canada and Spain at the early stage of the pandemic. In all three cases, there was no universal governance model that was optimal. Rather, the most resilient arrangements were hybrid ones in which governments could adjust the balance between the central and local government. The role of leadership in facilitating such flexibility, penetrate trust, coordination, and alignment of the system in the condition of crisis was essential. These results indicate the need to invest in governance structures and leadership that will facilitate integration, preparedness, and fast system-wide coordination to enhance resilience during future outbreaks in the public health sector.</w:t>
      </w:r>
    </w:p>
    <w:p w14:paraId="17E615DB" w14:textId="77777777" w:rsidR="00C66588" w:rsidRDefault="0084114E">
      <w:pPr>
        <w:pStyle w:val="Heading2"/>
        <w:keepNext w:val="0"/>
        <w:keepLines w:val="0"/>
        <w:spacing w:before="360" w:after="80"/>
        <w:rPr>
          <w:rFonts w:ascii="Arial" w:hAnsi="Arial" w:cs="Arial"/>
          <w:sz w:val="22"/>
          <w:szCs w:val="22"/>
        </w:rPr>
      </w:pPr>
      <w:bookmarkStart w:id="50" w:name="_heading=h.f7d2f6ivsc3j" w:colFirst="0" w:colLast="0"/>
      <w:bookmarkEnd w:id="50"/>
      <w:r>
        <w:rPr>
          <w:rFonts w:ascii="Arial" w:hAnsi="Arial" w:cs="Arial"/>
          <w:sz w:val="22"/>
          <w:szCs w:val="22"/>
        </w:rPr>
        <w:br w:type="page"/>
      </w:r>
    </w:p>
    <w:p w14:paraId="70E141C1" w14:textId="77777777" w:rsidR="00C66588" w:rsidRDefault="0084114E">
      <w:pPr>
        <w:pStyle w:val="Heading1"/>
        <w:keepNext w:val="0"/>
        <w:keepLines w:val="0"/>
        <w:spacing w:before="360" w:after="80"/>
        <w:rPr>
          <w:rFonts w:ascii="Arial" w:hAnsi="Arial" w:cs="Arial"/>
          <w:sz w:val="22"/>
          <w:szCs w:val="22"/>
        </w:rPr>
      </w:pPr>
      <w:bookmarkStart w:id="51" w:name="_heading=h.fkmrzx93p1y" w:colFirst="0" w:colLast="0"/>
      <w:bookmarkStart w:id="52" w:name="_Toc216787617"/>
      <w:bookmarkEnd w:id="51"/>
      <w:r>
        <w:rPr>
          <w:rFonts w:ascii="Arial" w:hAnsi="Arial" w:cs="Arial"/>
          <w:sz w:val="22"/>
          <w:szCs w:val="22"/>
        </w:rPr>
        <w:lastRenderedPageBreak/>
        <w:t>Reference</w:t>
      </w:r>
      <w:r w:rsidR="00171A46">
        <w:rPr>
          <w:rFonts w:ascii="Arial" w:hAnsi="Arial" w:cs="Arial"/>
          <w:sz w:val="22"/>
          <w:szCs w:val="22"/>
        </w:rPr>
        <w:t>s</w:t>
      </w:r>
      <w:bookmarkEnd w:id="52"/>
    </w:p>
    <w:p w14:paraId="0CA48918" w14:textId="77777777" w:rsidR="00C66588" w:rsidRDefault="0084114E">
      <w:pPr>
        <w:rPr>
          <w:rFonts w:ascii="Arial" w:hAnsi="Arial" w:cs="Arial"/>
          <w:sz w:val="22"/>
          <w:szCs w:val="22"/>
        </w:rPr>
      </w:pPr>
      <w:r>
        <w:rPr>
          <w:rFonts w:ascii="Arial" w:hAnsi="Arial" w:cs="Arial"/>
          <w:sz w:val="22"/>
          <w:szCs w:val="22"/>
        </w:rPr>
        <w:t xml:space="preserve">Acosta-Hernández, C., Fernández-Castillo, R.J., Montes-Vázquez, M. and González-Caro, M.D. (2023) ‘Is caring for pressure ulcers in the intensive care unit in Spain still a challenge? A qualitative study on nurses’ perceptions, </w:t>
      </w:r>
      <w:r>
        <w:rPr>
          <w:rFonts w:ascii="Arial" w:hAnsi="Arial" w:cs="Arial"/>
          <w:i/>
          <w:iCs/>
          <w:sz w:val="22"/>
          <w:szCs w:val="22"/>
        </w:rPr>
        <w:t>Journal of Tissue Viability</w:t>
      </w:r>
      <w:r>
        <w:rPr>
          <w:rFonts w:ascii="Arial" w:hAnsi="Arial" w:cs="Arial"/>
          <w:sz w:val="22"/>
          <w:szCs w:val="22"/>
        </w:rPr>
        <w:t>, 32(1), pp. 114–119.</w:t>
      </w:r>
    </w:p>
    <w:p w14:paraId="1F2C1A7D" w14:textId="77777777" w:rsidR="00C66588" w:rsidRDefault="0084114E">
      <w:pPr>
        <w:rPr>
          <w:rFonts w:ascii="Arial" w:hAnsi="Arial" w:cs="Arial"/>
          <w:sz w:val="22"/>
          <w:szCs w:val="22"/>
        </w:rPr>
      </w:pPr>
      <w:proofErr w:type="spellStart"/>
      <w:r>
        <w:rPr>
          <w:rFonts w:ascii="Arial" w:hAnsi="Arial" w:cs="Arial"/>
          <w:sz w:val="22"/>
          <w:szCs w:val="22"/>
        </w:rPr>
        <w:t>Angelici</w:t>
      </w:r>
      <w:proofErr w:type="spellEnd"/>
      <w:r>
        <w:rPr>
          <w:rFonts w:ascii="Arial" w:hAnsi="Arial" w:cs="Arial"/>
          <w:sz w:val="22"/>
          <w:szCs w:val="22"/>
        </w:rPr>
        <w:t xml:space="preserve">, M., Berta, P., Costa-Font, J. and Turati, G. (2023) ‘Divided we survive? Multilevel governance during the COVID-19 pandemic in Italy and Spain’, </w:t>
      </w:r>
      <w:r>
        <w:rPr>
          <w:rFonts w:ascii="Arial" w:hAnsi="Arial" w:cs="Arial"/>
          <w:i/>
          <w:iCs/>
          <w:sz w:val="22"/>
          <w:szCs w:val="22"/>
        </w:rPr>
        <w:t>Publius: The Journal of Federalism</w:t>
      </w:r>
      <w:r>
        <w:rPr>
          <w:rFonts w:ascii="Arial" w:hAnsi="Arial" w:cs="Arial"/>
          <w:sz w:val="22"/>
          <w:szCs w:val="22"/>
        </w:rPr>
        <w:t>, 53(2), pp. 227–250.</w:t>
      </w:r>
    </w:p>
    <w:p w14:paraId="7A00ECCC" w14:textId="77777777" w:rsidR="00C66588" w:rsidRDefault="0084114E">
      <w:pPr>
        <w:rPr>
          <w:rFonts w:ascii="Arial" w:hAnsi="Arial" w:cs="Arial"/>
          <w:sz w:val="22"/>
          <w:szCs w:val="22"/>
        </w:rPr>
      </w:pPr>
      <w:r>
        <w:rPr>
          <w:rFonts w:ascii="Arial" w:hAnsi="Arial" w:cs="Arial"/>
          <w:sz w:val="22"/>
          <w:szCs w:val="22"/>
        </w:rPr>
        <w:t xml:space="preserve">Anom, B.Y. (2022) ‘The ethical dilemma of mobile phone data monitoring during COVID-19: The case for South Korea and the United States’, </w:t>
      </w:r>
      <w:r>
        <w:rPr>
          <w:rFonts w:ascii="Arial" w:hAnsi="Arial" w:cs="Arial"/>
          <w:i/>
          <w:iCs/>
          <w:sz w:val="22"/>
          <w:szCs w:val="22"/>
        </w:rPr>
        <w:t>Journal of Public Health Research</w:t>
      </w:r>
      <w:r>
        <w:rPr>
          <w:rFonts w:ascii="Arial" w:hAnsi="Arial" w:cs="Arial"/>
          <w:sz w:val="22"/>
          <w:szCs w:val="22"/>
        </w:rPr>
        <w:t>, 11(3), p. 22799036221102491.</w:t>
      </w:r>
    </w:p>
    <w:p w14:paraId="10894194" w14:textId="77777777" w:rsidR="00C66588" w:rsidRDefault="0084114E">
      <w:pPr>
        <w:rPr>
          <w:rFonts w:ascii="Arial" w:hAnsi="Arial" w:cs="Arial"/>
          <w:sz w:val="22"/>
          <w:szCs w:val="22"/>
        </w:rPr>
      </w:pPr>
      <w:r>
        <w:rPr>
          <w:rFonts w:ascii="Arial" w:hAnsi="Arial" w:cs="Arial"/>
          <w:sz w:val="22"/>
          <w:szCs w:val="22"/>
        </w:rPr>
        <w:t xml:space="preserve">Begen, M.A., Ødegaard, F. and Sadeghi, J. (2024) ‘Intra-provincial benchmark analysis of COVID-19 in Canada’, </w:t>
      </w:r>
      <w:r>
        <w:rPr>
          <w:rFonts w:ascii="Arial" w:hAnsi="Arial" w:cs="Arial"/>
          <w:i/>
          <w:iCs/>
          <w:sz w:val="22"/>
          <w:szCs w:val="22"/>
        </w:rPr>
        <w:t>INFOR: Information Systems and Operational Research</w:t>
      </w:r>
      <w:r>
        <w:rPr>
          <w:rFonts w:ascii="Arial" w:hAnsi="Arial" w:cs="Arial"/>
          <w:sz w:val="22"/>
          <w:szCs w:val="22"/>
        </w:rPr>
        <w:t>, 62(3), pp. 377–418.</w:t>
      </w:r>
    </w:p>
    <w:p w14:paraId="7CA57ACB" w14:textId="77777777" w:rsidR="00C66588" w:rsidRDefault="0084114E">
      <w:pPr>
        <w:rPr>
          <w:rFonts w:ascii="Arial" w:hAnsi="Arial" w:cs="Arial"/>
          <w:sz w:val="22"/>
          <w:szCs w:val="22"/>
        </w:rPr>
      </w:pPr>
      <w:r>
        <w:rPr>
          <w:rFonts w:ascii="Arial" w:hAnsi="Arial" w:cs="Arial"/>
          <w:sz w:val="22"/>
          <w:szCs w:val="22"/>
        </w:rPr>
        <w:t xml:space="preserve">Bernal-Delgado, E., Angulo-Pueyo, E., Ridao-López, M., Urbanos-Garrido, R.M., Oliva-Moreno, J., García-Abiétar, D. and Hernández-Quevedo, C. (2024) </w:t>
      </w:r>
      <w:r>
        <w:rPr>
          <w:rFonts w:ascii="Arial" w:hAnsi="Arial" w:cs="Arial"/>
          <w:i/>
          <w:iCs/>
          <w:sz w:val="22"/>
          <w:szCs w:val="22"/>
        </w:rPr>
        <w:t>Spain: Health system review 2024</w:t>
      </w:r>
      <w:r>
        <w:rPr>
          <w:rFonts w:ascii="Arial" w:hAnsi="Arial" w:cs="Arial"/>
          <w:sz w:val="22"/>
          <w:szCs w:val="22"/>
        </w:rPr>
        <w:t xml:space="preserve">, </w:t>
      </w:r>
      <w:r>
        <w:rPr>
          <w:rFonts w:ascii="Arial" w:hAnsi="Arial" w:cs="Arial"/>
          <w:i/>
          <w:iCs/>
          <w:sz w:val="22"/>
          <w:szCs w:val="22"/>
        </w:rPr>
        <w:t>Health Systems in Transition</w:t>
      </w:r>
      <w:r>
        <w:rPr>
          <w:rFonts w:ascii="Arial" w:hAnsi="Arial" w:cs="Arial"/>
          <w:sz w:val="22"/>
          <w:szCs w:val="22"/>
        </w:rPr>
        <w:t>, 26(3), pp. 1–187.</w:t>
      </w:r>
    </w:p>
    <w:p w14:paraId="7364A824" w14:textId="77777777" w:rsidR="00C66588" w:rsidRDefault="0084114E">
      <w:pPr>
        <w:rPr>
          <w:rFonts w:ascii="Arial" w:hAnsi="Arial" w:cs="Arial"/>
          <w:sz w:val="22"/>
          <w:szCs w:val="22"/>
        </w:rPr>
      </w:pPr>
      <w:r>
        <w:rPr>
          <w:rFonts w:ascii="Arial" w:hAnsi="Arial" w:cs="Arial"/>
          <w:sz w:val="22"/>
          <w:szCs w:val="22"/>
        </w:rPr>
        <w:t xml:space="preserve">Blouin Genest, G., </w:t>
      </w:r>
      <w:proofErr w:type="spellStart"/>
      <w:r>
        <w:rPr>
          <w:rFonts w:ascii="Arial" w:hAnsi="Arial" w:cs="Arial"/>
          <w:sz w:val="22"/>
          <w:szCs w:val="22"/>
        </w:rPr>
        <w:t>Burlone</w:t>
      </w:r>
      <w:proofErr w:type="spellEnd"/>
      <w:r>
        <w:rPr>
          <w:rFonts w:ascii="Arial" w:hAnsi="Arial" w:cs="Arial"/>
          <w:sz w:val="22"/>
          <w:szCs w:val="22"/>
        </w:rPr>
        <w:t xml:space="preserve">, N., Champagne, E., Eastin, C. and Ogaranko, C. (2021) ‘Translating COVID-19 emergency plans into policy: A comparative analysis of three Canadian provinces’, </w:t>
      </w:r>
      <w:r>
        <w:rPr>
          <w:rFonts w:ascii="Arial" w:hAnsi="Arial" w:cs="Arial"/>
          <w:i/>
          <w:iCs/>
          <w:sz w:val="22"/>
          <w:szCs w:val="22"/>
        </w:rPr>
        <w:t>Policy Design and Practice</w:t>
      </w:r>
      <w:r>
        <w:rPr>
          <w:rFonts w:ascii="Arial" w:hAnsi="Arial" w:cs="Arial"/>
          <w:sz w:val="22"/>
          <w:szCs w:val="22"/>
        </w:rPr>
        <w:t>, 4(1), pp. 115–132.</w:t>
      </w:r>
    </w:p>
    <w:p w14:paraId="77936A94" w14:textId="77777777" w:rsidR="00C66588" w:rsidRDefault="0084114E">
      <w:pPr>
        <w:rPr>
          <w:rFonts w:ascii="Arial" w:hAnsi="Arial" w:cs="Arial"/>
          <w:sz w:val="22"/>
          <w:szCs w:val="22"/>
        </w:rPr>
      </w:pPr>
      <w:r>
        <w:rPr>
          <w:rFonts w:ascii="Arial" w:hAnsi="Arial" w:cs="Arial"/>
          <w:sz w:val="22"/>
          <w:szCs w:val="22"/>
        </w:rPr>
        <w:t xml:space="preserve">Cameron-Blake, E., Breton, C., Sim, P., Tatlow, H., Hale, T., Wood, A., Smith, J., Sawatsky, J., Parsons, Z. and Tyson, K. (2021) </w:t>
      </w:r>
      <w:r>
        <w:rPr>
          <w:rFonts w:ascii="Arial" w:hAnsi="Arial" w:cs="Arial"/>
          <w:i/>
          <w:iCs/>
          <w:sz w:val="22"/>
          <w:szCs w:val="22"/>
        </w:rPr>
        <w:t>Variation in the Canadian provincial and territorial responses to COVID-19</w:t>
      </w:r>
      <w:r>
        <w:rPr>
          <w:rFonts w:ascii="Arial" w:hAnsi="Arial" w:cs="Arial"/>
          <w:sz w:val="22"/>
          <w:szCs w:val="22"/>
        </w:rPr>
        <w:t>, Blavatnik School of Government Working Paper Series, No. 39.</w:t>
      </w:r>
    </w:p>
    <w:p w14:paraId="6D6CB98E" w14:textId="77777777" w:rsidR="00C66588" w:rsidRDefault="0084114E">
      <w:pPr>
        <w:rPr>
          <w:rFonts w:ascii="Arial" w:hAnsi="Arial" w:cs="Arial"/>
          <w:sz w:val="22"/>
          <w:szCs w:val="22"/>
        </w:rPr>
      </w:pPr>
      <w:r>
        <w:rPr>
          <w:rFonts w:ascii="Arial" w:hAnsi="Arial" w:cs="Arial"/>
          <w:sz w:val="22"/>
          <w:szCs w:val="22"/>
        </w:rPr>
        <w:lastRenderedPageBreak/>
        <w:t xml:space="preserve">Cyr, A., Mondal, P. and Hansen, G. (2021) ‘An inconsistent Canadian provincial and territorial response during the early COVID-19 pandemic’, </w:t>
      </w:r>
      <w:r>
        <w:rPr>
          <w:rFonts w:ascii="Arial" w:hAnsi="Arial" w:cs="Arial"/>
          <w:i/>
          <w:iCs/>
          <w:sz w:val="22"/>
          <w:szCs w:val="22"/>
        </w:rPr>
        <w:t>Frontiers in Public Health</w:t>
      </w:r>
      <w:r>
        <w:rPr>
          <w:rFonts w:ascii="Arial" w:hAnsi="Arial" w:cs="Arial"/>
          <w:sz w:val="22"/>
          <w:szCs w:val="22"/>
        </w:rPr>
        <w:t>, 9, p. 708903.</w:t>
      </w:r>
    </w:p>
    <w:p w14:paraId="7F177E49" w14:textId="77777777" w:rsidR="00C66588" w:rsidRDefault="0084114E">
      <w:pPr>
        <w:rPr>
          <w:rFonts w:ascii="Arial" w:hAnsi="Arial" w:cs="Arial"/>
          <w:sz w:val="22"/>
          <w:szCs w:val="22"/>
        </w:rPr>
      </w:pPr>
      <w:r>
        <w:rPr>
          <w:rFonts w:ascii="Arial" w:hAnsi="Arial" w:cs="Arial"/>
          <w:sz w:val="22"/>
          <w:szCs w:val="22"/>
        </w:rPr>
        <w:t xml:space="preserve">Fafard, P., Cassola, A., MacAulay, M. and Palkovits, M. (2021) ‘The politics and policy of Canada’s COVID-19 response’, in </w:t>
      </w:r>
      <w:r>
        <w:rPr>
          <w:rFonts w:ascii="Arial" w:hAnsi="Arial" w:cs="Arial"/>
          <w:i/>
          <w:iCs/>
          <w:sz w:val="22"/>
          <w:szCs w:val="22"/>
        </w:rPr>
        <w:t>Coronavirus Politics</w:t>
      </w:r>
      <w:r>
        <w:rPr>
          <w:rFonts w:ascii="Arial" w:hAnsi="Arial" w:cs="Arial"/>
          <w:sz w:val="22"/>
          <w:szCs w:val="22"/>
        </w:rPr>
        <w:t>. Ann Arbor: University of Michigan Press, p. 459.</w:t>
      </w:r>
    </w:p>
    <w:p w14:paraId="4354A08B" w14:textId="77777777" w:rsidR="00C66588" w:rsidRDefault="0084114E">
      <w:pPr>
        <w:rPr>
          <w:rFonts w:ascii="Arial" w:hAnsi="Arial" w:cs="Arial"/>
          <w:sz w:val="22"/>
          <w:szCs w:val="22"/>
        </w:rPr>
      </w:pPr>
      <w:r>
        <w:rPr>
          <w:rFonts w:ascii="Arial" w:hAnsi="Arial" w:cs="Arial"/>
          <w:sz w:val="22"/>
          <w:szCs w:val="22"/>
        </w:rPr>
        <w:t xml:space="preserve">González, L. and Rodríguez-González, A. (2021) ‘Inequality in mortality in Spain’, </w:t>
      </w:r>
      <w:r>
        <w:rPr>
          <w:rFonts w:ascii="Arial" w:hAnsi="Arial" w:cs="Arial"/>
          <w:i/>
          <w:iCs/>
          <w:sz w:val="22"/>
          <w:szCs w:val="22"/>
        </w:rPr>
        <w:t>Fiscal Studies</w:t>
      </w:r>
      <w:r>
        <w:rPr>
          <w:rFonts w:ascii="Arial" w:hAnsi="Arial" w:cs="Arial"/>
          <w:sz w:val="22"/>
          <w:szCs w:val="22"/>
        </w:rPr>
        <w:t>, 42(1), pp. 103–121.</w:t>
      </w:r>
    </w:p>
    <w:p w14:paraId="209FCF3D" w14:textId="77777777" w:rsidR="00C66588" w:rsidRDefault="0084114E">
      <w:pPr>
        <w:rPr>
          <w:rFonts w:ascii="Arial" w:hAnsi="Arial" w:cs="Arial"/>
          <w:sz w:val="22"/>
          <w:szCs w:val="22"/>
        </w:rPr>
      </w:pPr>
      <w:r>
        <w:rPr>
          <w:rFonts w:ascii="Arial" w:hAnsi="Arial" w:cs="Arial"/>
          <w:sz w:val="22"/>
          <w:szCs w:val="22"/>
        </w:rPr>
        <w:t xml:space="preserve">Hertelendy, A.J., Tochkin, J., Richmond, J. and </w:t>
      </w:r>
      <w:proofErr w:type="spellStart"/>
      <w:r>
        <w:rPr>
          <w:rFonts w:ascii="Arial" w:hAnsi="Arial" w:cs="Arial"/>
          <w:sz w:val="22"/>
          <w:szCs w:val="22"/>
        </w:rPr>
        <w:t>Ciottone</w:t>
      </w:r>
      <w:proofErr w:type="spellEnd"/>
      <w:r>
        <w:rPr>
          <w:rFonts w:ascii="Arial" w:hAnsi="Arial" w:cs="Arial"/>
          <w:sz w:val="22"/>
          <w:szCs w:val="22"/>
        </w:rPr>
        <w:t xml:space="preserve">, G.R. (2021) ‘Preparing for the next COVID-19 wave in Canada: Managing the crisis facing emergency management leaders in healthcare organisations’, </w:t>
      </w:r>
      <w:r>
        <w:rPr>
          <w:rFonts w:ascii="Arial" w:hAnsi="Arial" w:cs="Arial"/>
          <w:i/>
          <w:iCs/>
          <w:sz w:val="22"/>
          <w:szCs w:val="22"/>
        </w:rPr>
        <w:t>BMJ Leader</w:t>
      </w:r>
      <w:r>
        <w:rPr>
          <w:rFonts w:ascii="Arial" w:hAnsi="Arial" w:cs="Arial"/>
          <w:sz w:val="22"/>
          <w:szCs w:val="22"/>
        </w:rPr>
        <w:t>, 5(3), pp. 161–165.</w:t>
      </w:r>
    </w:p>
    <w:p w14:paraId="2DDE095D" w14:textId="77777777" w:rsidR="00C66588" w:rsidRDefault="0084114E">
      <w:pPr>
        <w:rPr>
          <w:rFonts w:ascii="Arial" w:hAnsi="Arial" w:cs="Arial"/>
          <w:sz w:val="22"/>
          <w:szCs w:val="22"/>
        </w:rPr>
      </w:pPr>
      <w:r>
        <w:rPr>
          <w:rFonts w:ascii="Arial" w:hAnsi="Arial" w:cs="Arial"/>
          <w:sz w:val="22"/>
          <w:szCs w:val="22"/>
        </w:rPr>
        <w:t xml:space="preserve">Jae Moon, M., Suzuki, K., Park, T.I. and </w:t>
      </w:r>
      <w:proofErr w:type="spellStart"/>
      <w:r>
        <w:rPr>
          <w:rFonts w:ascii="Arial" w:hAnsi="Arial" w:cs="Arial"/>
          <w:sz w:val="22"/>
          <w:szCs w:val="22"/>
        </w:rPr>
        <w:t>Sakuwa</w:t>
      </w:r>
      <w:proofErr w:type="spellEnd"/>
      <w:r>
        <w:rPr>
          <w:rFonts w:ascii="Arial" w:hAnsi="Arial" w:cs="Arial"/>
          <w:sz w:val="22"/>
          <w:szCs w:val="22"/>
        </w:rPr>
        <w:t xml:space="preserve">, K. (2021) ‘A comparative study of COVID-19 responses in South Korea and Japan: Political nexus triad and policy responses’, </w:t>
      </w:r>
      <w:r>
        <w:rPr>
          <w:rFonts w:ascii="Arial" w:hAnsi="Arial" w:cs="Arial"/>
          <w:i/>
          <w:iCs/>
          <w:sz w:val="22"/>
          <w:szCs w:val="22"/>
        </w:rPr>
        <w:t>International Review of Administrative Sciences</w:t>
      </w:r>
      <w:r>
        <w:rPr>
          <w:rFonts w:ascii="Arial" w:hAnsi="Arial" w:cs="Arial"/>
          <w:sz w:val="22"/>
          <w:szCs w:val="22"/>
        </w:rPr>
        <w:t>, 87(3), pp. 651–671.</w:t>
      </w:r>
    </w:p>
    <w:p w14:paraId="3A1A0316" w14:textId="77777777" w:rsidR="00C66588" w:rsidRDefault="0084114E">
      <w:pPr>
        <w:rPr>
          <w:rFonts w:ascii="Arial" w:hAnsi="Arial" w:cs="Arial"/>
          <w:sz w:val="22"/>
          <w:szCs w:val="22"/>
        </w:rPr>
      </w:pPr>
      <w:r>
        <w:rPr>
          <w:rFonts w:ascii="Arial" w:hAnsi="Arial" w:cs="Arial"/>
          <w:sz w:val="22"/>
          <w:szCs w:val="22"/>
        </w:rPr>
        <w:t>Kang, C. and Lee, I. (2021) ‘COVID-19 pandemic, transparency, and “</w:t>
      </w:r>
      <w:proofErr w:type="spellStart"/>
      <w:r>
        <w:rPr>
          <w:rFonts w:ascii="Arial" w:hAnsi="Arial" w:cs="Arial"/>
          <w:sz w:val="22"/>
          <w:szCs w:val="22"/>
        </w:rPr>
        <w:t>polidemic</w:t>
      </w:r>
      <w:proofErr w:type="spellEnd"/>
      <w:r>
        <w:rPr>
          <w:rFonts w:ascii="Arial" w:hAnsi="Arial" w:cs="Arial"/>
          <w:sz w:val="22"/>
          <w:szCs w:val="22"/>
        </w:rPr>
        <w:t xml:space="preserve">” in the Republic of Korea’, </w:t>
      </w:r>
      <w:r>
        <w:rPr>
          <w:rFonts w:ascii="Arial" w:hAnsi="Arial" w:cs="Arial"/>
          <w:i/>
          <w:iCs/>
          <w:sz w:val="22"/>
          <w:szCs w:val="22"/>
        </w:rPr>
        <w:t>Asian Bioethics Review</w:t>
      </w:r>
      <w:r>
        <w:rPr>
          <w:rFonts w:ascii="Arial" w:hAnsi="Arial" w:cs="Arial"/>
          <w:sz w:val="22"/>
          <w:szCs w:val="22"/>
        </w:rPr>
        <w:t>, 13(2), pp. 213–224.</w:t>
      </w:r>
    </w:p>
    <w:p w14:paraId="12F535B7" w14:textId="77777777" w:rsidR="00C66588" w:rsidRDefault="0084114E">
      <w:pPr>
        <w:rPr>
          <w:rFonts w:ascii="Arial" w:hAnsi="Arial" w:cs="Arial"/>
          <w:sz w:val="22"/>
          <w:szCs w:val="22"/>
        </w:rPr>
      </w:pPr>
      <w:proofErr w:type="spellStart"/>
      <w:r>
        <w:rPr>
          <w:rFonts w:ascii="Arial" w:hAnsi="Arial" w:cs="Arial"/>
          <w:sz w:val="22"/>
          <w:szCs w:val="22"/>
        </w:rPr>
        <w:t>Kölling</w:t>
      </w:r>
      <w:proofErr w:type="spellEnd"/>
      <w:r>
        <w:rPr>
          <w:rFonts w:ascii="Arial" w:hAnsi="Arial" w:cs="Arial"/>
          <w:sz w:val="22"/>
          <w:szCs w:val="22"/>
        </w:rPr>
        <w:t xml:space="preserve">, M. (2021) ‘COVID-19 and federalism in Spain’, in </w:t>
      </w:r>
      <w:r>
        <w:rPr>
          <w:rFonts w:ascii="Arial" w:hAnsi="Arial" w:cs="Arial"/>
          <w:i/>
          <w:iCs/>
          <w:sz w:val="22"/>
          <w:szCs w:val="22"/>
        </w:rPr>
        <w:t>Federalism and the Response to COVID-19</w:t>
      </w:r>
      <w:r>
        <w:rPr>
          <w:rFonts w:ascii="Arial" w:hAnsi="Arial" w:cs="Arial"/>
          <w:sz w:val="22"/>
          <w:szCs w:val="22"/>
        </w:rPr>
        <w:t>. London: Routledge India, pp. 208–216.</w:t>
      </w:r>
    </w:p>
    <w:p w14:paraId="641A7556" w14:textId="77777777" w:rsidR="00C66588" w:rsidRDefault="0084114E">
      <w:pPr>
        <w:rPr>
          <w:rFonts w:ascii="Arial" w:hAnsi="Arial" w:cs="Arial"/>
          <w:sz w:val="22"/>
          <w:szCs w:val="22"/>
        </w:rPr>
      </w:pPr>
      <w:r>
        <w:rPr>
          <w:rFonts w:ascii="Arial" w:hAnsi="Arial" w:cs="Arial"/>
          <w:sz w:val="22"/>
          <w:szCs w:val="22"/>
        </w:rPr>
        <w:t xml:space="preserve">Lee, S. and Wong, R. (2021) ‘COVID-19 responses of South Korea as hybrids of governance modes’, </w:t>
      </w:r>
      <w:r>
        <w:rPr>
          <w:rFonts w:ascii="Arial" w:hAnsi="Arial" w:cs="Arial"/>
          <w:i/>
          <w:iCs/>
          <w:sz w:val="22"/>
          <w:szCs w:val="22"/>
        </w:rPr>
        <w:t>Frontiers in Public Health</w:t>
      </w:r>
      <w:r>
        <w:rPr>
          <w:rFonts w:ascii="Arial" w:hAnsi="Arial" w:cs="Arial"/>
          <w:sz w:val="22"/>
          <w:szCs w:val="22"/>
        </w:rPr>
        <w:t>, 9, p. 654945.</w:t>
      </w:r>
    </w:p>
    <w:p w14:paraId="6614457F" w14:textId="77777777" w:rsidR="00C66588" w:rsidRDefault="0084114E">
      <w:pPr>
        <w:rPr>
          <w:rFonts w:ascii="Arial" w:hAnsi="Arial" w:cs="Arial"/>
          <w:sz w:val="22"/>
          <w:szCs w:val="22"/>
        </w:rPr>
      </w:pPr>
      <w:r>
        <w:rPr>
          <w:rFonts w:ascii="Arial" w:hAnsi="Arial" w:cs="Arial"/>
          <w:sz w:val="22"/>
          <w:szCs w:val="22"/>
        </w:rPr>
        <w:t xml:space="preserve">López-Casasnovas, G. and </w:t>
      </w:r>
      <w:proofErr w:type="spellStart"/>
      <w:r>
        <w:rPr>
          <w:rFonts w:ascii="Arial" w:hAnsi="Arial" w:cs="Arial"/>
          <w:sz w:val="22"/>
          <w:szCs w:val="22"/>
        </w:rPr>
        <w:t>Pifarré</w:t>
      </w:r>
      <w:proofErr w:type="spellEnd"/>
      <w:r>
        <w:rPr>
          <w:rFonts w:ascii="Arial" w:hAnsi="Arial" w:cs="Arial"/>
          <w:sz w:val="22"/>
          <w:szCs w:val="22"/>
        </w:rPr>
        <w:t xml:space="preserve"> i Arolas, H. (2021) ‘The Spanish health-care system’, in </w:t>
      </w:r>
      <w:r>
        <w:rPr>
          <w:rFonts w:ascii="Arial" w:hAnsi="Arial" w:cs="Arial"/>
          <w:i/>
          <w:iCs/>
          <w:sz w:val="22"/>
          <w:szCs w:val="22"/>
        </w:rPr>
        <w:t>The Sustainability of Health Care Systems in Europe</w:t>
      </w:r>
      <w:r>
        <w:rPr>
          <w:rFonts w:ascii="Arial" w:hAnsi="Arial" w:cs="Arial"/>
          <w:sz w:val="22"/>
          <w:szCs w:val="22"/>
        </w:rPr>
        <w:t>. Cham: Springer, pp. 189–207.</w:t>
      </w:r>
    </w:p>
    <w:p w14:paraId="32BB1080" w14:textId="77777777" w:rsidR="00C66588" w:rsidRDefault="0084114E">
      <w:pPr>
        <w:rPr>
          <w:rFonts w:ascii="Arial" w:hAnsi="Arial" w:cs="Arial"/>
          <w:sz w:val="22"/>
          <w:szCs w:val="22"/>
        </w:rPr>
      </w:pPr>
      <w:r>
        <w:rPr>
          <w:rFonts w:ascii="Arial" w:hAnsi="Arial" w:cs="Arial"/>
          <w:sz w:val="22"/>
          <w:szCs w:val="22"/>
        </w:rPr>
        <w:lastRenderedPageBreak/>
        <w:t>Mac-</w:t>
      </w:r>
      <w:proofErr w:type="spellStart"/>
      <w:r>
        <w:rPr>
          <w:rFonts w:ascii="Arial" w:hAnsi="Arial" w:cs="Arial"/>
          <w:sz w:val="22"/>
          <w:szCs w:val="22"/>
        </w:rPr>
        <w:t>Seing</w:t>
      </w:r>
      <w:proofErr w:type="spellEnd"/>
      <w:r>
        <w:rPr>
          <w:rFonts w:ascii="Arial" w:hAnsi="Arial" w:cs="Arial"/>
          <w:sz w:val="22"/>
          <w:szCs w:val="22"/>
        </w:rPr>
        <w:t xml:space="preserve">, M. and Di Ruggiero, E. (2024) ‘The intersections of COVID-19 global health governance and population health priorities: Equity-related lessons learned from Canada and selected G20 countries’, </w:t>
      </w:r>
      <w:r>
        <w:rPr>
          <w:rFonts w:ascii="Arial" w:hAnsi="Arial" w:cs="Arial"/>
          <w:i/>
          <w:iCs/>
          <w:sz w:val="22"/>
          <w:szCs w:val="22"/>
        </w:rPr>
        <w:t>Public Health Reviews</w:t>
      </w:r>
      <w:r>
        <w:rPr>
          <w:rFonts w:ascii="Arial" w:hAnsi="Arial" w:cs="Arial"/>
          <w:sz w:val="22"/>
          <w:szCs w:val="22"/>
        </w:rPr>
        <w:t>, 45, p. 1606052.</w:t>
      </w:r>
    </w:p>
    <w:p w14:paraId="4D74BF8A" w14:textId="77777777" w:rsidR="00C66588" w:rsidRDefault="0084114E">
      <w:pPr>
        <w:rPr>
          <w:rFonts w:ascii="Arial" w:hAnsi="Arial" w:cs="Arial"/>
          <w:sz w:val="22"/>
          <w:szCs w:val="22"/>
        </w:rPr>
      </w:pPr>
      <w:r>
        <w:rPr>
          <w:rFonts w:ascii="Arial" w:hAnsi="Arial" w:cs="Arial"/>
          <w:sz w:val="22"/>
          <w:szCs w:val="22"/>
        </w:rPr>
        <w:t xml:space="preserve">Mattei, P. and Del Pino, E. (2021) ‘Coordination and health policy responses to the first wave of COVID-19 in Italy and Spain’, </w:t>
      </w:r>
      <w:r>
        <w:rPr>
          <w:rFonts w:ascii="Arial" w:hAnsi="Arial" w:cs="Arial"/>
          <w:i/>
          <w:iCs/>
          <w:sz w:val="22"/>
          <w:szCs w:val="22"/>
        </w:rPr>
        <w:t>Journal of Comparative Policy Analysis: Research and Practice</w:t>
      </w:r>
      <w:r>
        <w:rPr>
          <w:rFonts w:ascii="Arial" w:hAnsi="Arial" w:cs="Arial"/>
          <w:sz w:val="22"/>
          <w:szCs w:val="22"/>
        </w:rPr>
        <w:t>, 23(2), pp. 274–281.</w:t>
      </w:r>
    </w:p>
    <w:p w14:paraId="12E4DE16" w14:textId="77777777" w:rsidR="00C66588" w:rsidRDefault="0084114E">
      <w:pPr>
        <w:rPr>
          <w:rFonts w:ascii="Arial" w:hAnsi="Arial" w:cs="Arial"/>
          <w:sz w:val="22"/>
          <w:szCs w:val="22"/>
        </w:rPr>
      </w:pPr>
      <w:r>
        <w:rPr>
          <w:rFonts w:ascii="Arial" w:hAnsi="Arial" w:cs="Arial"/>
          <w:sz w:val="22"/>
          <w:szCs w:val="22"/>
        </w:rPr>
        <w:t xml:space="preserve">Navarro, C. and Velasco, F. (2022) ‘From centralisation to new ways of multi-level coordination: Spain’s intergovernmental response to the COVID-19 pandemic’, </w:t>
      </w:r>
      <w:r>
        <w:rPr>
          <w:rFonts w:ascii="Arial" w:hAnsi="Arial" w:cs="Arial"/>
          <w:i/>
          <w:iCs/>
          <w:sz w:val="22"/>
          <w:szCs w:val="22"/>
        </w:rPr>
        <w:t>Local Government Studies</w:t>
      </w:r>
      <w:r>
        <w:rPr>
          <w:rFonts w:ascii="Arial" w:hAnsi="Arial" w:cs="Arial"/>
          <w:sz w:val="22"/>
          <w:szCs w:val="22"/>
        </w:rPr>
        <w:t>, 48(2), pp. 191–210.</w:t>
      </w:r>
    </w:p>
    <w:p w14:paraId="7128BA5F" w14:textId="77777777" w:rsidR="00C66588" w:rsidRDefault="0084114E">
      <w:pPr>
        <w:rPr>
          <w:rFonts w:ascii="Arial" w:hAnsi="Arial" w:cs="Arial"/>
          <w:sz w:val="22"/>
          <w:szCs w:val="22"/>
        </w:rPr>
      </w:pPr>
      <w:r>
        <w:rPr>
          <w:rFonts w:ascii="Arial" w:hAnsi="Arial" w:cs="Arial"/>
          <w:sz w:val="22"/>
          <w:szCs w:val="22"/>
        </w:rPr>
        <w:t xml:space="preserve">Park, S.Y., Lee, R., Newton, C. and Han, G. (2024) ‘How are people coping with working from home during the COVID-19 pandemic? Experiences from the Netherlands and South Korea’, </w:t>
      </w:r>
      <w:r>
        <w:rPr>
          <w:rFonts w:ascii="Arial" w:hAnsi="Arial" w:cs="Arial"/>
          <w:i/>
          <w:iCs/>
          <w:sz w:val="22"/>
          <w:szCs w:val="22"/>
        </w:rPr>
        <w:t>PLOS ONE</w:t>
      </w:r>
      <w:r>
        <w:rPr>
          <w:rFonts w:ascii="Arial" w:hAnsi="Arial" w:cs="Arial"/>
          <w:sz w:val="22"/>
          <w:szCs w:val="22"/>
        </w:rPr>
        <w:t>, 19(4), p. e0301351.</w:t>
      </w:r>
    </w:p>
    <w:p w14:paraId="4282BA2F" w14:textId="77777777" w:rsidR="00C66588" w:rsidRDefault="0084114E">
      <w:pPr>
        <w:rPr>
          <w:rFonts w:ascii="Arial" w:hAnsi="Arial" w:cs="Arial"/>
          <w:sz w:val="22"/>
          <w:szCs w:val="22"/>
        </w:rPr>
      </w:pPr>
      <w:r>
        <w:rPr>
          <w:rFonts w:ascii="Arial" w:hAnsi="Arial" w:cs="Arial"/>
          <w:sz w:val="22"/>
          <w:szCs w:val="22"/>
        </w:rPr>
        <w:t xml:space="preserve">Ramsbottom, C. (2022) </w:t>
      </w:r>
      <w:r>
        <w:rPr>
          <w:rFonts w:ascii="Arial" w:hAnsi="Arial" w:cs="Arial"/>
          <w:i/>
          <w:iCs/>
          <w:sz w:val="22"/>
          <w:szCs w:val="22"/>
        </w:rPr>
        <w:t>Policy coordination in a federal state: Lessons from the Canadian COVID-19 vaccine implementation experience</w:t>
      </w:r>
      <w:r>
        <w:rPr>
          <w:rFonts w:ascii="Arial" w:hAnsi="Arial" w:cs="Arial"/>
          <w:sz w:val="22"/>
          <w:szCs w:val="22"/>
        </w:rPr>
        <w:t>. Ottawa: Government of Canada.</w:t>
      </w:r>
    </w:p>
    <w:p w14:paraId="2C2D77AA" w14:textId="77777777" w:rsidR="00C66588" w:rsidRDefault="0084114E">
      <w:pPr>
        <w:rPr>
          <w:rFonts w:ascii="Arial" w:hAnsi="Arial" w:cs="Arial"/>
          <w:sz w:val="22"/>
          <w:szCs w:val="22"/>
        </w:rPr>
      </w:pPr>
      <w:r>
        <w:rPr>
          <w:rFonts w:ascii="Arial" w:hAnsi="Arial" w:cs="Arial"/>
          <w:sz w:val="22"/>
          <w:szCs w:val="22"/>
        </w:rPr>
        <w:t xml:space="preserve">Rossi, T.R.A., Soares, C.L.M., Silva, G.A., Paim, J.S. and Vieira-da-Silva, L.M. (2022) ‘The response by South Korea to the COVID-19 pandemic: Lessons learned and recommendations for policymakers’, </w:t>
      </w:r>
      <w:proofErr w:type="spellStart"/>
      <w:r>
        <w:rPr>
          <w:rFonts w:ascii="Arial" w:hAnsi="Arial" w:cs="Arial"/>
          <w:i/>
          <w:iCs/>
          <w:sz w:val="22"/>
          <w:szCs w:val="22"/>
        </w:rPr>
        <w:t>Cadernos</w:t>
      </w:r>
      <w:proofErr w:type="spellEnd"/>
      <w:r>
        <w:rPr>
          <w:rFonts w:ascii="Arial" w:hAnsi="Arial" w:cs="Arial"/>
          <w:i/>
          <w:iCs/>
          <w:sz w:val="22"/>
          <w:szCs w:val="22"/>
        </w:rPr>
        <w:t xml:space="preserve"> de </w:t>
      </w:r>
      <w:proofErr w:type="spellStart"/>
      <w:r>
        <w:rPr>
          <w:rFonts w:ascii="Arial" w:hAnsi="Arial" w:cs="Arial"/>
          <w:i/>
          <w:iCs/>
          <w:sz w:val="22"/>
          <w:szCs w:val="22"/>
        </w:rPr>
        <w:t>Saúde</w:t>
      </w:r>
      <w:proofErr w:type="spellEnd"/>
      <w:r>
        <w:rPr>
          <w:rFonts w:ascii="Arial" w:hAnsi="Arial" w:cs="Arial"/>
          <w:i/>
          <w:iCs/>
          <w:sz w:val="22"/>
          <w:szCs w:val="22"/>
        </w:rPr>
        <w:t xml:space="preserve"> Pública</w:t>
      </w:r>
      <w:r>
        <w:rPr>
          <w:rFonts w:ascii="Arial" w:hAnsi="Arial" w:cs="Arial"/>
          <w:sz w:val="22"/>
          <w:szCs w:val="22"/>
        </w:rPr>
        <w:t>, 38, p. e00118621.</w:t>
      </w:r>
    </w:p>
    <w:p w14:paraId="67547F62" w14:textId="77777777" w:rsidR="00C66588" w:rsidRDefault="0084114E">
      <w:pPr>
        <w:rPr>
          <w:rFonts w:ascii="Arial" w:hAnsi="Arial" w:cs="Arial"/>
          <w:sz w:val="22"/>
          <w:szCs w:val="22"/>
        </w:rPr>
      </w:pPr>
      <w:proofErr w:type="spellStart"/>
      <w:r>
        <w:rPr>
          <w:rFonts w:ascii="Arial" w:hAnsi="Arial" w:cs="Arial"/>
          <w:sz w:val="22"/>
          <w:szCs w:val="22"/>
        </w:rPr>
        <w:t>Rotteau</w:t>
      </w:r>
      <w:proofErr w:type="spellEnd"/>
      <w:r>
        <w:rPr>
          <w:rFonts w:ascii="Arial" w:hAnsi="Arial" w:cs="Arial"/>
          <w:sz w:val="22"/>
          <w:szCs w:val="22"/>
        </w:rPr>
        <w:t xml:space="preserve">, L., Magaz, M., Wong, B.M., </w:t>
      </w:r>
      <w:proofErr w:type="spellStart"/>
      <w:r>
        <w:rPr>
          <w:rFonts w:ascii="Arial" w:hAnsi="Arial" w:cs="Arial"/>
          <w:sz w:val="22"/>
          <w:szCs w:val="22"/>
        </w:rPr>
        <w:t>Shearkhani</w:t>
      </w:r>
      <w:proofErr w:type="spellEnd"/>
      <w:r>
        <w:rPr>
          <w:rFonts w:ascii="Arial" w:hAnsi="Arial" w:cs="Arial"/>
          <w:sz w:val="22"/>
          <w:szCs w:val="22"/>
        </w:rPr>
        <w:t xml:space="preserve">, S., Shabani, M., Pradhan, R., Auguste, B., Bourne, L., Powis, J. and Smith, K.M. (2024) ‘Community-engaged co-design of a quality improvement capacity building program within an integrated health system in Ontario, Canada’, </w:t>
      </w:r>
      <w:r>
        <w:rPr>
          <w:rFonts w:ascii="Arial" w:hAnsi="Arial" w:cs="Arial"/>
          <w:i/>
          <w:iCs/>
          <w:sz w:val="22"/>
          <w:szCs w:val="22"/>
        </w:rPr>
        <w:t>Journal of Integrated Care</w:t>
      </w:r>
      <w:r>
        <w:rPr>
          <w:rFonts w:ascii="Arial" w:hAnsi="Arial" w:cs="Arial"/>
          <w:sz w:val="22"/>
          <w:szCs w:val="22"/>
        </w:rPr>
        <w:t>, 32(3), pp. 303–312.</w:t>
      </w:r>
    </w:p>
    <w:p w14:paraId="2FA7CF82" w14:textId="77777777" w:rsidR="00C66588" w:rsidRDefault="0084114E">
      <w:pPr>
        <w:rPr>
          <w:rFonts w:ascii="Arial" w:hAnsi="Arial" w:cs="Arial"/>
          <w:sz w:val="22"/>
          <w:szCs w:val="22"/>
        </w:rPr>
      </w:pPr>
      <w:r>
        <w:rPr>
          <w:rFonts w:ascii="Arial" w:hAnsi="Arial" w:cs="Arial"/>
          <w:sz w:val="22"/>
          <w:szCs w:val="22"/>
        </w:rPr>
        <w:lastRenderedPageBreak/>
        <w:t xml:space="preserve">Royo, S. (2020) ‘Responding to COVID-19: The case of Spain’, </w:t>
      </w:r>
      <w:r>
        <w:rPr>
          <w:rFonts w:ascii="Arial" w:hAnsi="Arial" w:cs="Arial"/>
          <w:i/>
          <w:iCs/>
          <w:sz w:val="22"/>
          <w:szCs w:val="22"/>
        </w:rPr>
        <w:t>European Policy Analysis</w:t>
      </w:r>
      <w:r>
        <w:rPr>
          <w:rFonts w:ascii="Arial" w:hAnsi="Arial" w:cs="Arial"/>
          <w:sz w:val="22"/>
          <w:szCs w:val="22"/>
        </w:rPr>
        <w:t>, 6(2), pp. 180–190.</w:t>
      </w:r>
    </w:p>
    <w:p w14:paraId="53D08032" w14:textId="77777777" w:rsidR="00C66588" w:rsidRDefault="0084114E">
      <w:pPr>
        <w:rPr>
          <w:rFonts w:ascii="Arial" w:hAnsi="Arial" w:cs="Arial"/>
          <w:sz w:val="22"/>
          <w:szCs w:val="22"/>
        </w:rPr>
      </w:pPr>
      <w:r>
        <w:rPr>
          <w:rFonts w:ascii="Arial" w:hAnsi="Arial" w:cs="Arial"/>
          <w:sz w:val="22"/>
          <w:szCs w:val="22"/>
        </w:rPr>
        <w:t xml:space="preserve">Ryu, S., Hwang, Y., Yoon, H. and Chun, B.C. (2022) ‘Self-quarantine noncompliance during the COVID-19 pandemic in South Korea’, </w:t>
      </w:r>
      <w:r>
        <w:rPr>
          <w:rFonts w:ascii="Arial" w:hAnsi="Arial" w:cs="Arial"/>
          <w:i/>
          <w:iCs/>
          <w:sz w:val="22"/>
          <w:szCs w:val="22"/>
        </w:rPr>
        <w:t>Disaster Medicine and Public Health Preparedness</w:t>
      </w:r>
      <w:r>
        <w:rPr>
          <w:rFonts w:ascii="Arial" w:hAnsi="Arial" w:cs="Arial"/>
          <w:sz w:val="22"/>
          <w:szCs w:val="22"/>
        </w:rPr>
        <w:t>, 16(2), pp. 464–467.</w:t>
      </w:r>
    </w:p>
    <w:p w14:paraId="00D2F36E" w14:textId="77777777" w:rsidR="00C66588" w:rsidRDefault="0084114E">
      <w:pPr>
        <w:rPr>
          <w:rFonts w:ascii="Arial" w:hAnsi="Arial" w:cs="Arial"/>
          <w:sz w:val="22"/>
          <w:szCs w:val="22"/>
        </w:rPr>
      </w:pPr>
      <w:r>
        <w:rPr>
          <w:rFonts w:ascii="Arial" w:hAnsi="Arial" w:cs="Arial"/>
          <w:sz w:val="22"/>
          <w:szCs w:val="22"/>
        </w:rPr>
        <w:t xml:space="preserve">Sohn, J.I. (2022) ‘Current status and challenges for public health care governance in South Korea’, </w:t>
      </w:r>
      <w:r>
        <w:rPr>
          <w:rFonts w:ascii="Arial" w:hAnsi="Arial" w:cs="Arial"/>
          <w:i/>
          <w:iCs/>
          <w:sz w:val="22"/>
          <w:szCs w:val="22"/>
        </w:rPr>
        <w:t>Health and Welfare Policy Forum</w:t>
      </w:r>
      <w:r>
        <w:rPr>
          <w:rFonts w:ascii="Arial" w:hAnsi="Arial" w:cs="Arial"/>
          <w:sz w:val="22"/>
          <w:szCs w:val="22"/>
        </w:rPr>
        <w:t>, 2022(9), pp. 50–75.</w:t>
      </w:r>
    </w:p>
    <w:p w14:paraId="37D180B4" w14:textId="77777777" w:rsidR="00C66588" w:rsidRDefault="0084114E">
      <w:pPr>
        <w:rPr>
          <w:rFonts w:ascii="Arial" w:hAnsi="Arial" w:cs="Arial"/>
          <w:sz w:val="22"/>
          <w:szCs w:val="22"/>
        </w:rPr>
      </w:pPr>
      <w:r>
        <w:rPr>
          <w:rFonts w:ascii="Arial" w:hAnsi="Arial" w:cs="Arial"/>
          <w:sz w:val="22"/>
          <w:szCs w:val="22"/>
        </w:rPr>
        <w:t xml:space="preserve">Vampa, D. (2021) ‘COVID-19 and territorial policy dynamics in Western Europe: Comparing France, Spain, Italy, Germany, and the United Kingdom’, </w:t>
      </w:r>
      <w:r>
        <w:rPr>
          <w:rFonts w:ascii="Arial" w:hAnsi="Arial" w:cs="Arial"/>
          <w:i/>
          <w:iCs/>
          <w:sz w:val="22"/>
          <w:szCs w:val="22"/>
        </w:rPr>
        <w:t>Publius: The Journal of Federalism</w:t>
      </w:r>
      <w:r>
        <w:rPr>
          <w:rFonts w:ascii="Arial" w:hAnsi="Arial" w:cs="Arial"/>
          <w:sz w:val="22"/>
          <w:szCs w:val="22"/>
        </w:rPr>
        <w:t>, 51(4), pp. 601–626.</w:t>
      </w:r>
    </w:p>
    <w:p w14:paraId="7B4346A4" w14:textId="77777777" w:rsidR="00C66588" w:rsidRDefault="0084114E">
      <w:pPr>
        <w:rPr>
          <w:rFonts w:ascii="Arial" w:hAnsi="Arial" w:cs="Arial"/>
          <w:sz w:val="22"/>
          <w:szCs w:val="22"/>
        </w:rPr>
      </w:pPr>
      <w:r>
        <w:rPr>
          <w:rFonts w:ascii="Arial" w:hAnsi="Arial" w:cs="Arial"/>
          <w:sz w:val="22"/>
          <w:szCs w:val="22"/>
        </w:rPr>
        <w:t xml:space="preserve">Walker, M.J., Meggetto, O., Gao, J., Espino-Hernández, G., Jembere, N., Bravo, C.A., Rey, M., Aslam, U., Sheppard, A.J., Lofters, A.K. and Tammemägi, M.C. (2021) ‘Measuring the impact of the COVID-19 pandemic on organized cancer screening and diagnostic follow-up care in Ontario, Canada: A provincial, population-based study’, </w:t>
      </w:r>
      <w:r>
        <w:rPr>
          <w:rFonts w:ascii="Arial" w:hAnsi="Arial" w:cs="Arial"/>
          <w:i/>
          <w:iCs/>
          <w:sz w:val="22"/>
          <w:szCs w:val="22"/>
        </w:rPr>
        <w:t>Preventive Medicine</w:t>
      </w:r>
      <w:r>
        <w:rPr>
          <w:rFonts w:ascii="Arial" w:hAnsi="Arial" w:cs="Arial"/>
          <w:sz w:val="22"/>
          <w:szCs w:val="22"/>
        </w:rPr>
        <w:t>, 151, p. 106586.</w:t>
      </w:r>
    </w:p>
    <w:p w14:paraId="5EF9F14B" w14:textId="77777777" w:rsidR="00C66588" w:rsidRDefault="0084114E">
      <w:pPr>
        <w:rPr>
          <w:rFonts w:ascii="Arial" w:hAnsi="Arial" w:cs="Arial"/>
          <w:sz w:val="22"/>
          <w:szCs w:val="22"/>
        </w:rPr>
      </w:pPr>
      <w:r>
        <w:rPr>
          <w:rFonts w:ascii="Arial" w:hAnsi="Arial" w:cs="Arial"/>
          <w:sz w:val="22"/>
          <w:szCs w:val="22"/>
        </w:rPr>
        <w:t xml:space="preserve">Yoon, J.H., Kwon, I.H. and Park, H.W. (2024) ‘The South Korean health-care system in crisis’, </w:t>
      </w:r>
      <w:r>
        <w:rPr>
          <w:rFonts w:ascii="Arial" w:hAnsi="Arial" w:cs="Arial"/>
          <w:i/>
          <w:iCs/>
          <w:sz w:val="22"/>
          <w:szCs w:val="22"/>
        </w:rPr>
        <w:t>The Lancet</w:t>
      </w:r>
      <w:r>
        <w:rPr>
          <w:rFonts w:ascii="Arial" w:hAnsi="Arial" w:cs="Arial"/>
          <w:sz w:val="22"/>
          <w:szCs w:val="22"/>
        </w:rPr>
        <w:t>, 403(10444), p. 2589.</w:t>
      </w:r>
    </w:p>
    <w:p w14:paraId="35AAC3DB" w14:textId="77777777" w:rsidR="00C66588" w:rsidRDefault="0084114E">
      <w:pPr>
        <w:rPr>
          <w:rFonts w:ascii="Arial" w:hAnsi="Arial" w:cs="Arial"/>
          <w:sz w:val="22"/>
          <w:szCs w:val="22"/>
        </w:rPr>
      </w:pPr>
      <w:r>
        <w:rPr>
          <w:rFonts w:ascii="Arial" w:hAnsi="Arial" w:cs="Arial"/>
          <w:sz w:val="22"/>
          <w:szCs w:val="22"/>
        </w:rPr>
        <w:t xml:space="preserve">You, J., (2020). Lessons from South Korea’s Covid-19 policy response. </w:t>
      </w:r>
      <w:r>
        <w:rPr>
          <w:rFonts w:ascii="Arial" w:hAnsi="Arial" w:cs="Arial"/>
          <w:i/>
          <w:iCs/>
          <w:sz w:val="22"/>
          <w:szCs w:val="22"/>
        </w:rPr>
        <w:t>The American Review of Public Administration</w:t>
      </w:r>
      <w:r>
        <w:rPr>
          <w:rFonts w:ascii="Arial" w:hAnsi="Arial" w:cs="Arial"/>
          <w:sz w:val="22"/>
          <w:szCs w:val="22"/>
        </w:rPr>
        <w:t xml:space="preserve">, </w:t>
      </w:r>
      <w:r>
        <w:rPr>
          <w:rFonts w:ascii="Arial" w:hAnsi="Arial" w:cs="Arial"/>
          <w:i/>
          <w:iCs/>
          <w:sz w:val="22"/>
          <w:szCs w:val="22"/>
        </w:rPr>
        <w:t>50</w:t>
      </w:r>
      <w:r>
        <w:rPr>
          <w:rFonts w:ascii="Arial" w:hAnsi="Arial" w:cs="Arial"/>
          <w:sz w:val="22"/>
          <w:szCs w:val="22"/>
        </w:rPr>
        <w:t>(6-7), pp.801-808.</w:t>
      </w:r>
    </w:p>
    <w:sectPr w:rsidR="00C66588">
      <w:headerReference w:type="default" r:id="rId9"/>
      <w:footerReference w:type="default" r:id="rId10"/>
      <w:headerReference w:type="first" r:id="rId11"/>
      <w:pgSz w:w="12240" w:h="15840"/>
      <w:pgMar w:top="1440" w:right="1759" w:bottom="1440" w:left="141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DC02E" w14:textId="77777777" w:rsidR="00937A19" w:rsidRDefault="00937A19">
      <w:pPr>
        <w:spacing w:line="240" w:lineRule="auto"/>
      </w:pPr>
      <w:r>
        <w:separator/>
      </w:r>
    </w:p>
  </w:endnote>
  <w:endnote w:type="continuationSeparator" w:id="0">
    <w:p w14:paraId="309ACE9F" w14:textId="77777777" w:rsidR="00937A19" w:rsidRDefault="00937A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F1E3C8DD-DB6B-42E3-A4BA-525C2A6D7C9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04880F6E-5522-463A-85B4-69D10D2815D1}"/>
  </w:font>
  <w:font w:name="Calibri">
    <w:panose1 w:val="020F0502020204030204"/>
    <w:charset w:val="00"/>
    <w:family w:val="swiss"/>
    <w:pitch w:val="variable"/>
    <w:sig w:usb0="E4002EFF" w:usb1="C000247B" w:usb2="00000009" w:usb3="00000000" w:csb0="000001FF" w:csb1="00000000"/>
    <w:embedRegular r:id="rId3" w:fontKey="{F391CF8C-E0A1-4098-BA63-6418FBD6EECB}"/>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4" w:fontKey="{24AF5476-A366-45BF-B893-912D10BB3B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275F2" w14:textId="77777777" w:rsidR="00C66588" w:rsidRDefault="0084114E">
    <w:pPr>
      <w:tabs>
        <w:tab w:val="center" w:pos="4680"/>
        <w:tab w:val="right" w:pos="9360"/>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171A46">
      <w:rPr>
        <w:b/>
        <w:bCs/>
        <w:noProof/>
        <w:color w:val="000000"/>
      </w:rPr>
      <w:t>21</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171A46">
      <w:rPr>
        <w:b/>
        <w:bCs/>
        <w:noProof/>
        <w:color w:val="000000"/>
      </w:rPr>
      <w:t>28</w:t>
    </w:r>
    <w:r>
      <w:rPr>
        <w:b/>
        <w:bCs/>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03FBD" w14:textId="77777777" w:rsidR="00937A19" w:rsidRDefault="00937A19">
      <w:pPr>
        <w:spacing w:before="0" w:after="0"/>
      </w:pPr>
      <w:r>
        <w:separator/>
      </w:r>
    </w:p>
  </w:footnote>
  <w:footnote w:type="continuationSeparator" w:id="0">
    <w:p w14:paraId="61A2F8DC" w14:textId="77777777" w:rsidR="00937A19" w:rsidRDefault="00937A1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6E852" w14:textId="77777777" w:rsidR="00C66588" w:rsidRDefault="00C66588">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863D" w14:textId="77777777" w:rsidR="00C66588" w:rsidRDefault="00C66588">
    <w:pPr>
      <w:widowControl w:val="0"/>
      <w:spacing w:before="0" w:after="0" w:line="744" w:lineRule="auto"/>
      <w:ind w:left="411" w:right="651"/>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01F"/>
    <w:rsid w:val="000A301F"/>
    <w:rsid w:val="000B10D2"/>
    <w:rsid w:val="00171A46"/>
    <w:rsid w:val="0061023F"/>
    <w:rsid w:val="007553DB"/>
    <w:rsid w:val="0084114E"/>
    <w:rsid w:val="00937A19"/>
    <w:rsid w:val="00C66588"/>
    <w:rsid w:val="00C7362E"/>
    <w:rsid w:val="00DF4CC9"/>
    <w:rsid w:val="05F009FA"/>
    <w:rsid w:val="6E0C678B"/>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F863E"/>
  <w15:docId w15:val="{975FD52C-673C-4482-8C0E-20827955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240" w:line="480" w:lineRule="auto"/>
      <w:jc w:val="both"/>
    </w:pPr>
    <w:rPr>
      <w:sz w:val="24"/>
      <w:szCs w:val="24"/>
      <w:lang w:val="en-GB" w:eastAsia="zh-CN" w:bidi="ar-SA"/>
    </w:rPr>
  </w:style>
  <w:style w:type="paragraph" w:styleId="Heading1">
    <w:name w:val="heading 1"/>
    <w:next w:val="Normal"/>
    <w:uiPriority w:val="9"/>
    <w:qFormat/>
    <w:pPr>
      <w:keepNext/>
      <w:keepLines/>
      <w:spacing w:before="240" w:after="240" w:line="480" w:lineRule="auto"/>
      <w:jc w:val="both"/>
      <w:outlineLvl w:val="0"/>
    </w:pPr>
    <w:rPr>
      <w:b/>
      <w:sz w:val="28"/>
      <w:szCs w:val="28"/>
      <w:lang w:val="en-GB" w:eastAsia="zh-CN" w:bidi="ar-SA"/>
    </w:rPr>
  </w:style>
  <w:style w:type="paragraph" w:styleId="Heading2">
    <w:name w:val="heading 2"/>
    <w:next w:val="Normal"/>
    <w:uiPriority w:val="9"/>
    <w:unhideWhenUsed/>
    <w:qFormat/>
    <w:pPr>
      <w:keepNext/>
      <w:keepLines/>
      <w:spacing w:before="240" w:after="240" w:line="480" w:lineRule="auto"/>
      <w:jc w:val="both"/>
      <w:outlineLvl w:val="1"/>
    </w:pPr>
    <w:rPr>
      <w:b/>
      <w:sz w:val="26"/>
      <w:szCs w:val="26"/>
      <w:lang w:val="en-GB" w:eastAsia="zh-CN" w:bidi="ar-SA"/>
    </w:rPr>
  </w:style>
  <w:style w:type="paragraph" w:styleId="Heading3">
    <w:name w:val="heading 3"/>
    <w:next w:val="Normal"/>
    <w:uiPriority w:val="9"/>
    <w:unhideWhenUsed/>
    <w:qFormat/>
    <w:pPr>
      <w:keepNext/>
      <w:keepLines/>
      <w:spacing w:before="240" w:after="240" w:line="480" w:lineRule="auto"/>
      <w:jc w:val="both"/>
      <w:outlineLvl w:val="2"/>
    </w:pPr>
    <w:rPr>
      <w:i/>
      <w:sz w:val="24"/>
      <w:szCs w:val="24"/>
      <w:u w:val="single"/>
      <w:lang w:val="en-GB" w:eastAsia="zh-CN" w:bidi="ar-SA"/>
    </w:rPr>
  </w:style>
  <w:style w:type="paragraph" w:styleId="Heading4">
    <w:name w:val="heading 4"/>
    <w:next w:val="Normal"/>
    <w:uiPriority w:val="9"/>
    <w:semiHidden/>
    <w:unhideWhenUsed/>
    <w:qFormat/>
    <w:pPr>
      <w:keepNext/>
      <w:keepLines/>
      <w:spacing w:before="280" w:after="80" w:line="480" w:lineRule="auto"/>
      <w:jc w:val="both"/>
      <w:outlineLvl w:val="3"/>
    </w:pPr>
    <w:rPr>
      <w:color w:val="666666"/>
      <w:sz w:val="24"/>
      <w:szCs w:val="24"/>
      <w:lang w:val="en-GB" w:eastAsia="zh-CN" w:bidi="ar-SA"/>
    </w:rPr>
  </w:style>
  <w:style w:type="paragraph" w:styleId="Heading5">
    <w:name w:val="heading 5"/>
    <w:next w:val="Normal"/>
    <w:uiPriority w:val="9"/>
    <w:semiHidden/>
    <w:unhideWhenUsed/>
    <w:qFormat/>
    <w:pPr>
      <w:keepNext/>
      <w:keepLines/>
      <w:spacing w:before="240" w:after="80" w:line="480" w:lineRule="auto"/>
      <w:jc w:val="both"/>
      <w:outlineLvl w:val="4"/>
    </w:pPr>
    <w:rPr>
      <w:color w:val="666666"/>
      <w:sz w:val="22"/>
      <w:szCs w:val="22"/>
      <w:lang w:val="en-GB" w:eastAsia="zh-CN" w:bidi="ar-SA"/>
    </w:rPr>
  </w:style>
  <w:style w:type="paragraph" w:styleId="Heading6">
    <w:name w:val="heading 6"/>
    <w:next w:val="Normal"/>
    <w:uiPriority w:val="9"/>
    <w:semiHidden/>
    <w:unhideWhenUsed/>
    <w:qFormat/>
    <w:pPr>
      <w:keepNext/>
      <w:keepLines/>
      <w:spacing w:before="240" w:after="80" w:line="480" w:lineRule="auto"/>
      <w:jc w:val="both"/>
      <w:outlineLvl w:val="5"/>
    </w:pPr>
    <w:rPr>
      <w:i/>
      <w:color w:val="666666"/>
      <w:sz w:val="22"/>
      <w:szCs w:val="22"/>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itle">
    <w:name w:val="Title"/>
    <w:next w:val="Normal"/>
    <w:uiPriority w:val="10"/>
    <w:qFormat/>
    <w:pPr>
      <w:keepNext/>
      <w:keepLines/>
      <w:spacing w:before="240" w:after="60" w:line="480" w:lineRule="auto"/>
      <w:jc w:val="both"/>
    </w:pPr>
    <w:rPr>
      <w:sz w:val="52"/>
      <w:szCs w:val="52"/>
      <w:lang w:val="en-GB" w:eastAsia="zh-CN" w:bidi="ar-SA"/>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customStyle="1" w:styleId="TableNormal0">
    <w:name w:val="TableNormal"/>
    <w:qFormat/>
    <w:tblPr>
      <w:tblCellMar>
        <w:top w:w="100" w:type="dxa"/>
        <w:left w:w="100" w:type="dxa"/>
        <w:bottom w:w="100" w:type="dxa"/>
        <w:right w:w="100" w:type="dxa"/>
      </w:tblCellMar>
    </w:tblPr>
  </w:style>
  <w:style w:type="table" w:customStyle="1" w:styleId="TableNormal1">
    <w:name w:val="Table Normal1"/>
    <w:qFormat/>
    <w:tblPr>
      <w:tblCellMar>
        <w:top w:w="0" w:type="dxa"/>
        <w:left w:w="0" w:type="dxa"/>
        <w:bottom w:w="0" w:type="dxa"/>
        <w:right w:w="0" w:type="dxa"/>
      </w:tblCellMar>
    </w:tblPr>
  </w:style>
  <w:style w:type="table" w:customStyle="1" w:styleId="Style20">
    <w:name w:val="_Style 20"/>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table" w:customStyle="1" w:styleId="Style21">
    <w:name w:val="_Style 21"/>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table" w:customStyle="1" w:styleId="Style33">
    <w:name w:val="_Style 33"/>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table" w:customStyle="1" w:styleId="Style34">
    <w:name w:val="_Style 34"/>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table" w:customStyle="1" w:styleId="Style35">
    <w:name w:val="_Style 35"/>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table" w:customStyle="1" w:styleId="Style36">
    <w:name w:val="_Style 36"/>
    <w:basedOn w:val="TableNormal1"/>
    <w:qFormat/>
    <w:pPr>
      <w:spacing w:after="200" w:line="276" w:lineRule="auto"/>
    </w:pPr>
    <w:rPr>
      <w:rFonts w:ascii="Tahoma" w:eastAsia="Tahoma" w:hAnsi="Tahoma" w:cs="Tahoma"/>
      <w:color w:val="000000"/>
    </w:rPr>
    <w:tblPr>
      <w:tblCellMar>
        <w:left w:w="115" w:type="dxa"/>
        <w:right w:w="115" w:type="dxa"/>
      </w:tblCellMar>
    </w:tblPr>
    <w:tcPr>
      <w:shd w:val="clear" w:color="auto" w:fill="FDE9D9"/>
    </w:tcPr>
  </w:style>
  <w:style w:type="table" w:customStyle="1" w:styleId="Style37">
    <w:name w:val="_Style 37"/>
    <w:basedOn w:val="TableNormal1"/>
    <w:qFormat/>
    <w:tblPr>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 w:type="table" w:customStyle="1" w:styleId="Style40">
    <w:name w:val="_Style 40"/>
    <w:basedOn w:val="TableNormal1"/>
    <w:qFormat/>
    <w:tblPr>
      <w:tblCellMar>
        <w:top w:w="100" w:type="dxa"/>
        <w:left w:w="100" w:type="dxa"/>
        <w:bottom w:w="100" w:type="dxa"/>
        <w:right w:w="100" w:type="dxa"/>
      </w:tblCellMar>
    </w:tblPr>
  </w:style>
  <w:style w:type="table" w:customStyle="1" w:styleId="Style41">
    <w:name w:val="_Style 41"/>
    <w:basedOn w:val="TableNormal1"/>
    <w:qFormat/>
    <w:tblPr>
      <w:tblCellMar>
        <w:top w:w="100" w:type="dxa"/>
        <w:left w:w="100" w:type="dxa"/>
        <w:bottom w:w="100" w:type="dxa"/>
        <w:right w:w="100" w:type="dxa"/>
      </w:tblCellMar>
    </w:tblPr>
  </w:style>
  <w:style w:type="table" w:customStyle="1" w:styleId="Style42">
    <w:name w:val="_Style 42"/>
    <w:basedOn w:val="TableNormal1"/>
    <w:qFormat/>
    <w:tblPr>
      <w:tblCellMar>
        <w:top w:w="100" w:type="dxa"/>
        <w:left w:w="100" w:type="dxa"/>
        <w:bottom w:w="100" w:type="dxa"/>
        <w:right w:w="100" w:type="dxa"/>
      </w:tblCellMar>
    </w:tblPr>
  </w:style>
  <w:style w:type="table" w:customStyle="1" w:styleId="Style43">
    <w:name w:val="_Style 43"/>
    <w:basedOn w:val="TableNormal1"/>
    <w:qFormat/>
    <w:tblPr>
      <w:tblCellMar>
        <w:top w:w="100" w:type="dxa"/>
        <w:left w:w="100" w:type="dxa"/>
        <w:bottom w:w="100" w:type="dxa"/>
        <w:right w:w="100" w:type="dxa"/>
      </w:tblCellMar>
    </w:tblPr>
  </w:style>
  <w:style w:type="table" w:customStyle="1" w:styleId="Style44">
    <w:name w:val="_Style 44"/>
    <w:basedOn w:val="TableNormal1"/>
    <w:qFormat/>
    <w:tblPr>
      <w:tblCellMar>
        <w:top w:w="100" w:type="dxa"/>
        <w:left w:w="100" w:type="dxa"/>
        <w:bottom w:w="100" w:type="dxa"/>
        <w:right w:w="100" w:type="dxa"/>
      </w:tblCellMar>
    </w:tblPr>
  </w:style>
  <w:style w:type="table" w:customStyle="1" w:styleId="Style45">
    <w:name w:val="_Style 45"/>
    <w:basedOn w:val="TableNormal1"/>
    <w:qFormat/>
    <w:tblPr>
      <w:tblCellMar>
        <w:top w:w="100" w:type="dxa"/>
        <w:left w:w="100" w:type="dxa"/>
        <w:bottom w:w="100" w:type="dxa"/>
        <w:right w:w="100" w:type="dxa"/>
      </w:tblCellMar>
    </w:tblPr>
  </w:style>
  <w:style w:type="table" w:customStyle="1" w:styleId="Style46">
    <w:name w:val="_Style 46"/>
    <w:basedOn w:val="TableNormal1"/>
    <w:qFormat/>
    <w:tblPr>
      <w:tblCellMar>
        <w:top w:w="100" w:type="dxa"/>
        <w:left w:w="100" w:type="dxa"/>
        <w:bottom w:w="100" w:type="dxa"/>
        <w:right w:w="100" w:type="dxa"/>
      </w:tblCellMar>
    </w:tblPr>
  </w:style>
  <w:style w:type="table" w:customStyle="1" w:styleId="Style48">
    <w:name w:val="_Style 48"/>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49">
    <w:name w:val="_Style 49"/>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50">
    <w:name w:val="_Style 50"/>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51">
    <w:name w:val="_Style 51"/>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52">
    <w:name w:val="_Style 52"/>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53">
    <w:name w:val="_Style 53"/>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table" w:customStyle="1" w:styleId="Style54">
    <w:name w:val="_Style 54"/>
    <w:basedOn w:val="TableNormal1"/>
    <w:qFormat/>
    <w:pPr>
      <w:spacing w:after="200" w:line="276" w:lineRule="auto"/>
    </w:pPr>
    <w:rPr>
      <w:rFonts w:ascii="Tahoma" w:eastAsia="Tahoma" w:hAnsi="Tahoma" w:cs="Tahoma"/>
      <w:color w:val="000000"/>
    </w:rPr>
    <w:tblPr>
      <w:tblCellMar>
        <w:top w:w="100" w:type="dxa"/>
        <w:left w:w="100" w:type="dxa"/>
        <w:bottom w:w="100" w:type="dxa"/>
        <w:right w:w="100" w:type="dxa"/>
      </w:tblCellMar>
    </w:tblPr>
    <w:tcPr>
      <w:shd w:val="clear" w:color="auto" w:fill="FDE9D9"/>
    </w:tcPr>
  </w:style>
  <w:style w:type="paragraph" w:customStyle="1" w:styleId="TOCHeading2">
    <w:name w:val="TOC Heading2"/>
    <w:basedOn w:val="Heading1"/>
    <w:next w:val="Normal"/>
    <w:uiPriority w:val="39"/>
    <w:unhideWhenUsed/>
    <w:qFormat/>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prqDx1QGp0KHZMSGy7hxGR+bBg==">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</go:docsCustomData>
</go:gDocsCustomXmlDataStorage>
</file>

<file path=customXml/itemProps1.xml><?xml version="1.0" encoding="utf-8"?>
<ds:datastoreItem xmlns:ds="http://schemas.openxmlformats.org/officeDocument/2006/customXml" ds:itemID="{1604B7AA-5030-4B56-A949-B069430B5F8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6792</Words>
  <Characters>38720</Characters>
  <Application>Microsoft Office Word</Application>
  <DocSecurity>0</DocSecurity>
  <Lines>322</Lines>
  <Paragraphs>90</Paragraphs>
  <ScaleCrop>false</ScaleCrop>
  <Company/>
  <LinksUpToDate>false</LinksUpToDate>
  <CharactersWithSpaces>45422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NND</cp:lastModifiedBy>
  <cp:revision>2</cp:revision>
  <dcterms:created xsi:type="dcterms:W3CDTF">2024-07-29T16:11:00Z</dcterms:created>
  <dcterms:modified xsi:type="dcterms:W3CDTF">2025-12-16T09:31:00Z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c305811aa66643bbd10c7caf26d39a0aa54936c3b7705d79f1395793b3492569</vt:lpwstr>
  </property>
  <property fmtid="{D5CDD505-2E9C-101B-9397-08002B2CF9AE}" pid="3" name="KSOProductBuildVer">
    <vt:lpwstr>1033-12.2.0.23155</vt:lpwstr>
  </property>
  <property fmtid="{D5CDD505-2E9C-101B-9397-08002B2CF9AE}" pid="4" name="ICV">
    <vt:lpwstr>73523A54294B44ADA773D9030656ADAA_12</vt:lpwstr>
  </property>
</Properties>
</file>