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6259" w:rsidRPr="008A5F4C" w:rsidRDefault="00856259"/>
    <w:p w:rsidR="00D3642C" w:rsidRDefault="00D3642C" w:rsidP="00D3642C">
      <w:pPr>
        <w:spacing w:after="240"/>
        <w:jc w:val="center"/>
        <w:rPr>
          <w:b/>
          <w:sz w:val="50"/>
          <w:szCs w:val="50"/>
        </w:rPr>
      </w:pPr>
    </w:p>
    <w:p w:rsidR="00D3642C" w:rsidRDefault="00D3642C" w:rsidP="00D3642C">
      <w:pPr>
        <w:spacing w:after="240"/>
        <w:jc w:val="center"/>
        <w:rPr>
          <w:b/>
          <w:sz w:val="50"/>
          <w:szCs w:val="50"/>
        </w:rPr>
      </w:pPr>
    </w:p>
    <w:p w:rsidR="00D3642C" w:rsidRDefault="00D3642C" w:rsidP="00D3642C">
      <w:pPr>
        <w:spacing w:after="240"/>
        <w:jc w:val="center"/>
        <w:rPr>
          <w:b/>
          <w:sz w:val="50"/>
          <w:szCs w:val="50"/>
        </w:rPr>
      </w:pPr>
    </w:p>
    <w:p w:rsidR="00D3642C" w:rsidRDefault="00D3642C" w:rsidP="00D3642C">
      <w:pPr>
        <w:spacing w:after="240"/>
        <w:jc w:val="center"/>
        <w:rPr>
          <w:b/>
          <w:sz w:val="50"/>
          <w:szCs w:val="50"/>
        </w:rPr>
      </w:pPr>
      <w:r>
        <w:rPr>
          <w:b/>
          <w:sz w:val="50"/>
          <w:szCs w:val="50"/>
        </w:rPr>
        <w:t>FINANCIAL MANAGEMENT FOR THE HOTEL INDUSTRY</w:t>
      </w:r>
    </w:p>
    <w:p w:rsidR="00D3642C" w:rsidRDefault="00D3642C" w:rsidP="00D3642C">
      <w:pPr>
        <w:spacing w:after="240"/>
        <w:jc w:val="center"/>
        <w:rPr>
          <w:b/>
          <w:sz w:val="50"/>
          <w:szCs w:val="50"/>
        </w:rPr>
      </w:pPr>
      <w:r w:rsidRPr="00FB1F3F">
        <w:rPr>
          <w:b/>
          <w:sz w:val="50"/>
          <w:szCs w:val="50"/>
        </w:rPr>
        <w:t>Report Case Study: The</w:t>
      </w:r>
      <w:r>
        <w:rPr>
          <w:b/>
          <w:sz w:val="50"/>
          <w:szCs w:val="50"/>
        </w:rPr>
        <w:t xml:space="preserve"> </w:t>
      </w:r>
      <w:r w:rsidRPr="00FB1F3F">
        <w:rPr>
          <w:b/>
          <w:sz w:val="50"/>
          <w:szCs w:val="50"/>
        </w:rPr>
        <w:t>Seaview Resort</w:t>
      </w:r>
    </w:p>
    <w:p w:rsidR="00D3642C" w:rsidRDefault="00D3642C" w:rsidP="00D3642C">
      <w:pPr>
        <w:spacing w:after="240"/>
        <w:jc w:val="center"/>
        <w:rPr>
          <w:b/>
          <w:color w:val="1F1F1F"/>
          <w:sz w:val="50"/>
          <w:szCs w:val="50"/>
        </w:rPr>
      </w:pPr>
      <w:r>
        <w:rPr>
          <w:b/>
          <w:sz w:val="50"/>
          <w:szCs w:val="50"/>
        </w:rPr>
        <w:t xml:space="preserve">Student Name: </w:t>
      </w:r>
      <w:r>
        <w:rPr>
          <w:b/>
          <w:color w:val="1F1F1F"/>
          <w:sz w:val="50"/>
          <w:szCs w:val="50"/>
          <w:highlight w:val="white"/>
        </w:rPr>
        <w:t>Madalina Ghera</w:t>
      </w:r>
    </w:p>
    <w:p w:rsidR="00D3642C" w:rsidRDefault="00D3642C" w:rsidP="00D3642C">
      <w:pPr>
        <w:spacing w:after="240"/>
        <w:jc w:val="center"/>
        <w:rPr>
          <w:b/>
          <w:color w:val="1F1F1F"/>
          <w:sz w:val="50"/>
          <w:szCs w:val="50"/>
        </w:rPr>
      </w:pPr>
      <w:r>
        <w:rPr>
          <w:b/>
          <w:color w:val="1F1F1F"/>
          <w:sz w:val="50"/>
          <w:szCs w:val="50"/>
        </w:rPr>
        <w:t>Student ID:</w:t>
      </w:r>
      <w:r>
        <w:rPr>
          <w:b/>
          <w:color w:val="1F1F1F"/>
          <w:sz w:val="50"/>
          <w:szCs w:val="50"/>
        </w:rPr>
        <w:t xml:space="preserve"> 2128167</w:t>
      </w:r>
    </w:p>
    <w:p w:rsidR="00D3642C" w:rsidRDefault="00D3642C" w:rsidP="00D3642C">
      <w:pPr>
        <w:spacing w:after="240"/>
        <w:jc w:val="center"/>
        <w:rPr>
          <w:b/>
          <w:color w:val="1F1F1F"/>
          <w:sz w:val="50"/>
          <w:szCs w:val="50"/>
        </w:rPr>
      </w:pPr>
      <w:r>
        <w:rPr>
          <w:b/>
          <w:color w:val="1F1F1F"/>
          <w:sz w:val="50"/>
          <w:szCs w:val="50"/>
        </w:rPr>
        <w:t>Lecturer’s Name:</w:t>
      </w:r>
      <w:r>
        <w:rPr>
          <w:b/>
          <w:color w:val="1F1F1F"/>
          <w:sz w:val="50"/>
          <w:szCs w:val="50"/>
        </w:rPr>
        <w:t xml:space="preserve"> Tristan Hawkins</w:t>
      </w:r>
    </w:p>
    <w:p w:rsidR="00D3642C" w:rsidRDefault="00D3642C" w:rsidP="00D3642C">
      <w:pPr>
        <w:spacing w:after="240"/>
        <w:jc w:val="center"/>
        <w:rPr>
          <w:b/>
          <w:color w:val="1F1F1F"/>
          <w:sz w:val="50"/>
          <w:szCs w:val="50"/>
          <w:highlight w:val="white"/>
        </w:rPr>
      </w:pPr>
      <w:r>
        <w:br w:type="page"/>
      </w:r>
    </w:p>
    <w:p w:rsidR="00D3642C" w:rsidRDefault="00D3642C" w:rsidP="00D3642C">
      <w:pPr>
        <w:spacing w:after="240"/>
        <w:jc w:val="center"/>
        <w:rPr>
          <w:b/>
          <w:color w:val="1F1F1F"/>
          <w:sz w:val="28"/>
          <w:szCs w:val="28"/>
          <w:highlight w:val="white"/>
        </w:rPr>
      </w:pPr>
      <w:r>
        <w:rPr>
          <w:b/>
          <w:color w:val="1F1F1F"/>
          <w:sz w:val="28"/>
          <w:szCs w:val="28"/>
          <w:highlight w:val="white"/>
        </w:rPr>
        <w:lastRenderedPageBreak/>
        <w:t>Executive Summary</w:t>
      </w:r>
    </w:p>
    <w:p w:rsidR="00D3642C" w:rsidRDefault="00D3642C" w:rsidP="00D3642C">
      <w:pPr>
        <w:spacing w:after="240"/>
      </w:pPr>
      <w:r>
        <w:t>The present case study is based on the Sea View Resort, which has been one of the iconic resorts of the previous time but is facing major problems in business development and profit generation in the present situation. The purpose of this report is to closely analyse the business structures and operational procedures that imply the core reason for profit generation. The report also enhances a significant approach in assessing the market condition of the hospitality industry in the post-pandemic era and improvises upon the application of multiple prospects that can help in the improvement of profitability for the organisation. This significant approach of modernising the equipment of the organisation along with providing an explicit training platform for the employees can help in transforming the structure of service providence with the hospitality approaches of the Sea View Resort.</w:t>
      </w:r>
    </w:p>
    <w:p w:rsidR="00D3642C" w:rsidRDefault="00D3642C" w:rsidP="00D3642C">
      <w:pPr>
        <w:spacing w:after="240"/>
      </w:pPr>
    </w:p>
    <w:p w:rsidR="00D3642C" w:rsidRDefault="00D3642C" w:rsidP="00D3642C">
      <w:pPr>
        <w:pStyle w:val="Heading1"/>
        <w:spacing w:after="240"/>
      </w:pPr>
      <w:bookmarkStart w:id="0" w:name="_v72j4gau0296" w:colFirst="0" w:colLast="0"/>
      <w:bookmarkEnd w:id="0"/>
      <w:r>
        <w:br w:type="page"/>
      </w:r>
    </w:p>
    <w:p w:rsidR="00D3642C" w:rsidRDefault="00D3642C" w:rsidP="00D3642C">
      <w:pPr>
        <w:spacing w:after="240"/>
        <w:jc w:val="center"/>
        <w:rPr>
          <w:b/>
          <w:sz w:val="30"/>
          <w:szCs w:val="30"/>
        </w:rPr>
      </w:pPr>
      <w:r>
        <w:rPr>
          <w:b/>
          <w:sz w:val="30"/>
          <w:szCs w:val="30"/>
        </w:rPr>
        <w:lastRenderedPageBreak/>
        <w:t>Table of Contents</w:t>
      </w:r>
    </w:p>
    <w:sdt>
      <w:sdtPr>
        <w:id w:val="1303202826"/>
        <w:docPartObj>
          <w:docPartGallery w:val="Table of Contents"/>
          <w:docPartUnique/>
        </w:docPartObj>
      </w:sdtPr>
      <w:sdtContent>
        <w:p w:rsidR="00D3642C" w:rsidRDefault="00D3642C" w:rsidP="00D3642C">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150872494" w:history="1">
            <w:r w:rsidRPr="00992218">
              <w:rPr>
                <w:rStyle w:val="Hyperlink"/>
                <w:noProof/>
              </w:rPr>
              <w:t>Introduction</w:t>
            </w:r>
            <w:r>
              <w:rPr>
                <w:noProof/>
                <w:webHidden/>
              </w:rPr>
              <w:tab/>
            </w:r>
            <w:r>
              <w:rPr>
                <w:noProof/>
                <w:webHidden/>
              </w:rPr>
              <w:fldChar w:fldCharType="begin"/>
            </w:r>
            <w:r>
              <w:rPr>
                <w:noProof/>
                <w:webHidden/>
              </w:rPr>
              <w:instrText xml:space="preserve"> PAGEREF _Toc150872494 \h </w:instrText>
            </w:r>
            <w:r>
              <w:rPr>
                <w:noProof/>
                <w:webHidden/>
              </w:rPr>
            </w:r>
            <w:r>
              <w:rPr>
                <w:noProof/>
                <w:webHidden/>
              </w:rPr>
              <w:fldChar w:fldCharType="separate"/>
            </w:r>
            <w:r>
              <w:rPr>
                <w:noProof/>
                <w:webHidden/>
              </w:rPr>
              <w:t>4</w:t>
            </w:r>
            <w:r>
              <w:rPr>
                <w:noProof/>
                <w:webHidden/>
              </w:rPr>
              <w:fldChar w:fldCharType="end"/>
            </w:r>
          </w:hyperlink>
        </w:p>
        <w:p w:rsidR="00D3642C" w:rsidRDefault="00D3642C" w:rsidP="00D3642C">
          <w:pPr>
            <w:pStyle w:val="TOC1"/>
            <w:tabs>
              <w:tab w:val="right" w:pos="9350"/>
            </w:tabs>
            <w:rPr>
              <w:noProof/>
            </w:rPr>
          </w:pPr>
          <w:hyperlink w:anchor="_Toc150872495" w:history="1">
            <w:r w:rsidRPr="00992218">
              <w:rPr>
                <w:rStyle w:val="Hyperlink"/>
                <w:noProof/>
              </w:rPr>
              <w:t>Scope and Objectives</w:t>
            </w:r>
            <w:r>
              <w:rPr>
                <w:noProof/>
                <w:webHidden/>
              </w:rPr>
              <w:tab/>
            </w:r>
            <w:r>
              <w:rPr>
                <w:noProof/>
                <w:webHidden/>
              </w:rPr>
              <w:fldChar w:fldCharType="begin"/>
            </w:r>
            <w:r>
              <w:rPr>
                <w:noProof/>
                <w:webHidden/>
              </w:rPr>
              <w:instrText xml:space="preserve"> PAGEREF _Toc150872495 \h </w:instrText>
            </w:r>
            <w:r>
              <w:rPr>
                <w:noProof/>
                <w:webHidden/>
              </w:rPr>
            </w:r>
            <w:r>
              <w:rPr>
                <w:noProof/>
                <w:webHidden/>
              </w:rPr>
              <w:fldChar w:fldCharType="separate"/>
            </w:r>
            <w:r>
              <w:rPr>
                <w:noProof/>
                <w:webHidden/>
              </w:rPr>
              <w:t>4</w:t>
            </w:r>
            <w:r>
              <w:rPr>
                <w:noProof/>
                <w:webHidden/>
              </w:rPr>
              <w:fldChar w:fldCharType="end"/>
            </w:r>
          </w:hyperlink>
        </w:p>
        <w:p w:rsidR="00D3642C" w:rsidRDefault="00D3642C" w:rsidP="00D3642C">
          <w:pPr>
            <w:pStyle w:val="TOC1"/>
            <w:tabs>
              <w:tab w:val="right" w:pos="9350"/>
            </w:tabs>
            <w:rPr>
              <w:noProof/>
            </w:rPr>
          </w:pPr>
          <w:hyperlink w:anchor="_Toc150872496" w:history="1">
            <w:r w:rsidRPr="00992218">
              <w:rPr>
                <w:rStyle w:val="Hyperlink"/>
                <w:noProof/>
              </w:rPr>
              <w:t>Financial Analysis</w:t>
            </w:r>
            <w:r>
              <w:rPr>
                <w:noProof/>
                <w:webHidden/>
              </w:rPr>
              <w:tab/>
            </w:r>
            <w:r>
              <w:rPr>
                <w:noProof/>
                <w:webHidden/>
              </w:rPr>
              <w:fldChar w:fldCharType="begin"/>
            </w:r>
            <w:r>
              <w:rPr>
                <w:noProof/>
                <w:webHidden/>
              </w:rPr>
              <w:instrText xml:space="preserve"> PAGEREF _Toc150872496 \h </w:instrText>
            </w:r>
            <w:r>
              <w:rPr>
                <w:noProof/>
                <w:webHidden/>
              </w:rPr>
            </w:r>
            <w:r>
              <w:rPr>
                <w:noProof/>
                <w:webHidden/>
              </w:rPr>
              <w:fldChar w:fldCharType="separate"/>
            </w:r>
            <w:r>
              <w:rPr>
                <w:noProof/>
                <w:webHidden/>
              </w:rPr>
              <w:t>4</w:t>
            </w:r>
            <w:r>
              <w:rPr>
                <w:noProof/>
                <w:webHidden/>
              </w:rPr>
              <w:fldChar w:fldCharType="end"/>
            </w:r>
          </w:hyperlink>
        </w:p>
        <w:p w:rsidR="00D3642C" w:rsidRDefault="00D3642C" w:rsidP="00D3642C">
          <w:pPr>
            <w:pStyle w:val="TOC1"/>
            <w:tabs>
              <w:tab w:val="right" w:pos="9350"/>
            </w:tabs>
            <w:rPr>
              <w:noProof/>
            </w:rPr>
          </w:pPr>
          <w:hyperlink w:anchor="_Toc150872497" w:history="1">
            <w:r w:rsidRPr="00992218">
              <w:rPr>
                <w:rStyle w:val="Hyperlink"/>
                <w:noProof/>
              </w:rPr>
              <w:t>Market Analysis</w:t>
            </w:r>
            <w:r>
              <w:rPr>
                <w:noProof/>
                <w:webHidden/>
              </w:rPr>
              <w:tab/>
            </w:r>
            <w:r>
              <w:rPr>
                <w:noProof/>
                <w:webHidden/>
              </w:rPr>
              <w:fldChar w:fldCharType="begin"/>
            </w:r>
            <w:r>
              <w:rPr>
                <w:noProof/>
                <w:webHidden/>
              </w:rPr>
              <w:instrText xml:space="preserve"> PAGEREF _Toc150872497 \h </w:instrText>
            </w:r>
            <w:r>
              <w:rPr>
                <w:noProof/>
                <w:webHidden/>
              </w:rPr>
            </w:r>
            <w:r>
              <w:rPr>
                <w:noProof/>
                <w:webHidden/>
              </w:rPr>
              <w:fldChar w:fldCharType="separate"/>
            </w:r>
            <w:r>
              <w:rPr>
                <w:noProof/>
                <w:webHidden/>
              </w:rPr>
              <w:t>7</w:t>
            </w:r>
            <w:r>
              <w:rPr>
                <w:noProof/>
                <w:webHidden/>
              </w:rPr>
              <w:fldChar w:fldCharType="end"/>
            </w:r>
          </w:hyperlink>
        </w:p>
        <w:p w:rsidR="00D3642C" w:rsidRDefault="00D3642C" w:rsidP="00D3642C">
          <w:pPr>
            <w:pStyle w:val="TOC1"/>
            <w:tabs>
              <w:tab w:val="right" w:pos="9350"/>
            </w:tabs>
            <w:rPr>
              <w:noProof/>
            </w:rPr>
          </w:pPr>
          <w:hyperlink w:anchor="_Toc150872498" w:history="1">
            <w:r w:rsidRPr="00992218">
              <w:rPr>
                <w:rStyle w:val="Hyperlink"/>
                <w:noProof/>
              </w:rPr>
              <w:t>SWOT Analysis</w:t>
            </w:r>
            <w:r>
              <w:rPr>
                <w:noProof/>
                <w:webHidden/>
              </w:rPr>
              <w:tab/>
            </w:r>
            <w:r>
              <w:rPr>
                <w:noProof/>
                <w:webHidden/>
              </w:rPr>
              <w:fldChar w:fldCharType="begin"/>
            </w:r>
            <w:r>
              <w:rPr>
                <w:noProof/>
                <w:webHidden/>
              </w:rPr>
              <w:instrText xml:space="preserve"> PAGEREF _Toc150872498 \h </w:instrText>
            </w:r>
            <w:r>
              <w:rPr>
                <w:noProof/>
                <w:webHidden/>
              </w:rPr>
            </w:r>
            <w:r>
              <w:rPr>
                <w:noProof/>
                <w:webHidden/>
              </w:rPr>
              <w:fldChar w:fldCharType="separate"/>
            </w:r>
            <w:r>
              <w:rPr>
                <w:noProof/>
                <w:webHidden/>
              </w:rPr>
              <w:t>8</w:t>
            </w:r>
            <w:r>
              <w:rPr>
                <w:noProof/>
                <w:webHidden/>
              </w:rPr>
              <w:fldChar w:fldCharType="end"/>
            </w:r>
          </w:hyperlink>
        </w:p>
        <w:p w:rsidR="00D3642C" w:rsidRDefault="00D3642C" w:rsidP="00D3642C">
          <w:pPr>
            <w:pStyle w:val="TOC1"/>
            <w:tabs>
              <w:tab w:val="right" w:pos="9350"/>
            </w:tabs>
            <w:rPr>
              <w:noProof/>
            </w:rPr>
          </w:pPr>
          <w:hyperlink w:anchor="_Toc150872499" w:history="1">
            <w:r w:rsidRPr="00992218">
              <w:rPr>
                <w:rStyle w:val="Hyperlink"/>
                <w:noProof/>
              </w:rPr>
              <w:t>Turnaround Strategy</w:t>
            </w:r>
            <w:r>
              <w:rPr>
                <w:noProof/>
                <w:webHidden/>
              </w:rPr>
              <w:tab/>
            </w:r>
            <w:r>
              <w:rPr>
                <w:noProof/>
                <w:webHidden/>
              </w:rPr>
              <w:fldChar w:fldCharType="begin"/>
            </w:r>
            <w:r>
              <w:rPr>
                <w:noProof/>
                <w:webHidden/>
              </w:rPr>
              <w:instrText xml:space="preserve"> PAGEREF _Toc150872499 \h </w:instrText>
            </w:r>
            <w:r>
              <w:rPr>
                <w:noProof/>
                <w:webHidden/>
              </w:rPr>
            </w:r>
            <w:r>
              <w:rPr>
                <w:noProof/>
                <w:webHidden/>
              </w:rPr>
              <w:fldChar w:fldCharType="separate"/>
            </w:r>
            <w:r>
              <w:rPr>
                <w:noProof/>
                <w:webHidden/>
              </w:rPr>
              <w:t>9</w:t>
            </w:r>
            <w:r>
              <w:rPr>
                <w:noProof/>
                <w:webHidden/>
              </w:rPr>
              <w:fldChar w:fldCharType="end"/>
            </w:r>
          </w:hyperlink>
        </w:p>
        <w:p w:rsidR="00D3642C" w:rsidRDefault="00D3642C" w:rsidP="00D3642C">
          <w:pPr>
            <w:pStyle w:val="TOC1"/>
            <w:tabs>
              <w:tab w:val="right" w:pos="9350"/>
            </w:tabs>
            <w:rPr>
              <w:noProof/>
            </w:rPr>
          </w:pPr>
          <w:hyperlink w:anchor="_Toc150872500" w:history="1">
            <w:r w:rsidRPr="00992218">
              <w:rPr>
                <w:rStyle w:val="Hyperlink"/>
                <w:noProof/>
              </w:rPr>
              <w:t>Financial Projections</w:t>
            </w:r>
            <w:r>
              <w:rPr>
                <w:noProof/>
                <w:webHidden/>
              </w:rPr>
              <w:tab/>
            </w:r>
            <w:r>
              <w:rPr>
                <w:noProof/>
                <w:webHidden/>
              </w:rPr>
              <w:fldChar w:fldCharType="begin"/>
            </w:r>
            <w:r>
              <w:rPr>
                <w:noProof/>
                <w:webHidden/>
              </w:rPr>
              <w:instrText xml:space="preserve"> PAGEREF _Toc150872500 \h </w:instrText>
            </w:r>
            <w:r>
              <w:rPr>
                <w:noProof/>
                <w:webHidden/>
              </w:rPr>
            </w:r>
            <w:r>
              <w:rPr>
                <w:noProof/>
                <w:webHidden/>
              </w:rPr>
              <w:fldChar w:fldCharType="separate"/>
            </w:r>
            <w:r>
              <w:rPr>
                <w:noProof/>
                <w:webHidden/>
              </w:rPr>
              <w:t>9</w:t>
            </w:r>
            <w:r>
              <w:rPr>
                <w:noProof/>
                <w:webHidden/>
              </w:rPr>
              <w:fldChar w:fldCharType="end"/>
            </w:r>
          </w:hyperlink>
        </w:p>
        <w:p w:rsidR="00D3642C" w:rsidRDefault="00D3642C" w:rsidP="00D3642C">
          <w:pPr>
            <w:pStyle w:val="TOC1"/>
            <w:tabs>
              <w:tab w:val="right" w:pos="9350"/>
            </w:tabs>
            <w:rPr>
              <w:noProof/>
            </w:rPr>
          </w:pPr>
          <w:hyperlink w:anchor="_Toc150872501" w:history="1">
            <w:r w:rsidRPr="00992218">
              <w:rPr>
                <w:rStyle w:val="Hyperlink"/>
                <w:noProof/>
              </w:rPr>
              <w:t>Risk Assessment</w:t>
            </w:r>
            <w:r>
              <w:rPr>
                <w:noProof/>
                <w:webHidden/>
              </w:rPr>
              <w:tab/>
            </w:r>
            <w:r>
              <w:rPr>
                <w:noProof/>
                <w:webHidden/>
              </w:rPr>
              <w:fldChar w:fldCharType="begin"/>
            </w:r>
            <w:r>
              <w:rPr>
                <w:noProof/>
                <w:webHidden/>
              </w:rPr>
              <w:instrText xml:space="preserve"> PAGEREF _Toc150872501 \h </w:instrText>
            </w:r>
            <w:r>
              <w:rPr>
                <w:noProof/>
                <w:webHidden/>
              </w:rPr>
            </w:r>
            <w:r>
              <w:rPr>
                <w:noProof/>
                <w:webHidden/>
              </w:rPr>
              <w:fldChar w:fldCharType="separate"/>
            </w:r>
            <w:r>
              <w:rPr>
                <w:noProof/>
                <w:webHidden/>
              </w:rPr>
              <w:t>10</w:t>
            </w:r>
            <w:r>
              <w:rPr>
                <w:noProof/>
                <w:webHidden/>
              </w:rPr>
              <w:fldChar w:fldCharType="end"/>
            </w:r>
          </w:hyperlink>
        </w:p>
        <w:p w:rsidR="00D3642C" w:rsidRDefault="00D3642C" w:rsidP="00D3642C">
          <w:pPr>
            <w:pStyle w:val="TOC1"/>
            <w:tabs>
              <w:tab w:val="right" w:pos="9350"/>
            </w:tabs>
            <w:rPr>
              <w:noProof/>
            </w:rPr>
          </w:pPr>
          <w:hyperlink w:anchor="_Toc150872502" w:history="1">
            <w:r w:rsidRPr="00992218">
              <w:rPr>
                <w:rStyle w:val="Hyperlink"/>
                <w:noProof/>
              </w:rPr>
              <w:t>Recommendation</w:t>
            </w:r>
            <w:r>
              <w:rPr>
                <w:noProof/>
                <w:webHidden/>
              </w:rPr>
              <w:tab/>
            </w:r>
            <w:r>
              <w:rPr>
                <w:noProof/>
                <w:webHidden/>
              </w:rPr>
              <w:fldChar w:fldCharType="begin"/>
            </w:r>
            <w:r>
              <w:rPr>
                <w:noProof/>
                <w:webHidden/>
              </w:rPr>
              <w:instrText xml:space="preserve"> PAGEREF _Toc150872502 \h </w:instrText>
            </w:r>
            <w:r>
              <w:rPr>
                <w:noProof/>
                <w:webHidden/>
              </w:rPr>
            </w:r>
            <w:r>
              <w:rPr>
                <w:noProof/>
                <w:webHidden/>
              </w:rPr>
              <w:fldChar w:fldCharType="separate"/>
            </w:r>
            <w:r>
              <w:rPr>
                <w:noProof/>
                <w:webHidden/>
              </w:rPr>
              <w:t>11</w:t>
            </w:r>
            <w:r>
              <w:rPr>
                <w:noProof/>
                <w:webHidden/>
              </w:rPr>
              <w:fldChar w:fldCharType="end"/>
            </w:r>
          </w:hyperlink>
        </w:p>
        <w:p w:rsidR="00D3642C" w:rsidRDefault="00D3642C" w:rsidP="00D3642C">
          <w:pPr>
            <w:pStyle w:val="TOC1"/>
            <w:tabs>
              <w:tab w:val="right" w:pos="9350"/>
            </w:tabs>
            <w:rPr>
              <w:noProof/>
            </w:rPr>
          </w:pPr>
          <w:hyperlink w:anchor="_Toc150872503" w:history="1">
            <w:r w:rsidRPr="00992218">
              <w:rPr>
                <w:rStyle w:val="Hyperlink"/>
                <w:noProof/>
              </w:rPr>
              <w:t>Conclusion</w:t>
            </w:r>
            <w:r>
              <w:rPr>
                <w:noProof/>
                <w:webHidden/>
              </w:rPr>
              <w:tab/>
            </w:r>
            <w:r>
              <w:rPr>
                <w:noProof/>
                <w:webHidden/>
              </w:rPr>
              <w:fldChar w:fldCharType="begin"/>
            </w:r>
            <w:r>
              <w:rPr>
                <w:noProof/>
                <w:webHidden/>
              </w:rPr>
              <w:instrText xml:space="preserve"> PAGEREF _Toc150872503 \h </w:instrText>
            </w:r>
            <w:r>
              <w:rPr>
                <w:noProof/>
                <w:webHidden/>
              </w:rPr>
            </w:r>
            <w:r>
              <w:rPr>
                <w:noProof/>
                <w:webHidden/>
              </w:rPr>
              <w:fldChar w:fldCharType="separate"/>
            </w:r>
            <w:r>
              <w:rPr>
                <w:noProof/>
                <w:webHidden/>
              </w:rPr>
              <w:t>12</w:t>
            </w:r>
            <w:r>
              <w:rPr>
                <w:noProof/>
                <w:webHidden/>
              </w:rPr>
              <w:fldChar w:fldCharType="end"/>
            </w:r>
          </w:hyperlink>
        </w:p>
        <w:p w:rsidR="00D3642C" w:rsidRDefault="00D3642C" w:rsidP="00D3642C">
          <w:pPr>
            <w:pStyle w:val="TOC1"/>
            <w:tabs>
              <w:tab w:val="right" w:pos="9350"/>
            </w:tabs>
            <w:rPr>
              <w:noProof/>
            </w:rPr>
          </w:pPr>
          <w:hyperlink w:anchor="_Toc150872504" w:history="1">
            <w:r w:rsidRPr="00992218">
              <w:rPr>
                <w:rStyle w:val="Hyperlink"/>
                <w:noProof/>
              </w:rPr>
              <w:t>References</w:t>
            </w:r>
            <w:r>
              <w:rPr>
                <w:noProof/>
                <w:webHidden/>
              </w:rPr>
              <w:tab/>
            </w:r>
            <w:r>
              <w:rPr>
                <w:noProof/>
                <w:webHidden/>
              </w:rPr>
              <w:fldChar w:fldCharType="begin"/>
            </w:r>
            <w:r>
              <w:rPr>
                <w:noProof/>
                <w:webHidden/>
              </w:rPr>
              <w:instrText xml:space="preserve"> PAGEREF _Toc150872504 \h </w:instrText>
            </w:r>
            <w:r>
              <w:rPr>
                <w:noProof/>
                <w:webHidden/>
              </w:rPr>
            </w:r>
            <w:r>
              <w:rPr>
                <w:noProof/>
                <w:webHidden/>
              </w:rPr>
              <w:fldChar w:fldCharType="separate"/>
            </w:r>
            <w:r>
              <w:rPr>
                <w:noProof/>
                <w:webHidden/>
              </w:rPr>
              <w:t>13</w:t>
            </w:r>
            <w:r>
              <w:rPr>
                <w:noProof/>
                <w:webHidden/>
              </w:rPr>
              <w:fldChar w:fldCharType="end"/>
            </w:r>
          </w:hyperlink>
        </w:p>
        <w:p w:rsidR="00D3642C" w:rsidRDefault="00D3642C" w:rsidP="00D3642C">
          <w:pPr>
            <w:widowControl w:val="0"/>
            <w:tabs>
              <w:tab w:val="right" w:pos="9360"/>
            </w:tabs>
            <w:spacing w:before="60" w:after="240"/>
            <w:rPr>
              <w:color w:val="000000"/>
            </w:rPr>
          </w:pPr>
          <w:r>
            <w:fldChar w:fldCharType="end"/>
          </w:r>
        </w:p>
      </w:sdtContent>
    </w:sdt>
    <w:p w:rsidR="00D3642C" w:rsidRDefault="00D3642C" w:rsidP="00D3642C">
      <w:pPr>
        <w:pStyle w:val="Heading1"/>
        <w:spacing w:after="240"/>
      </w:pPr>
      <w:bookmarkStart w:id="1" w:name="_ajqdkbpx2bij" w:colFirst="0" w:colLast="0"/>
      <w:bookmarkEnd w:id="1"/>
      <w:r>
        <w:br w:type="page"/>
      </w:r>
    </w:p>
    <w:p w:rsidR="00D3642C" w:rsidRDefault="00D3642C" w:rsidP="00D3642C">
      <w:pPr>
        <w:pStyle w:val="Heading1"/>
        <w:spacing w:after="240"/>
      </w:pPr>
      <w:bookmarkStart w:id="2" w:name="_Toc150872494"/>
      <w:r>
        <w:lastRenderedPageBreak/>
        <w:t>Introduction</w:t>
      </w:r>
      <w:bookmarkEnd w:id="2"/>
    </w:p>
    <w:p w:rsidR="00D3642C" w:rsidRDefault="00D3642C" w:rsidP="00D3642C">
      <w:pPr>
        <w:spacing w:after="240"/>
      </w:pPr>
      <w:r>
        <w:t>It is the onset of any natural calamity or the recent pandemic that impacts the hospitality industry on a large scale. Significant reports ascertain the fact that hotels and resorts are the primary impact of any type of discrepancy occurring in a specific region (Paley, 2019). The present case study is based on the Sea View Resort, which has been one of the iconic resorts of the previous time but is facing major problems in business development and profit generation in the present situation. The purpose of this report is to closely analyse the business structures and operational procedures that imply the core reason for profit generation.</w:t>
      </w:r>
    </w:p>
    <w:p w:rsidR="00D3642C" w:rsidRDefault="00D3642C" w:rsidP="00D3642C">
      <w:pPr>
        <w:pStyle w:val="Heading1"/>
        <w:spacing w:after="240"/>
      </w:pPr>
      <w:bookmarkStart w:id="3" w:name="_Toc150872495"/>
      <w:r>
        <w:t>Scope and Objectives</w:t>
      </w:r>
      <w:bookmarkEnd w:id="3"/>
    </w:p>
    <w:p w:rsidR="00D3642C" w:rsidRDefault="00D3642C" w:rsidP="00D3642C">
      <w:pPr>
        <w:spacing w:after="240"/>
      </w:pPr>
      <w:r>
        <w:t>The scope of the research is based on the providence of a key study that helps in deeply diving into the external and internal factors leading to the downfall of the Sea View Resort. The report is also directed towards the re-development of an effective business plan that involves both financial and operational advancements to reach back to a profitable organisation for the specified resort (Hosseinzadeh Shahri and Nematollahi Sarvestani, 2020).</w:t>
      </w:r>
    </w:p>
    <w:p w:rsidR="00D3642C" w:rsidRDefault="00D3642C" w:rsidP="00D3642C">
      <w:pPr>
        <w:spacing w:after="240"/>
      </w:pPr>
      <w:r>
        <w:t>The objectives of the report as signified as follows:</w:t>
      </w:r>
    </w:p>
    <w:p w:rsidR="00D3642C" w:rsidRDefault="00D3642C" w:rsidP="00D3642C">
      <w:pPr>
        <w:numPr>
          <w:ilvl w:val="0"/>
          <w:numId w:val="5"/>
        </w:numPr>
        <w:spacing w:after="240"/>
      </w:pPr>
      <w:r>
        <w:t>To closely analyse the financial approaches of the resort to understand the areas of loss generation</w:t>
      </w:r>
    </w:p>
    <w:p w:rsidR="00D3642C" w:rsidRDefault="00D3642C" w:rsidP="00D3642C">
      <w:pPr>
        <w:numPr>
          <w:ilvl w:val="0"/>
          <w:numId w:val="5"/>
        </w:numPr>
        <w:spacing w:after="240"/>
      </w:pPr>
      <w:r>
        <w:t>To search for the effective points that impact the business downfall of the organisation through close analysis of the operational issues</w:t>
      </w:r>
    </w:p>
    <w:p w:rsidR="00D3642C" w:rsidRDefault="00D3642C" w:rsidP="00D3642C">
      <w:pPr>
        <w:numPr>
          <w:ilvl w:val="0"/>
          <w:numId w:val="5"/>
        </w:numPr>
        <w:spacing w:after="240"/>
      </w:pPr>
      <w:r>
        <w:t>To develop an effective financial plan in the process of redevelopment of the Sea View Resort to turn around as a profitable organisation</w:t>
      </w:r>
    </w:p>
    <w:p w:rsidR="00D3642C" w:rsidRDefault="00D3642C" w:rsidP="00D3642C">
      <w:pPr>
        <w:pStyle w:val="Heading1"/>
        <w:spacing w:after="240"/>
      </w:pPr>
      <w:bookmarkStart w:id="4" w:name="_Toc150872496"/>
      <w:r>
        <w:t>Financial Analysis</w:t>
      </w:r>
      <w:bookmarkEnd w:id="4"/>
    </w:p>
    <w:p w:rsidR="00D3642C" w:rsidRDefault="00D3642C" w:rsidP="00D3642C">
      <w:pPr>
        <w:spacing w:after="240"/>
      </w:pPr>
      <w:r>
        <w:t>It is upon close analysis of the income statement for the</w:t>
      </w:r>
      <w:r>
        <w:t xml:space="preserve"> organisation from 2020 to 2022</w:t>
      </w:r>
      <w:r>
        <w:t xml:space="preserve"> </w:t>
      </w:r>
      <w:r>
        <w:t xml:space="preserve"> </w:t>
      </w:r>
      <w:r>
        <w:t xml:space="preserve">that helps in understanding the major issues that impacted the decline of business for the Sea View Resort. The financial analysis also helps in understanding the fact that the declining revenue is also a product of external changes and the disruption of supply chains at a global level </w:t>
      </w:r>
      <w:r>
        <w:rPr>
          <w:rFonts w:ascii="Arial" w:eastAsia="Arial" w:hAnsi="Arial" w:cs="Arial"/>
          <w:color w:val="222222"/>
          <w:highlight w:val="white"/>
        </w:rPr>
        <w:t>10.1007/s11365-022-00810-9</w:t>
      </w:r>
      <w:r>
        <w:t xml:space="preserve">. </w:t>
      </w:r>
    </w:p>
    <w:p w:rsidR="00D3642C" w:rsidRDefault="00D3642C" w:rsidP="00D3642C">
      <w:pPr>
        <w:spacing w:after="240"/>
        <w:jc w:val="center"/>
      </w:pPr>
      <w:r>
        <w:rPr>
          <w:noProof/>
          <w:lang w:eastAsia="en-GB"/>
        </w:rPr>
        <w:lastRenderedPageBreak/>
        <w:drawing>
          <wp:inline distT="114300" distB="114300" distL="114300" distR="114300" wp14:anchorId="348AE1BE" wp14:editId="4F02FCE8">
            <wp:extent cx="5943600" cy="15494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1549400"/>
                    </a:xfrm>
                    <a:prstGeom prst="rect">
                      <a:avLst/>
                    </a:prstGeom>
                    <a:ln w="25400">
                      <a:solidFill>
                        <a:srgbClr val="000000"/>
                      </a:solidFill>
                      <a:prstDash val="solid"/>
                    </a:ln>
                  </pic:spPr>
                </pic:pic>
              </a:graphicData>
            </a:graphic>
          </wp:inline>
        </w:drawing>
      </w:r>
    </w:p>
    <w:p w:rsidR="00D3642C" w:rsidRPr="00B444A4" w:rsidRDefault="00D3642C" w:rsidP="00D3642C">
      <w:pPr>
        <w:spacing w:after="240"/>
        <w:jc w:val="center"/>
        <w:rPr>
          <w:b/>
          <w:bCs/>
        </w:rPr>
      </w:pPr>
      <w:r w:rsidRPr="00B444A4">
        <w:rPr>
          <w:b/>
          <w:bCs/>
        </w:rPr>
        <w:t xml:space="preserve">Figure 1: Income Statement of Sea-View Resort </w:t>
      </w:r>
    </w:p>
    <w:p w:rsidR="00D3642C" w:rsidRDefault="00D3642C" w:rsidP="00D3642C">
      <w:pPr>
        <w:spacing w:after="240"/>
      </w:pPr>
      <w:r>
        <w:rPr>
          <w:i/>
        </w:rPr>
        <w:t xml:space="preserve">High Operating Expenses: </w:t>
      </w:r>
      <w:r>
        <w:t>A close analysis of the financial statement of the Sea-View Resort from 2020 to 2022 has signified a downfall of $60000. The reason towards this significant loss has been observed to be the rising cost of products that led to major expenses impacting the lowering of profit generation for the resort. It is essential to understand that the decrease in profit generation can be handled through specific expense improvisation prospects (Chowdhury and Lang, 2023).</w:t>
      </w:r>
    </w:p>
    <w:p w:rsidR="00D3642C" w:rsidRDefault="00D3642C" w:rsidP="00D3642C">
      <w:pPr>
        <w:spacing w:after="240"/>
      </w:pPr>
      <w:r>
        <w:rPr>
          <w:i/>
        </w:rPr>
        <w:t>Loss of Revenue:</w:t>
      </w:r>
      <w:r>
        <w:t xml:space="preserve"> The identification of the loss of revenue from 2020 to 2022 has been observed to be nearly $100000. This constant revenue loss has been signified through the improper management of resources and wrong predictions in the business prospects of the organisation.</w:t>
      </w:r>
    </w:p>
    <w:p w:rsidR="00D3642C" w:rsidRDefault="00D3642C" w:rsidP="00D3642C">
      <w:pPr>
        <w:spacing w:after="240"/>
      </w:pPr>
      <w:r>
        <w:rPr>
          <w:i/>
        </w:rPr>
        <w:t>Negative Gross Profit:</w:t>
      </w:r>
      <w:r>
        <w:t xml:space="preserve"> Identifying the adoption of cost of goods (COGS)  it can be signified that the negative output in the gross profit of the organisation has been observed to be nearly $70000. The identification of the reason for such a huge downfall in the gross profit can be entailed through the organisation's approach to cover the production and maintenance costs against the profit generation aspect (Das, 2023).</w:t>
      </w:r>
    </w:p>
    <w:p w:rsidR="00D3642C" w:rsidRDefault="00D3642C" w:rsidP="00D3642C">
      <w:pPr>
        <w:spacing w:after="240"/>
      </w:pPr>
      <w:r>
        <w:rPr>
          <w:i/>
        </w:rPr>
        <w:t>Negative Profit:</w:t>
      </w:r>
      <w:r>
        <w:t xml:space="preserve"> The value of negative profit observed for the organisation within 2 years has been observed to be more than $25000. This approach signifies that the organisation is not able to bear its operational cost at the bare minimum of expenses.</w:t>
      </w:r>
    </w:p>
    <w:p w:rsidR="00D3642C" w:rsidRDefault="00D3642C" w:rsidP="00D3642C">
      <w:pPr>
        <w:spacing w:after="240"/>
      </w:pPr>
      <w:r>
        <w:t>Ratio Analysis:</w:t>
      </w:r>
    </w:p>
    <w:p w:rsidR="00D3642C" w:rsidRDefault="00D3642C" w:rsidP="00D3642C">
      <w:pPr>
        <w:spacing w:after="240"/>
      </w:pPr>
      <w:r>
        <w:t>Current Ratio:</w:t>
      </w:r>
    </w:p>
    <w:p w:rsidR="00D3642C" w:rsidRDefault="00D3642C" w:rsidP="00D3642C">
      <w:pPr>
        <w:spacing w:after="240"/>
      </w:pPr>
      <w:r>
        <w:t>Current Ratio = Current Assets / Current Liabilities</w:t>
      </w:r>
    </w:p>
    <w:p w:rsidR="00D3642C" w:rsidRDefault="00D3642C" w:rsidP="00D3642C">
      <w:pPr>
        <w:spacing w:after="240"/>
      </w:pPr>
      <w:r>
        <w:t>Current Ratio = 250000 /180000 =1.39</w:t>
      </w:r>
    </w:p>
    <w:p w:rsidR="00D3642C" w:rsidRDefault="00D3642C" w:rsidP="00D3642C">
      <w:pPr>
        <w:spacing w:after="240"/>
      </w:pPr>
      <w:r>
        <w:lastRenderedPageBreak/>
        <w:t xml:space="preserve">The output of the Current Ratio helps in signifying the fact that the organisation holds more current assets than current liabilities. The approach entails short-term solvency of the organisation due to underutilisation of the assets (Mesak, 2019). </w:t>
      </w:r>
    </w:p>
    <w:p w:rsidR="00D3642C" w:rsidRDefault="00D3642C" w:rsidP="00D3642C">
      <w:pPr>
        <w:spacing w:after="240"/>
      </w:pPr>
      <w:r>
        <w:t>Quick Ratio:</w:t>
      </w:r>
    </w:p>
    <w:p w:rsidR="00D3642C" w:rsidRDefault="00D3642C" w:rsidP="00D3642C">
      <w:pPr>
        <w:spacing w:after="240"/>
      </w:pPr>
      <w:r>
        <w:t>Quick Ratio = (Current Assets - Inventory) / Current Liabilities</w:t>
      </w:r>
    </w:p>
    <w:p w:rsidR="00D3642C" w:rsidRDefault="00D3642C" w:rsidP="00D3642C">
      <w:pPr>
        <w:spacing w:after="240"/>
      </w:pPr>
      <w:r>
        <w:t>Quick Ratio = (250000-100000)/180000 = 0.83</w:t>
      </w:r>
    </w:p>
    <w:p w:rsidR="00D3642C" w:rsidRDefault="00D3642C" w:rsidP="00D3642C">
      <w:pPr>
        <w:spacing w:after="240"/>
      </w:pPr>
      <w:r>
        <w:t xml:space="preserve">A more conservative approach to short-term liquidity excluding the impact on the organisation. A value of more than 1 in the quick ratio is considered healthy but in this case, it depicts the instability of the Resort from a business point of view. </w:t>
      </w:r>
    </w:p>
    <w:p w:rsidR="00D3642C" w:rsidRDefault="00D3642C" w:rsidP="00D3642C">
      <w:pPr>
        <w:spacing w:after="240"/>
      </w:pPr>
      <w:r>
        <w:t>Debt-to-Equity Ratio:</w:t>
      </w:r>
    </w:p>
    <w:p w:rsidR="00D3642C" w:rsidRDefault="00D3642C" w:rsidP="00D3642C">
      <w:pPr>
        <w:spacing w:after="240"/>
      </w:pPr>
      <w:r>
        <w:t>Debt-to-Equity Ratio = Total Debt / Total Equity</w:t>
      </w:r>
    </w:p>
    <w:p w:rsidR="00D3642C" w:rsidRDefault="00D3642C" w:rsidP="00D3642C">
      <w:pPr>
        <w:spacing w:after="240"/>
      </w:pPr>
      <w:r>
        <w:t>Debt-to-Equity Ratio= 580000 / 450000 = 1.29</w:t>
      </w:r>
    </w:p>
    <w:p w:rsidR="00D3642C" w:rsidRDefault="00D3642C" w:rsidP="00D3642C">
      <w:pPr>
        <w:spacing w:after="240"/>
      </w:pPr>
      <w:r>
        <w:t>The debt-equity ratio signifies that the Sea-View Resort is in more debt than equity. The result of the ratio being more than 1 (1.29) signifies that effective. The condition embarks upon high financial risk for the organisation and promotes a loss-incurring approach.</w:t>
      </w:r>
    </w:p>
    <w:p w:rsidR="00D3642C" w:rsidRDefault="00D3642C" w:rsidP="00D3642C">
      <w:pPr>
        <w:spacing w:after="240"/>
      </w:pPr>
      <w:r>
        <w:t>Return on Assets (ROA):</w:t>
      </w:r>
    </w:p>
    <w:p w:rsidR="00D3642C" w:rsidRDefault="00D3642C" w:rsidP="00D3642C">
      <w:pPr>
        <w:spacing w:after="240"/>
      </w:pPr>
      <w:r>
        <w:t>ROA= Net Profit / Total Assets</w:t>
      </w:r>
    </w:p>
    <w:p w:rsidR="00D3642C" w:rsidRDefault="00D3642C" w:rsidP="00D3642C">
      <w:pPr>
        <w:spacing w:after="240"/>
      </w:pPr>
      <w:r>
        <w:t>Given that Net Profit (Loss) at the end of 2022 is ($47,500):</w:t>
      </w:r>
    </w:p>
    <w:p w:rsidR="00D3642C" w:rsidRDefault="00D3642C" w:rsidP="00D3642C">
      <w:pPr>
        <w:spacing w:after="240"/>
      </w:pPr>
      <w:r>
        <w:t xml:space="preserve">ROA= -47500 / 1030000 </w:t>
      </w:r>
    </w:p>
    <w:p w:rsidR="00D3642C" w:rsidRDefault="00D3642C" w:rsidP="00D3642C">
      <w:pPr>
        <w:spacing w:after="240"/>
      </w:pPr>
      <w:r>
        <w:rPr>
          <w:rFonts w:ascii="Gungsuh" w:eastAsia="Gungsuh" w:hAnsi="Gungsuh" w:cs="Gungsuh"/>
        </w:rPr>
        <w:t>ROA ≈ −0.046</w:t>
      </w:r>
    </w:p>
    <w:p w:rsidR="00D3642C" w:rsidRDefault="00D3642C" w:rsidP="00D3642C">
      <w:pPr>
        <w:spacing w:after="240"/>
      </w:pPr>
      <w:r>
        <w:t xml:space="preserve">The under-utilisation of assets is the prime factor to provide this negative ROA result on the part of the organisation. The organisation needs to utilise the assets effectively to meet the standards of return against the assets. </w:t>
      </w:r>
    </w:p>
    <w:p w:rsidR="00D3642C" w:rsidRDefault="00D3642C" w:rsidP="00D3642C">
      <w:pPr>
        <w:pStyle w:val="Heading1"/>
        <w:spacing w:after="240"/>
      </w:pPr>
      <w:bookmarkStart w:id="5" w:name="_Toc150872497"/>
      <w:r>
        <w:lastRenderedPageBreak/>
        <w:t>Market Analysis</w:t>
      </w:r>
      <w:bookmarkEnd w:id="5"/>
    </w:p>
    <w:p w:rsidR="00D3642C" w:rsidRDefault="00D3642C" w:rsidP="00D3642C">
      <w:pPr>
        <w:spacing w:after="240"/>
      </w:pPr>
      <w:r>
        <w:t xml:space="preserve">The market analysis signifies an effective comparison between the Sea View Resort and the other well-performing resorts within the area. The comparison will help deeply in understanding the gaps in financial procurements as well as operational considerations. It has been identified that Ballygally Castle is one of the most performing and profitable resorts of 2022 (Barnes, 2023). </w:t>
      </w:r>
    </w:p>
    <w:p w:rsidR="00D3642C" w:rsidRDefault="00D3642C" w:rsidP="00D3642C">
      <w:pPr>
        <w:spacing w:after="240"/>
      </w:pPr>
      <w:r>
        <w:t xml:space="preserve">Ballygally Castle is one of the most enchanting and enticing luxurious resorts that has been pertaining a profit margin of $560 million in 2021. The identification of the positive attributes of the organisation and based mostly upon the aspect of consumer service providence as well as dynamic work cultures. The approach of the organisation in comparison to the Sea View Resort is mostly dependent on the internal and external factors of progressive business advancement. The hospitality industry is more of a care-providing and service industry they have a well-structured task force that implies providing services to their guest (BallyGally Castle, 2023). On the other hand, the organisation have presently focused on the adoption of technology-based service providers that help ease the time of operations within the organisation. This approach establishes a great customer experience and enhances the profitability of the organisation. </w:t>
      </w:r>
    </w:p>
    <w:p w:rsidR="00D3642C" w:rsidRDefault="00D3642C" w:rsidP="00D3642C">
      <w:pPr>
        <w:spacing w:after="240"/>
      </w:pPr>
      <w:r>
        <w:t>The sales, marketing and finance teams of the organisation have been performing extraordinary in the process of developing a dynamic business atmosphere for the organisation. The company focuses on dynamic pricing of room rates, event rates,  and luxury services (Slater and Olson, 2022). The sales team have developed clustered packages for the organisation to meet customer preference and assertive comfortable experience for the guests.</w:t>
      </w:r>
    </w:p>
    <w:p w:rsidR="00D3642C" w:rsidRDefault="00D3642C" w:rsidP="00D3642C">
      <w:pPr>
        <w:pStyle w:val="Heading1"/>
        <w:spacing w:after="240"/>
      </w:pPr>
      <w:bookmarkStart w:id="6" w:name="_Toc150872498"/>
      <w:r>
        <w:t>SWOT Analysis</w:t>
      </w:r>
      <w:bookmarkEnd w:id="6"/>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3642C" w:rsidTr="008E239F">
        <w:tc>
          <w:tcPr>
            <w:tcW w:w="4680" w:type="dxa"/>
            <w:shd w:val="clear" w:color="auto" w:fill="F8ECE8" w:themeFill="accent3" w:themeFillTint="66"/>
            <w:tcMar>
              <w:top w:w="100" w:type="dxa"/>
              <w:left w:w="100" w:type="dxa"/>
              <w:bottom w:w="100" w:type="dxa"/>
              <w:right w:w="100" w:type="dxa"/>
            </w:tcMar>
          </w:tcPr>
          <w:p w:rsidR="00D3642C" w:rsidRDefault="00D3642C" w:rsidP="008E239F">
            <w:pPr>
              <w:widowControl w:val="0"/>
              <w:pBdr>
                <w:top w:val="nil"/>
                <w:left w:val="nil"/>
                <w:bottom w:val="single" w:sz="4" w:space="1" w:color="auto"/>
                <w:right w:val="nil"/>
                <w:between w:val="nil"/>
              </w:pBdr>
              <w:shd w:val="clear" w:color="auto" w:fill="EED0C6" w:themeFill="accent3"/>
              <w:spacing w:after="240"/>
              <w:jc w:val="center"/>
            </w:pPr>
            <w:r>
              <w:t>Strengths</w:t>
            </w:r>
          </w:p>
          <w:p w:rsidR="00D3642C" w:rsidRDefault="00D3642C" w:rsidP="008E239F">
            <w:pPr>
              <w:widowControl w:val="0"/>
              <w:numPr>
                <w:ilvl w:val="0"/>
                <w:numId w:val="3"/>
              </w:numPr>
              <w:pBdr>
                <w:top w:val="nil"/>
                <w:left w:val="nil"/>
                <w:bottom w:val="nil"/>
                <w:right w:val="nil"/>
                <w:between w:val="nil"/>
              </w:pBdr>
              <w:spacing w:after="240"/>
            </w:pPr>
            <w:r>
              <w:t>Development of the location of the resort to promote natural beauty and aesthetics providing a beautiful ambience for the guests (Danilova and Kuznetsova, 2020).</w:t>
            </w:r>
          </w:p>
          <w:p w:rsidR="00D3642C" w:rsidRDefault="00D3642C" w:rsidP="008E239F">
            <w:pPr>
              <w:widowControl w:val="0"/>
              <w:numPr>
                <w:ilvl w:val="0"/>
                <w:numId w:val="3"/>
              </w:numPr>
              <w:pBdr>
                <w:top w:val="nil"/>
                <w:left w:val="nil"/>
                <w:bottom w:val="nil"/>
                <w:right w:val="nil"/>
                <w:between w:val="nil"/>
              </w:pBdr>
              <w:spacing w:after="240"/>
            </w:pPr>
            <w:r>
              <w:t xml:space="preserve">The providence of multiple features </w:t>
            </w:r>
            <w:r>
              <w:lastRenderedPageBreak/>
              <w:t>within the organisation to ascertain guest preference over other competitive organisations.</w:t>
            </w:r>
          </w:p>
        </w:tc>
        <w:tc>
          <w:tcPr>
            <w:tcW w:w="4680" w:type="dxa"/>
            <w:shd w:val="clear" w:color="auto" w:fill="F8E7E7" w:themeFill="accent6" w:themeFillTint="66"/>
            <w:tcMar>
              <w:top w:w="100" w:type="dxa"/>
              <w:left w:w="100" w:type="dxa"/>
              <w:bottom w:w="100" w:type="dxa"/>
              <w:right w:w="100" w:type="dxa"/>
            </w:tcMar>
          </w:tcPr>
          <w:p w:rsidR="00D3642C" w:rsidRDefault="00D3642C" w:rsidP="008E239F">
            <w:pPr>
              <w:widowControl w:val="0"/>
              <w:pBdr>
                <w:top w:val="nil"/>
                <w:left w:val="nil"/>
                <w:bottom w:val="single" w:sz="4" w:space="1" w:color="auto"/>
                <w:right w:val="nil"/>
                <w:between w:val="nil"/>
              </w:pBdr>
              <w:shd w:val="clear" w:color="auto" w:fill="EFC5C5" w:themeFill="accent6"/>
              <w:spacing w:after="240"/>
              <w:jc w:val="center"/>
            </w:pPr>
            <w:r>
              <w:lastRenderedPageBreak/>
              <w:t>Weaknesses</w:t>
            </w:r>
          </w:p>
          <w:p w:rsidR="00D3642C" w:rsidRDefault="00D3642C" w:rsidP="008E239F">
            <w:pPr>
              <w:widowControl w:val="0"/>
              <w:numPr>
                <w:ilvl w:val="0"/>
                <w:numId w:val="2"/>
              </w:numPr>
              <w:pBdr>
                <w:top w:val="nil"/>
                <w:left w:val="nil"/>
                <w:bottom w:val="nil"/>
                <w:right w:val="nil"/>
                <w:between w:val="nil"/>
              </w:pBdr>
              <w:spacing w:after="240"/>
            </w:pPr>
            <w:r>
              <w:t>Very low technology implementation in the hospitality service providence structure to meet a large volume of guests.</w:t>
            </w:r>
          </w:p>
          <w:p w:rsidR="00D3642C" w:rsidRDefault="00D3642C" w:rsidP="008E239F">
            <w:pPr>
              <w:widowControl w:val="0"/>
              <w:numPr>
                <w:ilvl w:val="0"/>
                <w:numId w:val="2"/>
              </w:numPr>
              <w:pBdr>
                <w:top w:val="nil"/>
                <w:left w:val="nil"/>
                <w:bottom w:val="nil"/>
                <w:right w:val="nil"/>
                <w:between w:val="nil"/>
              </w:pBdr>
              <w:spacing w:after="240"/>
            </w:pPr>
            <w:r>
              <w:t xml:space="preserve">An outdated financial model that is not flexible according to the business </w:t>
            </w:r>
            <w:r>
              <w:lastRenderedPageBreak/>
              <w:t>demand impacts the minimization of profit (Fraser-Sampson, 2018).</w:t>
            </w:r>
          </w:p>
        </w:tc>
      </w:tr>
      <w:tr w:rsidR="00D3642C" w:rsidTr="008E239F">
        <w:tc>
          <w:tcPr>
            <w:tcW w:w="4680" w:type="dxa"/>
            <w:shd w:val="clear" w:color="auto" w:fill="F3D9D9" w:themeFill="accent5" w:themeFillTint="66"/>
            <w:tcMar>
              <w:top w:w="100" w:type="dxa"/>
              <w:left w:w="100" w:type="dxa"/>
              <w:bottom w:w="100" w:type="dxa"/>
              <w:right w:w="100" w:type="dxa"/>
            </w:tcMar>
          </w:tcPr>
          <w:p w:rsidR="00D3642C" w:rsidRDefault="00D3642C" w:rsidP="008E239F">
            <w:pPr>
              <w:widowControl w:val="0"/>
              <w:pBdr>
                <w:top w:val="nil"/>
                <w:left w:val="nil"/>
                <w:bottom w:val="single" w:sz="4" w:space="1" w:color="auto"/>
                <w:right w:val="nil"/>
                <w:between w:val="nil"/>
              </w:pBdr>
              <w:shd w:val="clear" w:color="auto" w:fill="00B050"/>
              <w:spacing w:after="240"/>
              <w:jc w:val="center"/>
            </w:pPr>
            <w:r>
              <w:lastRenderedPageBreak/>
              <w:t>Opportunities</w:t>
            </w:r>
          </w:p>
          <w:p w:rsidR="00D3642C" w:rsidRDefault="00D3642C" w:rsidP="008E239F">
            <w:pPr>
              <w:widowControl w:val="0"/>
              <w:numPr>
                <w:ilvl w:val="0"/>
                <w:numId w:val="4"/>
              </w:numPr>
              <w:pBdr>
                <w:top w:val="nil"/>
                <w:left w:val="nil"/>
                <w:bottom w:val="nil"/>
                <w:right w:val="nil"/>
                <w:between w:val="nil"/>
              </w:pBdr>
              <w:spacing w:after="240"/>
            </w:pPr>
            <w:r>
              <w:t xml:space="preserve">The chance to enhance diversification at the operational level of the organisation to attract more consumers (Benzaghta </w:t>
            </w:r>
            <w:r>
              <w:rPr>
                <w:i/>
              </w:rPr>
              <w:t>et al.</w:t>
            </w:r>
            <w:r>
              <w:t>, 2021)</w:t>
            </w:r>
          </w:p>
          <w:p w:rsidR="00D3642C" w:rsidRDefault="00D3642C" w:rsidP="008E239F">
            <w:pPr>
              <w:widowControl w:val="0"/>
              <w:numPr>
                <w:ilvl w:val="0"/>
                <w:numId w:val="4"/>
              </w:numPr>
              <w:pBdr>
                <w:top w:val="nil"/>
                <w:left w:val="nil"/>
                <w:bottom w:val="nil"/>
                <w:right w:val="nil"/>
                <w:between w:val="nil"/>
              </w:pBdr>
              <w:spacing w:after="240"/>
            </w:pPr>
            <w:r>
              <w:t xml:space="preserve"> The chance to ascertain collaborations within multiple organisations that are local to the area and can provide a certain amount of traffic</w:t>
            </w:r>
          </w:p>
        </w:tc>
        <w:tc>
          <w:tcPr>
            <w:tcW w:w="4680" w:type="dxa"/>
            <w:shd w:val="clear" w:color="auto" w:fill="F8FBFB" w:themeFill="accent2" w:themeFillTint="33"/>
            <w:tcMar>
              <w:top w:w="100" w:type="dxa"/>
              <w:left w:w="100" w:type="dxa"/>
              <w:bottom w:w="100" w:type="dxa"/>
              <w:right w:w="100" w:type="dxa"/>
            </w:tcMar>
          </w:tcPr>
          <w:p w:rsidR="00D3642C" w:rsidRDefault="00D3642C" w:rsidP="008E239F">
            <w:pPr>
              <w:widowControl w:val="0"/>
              <w:pBdr>
                <w:top w:val="nil"/>
                <w:left w:val="nil"/>
                <w:bottom w:val="single" w:sz="4" w:space="1" w:color="auto"/>
                <w:right w:val="nil"/>
                <w:between w:val="nil"/>
              </w:pBdr>
              <w:shd w:val="clear" w:color="auto" w:fill="DEECEC" w:themeFill="accent2"/>
              <w:spacing w:after="240"/>
              <w:jc w:val="center"/>
            </w:pPr>
            <w:r>
              <w:t>Threats</w:t>
            </w:r>
          </w:p>
          <w:p w:rsidR="00D3642C" w:rsidRDefault="00D3642C" w:rsidP="008E239F">
            <w:pPr>
              <w:widowControl w:val="0"/>
              <w:numPr>
                <w:ilvl w:val="0"/>
                <w:numId w:val="1"/>
              </w:numPr>
              <w:pBdr>
                <w:top w:val="nil"/>
                <w:left w:val="nil"/>
                <w:bottom w:val="nil"/>
                <w:right w:val="nil"/>
                <w:between w:val="nil"/>
              </w:pBdr>
              <w:spacing w:after="240"/>
            </w:pPr>
            <w:r>
              <w:t xml:space="preserve">Significant consideration from a competitive outlook of the hospitality business within the area (Citta </w:t>
            </w:r>
            <w:r>
              <w:rPr>
                <w:i/>
              </w:rPr>
              <w:t>et al.</w:t>
            </w:r>
            <w:r>
              <w:t>, 2020).</w:t>
            </w:r>
          </w:p>
          <w:p w:rsidR="00D3642C" w:rsidRDefault="00D3642C" w:rsidP="008E239F">
            <w:pPr>
              <w:widowControl w:val="0"/>
              <w:numPr>
                <w:ilvl w:val="0"/>
                <w:numId w:val="1"/>
              </w:numPr>
              <w:pBdr>
                <w:top w:val="nil"/>
                <w:left w:val="nil"/>
                <w:bottom w:val="nil"/>
                <w:right w:val="nil"/>
                <w:between w:val="nil"/>
              </w:pBdr>
              <w:spacing w:after="240"/>
            </w:pPr>
            <w:r>
              <w:t xml:space="preserve">Defining the re-establishment of the supply chain from effective sources that help in minimising the running cost of the organisation </w:t>
            </w:r>
          </w:p>
        </w:tc>
      </w:tr>
    </w:tbl>
    <w:p w:rsidR="00D3642C" w:rsidRPr="0034131B" w:rsidRDefault="00D3642C" w:rsidP="00D3642C">
      <w:pPr>
        <w:spacing w:after="240"/>
        <w:jc w:val="center"/>
        <w:rPr>
          <w:b/>
          <w:bCs/>
        </w:rPr>
      </w:pPr>
      <w:r w:rsidRPr="0034131B">
        <w:rPr>
          <w:b/>
          <w:bCs/>
        </w:rPr>
        <w:t>Table 1: SWOT Analysis</w:t>
      </w:r>
    </w:p>
    <w:p w:rsidR="00D3642C" w:rsidRDefault="00D3642C" w:rsidP="00D3642C">
      <w:pPr>
        <w:pStyle w:val="Heading1"/>
        <w:spacing w:after="240"/>
      </w:pPr>
      <w:bookmarkStart w:id="7" w:name="_Toc150872499"/>
      <w:r>
        <w:t>Turnaround Strategy</w:t>
      </w:r>
      <w:bookmarkEnd w:id="7"/>
    </w:p>
    <w:p w:rsidR="00D3642C" w:rsidRDefault="00D3642C" w:rsidP="00D3642C">
      <w:pPr>
        <w:spacing w:after="240"/>
      </w:pPr>
      <w:r>
        <w:t>The identification of an effective turnaround strategy can be signified with a major focus on the attributes of Financial establishments, Operation initiatives, Cost Management structures,  diversified revenue, Exclusive guest experience and Corporate social responsibilities.</w:t>
      </w:r>
    </w:p>
    <w:p w:rsidR="00D3642C" w:rsidRDefault="00D3642C" w:rsidP="00D3642C">
      <w:pPr>
        <w:spacing w:after="240"/>
      </w:pPr>
      <w:r>
        <w:t>Diversified Revenue: The implication of diversified revenue signified the utilisation of the annual budget in the most expensive manner bringing out the organisation from loss-making conditions (Hofer, 2020). The significance of the approach helps in focusing on the gaps in financial management and assertive the right full utilisation of resources through organic methods.  it also focuses on the enhancement of return-oriented investment procedures.</w:t>
      </w:r>
    </w:p>
    <w:p w:rsidR="00D3642C" w:rsidRDefault="00D3642C" w:rsidP="00D3642C">
      <w:pPr>
        <w:spacing w:after="240"/>
      </w:pPr>
      <w:r>
        <w:t xml:space="preserve">Enhancing guest experience: The hospitality industry demands the procurement of a positive approach towards enhancing the guest experience of every individual.  The providence of service in the most effective manner helps in turning over the profitability of the organisation by increasing its popularity of the organisation and upholding its reputation of the organisation at a global scale </w:t>
      </w:r>
      <w:r>
        <w:lastRenderedPageBreak/>
        <w:t xml:space="preserve">(Baliouskas </w:t>
      </w:r>
      <w:r>
        <w:rPr>
          <w:i/>
        </w:rPr>
        <w:t>et al.</w:t>
      </w:r>
      <w:r>
        <w:t xml:space="preserve">, 2022). The significance of this approach can help the Sea View Resort in developing upon its previous Glory by increasing the popularity of the organisation.  </w:t>
      </w:r>
    </w:p>
    <w:p w:rsidR="00D3642C" w:rsidRDefault="00D3642C" w:rsidP="00D3642C">
      <w:pPr>
        <w:pStyle w:val="Heading1"/>
        <w:spacing w:after="240"/>
      </w:pPr>
      <w:bookmarkStart w:id="8" w:name="_Toc150872500"/>
      <w:r>
        <w:t>Financial Projections</w:t>
      </w:r>
      <w:bookmarkEnd w:id="8"/>
    </w:p>
    <w:tbl>
      <w:tblPr>
        <w:tblW w:w="9000" w:type="dxa"/>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1500"/>
        <w:gridCol w:w="1500"/>
        <w:gridCol w:w="1500"/>
        <w:gridCol w:w="1500"/>
      </w:tblGrid>
      <w:tr w:rsidR="00D3642C" w:rsidTr="008E239F">
        <w:trPr>
          <w:trHeight w:val="330"/>
        </w:trPr>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color w:val="111827"/>
                <w:sz w:val="22"/>
                <w:szCs w:val="22"/>
              </w:rPr>
              <w:t>Revenue</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Q1</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Q2</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Q3</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Q3</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Year Total</w:t>
            </w:r>
          </w:p>
        </w:tc>
      </w:tr>
      <w:tr w:rsidR="00D3642C" w:rsidTr="008E239F">
        <w:trPr>
          <w:trHeight w:val="315"/>
        </w:trPr>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Room Revenue</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150,000</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160,000</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170,000</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180,000</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$660,000</w:t>
            </w:r>
          </w:p>
        </w:tc>
      </w:tr>
      <w:tr w:rsidR="00D3642C" w:rsidTr="008E239F">
        <w:trPr>
          <w:trHeight w:val="315"/>
        </w:trPr>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F&amp;B Sales</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100000</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110000</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120000</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130000</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460000</w:t>
            </w:r>
          </w:p>
        </w:tc>
      </w:tr>
      <w:tr w:rsidR="00D3642C" w:rsidTr="008E239F">
        <w:trPr>
          <w:trHeight w:val="525"/>
        </w:trPr>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Other Revenues</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35000</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40000</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45000</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50000</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55000</w:t>
            </w:r>
          </w:p>
        </w:tc>
      </w:tr>
      <w:tr w:rsidR="00D3642C" w:rsidTr="008E239F">
        <w:trPr>
          <w:trHeight w:val="315"/>
        </w:trPr>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Total Revenue</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280000</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305000</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330000</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355000</w:t>
            </w:r>
          </w:p>
        </w:tc>
        <w:tc>
          <w:tcPr>
            <w:tcW w:w="1500"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right"/>
              <w:rPr>
                <w:rFonts w:ascii="Arial" w:eastAsia="Arial" w:hAnsi="Arial" w:cs="Arial"/>
                <w:sz w:val="20"/>
                <w:szCs w:val="20"/>
              </w:rPr>
            </w:pPr>
            <w:r>
              <w:rPr>
                <w:rFonts w:ascii="Arial" w:eastAsia="Arial" w:hAnsi="Arial" w:cs="Arial"/>
                <w:sz w:val="20"/>
                <w:szCs w:val="20"/>
              </w:rPr>
              <w:t>1270000</w:t>
            </w:r>
          </w:p>
        </w:tc>
      </w:tr>
    </w:tbl>
    <w:p w:rsidR="00D3642C" w:rsidRDefault="00D3642C" w:rsidP="00D3642C">
      <w:pPr>
        <w:spacing w:after="240"/>
      </w:pPr>
    </w:p>
    <w:p w:rsidR="00D3642C" w:rsidRDefault="00D3642C" w:rsidP="00D3642C">
      <w:pPr>
        <w:spacing w:after="240"/>
      </w:pPr>
      <w:r>
        <w:t>Expense Projection (Reduced by 15 %)</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2301"/>
        <w:gridCol w:w="1411"/>
        <w:gridCol w:w="1412"/>
        <w:gridCol w:w="1412"/>
        <w:gridCol w:w="1412"/>
        <w:gridCol w:w="1412"/>
      </w:tblGrid>
      <w:tr w:rsidR="00D3642C" w:rsidTr="008E239F">
        <w:trPr>
          <w:trHeight w:val="315"/>
        </w:trPr>
        <w:tc>
          <w:tcPr>
            <w:tcW w:w="2301" w:type="dxa"/>
            <w:tcBorders>
              <w:top w:val="single" w:sz="4" w:space="0" w:color="D9D9E3"/>
              <w:left w:val="single" w:sz="4" w:space="0" w:color="D9D9E3"/>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center"/>
              <w:rPr>
                <w:rFonts w:ascii="Arial" w:eastAsia="Arial" w:hAnsi="Arial" w:cs="Arial"/>
                <w:sz w:val="20"/>
                <w:szCs w:val="20"/>
              </w:rPr>
            </w:pPr>
            <w:r>
              <w:rPr>
                <w:rFonts w:ascii="Arial" w:eastAsia="Arial" w:hAnsi="Arial" w:cs="Arial"/>
                <w:sz w:val="20"/>
                <w:szCs w:val="20"/>
              </w:rPr>
              <w:t>Expenses</w:t>
            </w:r>
          </w:p>
        </w:tc>
        <w:tc>
          <w:tcPr>
            <w:tcW w:w="1411" w:type="dxa"/>
            <w:tcBorders>
              <w:top w:val="single" w:sz="4" w:space="0" w:color="D9D9E3"/>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center"/>
              <w:rPr>
                <w:rFonts w:ascii="Arial" w:eastAsia="Arial" w:hAnsi="Arial" w:cs="Arial"/>
                <w:sz w:val="20"/>
                <w:szCs w:val="20"/>
              </w:rPr>
            </w:pPr>
            <w:r>
              <w:rPr>
                <w:rFonts w:ascii="Arial" w:eastAsia="Arial" w:hAnsi="Arial" w:cs="Arial"/>
                <w:sz w:val="20"/>
                <w:szCs w:val="20"/>
              </w:rPr>
              <w:t>Q1</w:t>
            </w:r>
          </w:p>
        </w:tc>
        <w:tc>
          <w:tcPr>
            <w:tcW w:w="1411" w:type="dxa"/>
            <w:tcBorders>
              <w:top w:val="single" w:sz="4" w:space="0" w:color="D9D9E3"/>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center"/>
              <w:rPr>
                <w:rFonts w:ascii="Arial" w:eastAsia="Arial" w:hAnsi="Arial" w:cs="Arial"/>
                <w:sz w:val="20"/>
                <w:szCs w:val="20"/>
              </w:rPr>
            </w:pPr>
            <w:r>
              <w:rPr>
                <w:rFonts w:ascii="Arial" w:eastAsia="Arial" w:hAnsi="Arial" w:cs="Arial"/>
                <w:sz w:val="20"/>
                <w:szCs w:val="20"/>
              </w:rPr>
              <w:t>Q2</w:t>
            </w:r>
          </w:p>
        </w:tc>
        <w:tc>
          <w:tcPr>
            <w:tcW w:w="1411" w:type="dxa"/>
            <w:tcBorders>
              <w:top w:val="single" w:sz="4" w:space="0" w:color="D9D9E3"/>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center"/>
              <w:rPr>
                <w:rFonts w:ascii="Arial" w:eastAsia="Arial" w:hAnsi="Arial" w:cs="Arial"/>
                <w:sz w:val="20"/>
                <w:szCs w:val="20"/>
              </w:rPr>
            </w:pPr>
            <w:r>
              <w:rPr>
                <w:rFonts w:ascii="Arial" w:eastAsia="Arial" w:hAnsi="Arial" w:cs="Arial"/>
                <w:sz w:val="20"/>
                <w:szCs w:val="20"/>
              </w:rPr>
              <w:t>Q3</w:t>
            </w:r>
          </w:p>
        </w:tc>
        <w:tc>
          <w:tcPr>
            <w:tcW w:w="1411" w:type="dxa"/>
            <w:tcBorders>
              <w:top w:val="single" w:sz="4" w:space="0" w:color="D9D9E3"/>
              <w:left w:val="single" w:sz="4" w:space="0" w:color="CCCCCC"/>
              <w:bottom w:val="single" w:sz="4" w:space="0" w:color="D9D9E3"/>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center"/>
              <w:rPr>
                <w:rFonts w:ascii="Arial" w:eastAsia="Arial" w:hAnsi="Arial" w:cs="Arial"/>
                <w:sz w:val="20"/>
                <w:szCs w:val="20"/>
              </w:rPr>
            </w:pPr>
            <w:r>
              <w:rPr>
                <w:rFonts w:ascii="Arial" w:eastAsia="Arial" w:hAnsi="Arial" w:cs="Arial"/>
                <w:sz w:val="20"/>
                <w:szCs w:val="20"/>
              </w:rPr>
              <w:t>Q4</w:t>
            </w:r>
          </w:p>
        </w:tc>
        <w:tc>
          <w:tcPr>
            <w:tcW w:w="1411" w:type="dxa"/>
            <w:tcBorders>
              <w:top w:val="single" w:sz="4" w:space="0" w:color="CCCCCC"/>
              <w:left w:val="single" w:sz="4" w:space="0" w:color="CCCCCC"/>
              <w:bottom w:val="single" w:sz="4" w:space="0" w:color="000000"/>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center"/>
              <w:rPr>
                <w:rFonts w:ascii="Arial" w:eastAsia="Arial" w:hAnsi="Arial" w:cs="Arial"/>
                <w:sz w:val="20"/>
                <w:szCs w:val="20"/>
              </w:rPr>
            </w:pPr>
            <w:r>
              <w:rPr>
                <w:rFonts w:ascii="Arial" w:eastAsia="Arial" w:hAnsi="Arial" w:cs="Arial"/>
                <w:sz w:val="20"/>
                <w:szCs w:val="20"/>
              </w:rPr>
              <w:t>Year Total</w:t>
            </w:r>
          </w:p>
        </w:tc>
      </w:tr>
      <w:tr w:rsidR="00D3642C" w:rsidTr="008E239F">
        <w:trPr>
          <w:trHeight w:val="315"/>
        </w:trPr>
        <w:tc>
          <w:tcPr>
            <w:tcW w:w="2301" w:type="dxa"/>
            <w:tcBorders>
              <w:top w:val="single" w:sz="4" w:space="0" w:color="CCCCCC"/>
              <w:left w:val="single" w:sz="4" w:space="0" w:color="D9D9E3"/>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Cost of Goods Sold</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$50,000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$52,000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$55,000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$58,000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$215,000</w:t>
            </w:r>
          </w:p>
        </w:tc>
      </w:tr>
      <w:tr w:rsidR="00D3642C" w:rsidTr="008E239F">
        <w:trPr>
          <w:trHeight w:val="315"/>
        </w:trPr>
        <w:tc>
          <w:tcPr>
            <w:tcW w:w="2301" w:type="dxa"/>
            <w:tcBorders>
              <w:top w:val="single" w:sz="4" w:space="0" w:color="CCCCCC"/>
              <w:left w:val="single" w:sz="4" w:space="0" w:color="D9D9E3"/>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Wages &amp; Salaries</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$90,000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$85,000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$80,000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$75,000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$330,000</w:t>
            </w:r>
          </w:p>
        </w:tc>
      </w:tr>
      <w:tr w:rsidR="00D3642C" w:rsidTr="008E239F">
        <w:trPr>
          <w:trHeight w:val="315"/>
        </w:trPr>
        <w:tc>
          <w:tcPr>
            <w:tcW w:w="2301" w:type="dxa"/>
            <w:tcBorders>
              <w:top w:val="single" w:sz="4" w:space="0" w:color="CCCCCC"/>
              <w:left w:val="single" w:sz="4" w:space="0" w:color="D9D9E3"/>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Utilities</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$15,000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$14,000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$14,500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$15,000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$58,500</w:t>
            </w:r>
          </w:p>
        </w:tc>
      </w:tr>
      <w:tr w:rsidR="00D3642C" w:rsidTr="008E239F">
        <w:trPr>
          <w:trHeight w:val="315"/>
        </w:trPr>
        <w:tc>
          <w:tcPr>
            <w:tcW w:w="2301" w:type="dxa"/>
            <w:tcBorders>
              <w:top w:val="single" w:sz="4" w:space="0" w:color="CCCCCC"/>
              <w:left w:val="single" w:sz="4" w:space="0" w:color="D9D9E3"/>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Marketing &amp; Advertising</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$20,000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$22,000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$24,000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$25,000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$91,000</w:t>
            </w:r>
          </w:p>
        </w:tc>
      </w:tr>
      <w:tr w:rsidR="00D3642C" w:rsidTr="008E239F">
        <w:trPr>
          <w:trHeight w:val="315"/>
        </w:trPr>
        <w:tc>
          <w:tcPr>
            <w:tcW w:w="2301" w:type="dxa"/>
            <w:tcBorders>
              <w:top w:val="single" w:sz="4" w:space="0" w:color="CCCCCC"/>
              <w:left w:val="single" w:sz="4" w:space="0" w:color="D9D9E3"/>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Repairs &amp; Maintenance</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$10,000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$9,000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$9,500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$10,000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$38,500</w:t>
            </w:r>
          </w:p>
        </w:tc>
      </w:tr>
      <w:tr w:rsidR="00D3642C" w:rsidTr="008E239F">
        <w:trPr>
          <w:trHeight w:val="315"/>
        </w:trPr>
        <w:tc>
          <w:tcPr>
            <w:tcW w:w="2301" w:type="dxa"/>
            <w:tcBorders>
              <w:top w:val="single" w:sz="4" w:space="0" w:color="CCCCCC"/>
              <w:left w:val="single" w:sz="4" w:space="0" w:color="D9D9E3"/>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Administrative Expenses</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$25,000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$23,000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$22,500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$21,000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$91,500</w:t>
            </w:r>
          </w:p>
        </w:tc>
      </w:tr>
      <w:tr w:rsidR="00D3642C" w:rsidTr="008E239F">
        <w:trPr>
          <w:trHeight w:val="315"/>
        </w:trPr>
        <w:tc>
          <w:tcPr>
            <w:tcW w:w="2301" w:type="dxa"/>
            <w:tcBorders>
              <w:top w:val="single" w:sz="4" w:space="0" w:color="CCCCCC"/>
              <w:left w:val="single" w:sz="4" w:space="0" w:color="D9D9E3"/>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Total Expenses</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$210,000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$205,000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$205,000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$204,000</w:t>
            </w:r>
          </w:p>
        </w:tc>
        <w:tc>
          <w:tcPr>
            <w:tcW w:w="141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$824,500</w:t>
            </w:r>
          </w:p>
        </w:tc>
      </w:tr>
    </w:tbl>
    <w:p w:rsidR="00D3642C" w:rsidRPr="0034131B" w:rsidRDefault="00D3642C" w:rsidP="00D3642C">
      <w:pPr>
        <w:spacing w:after="240"/>
        <w:jc w:val="center"/>
        <w:rPr>
          <w:b/>
          <w:bCs/>
        </w:rPr>
      </w:pPr>
      <w:r w:rsidRPr="0034131B">
        <w:rPr>
          <w:b/>
          <w:bCs/>
        </w:rPr>
        <w:t xml:space="preserve"> Table </w:t>
      </w:r>
      <w:r>
        <w:rPr>
          <w:b/>
          <w:bCs/>
        </w:rPr>
        <w:t>2</w:t>
      </w:r>
      <w:r w:rsidRPr="0034131B">
        <w:rPr>
          <w:b/>
          <w:bCs/>
        </w:rPr>
        <w:t xml:space="preserve">: </w:t>
      </w:r>
      <w:r>
        <w:rPr>
          <w:b/>
          <w:bCs/>
        </w:rPr>
        <w:t>T</w:t>
      </w:r>
      <w:r w:rsidRPr="0034131B">
        <w:rPr>
          <w:b/>
          <w:bCs/>
        </w:rPr>
        <w:t>urnaround expense projection budget for the Sea View Resort</w:t>
      </w:r>
    </w:p>
    <w:p w:rsidR="00D3642C" w:rsidRDefault="00D3642C" w:rsidP="00D3642C">
      <w:pPr>
        <w:spacing w:after="240"/>
      </w:pPr>
      <w:r>
        <w:t xml:space="preserve">The implementation of the cost reduction prospects for the Sea View Resort in the upcoming year signifies a stratified focus on the basic requirements of the organisation. Along with that, the approach of providing expensive customer service to build an effective reputation, through the importance of training and Technology implementation is also signified effectively (Du and </w:t>
      </w:r>
      <w:r>
        <w:lastRenderedPageBreak/>
        <w:t>Elston, 2022). The updation of the cost of maintenance of the organisation involves the attribute of developing a new supply chain initiative to bring down the cost of expenses.</w:t>
      </w:r>
    </w:p>
    <w:p w:rsidR="00D3642C" w:rsidRDefault="00D3642C" w:rsidP="00D3642C">
      <w:pPr>
        <w:pStyle w:val="Heading1"/>
        <w:spacing w:after="240"/>
      </w:pPr>
      <w:bookmarkStart w:id="9" w:name="_Toc150872501"/>
      <w:r>
        <w:t>Risk Assessment</w:t>
      </w:r>
      <w:bookmarkEnd w:id="9"/>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2202"/>
        <w:gridCol w:w="1931"/>
        <w:gridCol w:w="3161"/>
        <w:gridCol w:w="2066"/>
      </w:tblGrid>
      <w:tr w:rsidR="00D3642C" w:rsidTr="008E239F">
        <w:trPr>
          <w:trHeight w:val="315"/>
        </w:trPr>
        <w:tc>
          <w:tcPr>
            <w:tcW w:w="2201" w:type="dxa"/>
            <w:tcBorders>
              <w:top w:val="single" w:sz="4" w:space="0" w:color="D9D9E3"/>
              <w:left w:val="single" w:sz="4" w:space="0" w:color="D9D9E3"/>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center"/>
              <w:rPr>
                <w:rFonts w:ascii="Arial" w:eastAsia="Arial" w:hAnsi="Arial" w:cs="Arial"/>
                <w:sz w:val="20"/>
                <w:szCs w:val="20"/>
              </w:rPr>
            </w:pPr>
            <w:r>
              <w:rPr>
                <w:rFonts w:ascii="Arial" w:eastAsia="Arial" w:hAnsi="Arial" w:cs="Arial"/>
                <w:sz w:val="20"/>
                <w:szCs w:val="20"/>
              </w:rPr>
              <w:t>Season</w:t>
            </w:r>
          </w:p>
        </w:tc>
        <w:tc>
          <w:tcPr>
            <w:tcW w:w="1931" w:type="dxa"/>
            <w:tcBorders>
              <w:top w:val="single" w:sz="4" w:space="0" w:color="D9D9E3"/>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center"/>
              <w:rPr>
                <w:rFonts w:ascii="Arial" w:eastAsia="Arial" w:hAnsi="Arial" w:cs="Arial"/>
                <w:sz w:val="20"/>
                <w:szCs w:val="20"/>
              </w:rPr>
            </w:pPr>
            <w:r>
              <w:rPr>
                <w:rFonts w:ascii="Arial" w:eastAsia="Arial" w:hAnsi="Arial" w:cs="Arial"/>
                <w:sz w:val="20"/>
                <w:szCs w:val="20"/>
              </w:rPr>
              <w:t>Average Room Rate</w:t>
            </w:r>
          </w:p>
        </w:tc>
        <w:tc>
          <w:tcPr>
            <w:tcW w:w="3160" w:type="dxa"/>
            <w:tcBorders>
              <w:top w:val="single" w:sz="4" w:space="0" w:color="D9D9E3"/>
              <w:left w:val="single" w:sz="4" w:space="0" w:color="CCCCCC"/>
              <w:bottom w:val="single" w:sz="4" w:space="0" w:color="D9D9E3"/>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center"/>
              <w:rPr>
                <w:rFonts w:ascii="Arial" w:eastAsia="Arial" w:hAnsi="Arial" w:cs="Arial"/>
                <w:sz w:val="20"/>
                <w:szCs w:val="20"/>
              </w:rPr>
            </w:pPr>
            <w:r>
              <w:rPr>
                <w:rFonts w:ascii="Arial" w:eastAsia="Arial" w:hAnsi="Arial" w:cs="Arial"/>
                <w:sz w:val="20"/>
                <w:szCs w:val="20"/>
              </w:rPr>
              <w:t>Occupancy Percentage</w:t>
            </w:r>
          </w:p>
        </w:tc>
        <w:tc>
          <w:tcPr>
            <w:tcW w:w="2066" w:type="dxa"/>
            <w:tcBorders>
              <w:top w:val="single" w:sz="4" w:space="0" w:color="CCCCCC"/>
              <w:left w:val="single" w:sz="4" w:space="0" w:color="CCCCCC"/>
              <w:bottom w:val="single" w:sz="4" w:space="0" w:color="000000"/>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center"/>
              <w:rPr>
                <w:rFonts w:ascii="Arial" w:eastAsia="Arial" w:hAnsi="Arial" w:cs="Arial"/>
                <w:sz w:val="20"/>
                <w:szCs w:val="20"/>
              </w:rPr>
            </w:pPr>
            <w:r>
              <w:rPr>
                <w:rFonts w:ascii="Arial" w:eastAsia="Arial" w:hAnsi="Arial" w:cs="Arial"/>
                <w:sz w:val="20"/>
                <w:szCs w:val="20"/>
              </w:rPr>
              <w:t>RevPAR</w:t>
            </w:r>
          </w:p>
        </w:tc>
      </w:tr>
      <w:tr w:rsidR="00D3642C" w:rsidTr="008E239F">
        <w:trPr>
          <w:trHeight w:val="315"/>
        </w:trPr>
        <w:tc>
          <w:tcPr>
            <w:tcW w:w="2201" w:type="dxa"/>
            <w:tcBorders>
              <w:top w:val="single" w:sz="4" w:space="0" w:color="CCCCCC"/>
              <w:left w:val="single" w:sz="4" w:space="0" w:color="D9D9E3"/>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Peak Season</w:t>
            </w:r>
          </w:p>
        </w:tc>
        <w:tc>
          <w:tcPr>
            <w:tcW w:w="193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$250</w:t>
            </w:r>
          </w:p>
        </w:tc>
        <w:tc>
          <w:tcPr>
            <w:tcW w:w="3160"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70%</w:t>
            </w:r>
          </w:p>
        </w:tc>
        <w:tc>
          <w:tcPr>
            <w:tcW w:w="2066"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$160</w:t>
            </w:r>
          </w:p>
        </w:tc>
      </w:tr>
      <w:tr w:rsidR="00D3642C" w:rsidTr="008E239F">
        <w:trPr>
          <w:trHeight w:val="315"/>
        </w:trPr>
        <w:tc>
          <w:tcPr>
            <w:tcW w:w="2201" w:type="dxa"/>
            <w:tcBorders>
              <w:top w:val="single" w:sz="4" w:space="0" w:color="CCCCCC"/>
              <w:left w:val="single" w:sz="4" w:space="0" w:color="D9D9E3"/>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Lean Season</w:t>
            </w:r>
          </w:p>
        </w:tc>
        <w:tc>
          <w:tcPr>
            <w:tcW w:w="193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$230</w:t>
            </w:r>
          </w:p>
        </w:tc>
        <w:tc>
          <w:tcPr>
            <w:tcW w:w="3160"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60%</w:t>
            </w:r>
          </w:p>
        </w:tc>
        <w:tc>
          <w:tcPr>
            <w:tcW w:w="2066"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$130</w:t>
            </w:r>
          </w:p>
        </w:tc>
      </w:tr>
    </w:tbl>
    <w:p w:rsidR="00D3642C" w:rsidRDefault="00D3642C" w:rsidP="00D3642C">
      <w:pPr>
        <w:spacing w:after="240"/>
      </w:pPr>
    </w:p>
    <w:p w:rsidR="00D3642C" w:rsidRDefault="00D3642C" w:rsidP="00D3642C">
      <w:pPr>
        <w:spacing w:after="240"/>
      </w:pPr>
      <w:r>
        <w:t xml:space="preserve">Turnaround Plan </w:t>
      </w:r>
    </w:p>
    <w:tbl>
      <w:tblPr>
        <w:tblW w:w="8100" w:type="dxa"/>
        <w:tblBorders>
          <w:top w:val="nil"/>
          <w:left w:val="nil"/>
          <w:bottom w:val="nil"/>
          <w:right w:val="nil"/>
          <w:insideH w:val="nil"/>
          <w:insideV w:val="nil"/>
        </w:tblBorders>
        <w:tblLayout w:type="fixed"/>
        <w:tblLook w:val="0600" w:firstRow="0" w:lastRow="0" w:firstColumn="0" w:lastColumn="0" w:noHBand="1" w:noVBand="1"/>
      </w:tblPr>
      <w:tblGrid>
        <w:gridCol w:w="2445"/>
        <w:gridCol w:w="2145"/>
        <w:gridCol w:w="3510"/>
      </w:tblGrid>
      <w:tr w:rsidR="00D3642C" w:rsidTr="008E239F">
        <w:trPr>
          <w:trHeight w:val="315"/>
        </w:trPr>
        <w:tc>
          <w:tcPr>
            <w:tcW w:w="2445" w:type="dxa"/>
            <w:tcBorders>
              <w:top w:val="single" w:sz="4" w:space="0" w:color="D9D9E3"/>
              <w:left w:val="single" w:sz="4" w:space="0" w:color="D9D9E3"/>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center"/>
              <w:rPr>
                <w:rFonts w:ascii="Arial" w:eastAsia="Arial" w:hAnsi="Arial" w:cs="Arial"/>
                <w:sz w:val="20"/>
                <w:szCs w:val="20"/>
              </w:rPr>
            </w:pPr>
            <w:r>
              <w:rPr>
                <w:rFonts w:ascii="Arial" w:eastAsia="Arial" w:hAnsi="Arial" w:cs="Arial"/>
                <w:sz w:val="20"/>
                <w:szCs w:val="20"/>
              </w:rPr>
              <w:t>Season</w:t>
            </w:r>
          </w:p>
        </w:tc>
        <w:tc>
          <w:tcPr>
            <w:tcW w:w="2145" w:type="dxa"/>
            <w:tcBorders>
              <w:top w:val="single" w:sz="4" w:space="0" w:color="D9D9E3"/>
              <w:left w:val="single" w:sz="4" w:space="0" w:color="CCCCCC"/>
              <w:bottom w:val="single" w:sz="4" w:space="0" w:color="D9D9E3"/>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center"/>
              <w:rPr>
                <w:rFonts w:ascii="Arial" w:eastAsia="Arial" w:hAnsi="Arial" w:cs="Arial"/>
                <w:sz w:val="20"/>
                <w:szCs w:val="20"/>
              </w:rPr>
            </w:pPr>
            <w:r>
              <w:rPr>
                <w:rFonts w:ascii="Arial" w:eastAsia="Arial" w:hAnsi="Arial" w:cs="Arial"/>
                <w:sz w:val="20"/>
                <w:szCs w:val="20"/>
              </w:rPr>
              <w:t>Targeted ARR</w:t>
            </w:r>
          </w:p>
        </w:tc>
        <w:tc>
          <w:tcPr>
            <w:tcW w:w="3510" w:type="dxa"/>
            <w:tcBorders>
              <w:top w:val="single" w:sz="4" w:space="0" w:color="CCCCCC"/>
              <w:left w:val="single" w:sz="4" w:space="0" w:color="CCCCCC"/>
              <w:bottom w:val="single" w:sz="4" w:space="0" w:color="000000"/>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center"/>
              <w:rPr>
                <w:rFonts w:ascii="Arial" w:eastAsia="Arial" w:hAnsi="Arial" w:cs="Arial"/>
                <w:sz w:val="20"/>
                <w:szCs w:val="20"/>
              </w:rPr>
            </w:pPr>
            <w:r>
              <w:rPr>
                <w:rFonts w:ascii="Arial" w:eastAsia="Arial" w:hAnsi="Arial" w:cs="Arial"/>
                <w:sz w:val="20"/>
                <w:szCs w:val="20"/>
              </w:rPr>
              <w:t>Targeted Occupancy Percentage</w:t>
            </w:r>
          </w:p>
        </w:tc>
      </w:tr>
      <w:tr w:rsidR="00D3642C" w:rsidTr="008E239F">
        <w:trPr>
          <w:trHeight w:val="315"/>
        </w:trPr>
        <w:tc>
          <w:tcPr>
            <w:tcW w:w="2445" w:type="dxa"/>
            <w:tcBorders>
              <w:top w:val="single" w:sz="4" w:space="0" w:color="CCCCCC"/>
              <w:left w:val="single" w:sz="4" w:space="0" w:color="D9D9E3"/>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Peak Season</w:t>
            </w:r>
          </w:p>
        </w:tc>
        <w:tc>
          <w:tcPr>
            <w:tcW w:w="2145"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$230</w:t>
            </w:r>
          </w:p>
        </w:tc>
        <w:tc>
          <w:tcPr>
            <w:tcW w:w="3510"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80%</w:t>
            </w:r>
          </w:p>
        </w:tc>
      </w:tr>
      <w:tr w:rsidR="00D3642C" w:rsidTr="008E239F">
        <w:trPr>
          <w:trHeight w:val="315"/>
        </w:trPr>
        <w:tc>
          <w:tcPr>
            <w:tcW w:w="2445" w:type="dxa"/>
            <w:tcBorders>
              <w:top w:val="single" w:sz="4" w:space="0" w:color="CCCCCC"/>
              <w:left w:val="single" w:sz="4" w:space="0" w:color="D9D9E3"/>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Lean Season</w:t>
            </w:r>
          </w:p>
        </w:tc>
        <w:tc>
          <w:tcPr>
            <w:tcW w:w="2145"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$144</w:t>
            </w:r>
          </w:p>
        </w:tc>
        <w:tc>
          <w:tcPr>
            <w:tcW w:w="3510"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60%</w:t>
            </w:r>
          </w:p>
        </w:tc>
      </w:tr>
    </w:tbl>
    <w:p w:rsidR="00D3642C" w:rsidRDefault="00D3642C" w:rsidP="00D3642C">
      <w:pPr>
        <w:spacing w:after="240"/>
      </w:pPr>
    </w:p>
    <w:p w:rsidR="00D3642C" w:rsidRDefault="00D3642C" w:rsidP="00D3642C">
      <w:pPr>
        <w:spacing w:after="240"/>
      </w:pPr>
      <w:r>
        <w:t>Turnaround Calculations</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2202"/>
        <w:gridCol w:w="1931"/>
        <w:gridCol w:w="3161"/>
        <w:gridCol w:w="2066"/>
      </w:tblGrid>
      <w:tr w:rsidR="00D3642C" w:rsidTr="008E239F">
        <w:trPr>
          <w:trHeight w:val="315"/>
        </w:trPr>
        <w:tc>
          <w:tcPr>
            <w:tcW w:w="2201" w:type="dxa"/>
            <w:tcBorders>
              <w:top w:val="single" w:sz="4" w:space="0" w:color="D9D9E3"/>
              <w:left w:val="single" w:sz="4" w:space="0" w:color="D9D9E3"/>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center"/>
              <w:rPr>
                <w:rFonts w:ascii="Arial" w:eastAsia="Arial" w:hAnsi="Arial" w:cs="Arial"/>
                <w:sz w:val="20"/>
                <w:szCs w:val="20"/>
              </w:rPr>
            </w:pPr>
            <w:r>
              <w:rPr>
                <w:rFonts w:ascii="Arial" w:eastAsia="Arial" w:hAnsi="Arial" w:cs="Arial"/>
                <w:sz w:val="20"/>
                <w:szCs w:val="20"/>
              </w:rPr>
              <w:t>Season</w:t>
            </w:r>
          </w:p>
        </w:tc>
        <w:tc>
          <w:tcPr>
            <w:tcW w:w="1931" w:type="dxa"/>
            <w:tcBorders>
              <w:top w:val="single" w:sz="4" w:space="0" w:color="D9D9E3"/>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center"/>
              <w:rPr>
                <w:rFonts w:ascii="Arial" w:eastAsia="Arial" w:hAnsi="Arial" w:cs="Arial"/>
                <w:sz w:val="20"/>
                <w:szCs w:val="20"/>
              </w:rPr>
            </w:pPr>
            <w:r>
              <w:rPr>
                <w:rFonts w:ascii="Arial" w:eastAsia="Arial" w:hAnsi="Arial" w:cs="Arial"/>
                <w:sz w:val="20"/>
                <w:szCs w:val="20"/>
              </w:rPr>
              <w:t>Average Room Rate</w:t>
            </w:r>
          </w:p>
        </w:tc>
        <w:tc>
          <w:tcPr>
            <w:tcW w:w="3160" w:type="dxa"/>
            <w:tcBorders>
              <w:top w:val="single" w:sz="4" w:space="0" w:color="D9D9E3"/>
              <w:left w:val="single" w:sz="4" w:space="0" w:color="CCCCCC"/>
              <w:bottom w:val="single" w:sz="4" w:space="0" w:color="D9D9E3"/>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center"/>
              <w:rPr>
                <w:rFonts w:ascii="Arial" w:eastAsia="Arial" w:hAnsi="Arial" w:cs="Arial"/>
                <w:sz w:val="20"/>
                <w:szCs w:val="20"/>
              </w:rPr>
            </w:pPr>
            <w:r>
              <w:rPr>
                <w:rFonts w:ascii="Arial" w:eastAsia="Arial" w:hAnsi="Arial" w:cs="Arial"/>
                <w:sz w:val="20"/>
                <w:szCs w:val="20"/>
              </w:rPr>
              <w:t>Occupancy Percentage</w:t>
            </w:r>
          </w:p>
        </w:tc>
        <w:tc>
          <w:tcPr>
            <w:tcW w:w="2066" w:type="dxa"/>
            <w:tcBorders>
              <w:top w:val="single" w:sz="4" w:space="0" w:color="CCCCCC"/>
              <w:left w:val="single" w:sz="4" w:space="0" w:color="CCCCCC"/>
              <w:bottom w:val="single" w:sz="4" w:space="0" w:color="000000"/>
              <w:right w:val="single" w:sz="4" w:space="0" w:color="CCCCCC"/>
            </w:tcBorders>
            <w:tcMar>
              <w:top w:w="40" w:type="dxa"/>
              <w:left w:w="40" w:type="dxa"/>
              <w:bottom w:w="40" w:type="dxa"/>
              <w:right w:w="40" w:type="dxa"/>
            </w:tcMar>
            <w:vAlign w:val="bottom"/>
          </w:tcPr>
          <w:p w:rsidR="00D3642C" w:rsidRDefault="00D3642C" w:rsidP="008E239F">
            <w:pPr>
              <w:widowControl w:val="0"/>
              <w:spacing w:after="240" w:line="276" w:lineRule="auto"/>
              <w:jc w:val="center"/>
              <w:rPr>
                <w:rFonts w:ascii="Arial" w:eastAsia="Arial" w:hAnsi="Arial" w:cs="Arial"/>
                <w:sz w:val="20"/>
                <w:szCs w:val="20"/>
              </w:rPr>
            </w:pPr>
            <w:r>
              <w:rPr>
                <w:rFonts w:ascii="Arial" w:eastAsia="Arial" w:hAnsi="Arial" w:cs="Arial"/>
                <w:sz w:val="20"/>
                <w:szCs w:val="20"/>
              </w:rPr>
              <w:t>RevPAR</w:t>
            </w:r>
          </w:p>
        </w:tc>
      </w:tr>
      <w:tr w:rsidR="00D3642C" w:rsidTr="008E239F">
        <w:trPr>
          <w:trHeight w:val="315"/>
        </w:trPr>
        <w:tc>
          <w:tcPr>
            <w:tcW w:w="2201" w:type="dxa"/>
            <w:tcBorders>
              <w:top w:val="single" w:sz="4" w:space="0" w:color="CCCCCC"/>
              <w:left w:val="single" w:sz="4" w:space="0" w:color="D9D9E3"/>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Peak Season</w:t>
            </w:r>
          </w:p>
        </w:tc>
        <w:tc>
          <w:tcPr>
            <w:tcW w:w="193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$230</w:t>
            </w:r>
          </w:p>
        </w:tc>
        <w:tc>
          <w:tcPr>
            <w:tcW w:w="3160"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80%</w:t>
            </w:r>
          </w:p>
        </w:tc>
        <w:tc>
          <w:tcPr>
            <w:tcW w:w="2066"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$184</w:t>
            </w:r>
          </w:p>
        </w:tc>
      </w:tr>
      <w:tr w:rsidR="00D3642C" w:rsidTr="008E239F">
        <w:trPr>
          <w:trHeight w:val="315"/>
        </w:trPr>
        <w:tc>
          <w:tcPr>
            <w:tcW w:w="2201" w:type="dxa"/>
            <w:tcBorders>
              <w:top w:val="single" w:sz="4" w:space="0" w:color="CCCCCC"/>
              <w:left w:val="single" w:sz="4" w:space="0" w:color="D9D9E3"/>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Lean Season</w:t>
            </w:r>
          </w:p>
        </w:tc>
        <w:tc>
          <w:tcPr>
            <w:tcW w:w="1931"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$144</w:t>
            </w:r>
          </w:p>
        </w:tc>
        <w:tc>
          <w:tcPr>
            <w:tcW w:w="3160"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60%</w:t>
            </w:r>
          </w:p>
        </w:tc>
        <w:tc>
          <w:tcPr>
            <w:tcW w:w="2066" w:type="dxa"/>
            <w:tcBorders>
              <w:top w:val="single" w:sz="4" w:space="0" w:color="CCCCCC"/>
              <w:left w:val="single" w:sz="4" w:space="0" w:color="CCCCCC"/>
              <w:bottom w:val="single" w:sz="4" w:space="0" w:color="D9D9E3"/>
              <w:right w:val="single" w:sz="4" w:space="0" w:color="D9D9E3"/>
            </w:tcBorders>
            <w:tcMar>
              <w:top w:w="40" w:type="dxa"/>
              <w:left w:w="40" w:type="dxa"/>
              <w:bottom w:w="40" w:type="dxa"/>
              <w:right w:w="40" w:type="dxa"/>
            </w:tcMar>
            <w:vAlign w:val="bottom"/>
          </w:tcPr>
          <w:p w:rsidR="00D3642C" w:rsidRDefault="00D3642C" w:rsidP="008E239F">
            <w:pPr>
              <w:widowControl w:val="0"/>
              <w:spacing w:after="240" w:line="276" w:lineRule="auto"/>
              <w:jc w:val="left"/>
              <w:rPr>
                <w:rFonts w:ascii="Arial" w:eastAsia="Arial" w:hAnsi="Arial" w:cs="Arial"/>
                <w:sz w:val="20"/>
                <w:szCs w:val="20"/>
              </w:rPr>
            </w:pPr>
            <w:r>
              <w:rPr>
                <w:rFonts w:ascii="Arial" w:eastAsia="Arial" w:hAnsi="Arial" w:cs="Arial"/>
                <w:sz w:val="20"/>
                <w:szCs w:val="20"/>
              </w:rPr>
              <w:t>$86.40</w:t>
            </w:r>
          </w:p>
        </w:tc>
      </w:tr>
    </w:tbl>
    <w:p w:rsidR="00D3642C" w:rsidRPr="0034131B" w:rsidRDefault="00D3642C" w:rsidP="00D3642C">
      <w:pPr>
        <w:spacing w:after="240"/>
        <w:jc w:val="center"/>
        <w:rPr>
          <w:b/>
          <w:bCs/>
        </w:rPr>
      </w:pPr>
      <w:r w:rsidRPr="0034131B">
        <w:rPr>
          <w:b/>
          <w:bCs/>
        </w:rPr>
        <w:t xml:space="preserve"> Table </w:t>
      </w:r>
      <w:r>
        <w:rPr>
          <w:b/>
          <w:bCs/>
        </w:rPr>
        <w:t>3</w:t>
      </w:r>
      <w:r w:rsidRPr="0034131B">
        <w:rPr>
          <w:b/>
          <w:bCs/>
        </w:rPr>
        <w:t>: Turnaround RevPAR Calculations</w:t>
      </w:r>
    </w:p>
    <w:p w:rsidR="00D3642C" w:rsidRDefault="00D3642C" w:rsidP="00D3642C">
      <w:pPr>
        <w:spacing w:after="240"/>
      </w:pPr>
      <w:r>
        <w:t xml:space="preserve">The values of the above-mentioned spreadsheet help in identifying the RevPAR of the Sea View Resort both in peak and lean seasons. The application of this deliberate value will help in identifying the business prospects of the organisation and help assess the risk of the organisation. The implementation of an effective dynamic pricing plan can be enhanced through this approach (Brunner-Kirchmair and Wiener, 2019). Identifying the cash flow statements through the approach also enhances the chances of profitability for the organisation. </w:t>
      </w:r>
    </w:p>
    <w:p w:rsidR="00D3642C" w:rsidRDefault="00D3642C" w:rsidP="00D3642C">
      <w:pPr>
        <w:pStyle w:val="Heading1"/>
        <w:spacing w:after="240"/>
      </w:pPr>
      <w:bookmarkStart w:id="10" w:name="_Toc150872502"/>
      <w:r>
        <w:lastRenderedPageBreak/>
        <w:t>Recommendation</w:t>
      </w:r>
      <w:bookmarkEnd w:id="10"/>
    </w:p>
    <w:p w:rsidR="00D3642C" w:rsidRDefault="00D3642C" w:rsidP="00D3642C">
      <w:pPr>
        <w:spacing w:after="240"/>
      </w:pPr>
      <w:r>
        <w:t xml:space="preserve">It can be recommended in the first place that the organisation should focus on the development of an effective environment by providing employee training and redeveloped work cultures. The significance of the approach will help the organisation develop a specific standard of service providence. On the other hand, the organisation must focus on identifying the competitive market and the new regimes that are introduced within the hospitality industry (Grable, 2020). The Sea View Resort should also focus on the development of multiple initiatives to attract customers by collaborating with other local organisations and tour operators.  Providence of heavy discounts and other services to the customer and the tour operators can help in maintaining a stable relationship and global reputation for the organisation in attaining better profitability. </w:t>
      </w:r>
    </w:p>
    <w:p w:rsidR="00D3642C" w:rsidRDefault="00D3642C" w:rsidP="00D3642C">
      <w:pPr>
        <w:pStyle w:val="Heading1"/>
        <w:spacing w:after="240"/>
      </w:pPr>
      <w:bookmarkStart w:id="11" w:name="_Toc150872503"/>
      <w:r>
        <w:t>Conclusion</w:t>
      </w:r>
      <w:bookmarkEnd w:id="11"/>
    </w:p>
    <w:p w:rsidR="00D3642C" w:rsidRDefault="00D3642C" w:rsidP="00D3642C">
      <w:pPr>
        <w:spacing w:after="240"/>
      </w:pPr>
      <w:r>
        <w:t>It can be further concluded that the approach of ascertaining a turnaround plan for the Sea View Resort is well-signified by identifying the pain points of running the resort in its present condition. The report also enhances a significant approach in assessing the market condition of the hospitality industry in the post-pandemic era and improvises upon the application of multiple prospects that can help in the improvement of profitability for the organisation.  this significant approach of modernising the equipment of the organisation along with providing an explicit training platform for the employees can help in transforming the structure of service providence with the hospitality approaches of the Sea View Resort.</w:t>
      </w:r>
      <w:bookmarkStart w:id="12" w:name="_f3rh9otx8abh" w:colFirst="0" w:colLast="0"/>
      <w:bookmarkEnd w:id="12"/>
      <w:r>
        <w:br w:type="page"/>
      </w:r>
    </w:p>
    <w:p w:rsidR="00D3642C" w:rsidRPr="0034131B" w:rsidRDefault="00D3642C" w:rsidP="00D3642C">
      <w:pPr>
        <w:pStyle w:val="Heading1"/>
      </w:pPr>
      <w:bookmarkStart w:id="13" w:name="_Toc150872504"/>
      <w:r>
        <w:lastRenderedPageBreak/>
        <w:t>References</w:t>
      </w:r>
      <w:bookmarkEnd w:id="13"/>
    </w:p>
    <w:p w:rsidR="00D3642C" w:rsidRDefault="00D3642C" w:rsidP="00D3642C">
      <w:pPr>
        <w:spacing w:after="240"/>
      </w:pPr>
      <w:r w:rsidRPr="0034131B">
        <w:t>Baliouskas, P. et al. (2022) ‘Implementing turnaround strategies as an entrepreneurial process’, International Entrepreneurship and Management Journal. doi: https://doi.org/10.1007/s11365-022-00810-9.</w:t>
      </w:r>
    </w:p>
    <w:p w:rsidR="00D3642C" w:rsidRDefault="00D3642C" w:rsidP="00D3642C">
      <w:pPr>
        <w:spacing w:after="240"/>
      </w:pPr>
      <w:r>
        <w:t xml:space="preserve">BallyGally Castle (2023) ‘NI hotel unveils £100,000 revamp and new seaview suite’, </w:t>
      </w:r>
      <w:r>
        <w:rPr>
          <w:i/>
        </w:rPr>
        <w:t>BelfastTelegraph.co.uk</w:t>
      </w:r>
      <w:r>
        <w:t>, 4 July. Available at: https://www.belfasttelegraph.co.uk/business/food-drink-hospitality/ni-hotel-unveils-100000-revamp-and-new-seaview-suite/a645685552.html#:~:text=Group%20turnover%20was%20up%20by (Accessed: 14 November 2023).</w:t>
      </w:r>
    </w:p>
    <w:p w:rsidR="00D3642C" w:rsidRDefault="00D3642C" w:rsidP="00D3642C">
      <w:pPr>
        <w:spacing w:after="240"/>
      </w:pPr>
      <w:r>
        <w:t xml:space="preserve">Barnes, P. (2023) ‘The Analysis and Use of Financial Ratios: A Review Article’, </w:t>
      </w:r>
      <w:r>
        <w:rPr>
          <w:i/>
        </w:rPr>
        <w:t>Journal of Business Finance &amp; Accounting</w:t>
      </w:r>
      <w:r>
        <w:t>, 14(4), pp. 449–461. doi: https://doi.org/10.1111/j.1468-5957.1987.tb00106.x.</w:t>
      </w:r>
    </w:p>
    <w:p w:rsidR="00D3642C" w:rsidRDefault="00D3642C" w:rsidP="00D3642C">
      <w:pPr>
        <w:spacing w:after="240"/>
      </w:pPr>
      <w:r>
        <w:t xml:space="preserve">Benzaghta, M. A. </w:t>
      </w:r>
      <w:r>
        <w:rPr>
          <w:i/>
        </w:rPr>
        <w:t>et al.</w:t>
      </w:r>
      <w:r>
        <w:t xml:space="preserve"> (2021) ‘SWOT Analysis applications: an Integrative Literature Review’, </w:t>
      </w:r>
      <w:r>
        <w:rPr>
          <w:i/>
        </w:rPr>
        <w:t>Journal of Global Business Insights</w:t>
      </w:r>
      <w:r>
        <w:t>, 6(1), pp. 54–72.</w:t>
      </w:r>
    </w:p>
    <w:p w:rsidR="00D3642C" w:rsidRDefault="00D3642C" w:rsidP="00D3642C">
      <w:pPr>
        <w:spacing w:after="240"/>
      </w:pPr>
      <w:r>
        <w:t xml:space="preserve">Brunner-Kirchmair, T. M. and Wiener, M. (2019) ‘Knowledge is power – conceptualizing collaborative financial risk assessment’, </w:t>
      </w:r>
      <w:r>
        <w:rPr>
          <w:i/>
        </w:rPr>
        <w:t>The Journal of Risk Finance</w:t>
      </w:r>
      <w:r>
        <w:t>, 20(3), pp. 226–248. doi: https://doi.org/10.1108/jrf-05-2018-0083.</w:t>
      </w:r>
    </w:p>
    <w:p w:rsidR="00D3642C" w:rsidRDefault="00D3642C" w:rsidP="00D3642C">
      <w:pPr>
        <w:spacing w:after="240"/>
      </w:pPr>
      <w:r>
        <w:t xml:space="preserve">Chowdhury, S. D. and Lang, J. R. (2023) ‘Turnaround in small firms: An assessment of efficiency strategies’, </w:t>
      </w:r>
      <w:r>
        <w:rPr>
          <w:i/>
        </w:rPr>
        <w:t>Journal of Business Research</w:t>
      </w:r>
      <w:r>
        <w:t>, 36(2), pp. 169–178. doi: https://doi.org/10.1016/0148-2963(95)00119-0.</w:t>
      </w:r>
    </w:p>
    <w:p w:rsidR="00D3642C" w:rsidRDefault="00D3642C" w:rsidP="00D3642C">
      <w:pPr>
        <w:spacing w:after="240"/>
      </w:pPr>
      <w:r>
        <w:t xml:space="preserve">Citta, A. </w:t>
      </w:r>
      <w:r>
        <w:rPr>
          <w:i/>
        </w:rPr>
        <w:t>et al.</w:t>
      </w:r>
      <w:r>
        <w:t xml:space="preserve"> (2020) </w:t>
      </w:r>
      <w:r>
        <w:rPr>
          <w:i/>
        </w:rPr>
        <w:t>SWOT Analysis of Financial Technology in the Banking Industry of South Sulawesi: Banking Survey in South Sulawesi</w:t>
      </w:r>
      <w:r>
        <w:t>. Available at: https://www.atlantis-press.com/article/125917117.pdf (Accessed: 17 September 2023).</w:t>
      </w:r>
    </w:p>
    <w:p w:rsidR="00D3642C" w:rsidRDefault="00D3642C" w:rsidP="00D3642C">
      <w:pPr>
        <w:spacing w:after="240"/>
      </w:pPr>
      <w:r>
        <w:t xml:space="preserve">Danilova, N. and Kuznetsova, Y. (2020) ‘MARKET ANALYSIS INSTRUMENTS IN THE DEVELOPMENT OF THE STARTUP MARKETING STRATEGY’, </w:t>
      </w:r>
      <w:r>
        <w:rPr>
          <w:i/>
        </w:rPr>
        <w:t>European Journal of Economics and Management</w:t>
      </w:r>
      <w:r>
        <w:t>, 6(2), pp. 150–163. doi: https://doi.org/10.46340/eujem.2020.6.2.18.</w:t>
      </w:r>
    </w:p>
    <w:p w:rsidR="00D3642C" w:rsidRDefault="00D3642C" w:rsidP="00D3642C">
      <w:pPr>
        <w:spacing w:after="240"/>
      </w:pPr>
      <w:r>
        <w:t xml:space="preserve">Das, P. K. (2023) ‘Ratio analysis for decision making, a study’, </w:t>
      </w:r>
      <w:r>
        <w:rPr>
          <w:i/>
        </w:rPr>
        <w:t>Brazilian Journal of Science</w:t>
      </w:r>
      <w:r>
        <w:t>, 2(5), pp. 29–41. doi: https://doi.org/10.14295/bjs.v2i5.297.</w:t>
      </w:r>
    </w:p>
    <w:p w:rsidR="00D3642C" w:rsidRDefault="00D3642C" w:rsidP="00D3642C">
      <w:pPr>
        <w:spacing w:after="240"/>
      </w:pPr>
      <w:r>
        <w:lastRenderedPageBreak/>
        <w:t xml:space="preserve">Du, G. and Elston, F. (2022a) ‘Financial risk assessment to improve the accuracy of financial prediction in the internet financial industry using data analytics models’, </w:t>
      </w:r>
      <w:r>
        <w:rPr>
          <w:i/>
        </w:rPr>
        <w:t>Operations Management Research</w:t>
      </w:r>
      <w:r>
        <w:t>. doi: https://doi.org/10.1007/s12063-022-00293-5.</w:t>
      </w:r>
    </w:p>
    <w:p w:rsidR="00D3642C" w:rsidRDefault="00D3642C" w:rsidP="00D3642C">
      <w:pPr>
        <w:spacing w:after="240"/>
      </w:pPr>
      <w:r>
        <w:t xml:space="preserve">Du, G. and Elston, F. (2022b) ‘Financial risk assessment to improve the accuracy of financial prediction in the internet financial industry using data analytics models’, </w:t>
      </w:r>
      <w:r>
        <w:rPr>
          <w:i/>
        </w:rPr>
        <w:t>Operations Management Research</w:t>
      </w:r>
      <w:r>
        <w:t>. doi: https://doi.org/10.1007/s12063-022-00293-5.</w:t>
      </w:r>
    </w:p>
    <w:p w:rsidR="00D3642C" w:rsidRDefault="00D3642C" w:rsidP="00D3642C">
      <w:pPr>
        <w:spacing w:after="240"/>
      </w:pPr>
      <w:r>
        <w:t xml:space="preserve">Fraser-Sampson, G. (2018) ‘SWOT Analysis for Investors’, </w:t>
      </w:r>
      <w:r>
        <w:rPr>
          <w:i/>
        </w:rPr>
        <w:t>Intelligent Investing</w:t>
      </w:r>
      <w:r>
        <w:t>, pp. 52–66. doi: https://doi.org/10.1057/9781137264091_5.</w:t>
      </w:r>
    </w:p>
    <w:p w:rsidR="00D3642C" w:rsidRDefault="00D3642C" w:rsidP="00D3642C">
      <w:pPr>
        <w:spacing w:after="240"/>
      </w:pPr>
      <w:r>
        <w:t xml:space="preserve">Grable, J. (2020) ‘Financial risk tolerance revisited: the development of a risk assessment instrumentâ’, </w:t>
      </w:r>
      <w:r>
        <w:rPr>
          <w:i/>
        </w:rPr>
        <w:t>Financial Services Review</w:t>
      </w:r>
      <w:r>
        <w:t>, 8(3), pp. 163–181. doi: https://doi.org/10.1016/s1057-0810(99)00041-4.</w:t>
      </w:r>
    </w:p>
    <w:p w:rsidR="00D3642C" w:rsidRDefault="00D3642C" w:rsidP="00D3642C">
      <w:pPr>
        <w:spacing w:after="240"/>
      </w:pPr>
      <w:r>
        <w:t xml:space="preserve">Hofer, C. W. (2020) ‘TURNAROUND STRATEGIES’, </w:t>
      </w:r>
      <w:r>
        <w:rPr>
          <w:i/>
        </w:rPr>
        <w:t>Journal of Business Strategy</w:t>
      </w:r>
      <w:r>
        <w:t>, 1(1), pp. 19–31. doi: https://doi.org/10.1108/eb038886.</w:t>
      </w:r>
    </w:p>
    <w:p w:rsidR="00D3642C" w:rsidRDefault="00D3642C" w:rsidP="00D3642C">
      <w:pPr>
        <w:spacing w:after="240"/>
      </w:pPr>
      <w:r>
        <w:t xml:space="preserve">Hosseinzadeh Shahri, M. and Nematollahi Sarvestani, M. (2020) ‘Business model innovation as a turnaround strategy’, </w:t>
      </w:r>
      <w:r>
        <w:rPr>
          <w:i/>
        </w:rPr>
        <w:t>Journal of Strategy and Management</w:t>
      </w:r>
      <w:r>
        <w:t>, 13(2), pp. 241–253. doi: https://doi.org/10.1108/jsma-08-2019-0154.</w:t>
      </w:r>
    </w:p>
    <w:p w:rsidR="00D3642C" w:rsidRDefault="00D3642C" w:rsidP="00D3642C">
      <w:pPr>
        <w:spacing w:after="240"/>
      </w:pPr>
      <w:r>
        <w:t xml:space="preserve">Li, X. </w:t>
      </w:r>
      <w:r>
        <w:rPr>
          <w:i/>
        </w:rPr>
        <w:t>et al.</w:t>
      </w:r>
      <w:r>
        <w:t xml:space="preserve"> (2022) ‘Prediction and Analysis of Corporate Financial Risk Assessment Using Logistic Regression Algorithm in Multiple Uncertainty Environment’, </w:t>
      </w:r>
      <w:r>
        <w:rPr>
          <w:i/>
        </w:rPr>
        <w:t>Journal of Environmental and Public Health</w:t>
      </w:r>
      <w:r>
        <w:t>, 2022, pp. 1–10. doi: https://doi.org/10.1155/2022/2733923.</w:t>
      </w:r>
    </w:p>
    <w:p w:rsidR="00D3642C" w:rsidRDefault="00D3642C" w:rsidP="00D3642C">
      <w:pPr>
        <w:spacing w:after="240"/>
      </w:pPr>
      <w:r>
        <w:t xml:space="preserve">Mesak, D. (2019) ‘FINANCIAL RATIO ANALYSIS IN PREDICTING FINANCIAL CONDITIONS DISTRESS IN INDONESIA STOCK EXCHANGE’, </w:t>
      </w:r>
      <w:r>
        <w:rPr>
          <w:i/>
        </w:rPr>
        <w:t>Russian Journal of Agricultural and Socio-Economic Sciences</w:t>
      </w:r>
      <w:r>
        <w:t>, 86(2), pp. 155–165. doi: https://doi.org/10.18551/rjoas.2019-02.18.</w:t>
      </w:r>
    </w:p>
    <w:p w:rsidR="00D3642C" w:rsidRDefault="00D3642C" w:rsidP="00D3642C">
      <w:pPr>
        <w:spacing w:after="240"/>
      </w:pPr>
      <w:r>
        <w:t xml:space="preserve">Paley, N. (2019) </w:t>
      </w:r>
      <w:r>
        <w:rPr>
          <w:i/>
        </w:rPr>
        <w:t>Developing a Turnaround Business Plan</w:t>
      </w:r>
      <w:r>
        <w:t xml:space="preserve">, </w:t>
      </w:r>
      <w:r>
        <w:rPr>
          <w:i/>
        </w:rPr>
        <w:t>Productivity Press eBooks</w:t>
      </w:r>
      <w:r>
        <w:t>. doi: https://doi.org/10.1201/b18583.</w:t>
      </w:r>
    </w:p>
    <w:p w:rsidR="00D3642C" w:rsidRDefault="00D3642C" w:rsidP="00D3642C">
      <w:pPr>
        <w:spacing w:after="240"/>
      </w:pPr>
      <w:r>
        <w:t xml:space="preserve">Slater, S. F. and Olson, E. M. (2022) ‘A fresh look at industry and market analysis’, </w:t>
      </w:r>
      <w:r>
        <w:rPr>
          <w:i/>
        </w:rPr>
        <w:t>Business Horizons</w:t>
      </w:r>
      <w:r>
        <w:t>, 45(1), pp. 15–22.</w:t>
      </w:r>
    </w:p>
    <w:p w:rsidR="00D3642C" w:rsidRDefault="00D3642C" w:rsidP="00D3642C">
      <w:pPr>
        <w:spacing w:after="240"/>
      </w:pPr>
      <w:r>
        <w:lastRenderedPageBreak/>
        <w:t xml:space="preserve">UK Gov. (2023) </w:t>
      </w:r>
      <w:r>
        <w:rPr>
          <w:i/>
        </w:rPr>
        <w:t>Financials risk assessment</w:t>
      </w:r>
      <w:r>
        <w:t xml:space="preserve">, </w:t>
      </w:r>
      <w:r>
        <w:rPr>
          <w:i/>
        </w:rPr>
        <w:t>Blm.gov</w:t>
      </w:r>
      <w:r>
        <w:t>. Available at: https://www.blm.gov/sites/blm.gov/files/uploads/DOI-AAAP-68%20FA%20Risk%20Assessment%20Checklist%20rev%203%2023%2017.xlsx (Accessed: 14 November 2023).</w:t>
      </w:r>
    </w:p>
    <w:p w:rsidR="00D3642C" w:rsidRDefault="00D3642C" w:rsidP="00D3642C">
      <w:pPr>
        <w:spacing w:after="240"/>
      </w:pPr>
    </w:p>
    <w:p w:rsidR="00314EDE" w:rsidRDefault="00314EDE">
      <w:bookmarkStart w:id="14" w:name="_GoBack"/>
      <w:bookmarkEnd w:id="14"/>
    </w:p>
    <w:sectPr w:rsidR="00314EDE" w:rsidSect="0006271E">
      <w:footerReference w:type="even" r:id="rId11"/>
      <w:footerReference w:type="default" r:id="rId12"/>
      <w:pgSz w:w="12240" w:h="15840" w:code="1"/>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642C" w:rsidRDefault="00D3642C" w:rsidP="0006271E">
      <w:r>
        <w:separator/>
      </w:r>
    </w:p>
  </w:endnote>
  <w:endnote w:type="continuationSeparator" w:id="0">
    <w:p w:rsidR="00D3642C" w:rsidRDefault="00D3642C" w:rsidP="000627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Rockwell">
    <w:panose1 w:val="02060603020205020403"/>
    <w:charset w:val="00"/>
    <w:family w:val="roman"/>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Gungsuh">
    <w:altName w:val="Malgun Gothic Semilight"/>
    <w:charset w:val="81"/>
    <w:family w:val="roman"/>
    <w:pitch w:val="variable"/>
    <w:sig w:usb0="00000000" w:usb1="69D77CFB" w:usb2="00000030" w:usb3="00000000" w:csb0="0008009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076420444"/>
      <w:docPartObj>
        <w:docPartGallery w:val="Page Numbers (Bottom of Page)"/>
        <w:docPartUnique/>
      </w:docPartObj>
    </w:sdtPr>
    <w:sdtEndPr>
      <w:rPr>
        <w:rStyle w:val="PageNumber"/>
      </w:rPr>
    </w:sdtEndPr>
    <w:sdtContent>
      <w:p w:rsidR="0006271E" w:rsidRDefault="0006271E" w:rsidP="00857B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6271E" w:rsidRDefault="0006271E" w:rsidP="000627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396635694"/>
      <w:docPartObj>
        <w:docPartGallery w:val="Page Numbers (Bottom of Page)"/>
        <w:docPartUnique/>
      </w:docPartObj>
    </w:sdtPr>
    <w:sdtEndPr>
      <w:rPr>
        <w:rStyle w:val="PageNumber"/>
      </w:rPr>
    </w:sdtEndPr>
    <w:sdtContent>
      <w:p w:rsidR="0006271E" w:rsidRDefault="0006271E" w:rsidP="00A45A59">
        <w:pPr>
          <w:pStyle w:val="Footer"/>
        </w:pPr>
        <w:r w:rsidRPr="00D85677">
          <w:rPr>
            <w:rStyle w:val="PageNumber"/>
            <w:rFonts w:ascii="Corbel" w:hAnsi="Corbel"/>
          </w:rPr>
          <w:t xml:space="preserve">PAGE </w:t>
        </w:r>
        <w:r w:rsidRPr="00D85677">
          <w:rPr>
            <w:rStyle w:val="PageNumber"/>
            <w:rFonts w:ascii="Corbel" w:hAnsi="Corbel"/>
          </w:rPr>
          <w:fldChar w:fldCharType="begin"/>
        </w:r>
        <w:r w:rsidRPr="00D85677">
          <w:rPr>
            <w:rStyle w:val="PageNumber"/>
            <w:rFonts w:ascii="Corbel" w:hAnsi="Corbel"/>
          </w:rPr>
          <w:instrText xml:space="preserve"> PAGE </w:instrText>
        </w:r>
        <w:r w:rsidRPr="00D85677">
          <w:rPr>
            <w:rStyle w:val="PageNumber"/>
            <w:rFonts w:ascii="Corbel" w:hAnsi="Corbel"/>
          </w:rPr>
          <w:fldChar w:fldCharType="separate"/>
        </w:r>
        <w:r w:rsidR="00D3642C">
          <w:rPr>
            <w:rStyle w:val="PageNumber"/>
            <w:rFonts w:ascii="Corbel" w:hAnsi="Corbel"/>
            <w:noProof/>
          </w:rPr>
          <w:t>14</w:t>
        </w:r>
        <w:r w:rsidRPr="00D85677">
          <w:rPr>
            <w:rStyle w:val="PageNumber"/>
            <w:rFonts w:ascii="Corbel" w:hAnsi="Corbel"/>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642C" w:rsidRDefault="00D3642C" w:rsidP="0006271E">
      <w:r>
        <w:separator/>
      </w:r>
    </w:p>
  </w:footnote>
  <w:footnote w:type="continuationSeparator" w:id="0">
    <w:p w:rsidR="00D3642C" w:rsidRDefault="00D3642C" w:rsidP="000627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DC091A"/>
    <w:multiLevelType w:val="multilevel"/>
    <w:tmpl w:val="C8DC13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29266F"/>
    <w:multiLevelType w:val="multilevel"/>
    <w:tmpl w:val="388A77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CC63385"/>
    <w:multiLevelType w:val="multilevel"/>
    <w:tmpl w:val="7A3CDE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BCD49B1"/>
    <w:multiLevelType w:val="multilevel"/>
    <w:tmpl w:val="BC8E02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7F36A95"/>
    <w:multiLevelType w:val="multilevel"/>
    <w:tmpl w:val="2EECA3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642C"/>
    <w:rsid w:val="00017B10"/>
    <w:rsid w:val="00056442"/>
    <w:rsid w:val="0006271E"/>
    <w:rsid w:val="000B5D29"/>
    <w:rsid w:val="000D54C3"/>
    <w:rsid w:val="00173543"/>
    <w:rsid w:val="001E06EE"/>
    <w:rsid w:val="00314EDE"/>
    <w:rsid w:val="00370139"/>
    <w:rsid w:val="004C7F2B"/>
    <w:rsid w:val="005120A6"/>
    <w:rsid w:val="005276A8"/>
    <w:rsid w:val="00537DAC"/>
    <w:rsid w:val="005D4907"/>
    <w:rsid w:val="00667CD7"/>
    <w:rsid w:val="006748DB"/>
    <w:rsid w:val="006C60E6"/>
    <w:rsid w:val="00715806"/>
    <w:rsid w:val="0081410C"/>
    <w:rsid w:val="00815D34"/>
    <w:rsid w:val="00834654"/>
    <w:rsid w:val="00856259"/>
    <w:rsid w:val="008A5F4C"/>
    <w:rsid w:val="00952F7D"/>
    <w:rsid w:val="00A32309"/>
    <w:rsid w:val="00A45A59"/>
    <w:rsid w:val="00A45BDD"/>
    <w:rsid w:val="00A6381B"/>
    <w:rsid w:val="00A76F40"/>
    <w:rsid w:val="00A82D92"/>
    <w:rsid w:val="00A83EF7"/>
    <w:rsid w:val="00AA7317"/>
    <w:rsid w:val="00B864BA"/>
    <w:rsid w:val="00BE02BB"/>
    <w:rsid w:val="00D3642C"/>
    <w:rsid w:val="00D62CAD"/>
    <w:rsid w:val="00D64ACC"/>
    <w:rsid w:val="00D85677"/>
    <w:rsid w:val="00E8561E"/>
    <w:rsid w:val="00ED38DD"/>
    <w:rsid w:val="00F00CEE"/>
    <w:rsid w:val="00FC52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85C86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642C"/>
    <w:pPr>
      <w:spacing w:line="360" w:lineRule="auto"/>
      <w:jc w:val="both"/>
    </w:pPr>
    <w:rPr>
      <w:rFonts w:ascii="Times New Roman" w:eastAsia="Times New Roman" w:hAnsi="Times New Roman" w:cs="Times New Roman"/>
      <w:lang w:val="en-GB" w:eastAsia="en-IN"/>
    </w:rPr>
  </w:style>
  <w:style w:type="paragraph" w:styleId="Heading1">
    <w:name w:val="heading 1"/>
    <w:basedOn w:val="Heading3"/>
    <w:next w:val="Normal"/>
    <w:link w:val="Heading1Char"/>
    <w:uiPriority w:val="9"/>
    <w:qFormat/>
    <w:rsid w:val="00537DAC"/>
    <w:pPr>
      <w:outlineLvl w:val="0"/>
    </w:pPr>
  </w:style>
  <w:style w:type="paragraph" w:styleId="Heading2">
    <w:name w:val="heading 2"/>
    <w:basedOn w:val="Heading3"/>
    <w:next w:val="Normal"/>
    <w:link w:val="Heading2Char"/>
    <w:uiPriority w:val="1"/>
    <w:qFormat/>
    <w:rsid w:val="00537DAC"/>
    <w:pPr>
      <w:outlineLvl w:val="1"/>
    </w:pPr>
    <w:rPr>
      <w:color w:val="EED0C6" w:themeColor="accent3"/>
    </w:rPr>
  </w:style>
  <w:style w:type="paragraph" w:styleId="Heading3">
    <w:name w:val="heading 3"/>
    <w:basedOn w:val="Normal"/>
    <w:next w:val="Normal"/>
    <w:link w:val="Heading3Char"/>
    <w:uiPriority w:val="2"/>
    <w:qFormat/>
    <w:rsid w:val="00F00CEE"/>
    <w:pPr>
      <w:keepNext/>
      <w:keepLines/>
      <w:spacing w:before="40"/>
      <w:outlineLvl w:val="2"/>
    </w:pPr>
    <w:rPr>
      <w:rFonts w:asciiTheme="majorHAnsi" w:eastAsiaTheme="majorEastAsia" w:hAnsiTheme="majorHAnsi" w:cstheme="majorBidi"/>
      <w:color w:val="24344E" w:themeColor="accent1"/>
      <w:sz w:val="36"/>
    </w:rPr>
  </w:style>
  <w:style w:type="paragraph" w:styleId="Heading4">
    <w:name w:val="heading 4"/>
    <w:basedOn w:val="Normal"/>
    <w:next w:val="Normal"/>
    <w:link w:val="Heading4Char"/>
    <w:uiPriority w:val="3"/>
    <w:qFormat/>
    <w:rsid w:val="00F00CEE"/>
    <w:pPr>
      <w:keepNext/>
      <w:keepLines/>
      <w:spacing w:before="40"/>
      <w:outlineLvl w:val="3"/>
    </w:pPr>
    <w:rPr>
      <w:rFonts w:eastAsiaTheme="majorEastAsia" w:cstheme="majorBidi"/>
      <w:i/>
      <w:iCs/>
      <w:color w:val="24344E" w:themeColor="accent1"/>
      <w:sz w:val="32"/>
    </w:rPr>
  </w:style>
  <w:style w:type="paragraph" w:styleId="Heading5">
    <w:name w:val="heading 5"/>
    <w:basedOn w:val="Normal"/>
    <w:next w:val="Normal"/>
    <w:link w:val="Heading5Char"/>
    <w:uiPriority w:val="4"/>
    <w:qFormat/>
    <w:rsid w:val="00A45BDD"/>
    <w:pPr>
      <w:keepNext/>
      <w:keepLines/>
      <w:ind w:right="284"/>
      <w:outlineLvl w:val="4"/>
    </w:pPr>
    <w:rPr>
      <w:rFonts w:eastAsiaTheme="majorEastAsia" w:cstheme="majorBidi"/>
      <w:b/>
      <w:i/>
      <w:color w:val="24344E" w:themeColor="accent1"/>
      <w:sz w:val="6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5276A8"/>
    <w:rPr>
      <w:sz w:val="10"/>
    </w:rPr>
  </w:style>
  <w:style w:type="paragraph" w:styleId="BalloonText">
    <w:name w:val="Balloon Text"/>
    <w:basedOn w:val="Normal"/>
    <w:link w:val="BalloonTextChar"/>
    <w:uiPriority w:val="99"/>
    <w:semiHidden/>
    <w:rsid w:val="005276A8"/>
    <w:rPr>
      <w:sz w:val="18"/>
      <w:szCs w:val="18"/>
    </w:rPr>
  </w:style>
  <w:style w:type="character" w:customStyle="1" w:styleId="BalloonTextChar">
    <w:name w:val="Balloon Text Char"/>
    <w:basedOn w:val="DefaultParagraphFont"/>
    <w:link w:val="BalloonText"/>
    <w:uiPriority w:val="99"/>
    <w:semiHidden/>
    <w:rsid w:val="00F00CEE"/>
    <w:rPr>
      <w:rFonts w:ascii="Times New Roman" w:hAnsi="Times New Roman" w:cs="Times New Roman"/>
      <w:sz w:val="18"/>
      <w:szCs w:val="18"/>
    </w:rPr>
  </w:style>
  <w:style w:type="table" w:styleId="TableGrid">
    <w:name w:val="Table Grid"/>
    <w:basedOn w:val="TableNormal"/>
    <w:uiPriority w:val="39"/>
    <w:rsid w:val="005276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537DAC"/>
    <w:rPr>
      <w:rFonts w:asciiTheme="majorHAnsi" w:eastAsiaTheme="majorEastAsia" w:hAnsiTheme="majorHAnsi" w:cstheme="majorBidi"/>
      <w:color w:val="24344E" w:themeColor="accent1"/>
      <w:sz w:val="36"/>
    </w:rPr>
  </w:style>
  <w:style w:type="character" w:customStyle="1" w:styleId="Heading2Char">
    <w:name w:val="Heading 2 Char"/>
    <w:basedOn w:val="DefaultParagraphFont"/>
    <w:link w:val="Heading2"/>
    <w:uiPriority w:val="1"/>
    <w:rsid w:val="00537DAC"/>
    <w:rPr>
      <w:rFonts w:asciiTheme="majorHAnsi" w:eastAsiaTheme="majorEastAsia" w:hAnsiTheme="majorHAnsi" w:cstheme="majorBidi"/>
      <w:color w:val="EED0C6" w:themeColor="accent3"/>
      <w:sz w:val="36"/>
    </w:rPr>
  </w:style>
  <w:style w:type="character" w:customStyle="1" w:styleId="Heading3Char">
    <w:name w:val="Heading 3 Char"/>
    <w:basedOn w:val="DefaultParagraphFont"/>
    <w:link w:val="Heading3"/>
    <w:uiPriority w:val="2"/>
    <w:rsid w:val="00F00CEE"/>
    <w:rPr>
      <w:rFonts w:asciiTheme="majorHAnsi" w:eastAsiaTheme="majorEastAsia" w:hAnsiTheme="majorHAnsi" w:cstheme="majorBidi"/>
      <w:color w:val="24344E" w:themeColor="accent1"/>
      <w:sz w:val="36"/>
    </w:rPr>
  </w:style>
  <w:style w:type="paragraph" w:customStyle="1" w:styleId="Text">
    <w:name w:val="Text"/>
    <w:basedOn w:val="Normal"/>
    <w:uiPriority w:val="5"/>
    <w:qFormat/>
    <w:rsid w:val="00F00CEE"/>
    <w:rPr>
      <w:i/>
      <w:color w:val="000000" w:themeColor="text1"/>
      <w:sz w:val="28"/>
    </w:rPr>
  </w:style>
  <w:style w:type="character" w:customStyle="1" w:styleId="Heading4Char">
    <w:name w:val="Heading 4 Char"/>
    <w:basedOn w:val="DefaultParagraphFont"/>
    <w:link w:val="Heading4"/>
    <w:uiPriority w:val="3"/>
    <w:rsid w:val="00F00CEE"/>
    <w:rPr>
      <w:rFonts w:eastAsiaTheme="majorEastAsia" w:cstheme="majorBidi"/>
      <w:i/>
      <w:iCs/>
      <w:color w:val="24344E" w:themeColor="accent1"/>
      <w:sz w:val="32"/>
    </w:rPr>
  </w:style>
  <w:style w:type="paragraph" w:styleId="Header">
    <w:name w:val="header"/>
    <w:basedOn w:val="Normal"/>
    <w:link w:val="HeaderChar"/>
    <w:uiPriority w:val="99"/>
    <w:semiHidden/>
    <w:rsid w:val="0006271E"/>
    <w:pPr>
      <w:tabs>
        <w:tab w:val="center" w:pos="4680"/>
        <w:tab w:val="right" w:pos="9360"/>
      </w:tabs>
    </w:pPr>
  </w:style>
  <w:style w:type="character" w:customStyle="1" w:styleId="HeaderChar">
    <w:name w:val="Header Char"/>
    <w:basedOn w:val="DefaultParagraphFont"/>
    <w:link w:val="Header"/>
    <w:uiPriority w:val="99"/>
    <w:semiHidden/>
    <w:rsid w:val="00F00CEE"/>
  </w:style>
  <w:style w:type="paragraph" w:styleId="Footer">
    <w:name w:val="footer"/>
    <w:basedOn w:val="Normal"/>
    <w:link w:val="FooterChar"/>
    <w:uiPriority w:val="99"/>
    <w:semiHidden/>
    <w:rsid w:val="0006271E"/>
    <w:pPr>
      <w:tabs>
        <w:tab w:val="center" w:pos="4680"/>
        <w:tab w:val="right" w:pos="9360"/>
      </w:tabs>
      <w:jc w:val="right"/>
    </w:pPr>
    <w:rPr>
      <w:rFonts w:ascii="Rockwell" w:hAnsi="Rockwell"/>
      <w:color w:val="000000" w:themeColor="text1"/>
      <w:sz w:val="20"/>
    </w:rPr>
  </w:style>
  <w:style w:type="character" w:customStyle="1" w:styleId="FooterChar">
    <w:name w:val="Footer Char"/>
    <w:basedOn w:val="DefaultParagraphFont"/>
    <w:link w:val="Footer"/>
    <w:uiPriority w:val="99"/>
    <w:semiHidden/>
    <w:rsid w:val="00F00CEE"/>
    <w:rPr>
      <w:rFonts w:ascii="Rockwell" w:hAnsi="Rockwell"/>
      <w:color w:val="000000" w:themeColor="text1"/>
      <w:sz w:val="20"/>
    </w:rPr>
  </w:style>
  <w:style w:type="character" w:styleId="PageNumber">
    <w:name w:val="page number"/>
    <w:basedOn w:val="DefaultParagraphFont"/>
    <w:uiPriority w:val="99"/>
    <w:semiHidden/>
    <w:rsid w:val="0006271E"/>
  </w:style>
  <w:style w:type="character" w:customStyle="1" w:styleId="Heading5Char">
    <w:name w:val="Heading 5 Char"/>
    <w:basedOn w:val="DefaultParagraphFont"/>
    <w:link w:val="Heading5"/>
    <w:uiPriority w:val="4"/>
    <w:rsid w:val="00A45BDD"/>
    <w:rPr>
      <w:rFonts w:eastAsiaTheme="majorEastAsia" w:cstheme="majorBidi"/>
      <w:b/>
      <w:i/>
      <w:color w:val="24344E" w:themeColor="accent1"/>
      <w:sz w:val="68"/>
    </w:rPr>
  </w:style>
  <w:style w:type="paragraph" w:styleId="Quote">
    <w:name w:val="Quote"/>
    <w:basedOn w:val="Normal"/>
    <w:next w:val="Normal"/>
    <w:link w:val="QuoteChar"/>
    <w:uiPriority w:val="6"/>
    <w:qFormat/>
    <w:rsid w:val="00F00CEE"/>
    <w:pPr>
      <w:spacing w:before="480" w:after="480"/>
      <w:ind w:left="1134" w:right="1134"/>
      <w:jc w:val="center"/>
    </w:pPr>
    <w:rPr>
      <w:rFonts w:asciiTheme="majorHAnsi" w:hAnsiTheme="majorHAnsi"/>
      <w:i/>
      <w:iCs/>
      <w:color w:val="24344E" w:themeColor="accent1"/>
      <w:sz w:val="80"/>
    </w:rPr>
  </w:style>
  <w:style w:type="character" w:customStyle="1" w:styleId="QuoteChar">
    <w:name w:val="Quote Char"/>
    <w:basedOn w:val="DefaultParagraphFont"/>
    <w:link w:val="Quote"/>
    <w:uiPriority w:val="6"/>
    <w:rsid w:val="00F00CEE"/>
    <w:rPr>
      <w:rFonts w:asciiTheme="majorHAnsi" w:hAnsiTheme="majorHAnsi"/>
      <w:i/>
      <w:iCs/>
      <w:color w:val="24344E" w:themeColor="accent1"/>
      <w:sz w:val="80"/>
    </w:rPr>
  </w:style>
  <w:style w:type="character" w:styleId="PlaceholderText">
    <w:name w:val="Placeholder Text"/>
    <w:basedOn w:val="DefaultParagraphFont"/>
    <w:uiPriority w:val="99"/>
    <w:semiHidden/>
    <w:rsid w:val="00F00CEE"/>
    <w:rPr>
      <w:color w:val="808080"/>
    </w:rPr>
  </w:style>
  <w:style w:type="paragraph" w:styleId="Title">
    <w:name w:val="Title"/>
    <w:basedOn w:val="Normal"/>
    <w:next w:val="Normal"/>
    <w:link w:val="TitleChar"/>
    <w:uiPriority w:val="10"/>
    <w:qFormat/>
    <w:rsid w:val="00537DAC"/>
    <w:pPr>
      <w:jc w:val="center"/>
    </w:pPr>
    <w:rPr>
      <w:rFonts w:asciiTheme="majorHAnsi" w:eastAsiaTheme="majorEastAsia" w:hAnsiTheme="majorHAnsi" w:cstheme="majorBidi"/>
      <w:color w:val="24344E" w:themeColor="accent1"/>
      <w:sz w:val="80"/>
    </w:rPr>
  </w:style>
  <w:style w:type="character" w:customStyle="1" w:styleId="TitleChar">
    <w:name w:val="Title Char"/>
    <w:basedOn w:val="DefaultParagraphFont"/>
    <w:link w:val="Title"/>
    <w:uiPriority w:val="10"/>
    <w:rsid w:val="00537DAC"/>
    <w:rPr>
      <w:rFonts w:asciiTheme="majorHAnsi" w:eastAsiaTheme="majorEastAsia" w:hAnsiTheme="majorHAnsi" w:cstheme="majorBidi"/>
      <w:color w:val="24344E" w:themeColor="accent1"/>
      <w:sz w:val="80"/>
    </w:rPr>
  </w:style>
  <w:style w:type="paragraph" w:customStyle="1" w:styleId="IntroductionText">
    <w:name w:val="Introduction Text"/>
    <w:basedOn w:val="Heading4"/>
    <w:uiPriority w:val="7"/>
    <w:qFormat/>
    <w:rsid w:val="00537DAC"/>
  </w:style>
  <w:style w:type="paragraph" w:styleId="Subtitle">
    <w:name w:val="Subtitle"/>
    <w:basedOn w:val="Normal"/>
    <w:next w:val="Normal"/>
    <w:link w:val="SubtitleChar"/>
    <w:uiPriority w:val="11"/>
    <w:qFormat/>
    <w:rsid w:val="00537DAC"/>
    <w:rPr>
      <w:i/>
      <w:sz w:val="42"/>
    </w:rPr>
  </w:style>
  <w:style w:type="character" w:customStyle="1" w:styleId="SubtitleChar">
    <w:name w:val="Subtitle Char"/>
    <w:basedOn w:val="DefaultParagraphFont"/>
    <w:link w:val="Subtitle"/>
    <w:uiPriority w:val="11"/>
    <w:rsid w:val="00537DAC"/>
    <w:rPr>
      <w:i/>
      <w:sz w:val="42"/>
    </w:rPr>
  </w:style>
  <w:style w:type="paragraph" w:styleId="TOC1">
    <w:name w:val="toc 1"/>
    <w:basedOn w:val="Normal"/>
    <w:next w:val="Normal"/>
    <w:autoRedefine/>
    <w:uiPriority w:val="39"/>
    <w:unhideWhenUsed/>
    <w:rsid w:val="00D3642C"/>
    <w:pPr>
      <w:spacing w:after="100"/>
    </w:pPr>
  </w:style>
  <w:style w:type="character" w:styleId="Hyperlink">
    <w:name w:val="Hyperlink"/>
    <w:basedOn w:val="DefaultParagraphFont"/>
    <w:uiPriority w:val="99"/>
    <w:unhideWhenUsed/>
    <w:rsid w:val="00D3642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eakonsix\AppData\Roaming\Microsoft\Templates\Classic%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Rockwell">
    <w:panose1 w:val="02060603020205020403"/>
    <w:charset w:val="00"/>
    <w:family w:val="roman"/>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Gungsuh">
    <w:altName w:val="Malgun Gothic Semilight"/>
    <w:charset w:val="81"/>
    <w:family w:val="roman"/>
    <w:pitch w:val="variable"/>
    <w:sig w:usb0="00000000" w:usb1="69D77CFB" w:usb2="00000030" w:usb3="00000000" w:csb0="0008009F"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next w:val="Normal"/>
    <w:link w:val="Heading4Char"/>
    <w:uiPriority w:val="9"/>
    <w:semiHidden/>
    <w:unhideWhenUsed/>
    <w:qFormat/>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0DF039F3C34065A0A8D70B80601DFB">
    <w:name w:val="E50DF039F3C34065A0A8D70B80601DFB"/>
  </w:style>
  <w:style w:type="paragraph" w:customStyle="1" w:styleId="030472ABA3F44168A35811439274709E">
    <w:name w:val="030472ABA3F44168A35811439274709E"/>
  </w:style>
  <w:style w:type="paragraph" w:customStyle="1" w:styleId="1D314F1EF1D04F28B6731095D91C2AC2">
    <w:name w:val="1D314F1EF1D04F28B6731095D91C2AC2"/>
  </w:style>
  <w:style w:type="paragraph" w:customStyle="1" w:styleId="4EF0C1D7D0124C22A11762CD032170E8">
    <w:name w:val="4EF0C1D7D0124C22A11762CD032170E8"/>
  </w:style>
  <w:style w:type="paragraph" w:customStyle="1" w:styleId="7D4F42E39A1D4E519CD38FACB46B8549">
    <w:name w:val="7D4F42E39A1D4E519CD38FACB46B8549"/>
  </w:style>
  <w:style w:type="paragraph" w:customStyle="1" w:styleId="72CD7E768D454195A092C559B46B8C05">
    <w:name w:val="72CD7E768D454195A092C559B46B8C05"/>
  </w:style>
  <w:style w:type="paragraph" w:customStyle="1" w:styleId="IntroductionText">
    <w:name w:val="Introduction Text"/>
    <w:basedOn w:val="Heading4"/>
    <w:uiPriority w:val="7"/>
    <w:qFormat/>
    <w:pPr>
      <w:spacing w:line="240" w:lineRule="auto"/>
    </w:pPr>
    <w:rPr>
      <w:rFonts w:asciiTheme="minorHAnsi" w:hAnsiTheme="minorHAnsi"/>
      <w:color w:val="5B9BD5" w:themeColor="accent1"/>
      <w:sz w:val="32"/>
      <w:szCs w:val="24"/>
      <w:lang w:val="en-US" w:eastAsia="en-US"/>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rPr>
  </w:style>
  <w:style w:type="paragraph" w:customStyle="1" w:styleId="E0265B45643F467599D40A15FE5304DA">
    <w:name w:val="E0265B45643F467599D40A15FE5304DA"/>
  </w:style>
  <w:style w:type="paragraph" w:customStyle="1" w:styleId="Text">
    <w:name w:val="Text"/>
    <w:basedOn w:val="Normal"/>
    <w:uiPriority w:val="5"/>
    <w:qFormat/>
    <w:pPr>
      <w:spacing w:after="0" w:line="240" w:lineRule="auto"/>
    </w:pPr>
    <w:rPr>
      <w:rFonts w:eastAsiaTheme="minorHAnsi"/>
      <w:i/>
      <w:color w:val="000000" w:themeColor="text1"/>
      <w:sz w:val="28"/>
      <w:szCs w:val="24"/>
      <w:lang w:val="en-US" w:eastAsia="en-US"/>
    </w:rPr>
  </w:style>
  <w:style w:type="paragraph" w:customStyle="1" w:styleId="FB1E26DB6E4C4291A9783E0E28A964A2">
    <w:name w:val="FB1E26DB6E4C4291A9783E0E28A964A2"/>
  </w:style>
  <w:style w:type="paragraph" w:customStyle="1" w:styleId="A953A39C10C2488CB5590FBFC52F1C87">
    <w:name w:val="A953A39C10C2488CB5590FBFC52F1C87"/>
  </w:style>
  <w:style w:type="paragraph" w:customStyle="1" w:styleId="942579ABDEBE40EEB10B5D0C86D093EA">
    <w:name w:val="942579ABDEBE40EEB10B5D0C86D093EA"/>
  </w:style>
  <w:style w:type="paragraph" w:customStyle="1" w:styleId="B4F82830E5C74351B16B90A2AE905FD1">
    <w:name w:val="B4F82830E5C74351B16B90A2AE905FD1"/>
  </w:style>
  <w:style w:type="paragraph" w:customStyle="1" w:styleId="D2C9BB4A559D44D092BF30A3BF1946DB">
    <w:name w:val="D2C9BB4A559D44D092BF30A3BF1946DB"/>
  </w:style>
  <w:style w:type="paragraph" w:customStyle="1" w:styleId="9F0DA81447DA456A818BD70A4C03606C">
    <w:name w:val="9F0DA81447DA456A818BD70A4C03606C"/>
  </w:style>
  <w:style w:type="paragraph" w:customStyle="1" w:styleId="16B029BE7CCD47699A57D112A77E0D33">
    <w:name w:val="16B029BE7CCD47699A57D112A77E0D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CSR">
  <a:themeElements>
    <a:clrScheme name="CSR">
      <a:dk1>
        <a:srgbClr val="000000"/>
      </a:dk1>
      <a:lt1>
        <a:srgbClr val="FFFFFF"/>
      </a:lt1>
      <a:dk2>
        <a:srgbClr val="5E5E5E"/>
      </a:dk2>
      <a:lt2>
        <a:srgbClr val="D6D5D5"/>
      </a:lt2>
      <a:accent1>
        <a:srgbClr val="24344E"/>
      </a:accent1>
      <a:accent2>
        <a:srgbClr val="DEECEC"/>
      </a:accent2>
      <a:accent3>
        <a:srgbClr val="EED0C6"/>
      </a:accent3>
      <a:accent4>
        <a:srgbClr val="EE6B69"/>
      </a:accent4>
      <a:accent5>
        <a:srgbClr val="E2A1A1"/>
      </a:accent5>
      <a:accent6>
        <a:srgbClr val="EFC5C5"/>
      </a:accent6>
      <a:hlink>
        <a:srgbClr val="0000FF"/>
      </a:hlink>
      <a:folHlink>
        <a:srgbClr val="FF00FF"/>
      </a:folHlink>
    </a:clrScheme>
    <a:fontScheme name="Rockwell - Georgia">
      <a:majorFont>
        <a:latin typeface="Rockwell"/>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DE96D119-E5AC-D14F-93E7-58C331D3EE59}" vid="{D914C8BE-7F8A-A14E-904C-51198F26D08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6E14A6-9BF9-4BA9-A90A-5D24EDD49C71}">
  <ds:schemaRefs>
    <ds:schemaRef ds:uri="http://schemas.microsoft.com/sharepoint/v3/contenttype/forms"/>
  </ds:schemaRefs>
</ds:datastoreItem>
</file>

<file path=customXml/itemProps2.xml><?xml version="1.0" encoding="utf-8"?>
<ds:datastoreItem xmlns:ds="http://schemas.openxmlformats.org/officeDocument/2006/customXml" ds:itemID="{473E1B92-02B3-4FC3-8DE4-FAE462CE316F}">
  <ds:schemaRefs>
    <ds:schemaRef ds:uri="http://purl.org/dc/elements/1.1/"/>
    <ds:schemaRef ds:uri="http://schemas.microsoft.com/office/2006/metadata/properties"/>
    <ds:schemaRef ds:uri="http://schemas.microsoft.com/office/infopath/2007/PartnerControls"/>
    <ds:schemaRef ds:uri="http://purl.org/dc/terms/"/>
    <ds:schemaRef ds:uri="16c05727-aa75-4e4a-9b5f-8a80a1165891"/>
    <ds:schemaRef ds:uri="http://schemas.openxmlformats.org/package/2006/metadata/core-properties"/>
    <ds:schemaRef ds:uri="http://schemas.microsoft.com/office/2006/documentManagement/types"/>
    <ds:schemaRef ds:uri="71af3243-3dd4-4a8d-8c0d-dd76da1f02a5"/>
    <ds:schemaRef ds:uri="http://www.w3.org/XML/1998/namespace"/>
    <ds:schemaRef ds:uri="http://purl.org/dc/dcmitype/"/>
  </ds:schemaRefs>
</ds:datastoreItem>
</file>

<file path=customXml/itemProps3.xml><?xml version="1.0" encoding="utf-8"?>
<ds:datastoreItem xmlns:ds="http://schemas.openxmlformats.org/officeDocument/2006/customXml" ds:itemID="{CAC1FA21-0704-45B8-A2C2-B71E5CB0EF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Classic student report</Template>
  <TotalTime>0</TotalTime>
  <Pages>14</Pages>
  <Words>2897</Words>
  <Characters>16516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2023-11-15T12:15:00Z</dcterms:created>
  <dcterms:modified xsi:type="dcterms:W3CDTF">2023-11-15T12:19:00Z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