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8889D" w14:textId="77777777" w:rsidR="00E02E5F" w:rsidRPr="000B1F89" w:rsidRDefault="00E02E5F" w:rsidP="00E02E5F">
      <w:pPr>
        <w:spacing w:line="360" w:lineRule="auto"/>
        <w:jc w:val="center"/>
        <w:rPr>
          <w:b/>
          <w:bCs/>
          <w:sz w:val="32"/>
          <w:szCs w:val="32"/>
        </w:rPr>
      </w:pPr>
    </w:p>
    <w:p w14:paraId="2D468DA3" w14:textId="77777777" w:rsidR="00E02E5F" w:rsidRPr="000B1F89" w:rsidRDefault="00E02E5F" w:rsidP="00E02E5F">
      <w:pPr>
        <w:spacing w:line="360" w:lineRule="auto"/>
        <w:jc w:val="center"/>
        <w:rPr>
          <w:b/>
          <w:bCs/>
          <w:sz w:val="32"/>
          <w:szCs w:val="32"/>
        </w:rPr>
      </w:pPr>
    </w:p>
    <w:p w14:paraId="50AAE3EB" w14:textId="77777777" w:rsidR="00E02E5F" w:rsidRPr="000B1F89" w:rsidRDefault="00E02E5F" w:rsidP="00E02E5F">
      <w:pPr>
        <w:spacing w:line="360" w:lineRule="auto"/>
        <w:jc w:val="center"/>
        <w:rPr>
          <w:b/>
          <w:bCs/>
          <w:sz w:val="32"/>
          <w:szCs w:val="32"/>
        </w:rPr>
      </w:pPr>
    </w:p>
    <w:p w14:paraId="3478DA6F" w14:textId="77777777" w:rsidR="00E02E5F" w:rsidRPr="000B1F89" w:rsidRDefault="00E02E5F" w:rsidP="00E02E5F">
      <w:pPr>
        <w:spacing w:line="360" w:lineRule="auto"/>
        <w:rPr>
          <w:b/>
          <w:bCs/>
          <w:sz w:val="32"/>
          <w:szCs w:val="32"/>
        </w:rPr>
      </w:pPr>
    </w:p>
    <w:p w14:paraId="6684F8BF" w14:textId="77777777" w:rsidR="00E02E5F" w:rsidRPr="000B1F89" w:rsidRDefault="00E02E5F" w:rsidP="00E02E5F">
      <w:pPr>
        <w:spacing w:line="360" w:lineRule="auto"/>
        <w:jc w:val="center"/>
        <w:rPr>
          <w:b/>
          <w:bCs/>
          <w:sz w:val="32"/>
          <w:szCs w:val="32"/>
        </w:rPr>
      </w:pPr>
    </w:p>
    <w:p w14:paraId="09567EF2" w14:textId="44F7D40D" w:rsidR="00E02E5F" w:rsidRDefault="00E02E5F" w:rsidP="00E02E5F">
      <w:pPr>
        <w:spacing w:line="360" w:lineRule="auto"/>
        <w:jc w:val="center"/>
        <w:rPr>
          <w:b/>
          <w:bCs/>
          <w:sz w:val="32"/>
          <w:szCs w:val="32"/>
        </w:rPr>
      </w:pPr>
      <w:r w:rsidRPr="000B1F89">
        <w:rPr>
          <w:b/>
          <w:bCs/>
          <w:sz w:val="32"/>
          <w:szCs w:val="32"/>
        </w:rPr>
        <w:t>MODULE: MARKETING MANAGEMENT</w:t>
      </w:r>
    </w:p>
    <w:p w14:paraId="40AD7F12" w14:textId="77777777" w:rsidR="00573E07" w:rsidRPr="000B1F89" w:rsidRDefault="00573E07" w:rsidP="00E02E5F">
      <w:pPr>
        <w:spacing w:line="360" w:lineRule="auto"/>
        <w:jc w:val="center"/>
        <w:rPr>
          <w:b/>
          <w:bCs/>
          <w:sz w:val="32"/>
          <w:szCs w:val="32"/>
        </w:rPr>
      </w:pPr>
    </w:p>
    <w:p w14:paraId="50E9C6BF" w14:textId="69B64F12" w:rsidR="00E02E5F" w:rsidRDefault="00E02E5F" w:rsidP="00E02E5F">
      <w:pPr>
        <w:spacing w:line="360" w:lineRule="auto"/>
        <w:jc w:val="center"/>
        <w:rPr>
          <w:b/>
          <w:bCs/>
          <w:sz w:val="32"/>
          <w:szCs w:val="32"/>
        </w:rPr>
      </w:pPr>
      <w:r w:rsidRPr="000B1F89">
        <w:rPr>
          <w:b/>
          <w:bCs/>
          <w:sz w:val="32"/>
          <w:szCs w:val="32"/>
        </w:rPr>
        <w:t>MODULE CODE: LCMB7024</w:t>
      </w:r>
    </w:p>
    <w:p w14:paraId="5C5746FF" w14:textId="77777777" w:rsidR="00573E07" w:rsidRPr="000B1F89" w:rsidRDefault="00573E07" w:rsidP="00E02E5F">
      <w:pPr>
        <w:spacing w:line="360" w:lineRule="auto"/>
        <w:jc w:val="center"/>
        <w:rPr>
          <w:b/>
          <w:bCs/>
          <w:sz w:val="32"/>
          <w:szCs w:val="32"/>
        </w:rPr>
      </w:pPr>
    </w:p>
    <w:p w14:paraId="1A9A32F5" w14:textId="77777777" w:rsidR="005516E9" w:rsidRDefault="00696E3D" w:rsidP="00E02E5F">
      <w:pPr>
        <w:spacing w:line="360" w:lineRule="auto"/>
        <w:jc w:val="center"/>
        <w:rPr>
          <w:b/>
          <w:bCs/>
          <w:sz w:val="32"/>
          <w:szCs w:val="32"/>
        </w:rPr>
      </w:pPr>
      <w:r w:rsidRPr="000B1F89">
        <w:rPr>
          <w:b/>
          <w:bCs/>
          <w:sz w:val="32"/>
          <w:szCs w:val="32"/>
        </w:rPr>
        <w:t>LECTURER’S NAME:</w:t>
      </w:r>
      <w:r w:rsidR="005516E9" w:rsidRPr="000B1F89">
        <w:rPr>
          <w:b/>
          <w:bCs/>
          <w:sz w:val="32"/>
          <w:szCs w:val="32"/>
        </w:rPr>
        <w:t xml:space="preserve"> Laila </w:t>
      </w:r>
      <w:proofErr w:type="spellStart"/>
      <w:r w:rsidR="005516E9" w:rsidRPr="000B1F89">
        <w:rPr>
          <w:b/>
          <w:bCs/>
          <w:sz w:val="32"/>
          <w:szCs w:val="32"/>
        </w:rPr>
        <w:t>Maazouz</w:t>
      </w:r>
      <w:proofErr w:type="spellEnd"/>
      <w:r w:rsidR="005516E9" w:rsidRPr="000B1F89">
        <w:rPr>
          <w:b/>
          <w:bCs/>
          <w:sz w:val="32"/>
          <w:szCs w:val="32"/>
        </w:rPr>
        <w:t xml:space="preserve"> </w:t>
      </w:r>
    </w:p>
    <w:p w14:paraId="3F02A929" w14:textId="77777777" w:rsidR="00573E07" w:rsidRPr="000B1F89" w:rsidRDefault="00573E07" w:rsidP="00E02E5F">
      <w:pPr>
        <w:spacing w:line="360" w:lineRule="auto"/>
        <w:jc w:val="center"/>
        <w:rPr>
          <w:b/>
          <w:bCs/>
          <w:sz w:val="32"/>
          <w:szCs w:val="32"/>
        </w:rPr>
      </w:pPr>
    </w:p>
    <w:p w14:paraId="02AD2BA4" w14:textId="3FBA049F" w:rsidR="00696E3D" w:rsidRPr="000B1F89" w:rsidRDefault="00696E3D" w:rsidP="00E02E5F">
      <w:pPr>
        <w:spacing w:line="360" w:lineRule="auto"/>
        <w:jc w:val="center"/>
        <w:rPr>
          <w:b/>
          <w:bCs/>
          <w:sz w:val="32"/>
          <w:szCs w:val="32"/>
        </w:rPr>
      </w:pPr>
      <w:r w:rsidRPr="000B1F89">
        <w:rPr>
          <w:b/>
          <w:bCs/>
          <w:sz w:val="32"/>
          <w:szCs w:val="32"/>
        </w:rPr>
        <w:t>STUDENT NAME:</w:t>
      </w:r>
      <w:r w:rsidR="00573E07">
        <w:rPr>
          <w:b/>
          <w:bCs/>
          <w:sz w:val="32"/>
          <w:szCs w:val="32"/>
        </w:rPr>
        <w:t xml:space="preserve"> Kavya </w:t>
      </w:r>
      <w:proofErr w:type="spellStart"/>
      <w:r w:rsidR="00573E07">
        <w:rPr>
          <w:b/>
          <w:bCs/>
          <w:sz w:val="32"/>
          <w:szCs w:val="32"/>
        </w:rPr>
        <w:t>Nareshbhai</w:t>
      </w:r>
      <w:proofErr w:type="spellEnd"/>
      <w:r w:rsidR="00573E07">
        <w:rPr>
          <w:b/>
          <w:bCs/>
          <w:sz w:val="32"/>
          <w:szCs w:val="32"/>
        </w:rPr>
        <w:t xml:space="preserve"> Kankotiya</w:t>
      </w:r>
    </w:p>
    <w:p w14:paraId="347730D4" w14:textId="5A33752A" w:rsidR="00696E3D" w:rsidRDefault="00696E3D" w:rsidP="00E02E5F">
      <w:pPr>
        <w:spacing w:line="360" w:lineRule="auto"/>
        <w:jc w:val="center"/>
        <w:rPr>
          <w:b/>
          <w:bCs/>
          <w:sz w:val="32"/>
          <w:szCs w:val="32"/>
        </w:rPr>
      </w:pPr>
      <w:r w:rsidRPr="000B1F89">
        <w:rPr>
          <w:b/>
          <w:bCs/>
          <w:sz w:val="32"/>
          <w:szCs w:val="32"/>
        </w:rPr>
        <w:t xml:space="preserve">STUDENT ID: </w:t>
      </w:r>
      <w:r w:rsidR="00573E07">
        <w:rPr>
          <w:b/>
          <w:bCs/>
          <w:sz w:val="32"/>
          <w:szCs w:val="32"/>
        </w:rPr>
        <w:t>2537035</w:t>
      </w:r>
    </w:p>
    <w:p w14:paraId="4668D9F5" w14:textId="77777777" w:rsidR="00573E07" w:rsidRPr="000B1F89" w:rsidRDefault="00573E07" w:rsidP="00E02E5F">
      <w:pPr>
        <w:spacing w:line="360" w:lineRule="auto"/>
        <w:jc w:val="center"/>
        <w:rPr>
          <w:b/>
          <w:bCs/>
          <w:sz w:val="32"/>
          <w:szCs w:val="32"/>
        </w:rPr>
      </w:pPr>
    </w:p>
    <w:p w14:paraId="69239F32" w14:textId="2D091907" w:rsidR="00696E3D" w:rsidRPr="000B1F89" w:rsidRDefault="00696E3D" w:rsidP="00E02E5F">
      <w:pPr>
        <w:spacing w:line="360" w:lineRule="auto"/>
        <w:jc w:val="center"/>
        <w:rPr>
          <w:b/>
          <w:bCs/>
          <w:sz w:val="32"/>
          <w:szCs w:val="32"/>
        </w:rPr>
      </w:pPr>
      <w:r w:rsidRPr="000B1F89">
        <w:rPr>
          <w:b/>
          <w:bCs/>
          <w:sz w:val="32"/>
          <w:szCs w:val="32"/>
        </w:rPr>
        <w:t>WORD COUNT:</w:t>
      </w:r>
      <w:r w:rsidR="003E5EE2" w:rsidRPr="000B1F89">
        <w:rPr>
          <w:b/>
          <w:bCs/>
          <w:sz w:val="32"/>
          <w:szCs w:val="32"/>
        </w:rPr>
        <w:t xml:space="preserve"> 25</w:t>
      </w:r>
      <w:r w:rsidR="008771FB" w:rsidRPr="000B1F89">
        <w:rPr>
          <w:b/>
          <w:bCs/>
          <w:sz w:val="32"/>
          <w:szCs w:val="32"/>
        </w:rPr>
        <w:t>5</w:t>
      </w:r>
      <w:r w:rsidR="001741DF" w:rsidRPr="000B1F89">
        <w:rPr>
          <w:b/>
          <w:bCs/>
          <w:sz w:val="32"/>
          <w:szCs w:val="32"/>
        </w:rPr>
        <w:t>9</w:t>
      </w:r>
    </w:p>
    <w:p w14:paraId="78FF61CE" w14:textId="3A92C579" w:rsidR="00E02E5F" w:rsidRPr="000B1F89" w:rsidRDefault="00E02E5F" w:rsidP="00E02E5F">
      <w:pPr>
        <w:spacing w:line="360" w:lineRule="auto"/>
        <w:jc w:val="center"/>
        <w:rPr>
          <w:b/>
          <w:bCs/>
          <w:sz w:val="24"/>
          <w:szCs w:val="24"/>
        </w:rPr>
      </w:pPr>
      <w:r w:rsidRPr="000B1F89">
        <w:rPr>
          <w:b/>
          <w:bCs/>
          <w:sz w:val="24"/>
          <w:szCs w:val="24"/>
        </w:rPr>
        <w:br w:type="page"/>
      </w:r>
    </w:p>
    <w:sdt>
      <w:sdtPr>
        <w:rPr>
          <w:rFonts w:ascii="Arial" w:eastAsia="Arial" w:hAnsi="Arial" w:cs="Arial"/>
          <w:color w:val="auto"/>
          <w:sz w:val="22"/>
          <w:szCs w:val="22"/>
          <w:lang w:val="en" w:eastAsia="en-IN"/>
        </w:rPr>
        <w:id w:val="-1348247057"/>
        <w:docPartObj>
          <w:docPartGallery w:val="Table of Contents"/>
          <w:docPartUnique/>
        </w:docPartObj>
      </w:sdtPr>
      <w:sdtEndPr>
        <w:rPr>
          <w:b/>
          <w:bCs/>
          <w:noProof/>
        </w:rPr>
      </w:sdtEndPr>
      <w:sdtContent>
        <w:p w14:paraId="7A830B5B" w14:textId="24F7F72C" w:rsidR="002F05CE" w:rsidRPr="000B1F89" w:rsidRDefault="002F05CE" w:rsidP="002F05CE">
          <w:pPr>
            <w:pStyle w:val="TOCHeading"/>
            <w:spacing w:line="360" w:lineRule="auto"/>
            <w:jc w:val="center"/>
            <w:rPr>
              <w:rFonts w:ascii="Arial" w:hAnsi="Arial" w:cs="Arial"/>
              <w:color w:val="auto"/>
              <w:sz w:val="24"/>
              <w:szCs w:val="24"/>
            </w:rPr>
          </w:pPr>
          <w:r w:rsidRPr="000B1F89">
            <w:rPr>
              <w:rFonts w:ascii="Arial" w:hAnsi="Arial" w:cs="Arial"/>
              <w:b/>
              <w:bCs/>
              <w:color w:val="auto"/>
              <w:sz w:val="24"/>
              <w:szCs w:val="24"/>
            </w:rPr>
            <w:t>Table of Contents</w:t>
          </w:r>
        </w:p>
        <w:p w14:paraId="14323F8E" w14:textId="722489D3" w:rsidR="002F05CE" w:rsidRPr="000B1F89" w:rsidRDefault="002F05CE" w:rsidP="002F05CE">
          <w:pPr>
            <w:pStyle w:val="TOC1"/>
            <w:tabs>
              <w:tab w:val="right" w:leader="dot" w:pos="9350"/>
            </w:tabs>
            <w:spacing w:line="360" w:lineRule="auto"/>
            <w:jc w:val="both"/>
            <w:rPr>
              <w:noProof/>
              <w:sz w:val="24"/>
              <w:szCs w:val="24"/>
            </w:rPr>
          </w:pPr>
          <w:r w:rsidRPr="000B1F89">
            <w:rPr>
              <w:sz w:val="24"/>
              <w:szCs w:val="24"/>
            </w:rPr>
            <w:fldChar w:fldCharType="begin"/>
          </w:r>
          <w:r w:rsidRPr="000B1F89">
            <w:rPr>
              <w:sz w:val="24"/>
              <w:szCs w:val="24"/>
            </w:rPr>
            <w:instrText xml:space="preserve"> TOC \o "1-3" \h \z \u </w:instrText>
          </w:r>
          <w:r w:rsidRPr="000B1F89">
            <w:rPr>
              <w:sz w:val="24"/>
              <w:szCs w:val="24"/>
            </w:rPr>
            <w:fldChar w:fldCharType="separate"/>
          </w:r>
          <w:hyperlink w:anchor="_Toc233044869" w:history="1">
            <w:r w:rsidRPr="000B1F89">
              <w:rPr>
                <w:rStyle w:val="Hyperlink"/>
                <w:noProof/>
                <w:color w:val="auto"/>
                <w:sz w:val="24"/>
                <w:szCs w:val="24"/>
              </w:rPr>
              <w:t>Task 1: Marketing Environment Analysis</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_Toc233044869 \h </w:instrText>
            </w:r>
            <w:r w:rsidRPr="000B1F89">
              <w:rPr>
                <w:noProof/>
                <w:webHidden/>
                <w:sz w:val="24"/>
                <w:szCs w:val="24"/>
              </w:rPr>
            </w:r>
            <w:r w:rsidRPr="000B1F89">
              <w:rPr>
                <w:noProof/>
                <w:webHidden/>
                <w:sz w:val="24"/>
                <w:szCs w:val="24"/>
              </w:rPr>
              <w:fldChar w:fldCharType="separate"/>
            </w:r>
            <w:r w:rsidR="00193EE4">
              <w:rPr>
                <w:noProof/>
                <w:webHidden/>
                <w:sz w:val="24"/>
                <w:szCs w:val="24"/>
              </w:rPr>
              <w:t>3</w:t>
            </w:r>
            <w:r w:rsidRPr="000B1F89">
              <w:rPr>
                <w:noProof/>
                <w:webHidden/>
                <w:sz w:val="24"/>
                <w:szCs w:val="24"/>
              </w:rPr>
              <w:fldChar w:fldCharType="end"/>
            </w:r>
          </w:hyperlink>
        </w:p>
        <w:p w14:paraId="66BCD418" w14:textId="6367F9E4" w:rsidR="002F05CE" w:rsidRPr="000B1F89" w:rsidRDefault="002F05CE" w:rsidP="002F05CE">
          <w:pPr>
            <w:pStyle w:val="TOC2"/>
            <w:tabs>
              <w:tab w:val="right" w:leader="dot" w:pos="9350"/>
            </w:tabs>
            <w:spacing w:line="360" w:lineRule="auto"/>
            <w:jc w:val="both"/>
            <w:rPr>
              <w:noProof/>
              <w:sz w:val="24"/>
              <w:szCs w:val="24"/>
            </w:rPr>
          </w:pPr>
          <w:hyperlink w:anchor="_Toc233044870" w:history="1">
            <w:r w:rsidRPr="000B1F89">
              <w:rPr>
                <w:rStyle w:val="Hyperlink"/>
                <w:noProof/>
                <w:color w:val="auto"/>
                <w:sz w:val="24"/>
                <w:szCs w:val="24"/>
              </w:rPr>
              <w:t>1.1 Analysis of two external marketing environment actors</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_Toc233044870 \h </w:instrText>
            </w:r>
            <w:r w:rsidRPr="000B1F89">
              <w:rPr>
                <w:noProof/>
                <w:webHidden/>
                <w:sz w:val="24"/>
                <w:szCs w:val="24"/>
              </w:rPr>
            </w:r>
            <w:r w:rsidRPr="000B1F89">
              <w:rPr>
                <w:noProof/>
                <w:webHidden/>
                <w:sz w:val="24"/>
                <w:szCs w:val="24"/>
              </w:rPr>
              <w:fldChar w:fldCharType="separate"/>
            </w:r>
            <w:r w:rsidR="00193EE4">
              <w:rPr>
                <w:noProof/>
                <w:webHidden/>
                <w:sz w:val="24"/>
                <w:szCs w:val="24"/>
              </w:rPr>
              <w:t>3</w:t>
            </w:r>
            <w:r w:rsidRPr="000B1F89">
              <w:rPr>
                <w:noProof/>
                <w:webHidden/>
                <w:sz w:val="24"/>
                <w:szCs w:val="24"/>
              </w:rPr>
              <w:fldChar w:fldCharType="end"/>
            </w:r>
          </w:hyperlink>
        </w:p>
        <w:p w14:paraId="75218EAF" w14:textId="30A39532" w:rsidR="002F05CE" w:rsidRPr="000B1F89" w:rsidRDefault="002F05CE" w:rsidP="002F05CE">
          <w:pPr>
            <w:pStyle w:val="TOC1"/>
            <w:tabs>
              <w:tab w:val="right" w:leader="dot" w:pos="9350"/>
            </w:tabs>
            <w:spacing w:line="360" w:lineRule="auto"/>
            <w:jc w:val="both"/>
            <w:rPr>
              <w:noProof/>
              <w:sz w:val="24"/>
              <w:szCs w:val="24"/>
            </w:rPr>
          </w:pPr>
          <w:hyperlink w:anchor="_Toc233044871" w:history="1">
            <w:r w:rsidRPr="000B1F89">
              <w:rPr>
                <w:rStyle w:val="Hyperlink"/>
                <w:noProof/>
                <w:color w:val="auto"/>
                <w:sz w:val="24"/>
                <w:szCs w:val="24"/>
              </w:rPr>
              <w:t>Task 2: Strategic Growth and Competitive Positioning</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_Toc233044871 \h </w:instrText>
            </w:r>
            <w:r w:rsidRPr="000B1F89">
              <w:rPr>
                <w:noProof/>
                <w:webHidden/>
                <w:sz w:val="24"/>
                <w:szCs w:val="24"/>
              </w:rPr>
            </w:r>
            <w:r w:rsidRPr="000B1F89">
              <w:rPr>
                <w:noProof/>
                <w:webHidden/>
                <w:sz w:val="24"/>
                <w:szCs w:val="24"/>
              </w:rPr>
              <w:fldChar w:fldCharType="separate"/>
            </w:r>
            <w:r w:rsidR="00193EE4">
              <w:rPr>
                <w:noProof/>
                <w:webHidden/>
                <w:sz w:val="24"/>
                <w:szCs w:val="24"/>
              </w:rPr>
              <w:t>9</w:t>
            </w:r>
            <w:r w:rsidRPr="000B1F89">
              <w:rPr>
                <w:noProof/>
                <w:webHidden/>
                <w:sz w:val="24"/>
                <w:szCs w:val="24"/>
              </w:rPr>
              <w:fldChar w:fldCharType="end"/>
            </w:r>
          </w:hyperlink>
        </w:p>
        <w:p w14:paraId="236BB3FB" w14:textId="3542B4D3" w:rsidR="002F05CE" w:rsidRPr="000B1F89" w:rsidRDefault="002F05CE" w:rsidP="002F05CE">
          <w:pPr>
            <w:pStyle w:val="TOC2"/>
            <w:tabs>
              <w:tab w:val="right" w:leader="dot" w:pos="9350"/>
            </w:tabs>
            <w:spacing w:line="360" w:lineRule="auto"/>
            <w:jc w:val="both"/>
            <w:rPr>
              <w:noProof/>
              <w:sz w:val="24"/>
              <w:szCs w:val="24"/>
            </w:rPr>
          </w:pPr>
          <w:hyperlink w:anchor="_Toc233044872" w:history="1">
            <w:r w:rsidRPr="000B1F89">
              <w:rPr>
                <w:rStyle w:val="Hyperlink"/>
                <w:noProof/>
                <w:color w:val="auto"/>
                <w:sz w:val="24"/>
                <w:szCs w:val="24"/>
              </w:rPr>
              <w:t>2.1 Recommendation of a strategic growth approach</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_Toc233044872 \h </w:instrText>
            </w:r>
            <w:r w:rsidRPr="000B1F89">
              <w:rPr>
                <w:noProof/>
                <w:webHidden/>
                <w:sz w:val="24"/>
                <w:szCs w:val="24"/>
              </w:rPr>
            </w:r>
            <w:r w:rsidRPr="000B1F89">
              <w:rPr>
                <w:noProof/>
                <w:webHidden/>
                <w:sz w:val="24"/>
                <w:szCs w:val="24"/>
              </w:rPr>
              <w:fldChar w:fldCharType="separate"/>
            </w:r>
            <w:r w:rsidR="00193EE4">
              <w:rPr>
                <w:noProof/>
                <w:webHidden/>
                <w:sz w:val="24"/>
                <w:szCs w:val="24"/>
              </w:rPr>
              <w:t>9</w:t>
            </w:r>
            <w:r w:rsidRPr="000B1F89">
              <w:rPr>
                <w:noProof/>
                <w:webHidden/>
                <w:sz w:val="24"/>
                <w:szCs w:val="24"/>
              </w:rPr>
              <w:fldChar w:fldCharType="end"/>
            </w:r>
          </w:hyperlink>
        </w:p>
        <w:p w14:paraId="75E466F1" w14:textId="17A2822D" w:rsidR="002F05CE" w:rsidRPr="000B1F89" w:rsidRDefault="002F05CE" w:rsidP="002F05CE">
          <w:pPr>
            <w:pStyle w:val="TOC2"/>
            <w:tabs>
              <w:tab w:val="right" w:leader="dot" w:pos="9350"/>
            </w:tabs>
            <w:spacing w:line="360" w:lineRule="auto"/>
            <w:jc w:val="both"/>
            <w:rPr>
              <w:noProof/>
              <w:sz w:val="24"/>
              <w:szCs w:val="24"/>
            </w:rPr>
          </w:pPr>
          <w:hyperlink w:anchor="_Toc233044873" w:history="1">
            <w:r w:rsidRPr="000B1F89">
              <w:rPr>
                <w:rStyle w:val="Hyperlink"/>
                <w:noProof/>
                <w:color w:val="auto"/>
                <w:sz w:val="24"/>
                <w:szCs w:val="24"/>
              </w:rPr>
              <w:t>2.2 Achieving the competitive edge through the lower-carbon business model</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_Toc233044873 \h </w:instrText>
            </w:r>
            <w:r w:rsidRPr="000B1F89">
              <w:rPr>
                <w:noProof/>
                <w:webHidden/>
                <w:sz w:val="24"/>
                <w:szCs w:val="24"/>
              </w:rPr>
            </w:r>
            <w:r w:rsidRPr="000B1F89">
              <w:rPr>
                <w:noProof/>
                <w:webHidden/>
                <w:sz w:val="24"/>
                <w:szCs w:val="24"/>
              </w:rPr>
              <w:fldChar w:fldCharType="separate"/>
            </w:r>
            <w:r w:rsidR="00193EE4">
              <w:rPr>
                <w:noProof/>
                <w:webHidden/>
                <w:sz w:val="24"/>
                <w:szCs w:val="24"/>
              </w:rPr>
              <w:t>13</w:t>
            </w:r>
            <w:r w:rsidRPr="000B1F89">
              <w:rPr>
                <w:noProof/>
                <w:webHidden/>
                <w:sz w:val="24"/>
                <w:szCs w:val="24"/>
              </w:rPr>
              <w:fldChar w:fldCharType="end"/>
            </w:r>
          </w:hyperlink>
        </w:p>
        <w:p w14:paraId="564E25AF" w14:textId="329EDE8A" w:rsidR="002F05CE" w:rsidRPr="000B1F89" w:rsidRDefault="002F05CE" w:rsidP="002F05CE">
          <w:pPr>
            <w:pStyle w:val="TOC1"/>
            <w:tabs>
              <w:tab w:val="right" w:leader="dot" w:pos="9350"/>
            </w:tabs>
            <w:spacing w:line="360" w:lineRule="auto"/>
            <w:jc w:val="both"/>
            <w:rPr>
              <w:noProof/>
              <w:sz w:val="24"/>
              <w:szCs w:val="24"/>
            </w:rPr>
          </w:pPr>
          <w:hyperlink w:anchor="_Toc233044874" w:history="1">
            <w:r w:rsidRPr="000B1F89">
              <w:rPr>
                <w:rStyle w:val="Hyperlink"/>
                <w:noProof/>
                <w:color w:val="auto"/>
                <w:sz w:val="24"/>
                <w:szCs w:val="24"/>
              </w:rPr>
              <w:t>Task 3: Critical Reflection on AI Usage</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_Toc233044874 \h </w:instrText>
            </w:r>
            <w:r w:rsidRPr="000B1F89">
              <w:rPr>
                <w:noProof/>
                <w:webHidden/>
                <w:sz w:val="24"/>
                <w:szCs w:val="24"/>
              </w:rPr>
            </w:r>
            <w:r w:rsidRPr="000B1F89">
              <w:rPr>
                <w:noProof/>
                <w:webHidden/>
                <w:sz w:val="24"/>
                <w:szCs w:val="24"/>
              </w:rPr>
              <w:fldChar w:fldCharType="separate"/>
            </w:r>
            <w:r w:rsidR="00193EE4">
              <w:rPr>
                <w:noProof/>
                <w:webHidden/>
                <w:sz w:val="24"/>
                <w:szCs w:val="24"/>
              </w:rPr>
              <w:t>16</w:t>
            </w:r>
            <w:r w:rsidRPr="000B1F89">
              <w:rPr>
                <w:noProof/>
                <w:webHidden/>
                <w:sz w:val="24"/>
                <w:szCs w:val="24"/>
              </w:rPr>
              <w:fldChar w:fldCharType="end"/>
            </w:r>
          </w:hyperlink>
        </w:p>
        <w:p w14:paraId="0F08876A" w14:textId="52D312B7" w:rsidR="002F05CE" w:rsidRPr="000B1F89" w:rsidRDefault="002F05CE" w:rsidP="002F05CE">
          <w:pPr>
            <w:pStyle w:val="TOC2"/>
            <w:tabs>
              <w:tab w:val="right" w:leader="dot" w:pos="9350"/>
            </w:tabs>
            <w:spacing w:line="360" w:lineRule="auto"/>
            <w:jc w:val="both"/>
            <w:rPr>
              <w:noProof/>
              <w:sz w:val="24"/>
              <w:szCs w:val="24"/>
            </w:rPr>
          </w:pPr>
          <w:hyperlink w:anchor="_Toc233044875" w:history="1">
            <w:r w:rsidRPr="000B1F89">
              <w:rPr>
                <w:rStyle w:val="Hyperlink"/>
                <w:noProof/>
                <w:color w:val="auto"/>
                <w:sz w:val="24"/>
                <w:szCs w:val="24"/>
              </w:rPr>
              <w:t>a. Tool Disclosure</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_Toc233044875 \h </w:instrText>
            </w:r>
            <w:r w:rsidRPr="000B1F89">
              <w:rPr>
                <w:noProof/>
                <w:webHidden/>
                <w:sz w:val="24"/>
                <w:szCs w:val="24"/>
              </w:rPr>
            </w:r>
            <w:r w:rsidRPr="000B1F89">
              <w:rPr>
                <w:noProof/>
                <w:webHidden/>
                <w:sz w:val="24"/>
                <w:szCs w:val="24"/>
              </w:rPr>
              <w:fldChar w:fldCharType="separate"/>
            </w:r>
            <w:r w:rsidR="00193EE4">
              <w:rPr>
                <w:noProof/>
                <w:webHidden/>
                <w:sz w:val="24"/>
                <w:szCs w:val="24"/>
              </w:rPr>
              <w:t>16</w:t>
            </w:r>
            <w:r w:rsidRPr="000B1F89">
              <w:rPr>
                <w:noProof/>
                <w:webHidden/>
                <w:sz w:val="24"/>
                <w:szCs w:val="24"/>
              </w:rPr>
              <w:fldChar w:fldCharType="end"/>
            </w:r>
          </w:hyperlink>
        </w:p>
        <w:p w14:paraId="553FA301" w14:textId="35700900" w:rsidR="002F05CE" w:rsidRPr="000B1F89" w:rsidRDefault="002F05CE" w:rsidP="002F05CE">
          <w:pPr>
            <w:pStyle w:val="TOC2"/>
            <w:tabs>
              <w:tab w:val="right" w:leader="dot" w:pos="9350"/>
            </w:tabs>
            <w:spacing w:line="360" w:lineRule="auto"/>
            <w:jc w:val="both"/>
            <w:rPr>
              <w:noProof/>
              <w:sz w:val="24"/>
              <w:szCs w:val="24"/>
            </w:rPr>
          </w:pPr>
          <w:hyperlink w:anchor="_Toc233044876" w:history="1">
            <w:r w:rsidRPr="000B1F89">
              <w:rPr>
                <w:rStyle w:val="Hyperlink"/>
                <w:noProof/>
                <w:color w:val="auto"/>
                <w:sz w:val="24"/>
                <w:szCs w:val="24"/>
              </w:rPr>
              <w:t>b. Critical Evaluation of AI Output</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_Toc233044876 \h </w:instrText>
            </w:r>
            <w:r w:rsidRPr="000B1F89">
              <w:rPr>
                <w:noProof/>
                <w:webHidden/>
                <w:sz w:val="24"/>
                <w:szCs w:val="24"/>
              </w:rPr>
            </w:r>
            <w:r w:rsidRPr="000B1F89">
              <w:rPr>
                <w:noProof/>
                <w:webHidden/>
                <w:sz w:val="24"/>
                <w:szCs w:val="24"/>
              </w:rPr>
              <w:fldChar w:fldCharType="separate"/>
            </w:r>
            <w:r w:rsidR="00193EE4">
              <w:rPr>
                <w:noProof/>
                <w:webHidden/>
                <w:sz w:val="24"/>
                <w:szCs w:val="24"/>
              </w:rPr>
              <w:t>18</w:t>
            </w:r>
            <w:r w:rsidRPr="000B1F89">
              <w:rPr>
                <w:noProof/>
                <w:webHidden/>
                <w:sz w:val="24"/>
                <w:szCs w:val="24"/>
              </w:rPr>
              <w:fldChar w:fldCharType="end"/>
            </w:r>
          </w:hyperlink>
        </w:p>
        <w:p w14:paraId="055D51BB" w14:textId="12197987" w:rsidR="002F05CE" w:rsidRPr="000B1F89" w:rsidRDefault="002F05CE" w:rsidP="002F05CE">
          <w:pPr>
            <w:pStyle w:val="TOC2"/>
            <w:tabs>
              <w:tab w:val="right" w:leader="dot" w:pos="9350"/>
            </w:tabs>
            <w:spacing w:line="360" w:lineRule="auto"/>
            <w:jc w:val="both"/>
            <w:rPr>
              <w:noProof/>
              <w:sz w:val="24"/>
              <w:szCs w:val="24"/>
            </w:rPr>
          </w:pPr>
          <w:hyperlink w:anchor="_Toc233044877" w:history="1">
            <w:r w:rsidRPr="000B1F89">
              <w:rPr>
                <w:rStyle w:val="Hyperlink"/>
                <w:noProof/>
                <w:color w:val="auto"/>
                <w:sz w:val="24"/>
                <w:szCs w:val="24"/>
              </w:rPr>
              <w:t>c. Contribution Analysis</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_Toc233044877 \h </w:instrText>
            </w:r>
            <w:r w:rsidRPr="000B1F89">
              <w:rPr>
                <w:noProof/>
                <w:webHidden/>
                <w:sz w:val="24"/>
                <w:szCs w:val="24"/>
              </w:rPr>
            </w:r>
            <w:r w:rsidRPr="000B1F89">
              <w:rPr>
                <w:noProof/>
                <w:webHidden/>
                <w:sz w:val="24"/>
                <w:szCs w:val="24"/>
              </w:rPr>
              <w:fldChar w:fldCharType="separate"/>
            </w:r>
            <w:r w:rsidR="00193EE4">
              <w:rPr>
                <w:noProof/>
                <w:webHidden/>
                <w:sz w:val="24"/>
                <w:szCs w:val="24"/>
              </w:rPr>
              <w:t>18</w:t>
            </w:r>
            <w:r w:rsidRPr="000B1F89">
              <w:rPr>
                <w:noProof/>
                <w:webHidden/>
                <w:sz w:val="24"/>
                <w:szCs w:val="24"/>
              </w:rPr>
              <w:fldChar w:fldCharType="end"/>
            </w:r>
          </w:hyperlink>
        </w:p>
        <w:p w14:paraId="681529C7" w14:textId="55AB4179" w:rsidR="002F05CE" w:rsidRPr="000B1F89" w:rsidRDefault="002F05CE" w:rsidP="002F05CE">
          <w:pPr>
            <w:pStyle w:val="TOC2"/>
            <w:tabs>
              <w:tab w:val="right" w:leader="dot" w:pos="9350"/>
            </w:tabs>
            <w:spacing w:line="360" w:lineRule="auto"/>
            <w:jc w:val="both"/>
            <w:rPr>
              <w:noProof/>
              <w:sz w:val="24"/>
              <w:szCs w:val="24"/>
            </w:rPr>
          </w:pPr>
          <w:hyperlink w:anchor="_Toc233044878" w:history="1">
            <w:r w:rsidRPr="000B1F89">
              <w:rPr>
                <w:rStyle w:val="Hyperlink"/>
                <w:noProof/>
                <w:color w:val="auto"/>
                <w:sz w:val="24"/>
                <w:szCs w:val="24"/>
              </w:rPr>
              <w:t>d. Ethical &amp; Professional Reflection</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_Toc233044878 \h </w:instrText>
            </w:r>
            <w:r w:rsidRPr="000B1F89">
              <w:rPr>
                <w:noProof/>
                <w:webHidden/>
                <w:sz w:val="24"/>
                <w:szCs w:val="24"/>
              </w:rPr>
            </w:r>
            <w:r w:rsidRPr="000B1F89">
              <w:rPr>
                <w:noProof/>
                <w:webHidden/>
                <w:sz w:val="24"/>
                <w:szCs w:val="24"/>
              </w:rPr>
              <w:fldChar w:fldCharType="separate"/>
            </w:r>
            <w:r w:rsidR="00193EE4">
              <w:rPr>
                <w:noProof/>
                <w:webHidden/>
                <w:sz w:val="24"/>
                <w:szCs w:val="24"/>
              </w:rPr>
              <w:t>18</w:t>
            </w:r>
            <w:r w:rsidRPr="000B1F89">
              <w:rPr>
                <w:noProof/>
                <w:webHidden/>
                <w:sz w:val="24"/>
                <w:szCs w:val="24"/>
              </w:rPr>
              <w:fldChar w:fldCharType="end"/>
            </w:r>
          </w:hyperlink>
        </w:p>
        <w:p w14:paraId="0EF0B600" w14:textId="28C78F83" w:rsidR="002F05CE" w:rsidRPr="000B1F89" w:rsidRDefault="002F05CE" w:rsidP="002F05CE">
          <w:pPr>
            <w:pStyle w:val="TOC1"/>
            <w:tabs>
              <w:tab w:val="right" w:leader="dot" w:pos="9350"/>
            </w:tabs>
            <w:spacing w:line="360" w:lineRule="auto"/>
            <w:jc w:val="both"/>
            <w:rPr>
              <w:noProof/>
              <w:sz w:val="24"/>
              <w:szCs w:val="24"/>
            </w:rPr>
          </w:pPr>
          <w:hyperlink w:anchor="_Toc233044879" w:history="1">
            <w:r w:rsidRPr="000B1F89">
              <w:rPr>
                <w:rStyle w:val="Hyperlink"/>
                <w:noProof/>
                <w:color w:val="auto"/>
                <w:sz w:val="24"/>
                <w:szCs w:val="24"/>
              </w:rPr>
              <w:t>References</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_Toc233044879 \h </w:instrText>
            </w:r>
            <w:r w:rsidRPr="000B1F89">
              <w:rPr>
                <w:noProof/>
                <w:webHidden/>
                <w:sz w:val="24"/>
                <w:szCs w:val="24"/>
              </w:rPr>
            </w:r>
            <w:r w:rsidRPr="000B1F89">
              <w:rPr>
                <w:noProof/>
                <w:webHidden/>
                <w:sz w:val="24"/>
                <w:szCs w:val="24"/>
              </w:rPr>
              <w:fldChar w:fldCharType="separate"/>
            </w:r>
            <w:r w:rsidR="00193EE4">
              <w:rPr>
                <w:noProof/>
                <w:webHidden/>
                <w:sz w:val="24"/>
                <w:szCs w:val="24"/>
              </w:rPr>
              <w:t>20</w:t>
            </w:r>
            <w:r w:rsidRPr="000B1F89">
              <w:rPr>
                <w:noProof/>
                <w:webHidden/>
                <w:sz w:val="24"/>
                <w:szCs w:val="24"/>
              </w:rPr>
              <w:fldChar w:fldCharType="end"/>
            </w:r>
          </w:hyperlink>
        </w:p>
        <w:p w14:paraId="1057959A" w14:textId="4643754D" w:rsidR="002F05CE" w:rsidRPr="000B1F89" w:rsidRDefault="002F05CE" w:rsidP="002F05CE">
          <w:pPr>
            <w:spacing w:line="360" w:lineRule="auto"/>
            <w:jc w:val="both"/>
          </w:pPr>
          <w:r w:rsidRPr="000B1F89">
            <w:rPr>
              <w:b/>
              <w:bCs/>
              <w:noProof/>
              <w:sz w:val="24"/>
              <w:szCs w:val="24"/>
            </w:rPr>
            <w:fldChar w:fldCharType="end"/>
          </w:r>
        </w:p>
      </w:sdtContent>
    </w:sdt>
    <w:p w14:paraId="0B207CFD" w14:textId="77777777" w:rsidR="002F05CE" w:rsidRPr="000B1F89" w:rsidRDefault="002F05CE">
      <w:pPr>
        <w:rPr>
          <w:b/>
          <w:sz w:val="24"/>
          <w:szCs w:val="40"/>
        </w:rPr>
      </w:pPr>
      <w:r w:rsidRPr="000B1F89">
        <w:br w:type="page"/>
      </w:r>
    </w:p>
    <w:p w14:paraId="62499F34" w14:textId="5B0C8A3F" w:rsidR="00C506EA" w:rsidRPr="000B1F89" w:rsidRDefault="00000000" w:rsidP="00711BB9">
      <w:pPr>
        <w:pStyle w:val="Heading1"/>
        <w:rPr>
          <w:color w:val="auto"/>
        </w:rPr>
      </w:pPr>
      <w:bookmarkStart w:id="0" w:name="_Toc233044869"/>
      <w:r w:rsidRPr="000B1F89">
        <w:rPr>
          <w:color w:val="auto"/>
        </w:rPr>
        <w:lastRenderedPageBreak/>
        <w:t>Task 1: Marketing Environment Analysis</w:t>
      </w:r>
      <w:bookmarkEnd w:id="0"/>
    </w:p>
    <w:p w14:paraId="3D6D6F13" w14:textId="77777777" w:rsidR="00C506EA" w:rsidRPr="000B1F89" w:rsidRDefault="00000000" w:rsidP="00711BB9">
      <w:pPr>
        <w:pStyle w:val="Heading2"/>
        <w:rPr>
          <w:color w:val="auto"/>
        </w:rPr>
      </w:pPr>
      <w:bookmarkStart w:id="1" w:name="_Toc233044870"/>
      <w:r w:rsidRPr="000B1F89">
        <w:rPr>
          <w:color w:val="auto"/>
        </w:rPr>
        <w:t>1.1 Analysis of two external marketing environment actors</w:t>
      </w:r>
      <w:bookmarkEnd w:id="1"/>
      <w:r w:rsidRPr="000B1F89">
        <w:rPr>
          <w:color w:val="auto"/>
        </w:rPr>
        <w:t xml:space="preserve"> </w:t>
      </w:r>
    </w:p>
    <w:p w14:paraId="2A4AF5EF" w14:textId="77777777" w:rsidR="00C506EA" w:rsidRPr="000B1F89" w:rsidRDefault="00000000">
      <w:pPr>
        <w:spacing w:line="360" w:lineRule="auto"/>
        <w:jc w:val="both"/>
        <w:rPr>
          <w:b/>
          <w:bCs/>
          <w:sz w:val="24"/>
          <w:szCs w:val="24"/>
        </w:rPr>
      </w:pPr>
      <w:r w:rsidRPr="000B1F89">
        <w:rPr>
          <w:b/>
          <w:bCs/>
          <w:sz w:val="24"/>
          <w:szCs w:val="24"/>
        </w:rPr>
        <w:t xml:space="preserve">Natural Environment actor </w:t>
      </w:r>
    </w:p>
    <w:p w14:paraId="18C996FC" w14:textId="77777777" w:rsidR="00C506EA" w:rsidRPr="000B1F89" w:rsidRDefault="00000000">
      <w:pPr>
        <w:spacing w:line="360" w:lineRule="auto"/>
        <w:jc w:val="both"/>
        <w:rPr>
          <w:sz w:val="24"/>
          <w:szCs w:val="24"/>
        </w:rPr>
      </w:pPr>
      <w:r w:rsidRPr="000B1F89">
        <w:rPr>
          <w:sz w:val="24"/>
          <w:szCs w:val="24"/>
        </w:rPr>
        <w:t xml:space="preserve">The natural environment is considered as the most relevant external marketing environment actor that influences the transition of BHP towards the low-carbon products. According to Kotler </w:t>
      </w:r>
      <w:r w:rsidRPr="000B1F89">
        <w:rPr>
          <w:i/>
          <w:iCs/>
          <w:sz w:val="24"/>
          <w:szCs w:val="24"/>
        </w:rPr>
        <w:t>et al.</w:t>
      </w:r>
      <w:r w:rsidRPr="000B1F89">
        <w:rPr>
          <w:sz w:val="24"/>
          <w:szCs w:val="24"/>
        </w:rPr>
        <w:t xml:space="preserve"> (2024), the natural environment consists of different factors like climate change, environmental degradation, scarcity of resources, and sustainability pressures, which affect the perception of </w:t>
      </w:r>
      <w:proofErr w:type="spellStart"/>
      <w:r w:rsidRPr="000B1F89">
        <w:rPr>
          <w:sz w:val="24"/>
          <w:szCs w:val="24"/>
        </w:rPr>
        <w:t>organisational</w:t>
      </w:r>
      <w:proofErr w:type="spellEnd"/>
      <w:r w:rsidRPr="000B1F89">
        <w:rPr>
          <w:sz w:val="24"/>
          <w:szCs w:val="24"/>
        </w:rPr>
        <w:t xml:space="preserve"> decision-making. In the case of BHP (</w:t>
      </w:r>
      <w:r w:rsidRPr="000B1F89">
        <w:rPr>
          <w:sz w:val="24"/>
          <w:szCs w:val="24"/>
          <w:highlight w:val="white"/>
        </w:rPr>
        <w:t>Broken Hill Proprietary</w:t>
      </w:r>
      <w:r w:rsidRPr="000B1F89">
        <w:rPr>
          <w:sz w:val="24"/>
          <w:szCs w:val="24"/>
        </w:rPr>
        <w:t xml:space="preserve">) Group, which is an Australian multinational mining and metals corporation, increased environmental concerns have reshaped the expectations of stakeholders, consumer demand, and operational strategies. </w:t>
      </w:r>
    </w:p>
    <w:p w14:paraId="08B20E21" w14:textId="0112BEEF" w:rsidR="00C506EA" w:rsidRPr="000B1F89" w:rsidRDefault="00000000">
      <w:pPr>
        <w:spacing w:line="360" w:lineRule="auto"/>
        <w:jc w:val="both"/>
        <w:rPr>
          <w:sz w:val="24"/>
          <w:szCs w:val="24"/>
        </w:rPr>
      </w:pPr>
      <w:r w:rsidRPr="000B1F89">
        <w:rPr>
          <w:b/>
          <w:bCs/>
          <w:i/>
          <w:iCs/>
          <w:sz w:val="24"/>
          <w:szCs w:val="24"/>
        </w:rPr>
        <w:t xml:space="preserve">Climate change </w:t>
      </w:r>
      <w:r w:rsidRPr="000B1F89">
        <w:rPr>
          <w:sz w:val="24"/>
          <w:szCs w:val="24"/>
        </w:rPr>
        <w:t xml:space="preserve">seems to be a major issue for the global mining sector, as mining and metals production strongly </w:t>
      </w:r>
      <w:r w:rsidR="001A47DB" w:rsidRPr="000B1F89">
        <w:rPr>
          <w:sz w:val="24"/>
          <w:szCs w:val="24"/>
        </w:rPr>
        <w:t>contributes</w:t>
      </w:r>
      <w:r w:rsidRPr="000B1F89">
        <w:rPr>
          <w:sz w:val="24"/>
          <w:szCs w:val="24"/>
        </w:rPr>
        <w:t xml:space="preserve"> to the emission of greenhouse gases (GHG). As of 2025, total GHG emissions through all sectors in Australia have been identified as 444.3 Mt CO2-e, and the emission change for the year to June 2025 was a reduction of 27.4% (Dcceew.gov.au, 2025). </w:t>
      </w:r>
    </w:p>
    <w:p w14:paraId="31D4AD87" w14:textId="77777777" w:rsidR="00C506EA" w:rsidRPr="000B1F89" w:rsidRDefault="00000000">
      <w:pPr>
        <w:spacing w:line="360" w:lineRule="auto"/>
        <w:jc w:val="center"/>
        <w:rPr>
          <w:sz w:val="24"/>
          <w:szCs w:val="24"/>
        </w:rPr>
      </w:pPr>
      <w:r w:rsidRPr="000B1F89">
        <w:rPr>
          <w:noProof/>
          <w:sz w:val="24"/>
          <w:szCs w:val="24"/>
        </w:rPr>
        <w:lastRenderedPageBreak/>
        <w:drawing>
          <wp:inline distT="114300" distB="114300" distL="114300" distR="114300" wp14:anchorId="6581F72A" wp14:editId="45F3E6EA">
            <wp:extent cx="5943600" cy="3378200"/>
            <wp:effectExtent l="25400" t="25400" r="25400" b="254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378200"/>
                    </a:xfrm>
                    <a:prstGeom prst="rect">
                      <a:avLst/>
                    </a:prstGeom>
                    <a:ln w="25400">
                      <a:solidFill>
                        <a:srgbClr val="000000"/>
                      </a:solidFill>
                      <a:prstDash val="solid"/>
                    </a:ln>
                  </pic:spPr>
                </pic:pic>
              </a:graphicData>
            </a:graphic>
          </wp:inline>
        </w:drawing>
      </w:r>
    </w:p>
    <w:p w14:paraId="4711EDF5" w14:textId="77777777" w:rsidR="00C506EA" w:rsidRPr="000B1F89" w:rsidRDefault="00000000">
      <w:pPr>
        <w:spacing w:line="360" w:lineRule="auto"/>
        <w:jc w:val="center"/>
        <w:rPr>
          <w:b/>
          <w:bCs/>
          <w:sz w:val="24"/>
          <w:szCs w:val="24"/>
        </w:rPr>
      </w:pPr>
      <w:r w:rsidRPr="000B1F89">
        <w:rPr>
          <w:b/>
          <w:bCs/>
          <w:sz w:val="24"/>
          <w:szCs w:val="24"/>
        </w:rPr>
        <w:t xml:space="preserve">Figure 1: National greenhouse gas inventory </w:t>
      </w:r>
    </w:p>
    <w:p w14:paraId="15E2A8A6" w14:textId="77777777" w:rsidR="00C506EA" w:rsidRPr="000B1F89" w:rsidRDefault="00000000">
      <w:pPr>
        <w:spacing w:line="360" w:lineRule="auto"/>
        <w:jc w:val="center"/>
        <w:rPr>
          <w:sz w:val="24"/>
          <w:szCs w:val="24"/>
        </w:rPr>
      </w:pPr>
      <w:r w:rsidRPr="000B1F89">
        <w:rPr>
          <w:sz w:val="24"/>
          <w:szCs w:val="24"/>
        </w:rPr>
        <w:t>(Source: Dcceew.gov.au, 2025)</w:t>
      </w:r>
    </w:p>
    <w:p w14:paraId="336C9736" w14:textId="5C1BA3BF" w:rsidR="00C506EA" w:rsidRPr="000B1F89" w:rsidRDefault="00000000">
      <w:pPr>
        <w:spacing w:line="360" w:lineRule="auto"/>
        <w:jc w:val="both"/>
        <w:rPr>
          <w:sz w:val="24"/>
          <w:szCs w:val="24"/>
        </w:rPr>
      </w:pPr>
      <w:r w:rsidRPr="000B1F89">
        <w:rPr>
          <w:sz w:val="24"/>
          <w:szCs w:val="24"/>
        </w:rPr>
        <w:t xml:space="preserve">Existence of the scientific evidence regarding global warming has raised pressure on the mining firms for reducing their environmental impact and </w:t>
      </w:r>
      <w:r w:rsidR="001A47DB" w:rsidRPr="000B1F89">
        <w:rPr>
          <w:sz w:val="24"/>
          <w:szCs w:val="24"/>
        </w:rPr>
        <w:t>supporting</w:t>
      </w:r>
      <w:r w:rsidRPr="000B1F89">
        <w:rPr>
          <w:sz w:val="24"/>
          <w:szCs w:val="24"/>
        </w:rPr>
        <w:t xml:space="preserve"> the transition towards a low-carbon economy. By using the </w:t>
      </w:r>
      <w:r w:rsidR="001A47DB" w:rsidRPr="000B1F89">
        <w:rPr>
          <w:sz w:val="24"/>
          <w:szCs w:val="24"/>
        </w:rPr>
        <w:t>MIS</w:t>
      </w:r>
      <w:r w:rsidRPr="000B1F89">
        <w:rPr>
          <w:sz w:val="24"/>
          <w:szCs w:val="24"/>
        </w:rPr>
        <w:t xml:space="preserve"> (Marketing Information System)</w:t>
      </w:r>
      <w:r w:rsidR="001A47DB" w:rsidRPr="000B1F89">
        <w:rPr>
          <w:sz w:val="24"/>
          <w:szCs w:val="24"/>
        </w:rPr>
        <w:t xml:space="preserve"> method</w:t>
      </w:r>
      <w:r w:rsidRPr="000B1F89">
        <w:rPr>
          <w:sz w:val="24"/>
          <w:szCs w:val="24"/>
        </w:rPr>
        <w:t xml:space="preserve">, it has been observed that in the case of BHP, the firm has made a 36% reduction in operational GHG emissions in 2025 from 2020 (Lecture 3, slide 15; BHP, 2025). The firm’s 2030 goals consist of making a reduction of </w:t>
      </w:r>
      <w:r w:rsidR="001A47DB" w:rsidRPr="000B1F89">
        <w:rPr>
          <w:sz w:val="24"/>
          <w:szCs w:val="24"/>
        </w:rPr>
        <w:t>at least</w:t>
      </w:r>
      <w:r w:rsidRPr="000B1F89">
        <w:rPr>
          <w:sz w:val="24"/>
          <w:szCs w:val="24"/>
        </w:rPr>
        <w:t xml:space="preserve"> 30% in operational GHG emissions and support 40% GHG emissions intensity reduction of the BHP‑chartered shipping of its products (figure below). </w:t>
      </w:r>
    </w:p>
    <w:p w14:paraId="67F1C137" w14:textId="77777777" w:rsidR="00C506EA" w:rsidRPr="000B1F89" w:rsidRDefault="00000000">
      <w:pPr>
        <w:spacing w:line="360" w:lineRule="auto"/>
        <w:jc w:val="center"/>
        <w:rPr>
          <w:sz w:val="24"/>
          <w:szCs w:val="24"/>
        </w:rPr>
      </w:pPr>
      <w:r w:rsidRPr="000B1F89">
        <w:rPr>
          <w:noProof/>
          <w:sz w:val="24"/>
          <w:szCs w:val="24"/>
        </w:rPr>
        <w:lastRenderedPageBreak/>
        <w:drawing>
          <wp:inline distT="114300" distB="114300" distL="114300" distR="114300" wp14:anchorId="38EE84FC" wp14:editId="3170998E">
            <wp:extent cx="5943600" cy="17018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1701800"/>
                    </a:xfrm>
                    <a:prstGeom prst="rect">
                      <a:avLst/>
                    </a:prstGeom>
                    <a:ln w="25400">
                      <a:solidFill>
                        <a:srgbClr val="000000"/>
                      </a:solidFill>
                      <a:prstDash val="solid"/>
                    </a:ln>
                  </pic:spPr>
                </pic:pic>
              </a:graphicData>
            </a:graphic>
          </wp:inline>
        </w:drawing>
      </w:r>
    </w:p>
    <w:p w14:paraId="408E4993" w14:textId="77777777" w:rsidR="00C506EA" w:rsidRPr="000B1F89" w:rsidRDefault="00000000">
      <w:pPr>
        <w:spacing w:line="360" w:lineRule="auto"/>
        <w:jc w:val="center"/>
        <w:rPr>
          <w:b/>
          <w:bCs/>
          <w:sz w:val="24"/>
          <w:szCs w:val="24"/>
        </w:rPr>
      </w:pPr>
      <w:r w:rsidRPr="000B1F89">
        <w:rPr>
          <w:b/>
          <w:bCs/>
          <w:sz w:val="24"/>
          <w:szCs w:val="24"/>
        </w:rPr>
        <w:t>Figure 2: Sustainability performance of BHP in 2025</w:t>
      </w:r>
    </w:p>
    <w:p w14:paraId="2DA96A24" w14:textId="77777777" w:rsidR="00C506EA" w:rsidRPr="000B1F89" w:rsidRDefault="00000000">
      <w:pPr>
        <w:spacing w:line="360" w:lineRule="auto"/>
        <w:jc w:val="center"/>
        <w:rPr>
          <w:sz w:val="24"/>
          <w:szCs w:val="24"/>
        </w:rPr>
      </w:pPr>
      <w:r w:rsidRPr="000B1F89">
        <w:rPr>
          <w:sz w:val="24"/>
          <w:szCs w:val="24"/>
        </w:rPr>
        <w:t>(Source: BHP, 2025)</w:t>
      </w:r>
    </w:p>
    <w:p w14:paraId="5759A378" w14:textId="77CA56D5" w:rsidR="00C506EA" w:rsidRPr="000B1F89" w:rsidRDefault="00000000">
      <w:pPr>
        <w:spacing w:line="360" w:lineRule="auto"/>
        <w:jc w:val="both"/>
        <w:rPr>
          <w:sz w:val="24"/>
          <w:szCs w:val="24"/>
        </w:rPr>
      </w:pPr>
      <w:r w:rsidRPr="000B1F89">
        <w:rPr>
          <w:sz w:val="24"/>
          <w:szCs w:val="24"/>
        </w:rPr>
        <w:t xml:space="preserve">In 2025, operational GHG emissions for BHP reached 8.7 MtCO2-e, and it </w:t>
      </w:r>
      <w:r w:rsidR="001A47DB" w:rsidRPr="000B1F89">
        <w:rPr>
          <w:sz w:val="24"/>
          <w:szCs w:val="24"/>
        </w:rPr>
        <w:t>aimed</w:t>
      </w:r>
      <w:r w:rsidRPr="000B1F89">
        <w:rPr>
          <w:sz w:val="24"/>
          <w:szCs w:val="24"/>
        </w:rPr>
        <w:t xml:space="preserve"> to achieve net-zero operational GHG emissions by 2050 (BHP, 2025). Moreover, the value chain GHG emission was observed as 378.2 MtCO2-e in 2025, which was a sharp increase from 2020 (Figure 3). </w:t>
      </w:r>
    </w:p>
    <w:p w14:paraId="24E11BDF" w14:textId="77777777" w:rsidR="00C506EA" w:rsidRPr="000B1F89" w:rsidRDefault="00000000">
      <w:pPr>
        <w:spacing w:line="360" w:lineRule="auto"/>
        <w:jc w:val="center"/>
        <w:rPr>
          <w:sz w:val="24"/>
          <w:szCs w:val="24"/>
        </w:rPr>
      </w:pPr>
      <w:r w:rsidRPr="000B1F89">
        <w:rPr>
          <w:noProof/>
          <w:sz w:val="24"/>
          <w:szCs w:val="24"/>
        </w:rPr>
        <w:drawing>
          <wp:inline distT="114300" distB="114300" distL="114300" distR="114300" wp14:anchorId="47BFA68A" wp14:editId="1E64E0B0">
            <wp:extent cx="5943600" cy="2540000"/>
            <wp:effectExtent l="25400" t="25400" r="25400" b="2540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943600" cy="2540000"/>
                    </a:xfrm>
                    <a:prstGeom prst="rect">
                      <a:avLst/>
                    </a:prstGeom>
                    <a:ln w="25400">
                      <a:solidFill>
                        <a:srgbClr val="000000"/>
                      </a:solidFill>
                      <a:prstDash val="solid"/>
                    </a:ln>
                  </pic:spPr>
                </pic:pic>
              </a:graphicData>
            </a:graphic>
          </wp:inline>
        </w:drawing>
      </w:r>
    </w:p>
    <w:p w14:paraId="6AF6F55A" w14:textId="77777777" w:rsidR="00C506EA" w:rsidRPr="000B1F89" w:rsidRDefault="00000000">
      <w:pPr>
        <w:spacing w:line="360" w:lineRule="auto"/>
        <w:jc w:val="center"/>
        <w:rPr>
          <w:b/>
          <w:bCs/>
          <w:sz w:val="24"/>
          <w:szCs w:val="24"/>
        </w:rPr>
      </w:pPr>
      <w:r w:rsidRPr="000B1F89">
        <w:rPr>
          <w:b/>
          <w:bCs/>
          <w:sz w:val="24"/>
          <w:szCs w:val="24"/>
        </w:rPr>
        <w:t xml:space="preserve">Figure 3: Operational and value chain GHG emissions </w:t>
      </w:r>
    </w:p>
    <w:p w14:paraId="1F2F7881" w14:textId="77777777" w:rsidR="00C506EA" w:rsidRPr="000B1F89" w:rsidRDefault="00000000">
      <w:pPr>
        <w:spacing w:line="360" w:lineRule="auto"/>
        <w:jc w:val="center"/>
        <w:rPr>
          <w:sz w:val="24"/>
          <w:szCs w:val="24"/>
        </w:rPr>
      </w:pPr>
      <w:r w:rsidRPr="000B1F89">
        <w:rPr>
          <w:sz w:val="24"/>
          <w:szCs w:val="24"/>
        </w:rPr>
        <w:t>(Source: BHP, 2025)</w:t>
      </w:r>
    </w:p>
    <w:p w14:paraId="7B2EBB9C" w14:textId="77777777" w:rsidR="00C506EA" w:rsidRPr="000B1F89" w:rsidRDefault="00000000">
      <w:pPr>
        <w:spacing w:line="360" w:lineRule="auto"/>
        <w:jc w:val="both"/>
        <w:rPr>
          <w:sz w:val="24"/>
          <w:szCs w:val="24"/>
        </w:rPr>
      </w:pPr>
      <w:r w:rsidRPr="000B1F89">
        <w:rPr>
          <w:sz w:val="24"/>
          <w:szCs w:val="24"/>
        </w:rPr>
        <w:t xml:space="preserve">The natural environment has transformed the </w:t>
      </w:r>
      <w:r w:rsidRPr="000B1F89">
        <w:rPr>
          <w:b/>
          <w:bCs/>
          <w:i/>
          <w:iCs/>
          <w:sz w:val="24"/>
          <w:szCs w:val="24"/>
        </w:rPr>
        <w:t>consumers’ demand</w:t>
      </w:r>
      <w:r w:rsidRPr="000B1F89">
        <w:rPr>
          <w:sz w:val="24"/>
          <w:szCs w:val="24"/>
        </w:rPr>
        <w:t xml:space="preserve">, and in the value chain of BHP. Steel production is accountable for a significant proportion of the global carbon emissions, and hence, steel manufacturers are acquiring lower-carbon materials at present for fulfilling the sustainability goals. In order to deal with this crisis, BHP has </w:t>
      </w:r>
      <w:r w:rsidRPr="000B1F89">
        <w:rPr>
          <w:sz w:val="24"/>
          <w:szCs w:val="24"/>
        </w:rPr>
        <w:lastRenderedPageBreak/>
        <w:t xml:space="preserve">already made an investment of US$171 million in technologies for supporting the process of clear steelmaking (BHP, 2025). For instance, the firm has aimed to develop steel production technologies in such a way which are able of 30% lower GHG emissions (BHP, 2025). This reflects how external environmental pressure is developing opportunities for the BHP to differentiate itself through the sustainable innovation and lower-carbon products. </w:t>
      </w:r>
    </w:p>
    <w:p w14:paraId="4AE04C34" w14:textId="3CB821A3" w:rsidR="00C506EA" w:rsidRPr="000B1F89" w:rsidRDefault="00000000">
      <w:pPr>
        <w:spacing w:line="360" w:lineRule="auto"/>
        <w:jc w:val="both"/>
        <w:rPr>
          <w:sz w:val="24"/>
          <w:szCs w:val="24"/>
        </w:rPr>
      </w:pPr>
      <w:r w:rsidRPr="000B1F89">
        <w:rPr>
          <w:sz w:val="24"/>
          <w:szCs w:val="24"/>
        </w:rPr>
        <w:t xml:space="preserve">Moreover, environmental concerns are also responsible for encouraging BHP to make effective collaboration with the consumers and industry partners for accelerating the </w:t>
      </w:r>
      <w:r w:rsidR="001A47DB" w:rsidRPr="000B1F89">
        <w:rPr>
          <w:sz w:val="24"/>
          <w:szCs w:val="24"/>
        </w:rPr>
        <w:t>decarbonization</w:t>
      </w:r>
      <w:r w:rsidRPr="000B1F89">
        <w:rPr>
          <w:sz w:val="24"/>
          <w:szCs w:val="24"/>
        </w:rPr>
        <w:t xml:space="preserve"> process. With around US$140 million in funding committed by BHP from 2020 to 2024 and an estimated US$75 million in additional funding planned by the firm from 2025 to 2029, with the major steel producers like POSCO, </w:t>
      </w:r>
      <w:proofErr w:type="spellStart"/>
      <w:r w:rsidRPr="000B1F89">
        <w:rPr>
          <w:sz w:val="24"/>
          <w:szCs w:val="24"/>
        </w:rPr>
        <w:t>Baowu</w:t>
      </w:r>
      <w:proofErr w:type="spellEnd"/>
      <w:r w:rsidRPr="000B1F89">
        <w:rPr>
          <w:sz w:val="24"/>
          <w:szCs w:val="24"/>
        </w:rPr>
        <w:t xml:space="preserve">, and others to accelerate its </w:t>
      </w:r>
      <w:proofErr w:type="spellStart"/>
      <w:r w:rsidRPr="000B1F89">
        <w:rPr>
          <w:sz w:val="24"/>
          <w:szCs w:val="24"/>
        </w:rPr>
        <w:t>decarbonisation</w:t>
      </w:r>
      <w:proofErr w:type="spellEnd"/>
      <w:r w:rsidRPr="000B1F89">
        <w:rPr>
          <w:sz w:val="24"/>
          <w:szCs w:val="24"/>
        </w:rPr>
        <w:t xml:space="preserve"> (BHP, 2024). Through this partnership, BHP is able to support the development of the “hydrogen-based steelmaking”, “carbon capture technologies”, and “low-carbon iron production” systems suitably. As an impact, there is a possibility to strengthen its market position among the environmentally conscious customers. </w:t>
      </w:r>
    </w:p>
    <w:p w14:paraId="19D83C89" w14:textId="77777777" w:rsidR="00C506EA" w:rsidRPr="000B1F89" w:rsidRDefault="00000000">
      <w:pPr>
        <w:spacing w:line="360" w:lineRule="auto"/>
        <w:jc w:val="both"/>
        <w:rPr>
          <w:sz w:val="24"/>
          <w:szCs w:val="24"/>
        </w:rPr>
      </w:pPr>
      <w:r w:rsidRPr="000B1F89">
        <w:rPr>
          <w:b/>
          <w:bCs/>
          <w:i/>
          <w:iCs/>
          <w:sz w:val="24"/>
          <w:szCs w:val="24"/>
        </w:rPr>
        <w:t>Operational changes</w:t>
      </w:r>
      <w:r w:rsidRPr="000B1F89">
        <w:rPr>
          <w:sz w:val="24"/>
          <w:szCs w:val="24"/>
        </w:rPr>
        <w:t xml:space="preserve"> are also being driven through the natural environment within BHP. Such extreme weather conditions, rising temperatures, scarcity of the water, and biodiversity concerns are raising risks for the mining operations. For dealing with these risks, BHP is investing in the renewable energy, electrification technologies, and battery-powered mining equipment. It has been found out that 70% of total electricity consumption in BHP was drawn from the renewable sources in 2025, and it has made partnerships with battery manufacturers like BYD and CATL for exploring the battery-powered solutions regarding the mining equipment and rail transport (</w:t>
      </w:r>
      <w:proofErr w:type="spellStart"/>
      <w:r w:rsidRPr="000B1F89">
        <w:rPr>
          <w:sz w:val="24"/>
          <w:szCs w:val="24"/>
        </w:rPr>
        <w:t>Miningmx</w:t>
      </w:r>
      <w:proofErr w:type="spellEnd"/>
      <w:r w:rsidRPr="000B1F89">
        <w:rPr>
          <w:sz w:val="24"/>
          <w:szCs w:val="24"/>
        </w:rPr>
        <w:t xml:space="preserve">, 2026; Reuters, 2025). Through this type of initiative, it has been possible to reduce dependence on the diesel-powered machinery that is a main source of operational emissions. </w:t>
      </w:r>
    </w:p>
    <w:p w14:paraId="17971EDA" w14:textId="77777777" w:rsidR="00C506EA" w:rsidRPr="000B1F89" w:rsidRDefault="00000000">
      <w:pPr>
        <w:spacing w:line="360" w:lineRule="auto"/>
        <w:jc w:val="both"/>
        <w:rPr>
          <w:b/>
          <w:bCs/>
          <w:sz w:val="24"/>
          <w:szCs w:val="24"/>
          <w:u w:val="single"/>
        </w:rPr>
      </w:pPr>
      <w:r w:rsidRPr="000B1F89">
        <w:rPr>
          <w:b/>
          <w:bCs/>
          <w:sz w:val="24"/>
          <w:szCs w:val="24"/>
          <w:u w:val="single"/>
        </w:rPr>
        <w:t xml:space="preserve">Political / Regulatory Environment actor </w:t>
      </w:r>
    </w:p>
    <w:p w14:paraId="1B8744D3" w14:textId="025E42FF" w:rsidR="00C506EA" w:rsidRPr="000B1F89" w:rsidRDefault="00000000">
      <w:pPr>
        <w:spacing w:line="360" w:lineRule="auto"/>
        <w:jc w:val="both"/>
        <w:rPr>
          <w:sz w:val="24"/>
          <w:szCs w:val="24"/>
        </w:rPr>
      </w:pPr>
      <w:r w:rsidRPr="000B1F89">
        <w:rPr>
          <w:sz w:val="24"/>
          <w:szCs w:val="24"/>
        </w:rPr>
        <w:t xml:space="preserve">The political and regulatory environment has been identified as another crucial external marketing environment actor that strongly influences the transition of BHP towards the </w:t>
      </w:r>
      <w:r w:rsidRPr="000B1F89">
        <w:rPr>
          <w:sz w:val="24"/>
          <w:szCs w:val="24"/>
        </w:rPr>
        <w:lastRenderedPageBreak/>
        <w:t>lower-carbon products. The Australian government has integrated stricter policies to deal with climate issues, emissions regulations, and relevant sustainability standards, which affect the mining companies the most</w:t>
      </w:r>
      <w:r w:rsidR="00D578B4" w:rsidRPr="000B1F89">
        <w:rPr>
          <w:sz w:val="24"/>
          <w:szCs w:val="24"/>
        </w:rPr>
        <w:t xml:space="preserve"> (Cer.gov.au, 2026)</w:t>
      </w:r>
      <w:r w:rsidRPr="000B1F89">
        <w:rPr>
          <w:sz w:val="24"/>
          <w:szCs w:val="24"/>
        </w:rPr>
        <w:t xml:space="preserve">. </w:t>
      </w:r>
    </w:p>
    <w:p w14:paraId="2F680BE6" w14:textId="77777777" w:rsidR="00C506EA" w:rsidRPr="000B1F89" w:rsidRDefault="00000000">
      <w:pPr>
        <w:spacing w:line="360" w:lineRule="auto"/>
        <w:jc w:val="both"/>
        <w:rPr>
          <w:sz w:val="24"/>
          <w:szCs w:val="24"/>
        </w:rPr>
      </w:pPr>
      <w:r w:rsidRPr="000B1F89">
        <w:rPr>
          <w:sz w:val="24"/>
          <w:szCs w:val="24"/>
        </w:rPr>
        <w:t>The Safeguard Mechanism of the nation has been applied to the industrial facilities that emit more than 100,000 tCO</w:t>
      </w:r>
      <w:r w:rsidRPr="000B1F89">
        <w:rPr>
          <w:sz w:val="24"/>
          <w:szCs w:val="24"/>
          <w:vertAlign w:val="subscript"/>
        </w:rPr>
        <w:t>2</w:t>
      </w:r>
      <w:r w:rsidRPr="000B1F89">
        <w:rPr>
          <w:sz w:val="24"/>
          <w:szCs w:val="24"/>
        </w:rPr>
        <w:t xml:space="preserve">-e in a year, which includes mining, oil &amp; gas production, transport, manufacturing, and waste (Cer.gov.au, 2026). It mainly requires that the highest greenhouse gas emitting facilities of Australia reduce their emissions in line with the emission reduction target of the firm of 43% below 2005 levels by 2030 and net zero by 2050. However, the Safeguard Mechanism covers only a fraction of the nation’s GHG emissions, which is a major concern (Figure 4). </w:t>
      </w:r>
    </w:p>
    <w:p w14:paraId="459D47B4" w14:textId="77777777" w:rsidR="00C506EA" w:rsidRPr="000B1F89" w:rsidRDefault="00000000">
      <w:pPr>
        <w:spacing w:line="360" w:lineRule="auto"/>
        <w:jc w:val="center"/>
        <w:rPr>
          <w:sz w:val="24"/>
          <w:szCs w:val="24"/>
        </w:rPr>
      </w:pPr>
      <w:r w:rsidRPr="000B1F89">
        <w:rPr>
          <w:noProof/>
          <w:sz w:val="24"/>
          <w:szCs w:val="24"/>
        </w:rPr>
        <w:drawing>
          <wp:inline distT="114300" distB="114300" distL="114300" distR="114300" wp14:anchorId="1F0C90A3" wp14:editId="401588BE">
            <wp:extent cx="5943600" cy="3365500"/>
            <wp:effectExtent l="25400" t="25400" r="25400" b="254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943600" cy="3365500"/>
                    </a:xfrm>
                    <a:prstGeom prst="rect">
                      <a:avLst/>
                    </a:prstGeom>
                    <a:ln w="25400">
                      <a:solidFill>
                        <a:srgbClr val="000000"/>
                      </a:solidFill>
                      <a:prstDash val="solid"/>
                    </a:ln>
                  </pic:spPr>
                </pic:pic>
              </a:graphicData>
            </a:graphic>
          </wp:inline>
        </w:drawing>
      </w:r>
    </w:p>
    <w:p w14:paraId="3DD4935E" w14:textId="77777777" w:rsidR="00C506EA" w:rsidRPr="000B1F89" w:rsidRDefault="00000000">
      <w:pPr>
        <w:spacing w:line="360" w:lineRule="auto"/>
        <w:jc w:val="center"/>
        <w:rPr>
          <w:b/>
          <w:bCs/>
          <w:sz w:val="24"/>
          <w:szCs w:val="24"/>
        </w:rPr>
      </w:pPr>
      <w:r w:rsidRPr="000B1F89">
        <w:rPr>
          <w:b/>
          <w:bCs/>
          <w:sz w:val="24"/>
          <w:szCs w:val="24"/>
        </w:rPr>
        <w:t xml:space="preserve">Figure 4: Safeguard Mechanism </w:t>
      </w:r>
    </w:p>
    <w:p w14:paraId="1F2641DC" w14:textId="77777777" w:rsidR="00C506EA" w:rsidRPr="000B1F89" w:rsidRDefault="00000000">
      <w:pPr>
        <w:spacing w:line="360" w:lineRule="auto"/>
        <w:jc w:val="center"/>
        <w:rPr>
          <w:sz w:val="24"/>
          <w:szCs w:val="24"/>
        </w:rPr>
      </w:pPr>
      <w:r w:rsidRPr="000B1F89">
        <w:rPr>
          <w:sz w:val="24"/>
          <w:szCs w:val="24"/>
        </w:rPr>
        <w:t>(Source: Kusuma, 2025)</w:t>
      </w:r>
    </w:p>
    <w:p w14:paraId="19B95E0E" w14:textId="77777777" w:rsidR="00C506EA" w:rsidRPr="000B1F89" w:rsidRDefault="00000000">
      <w:pPr>
        <w:spacing w:line="360" w:lineRule="auto"/>
        <w:jc w:val="both"/>
        <w:rPr>
          <w:sz w:val="24"/>
          <w:szCs w:val="24"/>
        </w:rPr>
      </w:pPr>
      <w:r w:rsidRPr="000B1F89">
        <w:rPr>
          <w:sz w:val="24"/>
          <w:szCs w:val="24"/>
        </w:rPr>
        <w:t xml:space="preserve">The presence of these regulations increases pressure on BHP for investing in the cleaner technologies as well as “low carbon production methods”. </w:t>
      </w:r>
    </w:p>
    <w:p w14:paraId="7759FD59" w14:textId="7E1B73AC" w:rsidR="00C506EA" w:rsidRPr="000B1F89" w:rsidRDefault="00000000">
      <w:pPr>
        <w:spacing w:line="360" w:lineRule="auto"/>
        <w:jc w:val="both"/>
        <w:rPr>
          <w:sz w:val="24"/>
          <w:szCs w:val="24"/>
        </w:rPr>
      </w:pPr>
      <w:r w:rsidRPr="000B1F89">
        <w:rPr>
          <w:sz w:val="24"/>
          <w:szCs w:val="24"/>
        </w:rPr>
        <w:t xml:space="preserve">However, in response to these regulations, BHP has aligned its corporate strategies strictly with the global and national climate objectives. The firm has made the </w:t>
      </w:r>
      <w:r w:rsidR="001A47DB" w:rsidRPr="000B1F89">
        <w:rPr>
          <w:sz w:val="24"/>
          <w:szCs w:val="24"/>
        </w:rPr>
        <w:t>commitment</w:t>
      </w:r>
      <w:r w:rsidRPr="000B1F89">
        <w:rPr>
          <w:sz w:val="24"/>
          <w:szCs w:val="24"/>
        </w:rPr>
        <w:t xml:space="preserve"> </w:t>
      </w:r>
      <w:r w:rsidRPr="000B1F89">
        <w:rPr>
          <w:sz w:val="24"/>
          <w:szCs w:val="24"/>
        </w:rPr>
        <w:lastRenderedPageBreak/>
        <w:t xml:space="preserve">to achieve net-zero operational emissions by 2050 and support the reduction of GHG emissions throughout its value chain. The commitment to integrate advanced steel-making technologies for reducing the emission intensity by 30% by 2030 and other commitments showcase how the regulatory expectations strongly influence product developments and investment decisions, along with marketing strategies (BHP, 2025). </w:t>
      </w:r>
    </w:p>
    <w:p w14:paraId="52593D5C" w14:textId="41466586" w:rsidR="00C506EA" w:rsidRPr="000B1F89" w:rsidRDefault="00000000">
      <w:pPr>
        <w:spacing w:line="360" w:lineRule="auto"/>
        <w:jc w:val="both"/>
        <w:rPr>
          <w:sz w:val="24"/>
          <w:szCs w:val="24"/>
        </w:rPr>
      </w:pPr>
      <w:r w:rsidRPr="000B1F89">
        <w:rPr>
          <w:sz w:val="24"/>
          <w:szCs w:val="24"/>
        </w:rPr>
        <w:t xml:space="preserve">However, regulatory environments are also responsible for developing challenges. Here, </w:t>
      </w:r>
      <w:proofErr w:type="spellStart"/>
      <w:r w:rsidRPr="000B1F89">
        <w:rPr>
          <w:sz w:val="24"/>
          <w:szCs w:val="24"/>
        </w:rPr>
        <w:t>decarbonisation</w:t>
      </w:r>
      <w:proofErr w:type="spellEnd"/>
      <w:r w:rsidRPr="000B1F89">
        <w:rPr>
          <w:sz w:val="24"/>
          <w:szCs w:val="24"/>
        </w:rPr>
        <w:t xml:space="preserve"> requires the adequate capital investment in the renewable energy, technologies for carbon reduction, electrification, and emissions monitoring systems</w:t>
      </w:r>
      <w:r w:rsidR="00D578B4" w:rsidRPr="000B1F89">
        <w:rPr>
          <w:sz w:val="24"/>
          <w:szCs w:val="24"/>
        </w:rPr>
        <w:t xml:space="preserve"> (</w:t>
      </w:r>
      <w:proofErr w:type="spellStart"/>
      <w:r w:rsidR="00D578B4" w:rsidRPr="000B1F89">
        <w:rPr>
          <w:sz w:val="24"/>
          <w:szCs w:val="24"/>
        </w:rPr>
        <w:t>Nekahi</w:t>
      </w:r>
      <w:proofErr w:type="spellEnd"/>
      <w:r w:rsidR="00D578B4" w:rsidRPr="000B1F89">
        <w:rPr>
          <w:sz w:val="24"/>
          <w:szCs w:val="24"/>
        </w:rPr>
        <w:t xml:space="preserve"> </w:t>
      </w:r>
      <w:r w:rsidR="00D578B4" w:rsidRPr="000B1F89">
        <w:rPr>
          <w:i/>
          <w:iCs/>
          <w:sz w:val="24"/>
          <w:szCs w:val="24"/>
        </w:rPr>
        <w:t>et al.,</w:t>
      </w:r>
      <w:r w:rsidR="00D578B4" w:rsidRPr="000B1F89">
        <w:rPr>
          <w:sz w:val="24"/>
          <w:szCs w:val="24"/>
        </w:rPr>
        <w:t xml:space="preserve"> 2025)</w:t>
      </w:r>
      <w:r w:rsidRPr="000B1F89">
        <w:rPr>
          <w:sz w:val="24"/>
          <w:szCs w:val="24"/>
        </w:rPr>
        <w:t xml:space="preserve">. The ability of </w:t>
      </w:r>
      <w:r w:rsidR="008771FB" w:rsidRPr="000B1F89">
        <w:rPr>
          <w:sz w:val="24"/>
          <w:szCs w:val="24"/>
        </w:rPr>
        <w:t xml:space="preserve">the </w:t>
      </w:r>
      <w:r w:rsidRPr="000B1F89">
        <w:rPr>
          <w:sz w:val="24"/>
          <w:szCs w:val="24"/>
        </w:rPr>
        <w:t xml:space="preserve">BHP to anticipate and respond properly to the regulatory changes can influence its long-term effectiveness quite suitably. </w:t>
      </w:r>
    </w:p>
    <w:p w14:paraId="7E5C98E5" w14:textId="77777777" w:rsidR="00AA097E" w:rsidRPr="000B1F89" w:rsidRDefault="00AA097E">
      <w:pPr>
        <w:rPr>
          <w:b/>
          <w:bCs/>
          <w:sz w:val="24"/>
          <w:szCs w:val="24"/>
        </w:rPr>
      </w:pPr>
      <w:r w:rsidRPr="000B1F89">
        <w:rPr>
          <w:b/>
          <w:bCs/>
          <w:sz w:val="24"/>
          <w:szCs w:val="24"/>
        </w:rPr>
        <w:br w:type="page"/>
      </w:r>
    </w:p>
    <w:p w14:paraId="4493E057" w14:textId="5EF8803D" w:rsidR="00C506EA" w:rsidRPr="000B1F89" w:rsidRDefault="00000000" w:rsidP="00711BB9">
      <w:pPr>
        <w:pStyle w:val="Heading1"/>
        <w:rPr>
          <w:color w:val="auto"/>
        </w:rPr>
      </w:pPr>
      <w:bookmarkStart w:id="2" w:name="_Toc233044871"/>
      <w:r w:rsidRPr="000B1F89">
        <w:rPr>
          <w:color w:val="auto"/>
        </w:rPr>
        <w:lastRenderedPageBreak/>
        <w:t>Task 2: Strategic Growth and Competitive Positioning</w:t>
      </w:r>
      <w:bookmarkEnd w:id="2"/>
      <w:r w:rsidRPr="000B1F89">
        <w:rPr>
          <w:color w:val="auto"/>
        </w:rPr>
        <w:t xml:space="preserve"> </w:t>
      </w:r>
    </w:p>
    <w:p w14:paraId="78125559" w14:textId="77777777" w:rsidR="00C506EA" w:rsidRPr="000B1F89" w:rsidRDefault="00000000" w:rsidP="00711BB9">
      <w:pPr>
        <w:pStyle w:val="Heading2"/>
        <w:rPr>
          <w:color w:val="auto"/>
        </w:rPr>
      </w:pPr>
      <w:bookmarkStart w:id="3" w:name="_Toc233044872"/>
      <w:r w:rsidRPr="000B1F89">
        <w:rPr>
          <w:color w:val="auto"/>
        </w:rPr>
        <w:t>2.1 Recommendation of a strategic growth approach</w:t>
      </w:r>
      <w:bookmarkEnd w:id="3"/>
      <w:r w:rsidRPr="000B1F89">
        <w:rPr>
          <w:color w:val="auto"/>
        </w:rPr>
        <w:t xml:space="preserve"> </w:t>
      </w:r>
    </w:p>
    <w:p w14:paraId="7B27B896" w14:textId="7573AED9" w:rsidR="00F41D15" w:rsidRPr="000B1F89" w:rsidRDefault="00000000">
      <w:pPr>
        <w:spacing w:line="360" w:lineRule="auto"/>
        <w:jc w:val="both"/>
        <w:rPr>
          <w:sz w:val="24"/>
          <w:szCs w:val="24"/>
        </w:rPr>
      </w:pPr>
      <w:r w:rsidRPr="000B1F89">
        <w:rPr>
          <w:sz w:val="24"/>
          <w:szCs w:val="24"/>
        </w:rPr>
        <w:t>The Ansoff Matrix is a strategic framework through which it is possible to identify the growth opportunities quite easily through market penetration, market development, product development, and diversification</w:t>
      </w:r>
      <w:r w:rsidR="00F41D15" w:rsidRPr="000B1F89">
        <w:rPr>
          <w:sz w:val="24"/>
          <w:szCs w:val="24"/>
        </w:rPr>
        <w:t xml:space="preserve"> (Zugay and Zakaria, 2023)</w:t>
      </w:r>
      <w:r w:rsidRPr="000B1F89">
        <w:rPr>
          <w:sz w:val="24"/>
          <w:szCs w:val="24"/>
        </w:rPr>
        <w:t xml:space="preserve">. </w:t>
      </w:r>
    </w:p>
    <w:p w14:paraId="061D6036" w14:textId="13D9F89C" w:rsidR="00F41D15" w:rsidRPr="000B1F89" w:rsidRDefault="00F41D15" w:rsidP="00F41D15">
      <w:pPr>
        <w:spacing w:line="360" w:lineRule="auto"/>
        <w:jc w:val="center"/>
        <w:rPr>
          <w:sz w:val="24"/>
          <w:szCs w:val="24"/>
        </w:rPr>
      </w:pPr>
      <w:r w:rsidRPr="000B1F89">
        <w:rPr>
          <w:noProof/>
        </w:rPr>
        <w:drawing>
          <wp:inline distT="0" distB="0" distL="0" distR="0" wp14:anchorId="4A83FFDE" wp14:editId="492AEA9B">
            <wp:extent cx="5943600" cy="3109595"/>
            <wp:effectExtent l="76200" t="76200" r="133350" b="128905"/>
            <wp:docPr id="819203346" name="Picture 1" descr="Understanding the Four Quadrants of the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Four Quadrants of the Ansoff Matr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109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51ADA9" w14:textId="61A4B722" w:rsidR="00F41D15" w:rsidRPr="000B1F89" w:rsidRDefault="00F41D15" w:rsidP="00F41D15">
      <w:pPr>
        <w:spacing w:line="360" w:lineRule="auto"/>
        <w:jc w:val="center"/>
        <w:rPr>
          <w:b/>
          <w:bCs/>
          <w:sz w:val="24"/>
          <w:szCs w:val="24"/>
        </w:rPr>
      </w:pPr>
      <w:r w:rsidRPr="000B1F89">
        <w:rPr>
          <w:b/>
          <w:bCs/>
          <w:sz w:val="24"/>
          <w:szCs w:val="24"/>
        </w:rPr>
        <w:t xml:space="preserve">Figure 5: Ansoff matrix </w:t>
      </w:r>
    </w:p>
    <w:p w14:paraId="6D940D30" w14:textId="2D7C1BE0" w:rsidR="00F41D15" w:rsidRPr="000B1F89" w:rsidRDefault="00F41D15" w:rsidP="00F41D15">
      <w:pPr>
        <w:spacing w:line="360" w:lineRule="auto"/>
        <w:jc w:val="center"/>
        <w:rPr>
          <w:sz w:val="24"/>
          <w:szCs w:val="24"/>
        </w:rPr>
      </w:pPr>
      <w:r w:rsidRPr="000B1F89">
        <w:rPr>
          <w:sz w:val="24"/>
          <w:szCs w:val="24"/>
        </w:rPr>
        <w:t>(Source: Thestrategyinstitute.org, 2024)</w:t>
      </w:r>
    </w:p>
    <w:p w14:paraId="625C8C25" w14:textId="0D462769" w:rsidR="00F41D15" w:rsidRPr="000B1F89" w:rsidRDefault="00000000">
      <w:pPr>
        <w:spacing w:line="360" w:lineRule="auto"/>
        <w:jc w:val="both"/>
        <w:rPr>
          <w:sz w:val="24"/>
          <w:szCs w:val="24"/>
        </w:rPr>
      </w:pPr>
      <w:r w:rsidRPr="000B1F89">
        <w:rPr>
          <w:sz w:val="24"/>
          <w:szCs w:val="24"/>
        </w:rPr>
        <w:t xml:space="preserve">From the above environmental analysis, it can be stated that </w:t>
      </w:r>
      <w:r w:rsidRPr="000B1F89">
        <w:rPr>
          <w:b/>
          <w:bCs/>
          <w:i/>
          <w:iCs/>
          <w:sz w:val="24"/>
          <w:szCs w:val="24"/>
        </w:rPr>
        <w:t xml:space="preserve">product development </w:t>
      </w:r>
      <w:r w:rsidRPr="000B1F89">
        <w:rPr>
          <w:sz w:val="24"/>
          <w:szCs w:val="24"/>
        </w:rPr>
        <w:t xml:space="preserve">is the most appropriate growth strategy for BHP, through which it can be possible to allow the </w:t>
      </w:r>
      <w:proofErr w:type="spellStart"/>
      <w:r w:rsidRPr="000B1F89">
        <w:rPr>
          <w:sz w:val="24"/>
          <w:szCs w:val="24"/>
        </w:rPr>
        <w:t>organisation</w:t>
      </w:r>
      <w:proofErr w:type="spellEnd"/>
      <w:r w:rsidRPr="000B1F89">
        <w:rPr>
          <w:sz w:val="24"/>
          <w:szCs w:val="24"/>
        </w:rPr>
        <w:t xml:space="preserve"> for introducing lower-carbon products along with the sustainable resource solutions to the existing consumers while responding to the increased environmental pressure. Rather than entering a new market, the firm must leverage its established position in the mining sector for developing certain products that can support the objectives related to </w:t>
      </w:r>
      <w:proofErr w:type="spellStart"/>
      <w:r w:rsidRPr="000B1F89">
        <w:rPr>
          <w:sz w:val="24"/>
          <w:szCs w:val="24"/>
        </w:rPr>
        <w:t>decarbonisation</w:t>
      </w:r>
      <w:proofErr w:type="spellEnd"/>
      <w:r w:rsidRPr="000B1F89">
        <w:rPr>
          <w:sz w:val="24"/>
          <w:szCs w:val="24"/>
        </w:rPr>
        <w:t xml:space="preserve"> and transition. </w:t>
      </w:r>
      <w:r w:rsidR="00F41D15" w:rsidRPr="000B1F89">
        <w:rPr>
          <w:sz w:val="24"/>
          <w:szCs w:val="24"/>
        </w:rPr>
        <w:t xml:space="preserve">As per the report, the mining waste management market size has reached US$219.83 billion in 2025 which is expected </w:t>
      </w:r>
      <w:r w:rsidR="00F41D15" w:rsidRPr="000B1F89">
        <w:rPr>
          <w:sz w:val="24"/>
          <w:szCs w:val="24"/>
        </w:rPr>
        <w:lastRenderedPageBreak/>
        <w:t>to reach US$235.39 billion at the end of 2026 and US$307.73 billion by 2030 with a CAGR of 6.9%, indicating the necessity for effective product development for BHP for reducing waste (</w:t>
      </w:r>
      <w:proofErr w:type="spellStart"/>
      <w:r w:rsidR="00F41D15" w:rsidRPr="000B1F89">
        <w:rPr>
          <w:sz w:val="24"/>
          <w:szCs w:val="24"/>
        </w:rPr>
        <w:t>Thebusinessresearchcompany</w:t>
      </w:r>
      <w:proofErr w:type="spellEnd"/>
      <w:r w:rsidR="00F41D15" w:rsidRPr="000B1F89">
        <w:rPr>
          <w:sz w:val="24"/>
          <w:szCs w:val="24"/>
        </w:rPr>
        <w:t xml:space="preserve">, 2026). </w:t>
      </w:r>
    </w:p>
    <w:p w14:paraId="32480519" w14:textId="029D7300" w:rsidR="00F41D15" w:rsidRPr="000B1F89" w:rsidRDefault="00F41D15" w:rsidP="00F41D15">
      <w:pPr>
        <w:spacing w:line="360" w:lineRule="auto"/>
        <w:jc w:val="center"/>
        <w:rPr>
          <w:sz w:val="24"/>
          <w:szCs w:val="24"/>
        </w:rPr>
      </w:pPr>
      <w:r w:rsidRPr="000B1F89">
        <w:rPr>
          <w:noProof/>
          <w:sz w:val="24"/>
          <w:szCs w:val="24"/>
        </w:rPr>
        <w:drawing>
          <wp:inline distT="0" distB="0" distL="0" distR="0" wp14:anchorId="6D517BF9" wp14:editId="57AEA8C1">
            <wp:extent cx="5044877" cy="3101609"/>
            <wp:effectExtent l="76200" t="76200" r="137160" b="137160"/>
            <wp:docPr id="2961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2630" name=""/>
                    <pic:cNvPicPr/>
                  </pic:nvPicPr>
                  <pic:blipFill>
                    <a:blip r:embed="rId13"/>
                    <a:stretch>
                      <a:fillRect/>
                    </a:stretch>
                  </pic:blipFill>
                  <pic:spPr>
                    <a:xfrm>
                      <a:off x="0" y="0"/>
                      <a:ext cx="5044877" cy="31016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75336C" w14:textId="7F566A6B" w:rsidR="00F41D15" w:rsidRPr="000B1F89" w:rsidRDefault="00F41D15" w:rsidP="00F41D15">
      <w:pPr>
        <w:spacing w:line="360" w:lineRule="auto"/>
        <w:jc w:val="center"/>
        <w:rPr>
          <w:b/>
          <w:bCs/>
          <w:sz w:val="24"/>
          <w:szCs w:val="24"/>
        </w:rPr>
      </w:pPr>
      <w:r w:rsidRPr="000B1F89">
        <w:rPr>
          <w:b/>
          <w:bCs/>
          <w:sz w:val="24"/>
          <w:szCs w:val="24"/>
        </w:rPr>
        <w:t xml:space="preserve">Figure 6: Mining waste management market </w:t>
      </w:r>
    </w:p>
    <w:p w14:paraId="5367B7D4" w14:textId="1EA06543" w:rsidR="00F41D15" w:rsidRPr="000B1F89" w:rsidRDefault="00F41D15" w:rsidP="00F41D15">
      <w:pPr>
        <w:spacing w:line="360" w:lineRule="auto"/>
        <w:jc w:val="center"/>
        <w:rPr>
          <w:sz w:val="24"/>
          <w:szCs w:val="24"/>
        </w:rPr>
      </w:pPr>
      <w:r w:rsidRPr="000B1F89">
        <w:rPr>
          <w:sz w:val="24"/>
          <w:szCs w:val="24"/>
        </w:rPr>
        <w:t xml:space="preserve">(Source: </w:t>
      </w:r>
      <w:proofErr w:type="spellStart"/>
      <w:r w:rsidRPr="000B1F89">
        <w:rPr>
          <w:sz w:val="24"/>
          <w:szCs w:val="24"/>
        </w:rPr>
        <w:t>Thebusinessresearchcompany</w:t>
      </w:r>
      <w:proofErr w:type="spellEnd"/>
      <w:r w:rsidRPr="000B1F89">
        <w:rPr>
          <w:sz w:val="24"/>
          <w:szCs w:val="24"/>
        </w:rPr>
        <w:t>, 2026)</w:t>
      </w:r>
    </w:p>
    <w:p w14:paraId="17C18754" w14:textId="428F0AE0" w:rsidR="00C506EA" w:rsidRPr="000B1F89" w:rsidRDefault="00000000">
      <w:pPr>
        <w:spacing w:line="360" w:lineRule="auto"/>
        <w:jc w:val="both"/>
        <w:rPr>
          <w:sz w:val="24"/>
          <w:szCs w:val="24"/>
        </w:rPr>
      </w:pPr>
      <w:r w:rsidRPr="000B1F89">
        <w:rPr>
          <w:sz w:val="24"/>
          <w:szCs w:val="24"/>
        </w:rPr>
        <w:t xml:space="preserve">Product development is mostly essential as demand patterns within the mining sectors are mostly transformed by the deployment of the renewable energy, electrification, and adequate </w:t>
      </w:r>
      <w:proofErr w:type="spellStart"/>
      <w:r w:rsidRPr="000B1F89">
        <w:rPr>
          <w:sz w:val="24"/>
          <w:szCs w:val="24"/>
        </w:rPr>
        <w:t>digitalisation</w:t>
      </w:r>
      <w:proofErr w:type="spellEnd"/>
      <w:r w:rsidRPr="000B1F89">
        <w:rPr>
          <w:sz w:val="24"/>
          <w:szCs w:val="24"/>
        </w:rPr>
        <w:t xml:space="preserve">. The portfolio of BHP is largely focused on the essential commodities for the low-carbon economy, such as copper. In 2025, the copper production of the firm increased by 8% to a record of over 2 million </w:t>
      </w:r>
      <w:r w:rsidR="001A47DB" w:rsidRPr="000B1F89">
        <w:rPr>
          <w:sz w:val="24"/>
          <w:szCs w:val="24"/>
        </w:rPr>
        <w:t>tons</w:t>
      </w:r>
      <w:r w:rsidRPr="000B1F89">
        <w:rPr>
          <w:sz w:val="24"/>
          <w:szCs w:val="24"/>
        </w:rPr>
        <w:t xml:space="preserve">, which helped to ensure a net operating cash inflow of US$18.7 billion, decreased by US$2.0 billion from the previous year (figure below). This is developed through “lower average </w:t>
      </w:r>
      <w:r w:rsidR="001A47DB" w:rsidRPr="000B1F89">
        <w:rPr>
          <w:sz w:val="24"/>
          <w:szCs w:val="24"/>
        </w:rPr>
        <w:t>realized</w:t>
      </w:r>
      <w:r w:rsidRPr="000B1F89">
        <w:rPr>
          <w:sz w:val="24"/>
          <w:szCs w:val="24"/>
        </w:rPr>
        <w:t xml:space="preserve"> prices’, inflationary impacts on the cost base and inventory movements, especially offset by the record copper production as well as foreign exchange movements (BHP, 2025). </w:t>
      </w:r>
    </w:p>
    <w:p w14:paraId="76715D3B" w14:textId="77777777" w:rsidR="00C506EA" w:rsidRPr="000B1F89" w:rsidRDefault="00000000">
      <w:pPr>
        <w:spacing w:line="360" w:lineRule="auto"/>
        <w:jc w:val="center"/>
        <w:rPr>
          <w:sz w:val="24"/>
          <w:szCs w:val="24"/>
        </w:rPr>
      </w:pPr>
      <w:r w:rsidRPr="000B1F89">
        <w:rPr>
          <w:noProof/>
          <w:sz w:val="24"/>
          <w:szCs w:val="24"/>
        </w:rPr>
        <w:lastRenderedPageBreak/>
        <w:drawing>
          <wp:inline distT="114300" distB="114300" distL="114300" distR="114300" wp14:anchorId="152BBE76" wp14:editId="4A367BC0">
            <wp:extent cx="5943600" cy="1638300"/>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943600" cy="1638300"/>
                    </a:xfrm>
                    <a:prstGeom prst="rect">
                      <a:avLst/>
                    </a:prstGeom>
                    <a:ln w="25400">
                      <a:solidFill>
                        <a:srgbClr val="000000"/>
                      </a:solidFill>
                      <a:prstDash val="solid"/>
                    </a:ln>
                  </pic:spPr>
                </pic:pic>
              </a:graphicData>
            </a:graphic>
          </wp:inline>
        </w:drawing>
      </w:r>
    </w:p>
    <w:p w14:paraId="761297B7" w14:textId="5C527FE8" w:rsidR="00C506EA" w:rsidRPr="000B1F89" w:rsidRDefault="00000000">
      <w:pPr>
        <w:spacing w:line="360" w:lineRule="auto"/>
        <w:jc w:val="center"/>
        <w:rPr>
          <w:b/>
          <w:bCs/>
          <w:sz w:val="24"/>
          <w:szCs w:val="24"/>
        </w:rPr>
      </w:pPr>
      <w:r w:rsidRPr="000B1F89">
        <w:rPr>
          <w:b/>
          <w:bCs/>
          <w:sz w:val="24"/>
          <w:szCs w:val="24"/>
        </w:rPr>
        <w:t xml:space="preserve">Figure </w:t>
      </w:r>
      <w:r w:rsidR="00D578B4" w:rsidRPr="000B1F89">
        <w:rPr>
          <w:b/>
          <w:bCs/>
          <w:sz w:val="24"/>
          <w:szCs w:val="24"/>
        </w:rPr>
        <w:t>7</w:t>
      </w:r>
      <w:r w:rsidRPr="000B1F89">
        <w:rPr>
          <w:b/>
          <w:bCs/>
          <w:sz w:val="24"/>
          <w:szCs w:val="24"/>
        </w:rPr>
        <w:t>: Cash flow statement by BHP in 2025</w:t>
      </w:r>
    </w:p>
    <w:p w14:paraId="42534E47" w14:textId="77777777" w:rsidR="00C506EA" w:rsidRPr="000B1F89" w:rsidRDefault="00000000">
      <w:pPr>
        <w:spacing w:line="360" w:lineRule="auto"/>
        <w:jc w:val="center"/>
        <w:rPr>
          <w:sz w:val="24"/>
          <w:szCs w:val="24"/>
        </w:rPr>
      </w:pPr>
      <w:r w:rsidRPr="000B1F89">
        <w:rPr>
          <w:sz w:val="24"/>
          <w:szCs w:val="24"/>
        </w:rPr>
        <w:t>(Source: BHP, 2025)</w:t>
      </w:r>
    </w:p>
    <w:p w14:paraId="10EECAF2" w14:textId="77777777" w:rsidR="00C506EA" w:rsidRPr="000B1F89" w:rsidRDefault="00000000">
      <w:pPr>
        <w:spacing w:line="360" w:lineRule="auto"/>
        <w:jc w:val="both"/>
        <w:rPr>
          <w:sz w:val="24"/>
          <w:szCs w:val="24"/>
        </w:rPr>
      </w:pPr>
      <w:r w:rsidRPr="000B1F89">
        <w:rPr>
          <w:sz w:val="24"/>
          <w:szCs w:val="24"/>
        </w:rPr>
        <w:t xml:space="preserve">This perception reflects the firm’s strategic emphasis on the commodities required for the renewable energy perceptions, EVs and electricity networks. </w:t>
      </w:r>
    </w:p>
    <w:p w14:paraId="33EC4E87" w14:textId="77777777" w:rsidR="00C506EA" w:rsidRPr="000B1F89" w:rsidRDefault="00000000">
      <w:pPr>
        <w:spacing w:line="360" w:lineRule="auto"/>
        <w:jc w:val="both"/>
        <w:rPr>
          <w:sz w:val="24"/>
          <w:szCs w:val="24"/>
        </w:rPr>
      </w:pPr>
      <w:r w:rsidRPr="000B1F89">
        <w:rPr>
          <w:sz w:val="24"/>
          <w:szCs w:val="24"/>
        </w:rPr>
        <w:t xml:space="preserve">The rationale for the product development is also strengthened by the existence of long-term opportunities in the market. BHP finds out Copper as the most relevant resource regarding electrification and the “renewable power infrastructure”. The firm also expands its copper portfolio through the greater investments in several projects like the “Vicuña joint venture” and growth initiatives at the Escondida and Copper South Australia. Based on the report, it has been identified that BHP has invested US$800 million (US$1.12 billion) for the Argentinian copper push, which is expected to deliver greater positive outcomes for the long-term (Brown, 2026). Through these projects, it is also expected to enhance the annual production capacity of the firm and strengthen the ability of BHP for supplying materials essential for the low-carbon technologies. </w:t>
      </w:r>
    </w:p>
    <w:p w14:paraId="0B8D55C1" w14:textId="50B6EA4B" w:rsidR="00C506EA" w:rsidRPr="000B1F89" w:rsidRDefault="00000000">
      <w:pPr>
        <w:spacing w:line="360" w:lineRule="auto"/>
        <w:jc w:val="both"/>
        <w:rPr>
          <w:sz w:val="24"/>
          <w:szCs w:val="24"/>
        </w:rPr>
      </w:pPr>
      <w:r w:rsidRPr="000B1F89">
        <w:rPr>
          <w:sz w:val="24"/>
          <w:szCs w:val="24"/>
        </w:rPr>
        <w:t xml:space="preserve">Moreover, through the product development strategy, the firm can be able to move beyond the outputs of traditional mining and create such values through the innovative products consuming low carbon. Partnership with the steel manufacturers also enables the firm for improving the cleaner steelmaking technologies along with raw material solutions with lower emissions. For instance, the “Steel </w:t>
      </w:r>
      <w:proofErr w:type="spellStart"/>
      <w:r w:rsidRPr="000B1F89">
        <w:rPr>
          <w:sz w:val="24"/>
          <w:szCs w:val="24"/>
        </w:rPr>
        <w:t>decarbonisation</w:t>
      </w:r>
      <w:proofErr w:type="spellEnd"/>
      <w:r w:rsidRPr="000B1F89">
        <w:rPr>
          <w:sz w:val="24"/>
          <w:szCs w:val="24"/>
        </w:rPr>
        <w:t xml:space="preserve"> framework” has been designed by BHP for describing the technology pathways to </w:t>
      </w:r>
      <w:r w:rsidR="001A47DB" w:rsidRPr="000B1F89">
        <w:rPr>
          <w:sz w:val="24"/>
          <w:szCs w:val="24"/>
        </w:rPr>
        <w:t>decarbonize</w:t>
      </w:r>
      <w:r w:rsidRPr="000B1F89">
        <w:rPr>
          <w:sz w:val="24"/>
          <w:szCs w:val="24"/>
        </w:rPr>
        <w:t xml:space="preserve"> the global integrated iron as well as steel industry (BHP, 2026). Across the firm’s partnerships with the POSCO, Tata Steel, JEE, HBIS and </w:t>
      </w:r>
      <w:proofErr w:type="spellStart"/>
      <w:r w:rsidRPr="000B1F89">
        <w:rPr>
          <w:sz w:val="24"/>
          <w:szCs w:val="24"/>
        </w:rPr>
        <w:t>Baowu</w:t>
      </w:r>
      <w:proofErr w:type="spellEnd"/>
      <w:r w:rsidRPr="000B1F89">
        <w:rPr>
          <w:sz w:val="24"/>
          <w:szCs w:val="24"/>
        </w:rPr>
        <w:t xml:space="preserve">, which are responsible for representing </w:t>
      </w:r>
      <w:r w:rsidRPr="000B1F89">
        <w:rPr>
          <w:sz w:val="24"/>
          <w:szCs w:val="24"/>
        </w:rPr>
        <w:lastRenderedPageBreak/>
        <w:t xml:space="preserve">approximately 13% of the global “steel production capacity”, the firm is capable of </w:t>
      </w:r>
      <w:r w:rsidR="00711BB9" w:rsidRPr="000B1F89">
        <w:rPr>
          <w:sz w:val="24"/>
          <w:szCs w:val="24"/>
        </w:rPr>
        <w:t>incentivizing</w:t>
      </w:r>
      <w:r w:rsidRPr="000B1F89">
        <w:rPr>
          <w:sz w:val="24"/>
          <w:szCs w:val="24"/>
        </w:rPr>
        <w:t xml:space="preserve"> its sustainability perceptions (figure </w:t>
      </w:r>
      <w:r w:rsidR="00D578B4" w:rsidRPr="000B1F89">
        <w:rPr>
          <w:sz w:val="24"/>
          <w:szCs w:val="24"/>
        </w:rPr>
        <w:t>8</w:t>
      </w:r>
      <w:r w:rsidRPr="000B1F89">
        <w:rPr>
          <w:sz w:val="24"/>
          <w:szCs w:val="24"/>
        </w:rPr>
        <w:t xml:space="preserve">). </w:t>
      </w:r>
    </w:p>
    <w:p w14:paraId="481F963E" w14:textId="77777777" w:rsidR="00C506EA" w:rsidRPr="000B1F89" w:rsidRDefault="00000000">
      <w:pPr>
        <w:spacing w:line="360" w:lineRule="auto"/>
        <w:jc w:val="center"/>
        <w:rPr>
          <w:sz w:val="24"/>
          <w:szCs w:val="24"/>
        </w:rPr>
      </w:pPr>
      <w:r w:rsidRPr="000B1F89">
        <w:rPr>
          <w:noProof/>
          <w:sz w:val="24"/>
          <w:szCs w:val="24"/>
        </w:rPr>
        <w:drawing>
          <wp:inline distT="114300" distB="114300" distL="114300" distR="114300" wp14:anchorId="27364826" wp14:editId="687A93A6">
            <wp:extent cx="5943600" cy="5702300"/>
            <wp:effectExtent l="25400" t="25400" r="25400" b="254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943600" cy="5702300"/>
                    </a:xfrm>
                    <a:prstGeom prst="rect">
                      <a:avLst/>
                    </a:prstGeom>
                    <a:ln w="25400">
                      <a:solidFill>
                        <a:srgbClr val="000000"/>
                      </a:solidFill>
                      <a:prstDash val="solid"/>
                    </a:ln>
                  </pic:spPr>
                </pic:pic>
              </a:graphicData>
            </a:graphic>
          </wp:inline>
        </w:drawing>
      </w:r>
    </w:p>
    <w:p w14:paraId="7ED3AD26" w14:textId="13728D7C" w:rsidR="00C506EA" w:rsidRPr="000B1F89" w:rsidRDefault="00000000">
      <w:pPr>
        <w:spacing w:line="360" w:lineRule="auto"/>
        <w:jc w:val="center"/>
        <w:rPr>
          <w:b/>
          <w:bCs/>
          <w:sz w:val="24"/>
          <w:szCs w:val="24"/>
        </w:rPr>
      </w:pPr>
      <w:r w:rsidRPr="000B1F89">
        <w:rPr>
          <w:b/>
          <w:bCs/>
          <w:sz w:val="24"/>
          <w:szCs w:val="24"/>
        </w:rPr>
        <w:t xml:space="preserve">Figure </w:t>
      </w:r>
      <w:r w:rsidR="00D578B4" w:rsidRPr="000B1F89">
        <w:rPr>
          <w:b/>
          <w:bCs/>
          <w:sz w:val="24"/>
          <w:szCs w:val="24"/>
        </w:rPr>
        <w:t>8</w:t>
      </w:r>
      <w:r w:rsidRPr="000B1F89">
        <w:rPr>
          <w:b/>
          <w:bCs/>
          <w:sz w:val="24"/>
          <w:szCs w:val="24"/>
        </w:rPr>
        <w:t xml:space="preserve">: Steel </w:t>
      </w:r>
      <w:proofErr w:type="spellStart"/>
      <w:r w:rsidRPr="000B1F89">
        <w:rPr>
          <w:b/>
          <w:bCs/>
          <w:sz w:val="24"/>
          <w:szCs w:val="24"/>
        </w:rPr>
        <w:t>decarbonisation</w:t>
      </w:r>
      <w:proofErr w:type="spellEnd"/>
      <w:r w:rsidRPr="000B1F89">
        <w:rPr>
          <w:b/>
          <w:bCs/>
          <w:sz w:val="24"/>
          <w:szCs w:val="24"/>
        </w:rPr>
        <w:t xml:space="preserve"> framework by BHP </w:t>
      </w:r>
    </w:p>
    <w:p w14:paraId="19A688D6" w14:textId="77777777" w:rsidR="00C506EA" w:rsidRPr="000B1F89" w:rsidRDefault="00000000">
      <w:pPr>
        <w:spacing w:line="360" w:lineRule="auto"/>
        <w:jc w:val="center"/>
        <w:rPr>
          <w:sz w:val="24"/>
          <w:szCs w:val="24"/>
        </w:rPr>
      </w:pPr>
      <w:r w:rsidRPr="000B1F89">
        <w:rPr>
          <w:sz w:val="24"/>
          <w:szCs w:val="24"/>
        </w:rPr>
        <w:t>(Source: BHP, 2026)</w:t>
      </w:r>
    </w:p>
    <w:p w14:paraId="24DC414D" w14:textId="42577FC4" w:rsidR="00C506EA" w:rsidRPr="000B1F89" w:rsidRDefault="00000000">
      <w:pPr>
        <w:spacing w:line="360" w:lineRule="auto"/>
        <w:jc w:val="both"/>
        <w:rPr>
          <w:sz w:val="24"/>
          <w:szCs w:val="24"/>
        </w:rPr>
      </w:pPr>
      <w:r w:rsidRPr="000B1F89">
        <w:rPr>
          <w:sz w:val="24"/>
          <w:szCs w:val="24"/>
        </w:rPr>
        <w:t xml:space="preserve">This strategy seems to be well aligned with the evolving expectations of the customers, as manufacturers require such sustainable inputs for reducing their carbon footprints. By offering certain products which strongly contribute to the </w:t>
      </w:r>
      <w:proofErr w:type="spellStart"/>
      <w:r w:rsidRPr="000B1F89">
        <w:rPr>
          <w:sz w:val="24"/>
          <w:szCs w:val="24"/>
        </w:rPr>
        <w:t>decarbonisation</w:t>
      </w:r>
      <w:proofErr w:type="spellEnd"/>
      <w:r w:rsidRPr="000B1F89">
        <w:rPr>
          <w:sz w:val="24"/>
          <w:szCs w:val="24"/>
        </w:rPr>
        <w:t xml:space="preserve"> perception </w:t>
      </w:r>
      <w:r w:rsidRPr="000B1F89">
        <w:rPr>
          <w:sz w:val="24"/>
          <w:szCs w:val="24"/>
        </w:rPr>
        <w:lastRenderedPageBreak/>
        <w:t xml:space="preserve">throughout the value chain, the BHP can be able to develop greater consumer connections. </w:t>
      </w:r>
      <w:r w:rsidR="008771FB" w:rsidRPr="000B1F89">
        <w:rPr>
          <w:sz w:val="24"/>
          <w:szCs w:val="24"/>
        </w:rPr>
        <w:t xml:space="preserve">Moreover, the potential pathway to the firm’s operational GHG emissions long-term net zero goal beyond FY2030 will also require displacement of diesel emissions from mining vehicles and 100% low to zero GHG emissions electricity (figure below). </w:t>
      </w:r>
    </w:p>
    <w:p w14:paraId="7FF797F7" w14:textId="689109DC" w:rsidR="008771FB" w:rsidRPr="000B1F89" w:rsidRDefault="008771FB" w:rsidP="008771FB">
      <w:pPr>
        <w:spacing w:line="360" w:lineRule="auto"/>
        <w:jc w:val="center"/>
        <w:rPr>
          <w:sz w:val="24"/>
          <w:szCs w:val="24"/>
        </w:rPr>
      </w:pPr>
      <w:r w:rsidRPr="000B1F89">
        <w:rPr>
          <w:noProof/>
          <w:sz w:val="24"/>
          <w:szCs w:val="24"/>
        </w:rPr>
        <w:drawing>
          <wp:inline distT="0" distB="0" distL="0" distR="0" wp14:anchorId="1F341BEF" wp14:editId="5766A1E2">
            <wp:extent cx="5943600" cy="2510155"/>
            <wp:effectExtent l="76200" t="76200" r="133350" b="137795"/>
            <wp:docPr id="1003792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792335" name=""/>
                    <pic:cNvPicPr/>
                  </pic:nvPicPr>
                  <pic:blipFill>
                    <a:blip r:embed="rId16"/>
                    <a:stretch>
                      <a:fillRect/>
                    </a:stretch>
                  </pic:blipFill>
                  <pic:spPr>
                    <a:xfrm>
                      <a:off x="0" y="0"/>
                      <a:ext cx="5943600" cy="2510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CCF04D" w14:textId="103DFBE1" w:rsidR="008771FB" w:rsidRPr="000B1F89" w:rsidRDefault="008771FB" w:rsidP="008771FB">
      <w:pPr>
        <w:spacing w:line="360" w:lineRule="auto"/>
        <w:jc w:val="center"/>
        <w:rPr>
          <w:b/>
          <w:bCs/>
          <w:sz w:val="24"/>
          <w:szCs w:val="24"/>
        </w:rPr>
      </w:pPr>
      <w:r w:rsidRPr="000B1F89">
        <w:rPr>
          <w:b/>
          <w:bCs/>
          <w:sz w:val="24"/>
          <w:szCs w:val="24"/>
        </w:rPr>
        <w:t xml:space="preserve">Figure 9: Projected pathway to BHP’s medium-term target for operational GHG emissions </w:t>
      </w:r>
    </w:p>
    <w:p w14:paraId="0BB64900" w14:textId="3F8FD728" w:rsidR="008771FB" w:rsidRPr="000B1F89" w:rsidRDefault="008771FB" w:rsidP="008771FB">
      <w:pPr>
        <w:spacing w:line="360" w:lineRule="auto"/>
        <w:jc w:val="center"/>
        <w:rPr>
          <w:sz w:val="24"/>
          <w:szCs w:val="24"/>
        </w:rPr>
      </w:pPr>
      <w:r w:rsidRPr="000B1F89">
        <w:rPr>
          <w:sz w:val="24"/>
          <w:szCs w:val="24"/>
        </w:rPr>
        <w:t>(Source: BHP, 2026)</w:t>
      </w:r>
    </w:p>
    <w:p w14:paraId="30C1EC5C" w14:textId="31CD5D3E" w:rsidR="00C506EA" w:rsidRPr="000B1F89" w:rsidRDefault="00000000">
      <w:pPr>
        <w:spacing w:line="360" w:lineRule="auto"/>
        <w:jc w:val="both"/>
        <w:rPr>
          <w:sz w:val="24"/>
          <w:szCs w:val="24"/>
        </w:rPr>
      </w:pPr>
      <w:r w:rsidRPr="000B1F89">
        <w:rPr>
          <w:sz w:val="24"/>
          <w:szCs w:val="24"/>
        </w:rPr>
        <w:t xml:space="preserve">However, risk areas are also there as product development strategy requires a high investment of the capital and long developmental periods. In this regard, focus can be provided on the BHP’s Jansen potash project as the total investment for Stage 1 of this project would be expected to increase US$8.4 billion (BHP, 2026). Moreover, the first production schedule has reverted to the original schedule of </w:t>
      </w:r>
      <w:r w:rsidR="001A47DB" w:rsidRPr="000B1F89">
        <w:rPr>
          <w:sz w:val="24"/>
          <w:szCs w:val="24"/>
        </w:rPr>
        <w:t>mid-2027</w:t>
      </w:r>
      <w:r w:rsidRPr="000B1F89">
        <w:rPr>
          <w:sz w:val="24"/>
          <w:szCs w:val="24"/>
        </w:rPr>
        <w:t xml:space="preserve">. </w:t>
      </w:r>
    </w:p>
    <w:p w14:paraId="1A95408B" w14:textId="77777777" w:rsidR="00C506EA" w:rsidRPr="000B1F89" w:rsidRDefault="00000000" w:rsidP="00711BB9">
      <w:pPr>
        <w:pStyle w:val="Heading2"/>
        <w:rPr>
          <w:color w:val="auto"/>
        </w:rPr>
      </w:pPr>
      <w:bookmarkStart w:id="4" w:name="_Toc233044873"/>
      <w:r w:rsidRPr="000B1F89">
        <w:rPr>
          <w:color w:val="auto"/>
        </w:rPr>
        <w:t>2.2 Achieving the competitive edge through the lower-carbon business model</w:t>
      </w:r>
      <w:bookmarkEnd w:id="4"/>
      <w:r w:rsidRPr="000B1F89">
        <w:rPr>
          <w:color w:val="auto"/>
        </w:rPr>
        <w:t xml:space="preserve"> </w:t>
      </w:r>
    </w:p>
    <w:p w14:paraId="6AD9D408" w14:textId="77777777" w:rsidR="00C506EA" w:rsidRPr="000B1F89" w:rsidRDefault="00000000">
      <w:pPr>
        <w:spacing w:line="360" w:lineRule="auto"/>
        <w:jc w:val="both"/>
        <w:rPr>
          <w:sz w:val="24"/>
          <w:szCs w:val="24"/>
        </w:rPr>
      </w:pPr>
      <w:r w:rsidRPr="000B1F89">
        <w:rPr>
          <w:sz w:val="24"/>
          <w:szCs w:val="24"/>
        </w:rPr>
        <w:t xml:space="preserve">BHP can acquire a competitive advantage by deploying sustainability within its business model and positioning itself as the leading supplier of resources essential for the global low-carbon transition. One of the significant advantages for the firm is its </w:t>
      </w:r>
      <w:r w:rsidRPr="000B1F89">
        <w:rPr>
          <w:b/>
          <w:bCs/>
          <w:i/>
          <w:iCs/>
          <w:sz w:val="24"/>
          <w:szCs w:val="24"/>
        </w:rPr>
        <w:t>core focus on critical minerals like potash and copper</w:t>
      </w:r>
      <w:r w:rsidRPr="000B1F89">
        <w:rPr>
          <w:sz w:val="24"/>
          <w:szCs w:val="24"/>
        </w:rPr>
        <w:t xml:space="preserve"> that are essential for the renewable energy systems, such as EVs and sustainable agriculture. As per the report, renewable power </w:t>
      </w:r>
      <w:r w:rsidRPr="000B1F89">
        <w:rPr>
          <w:sz w:val="24"/>
          <w:szCs w:val="24"/>
        </w:rPr>
        <w:lastRenderedPageBreak/>
        <w:t xml:space="preserve">capacity is projected to increase nearly 4,600 GW between 2025 and 2030, and the PV utility is expected to reach 2,046 GW between these years (IEA, 2025).  </w:t>
      </w:r>
    </w:p>
    <w:p w14:paraId="41A8384F" w14:textId="77777777" w:rsidR="00C506EA" w:rsidRPr="000B1F89" w:rsidRDefault="00000000">
      <w:pPr>
        <w:spacing w:line="360" w:lineRule="auto"/>
        <w:jc w:val="center"/>
        <w:rPr>
          <w:sz w:val="24"/>
          <w:szCs w:val="24"/>
        </w:rPr>
      </w:pPr>
      <w:r w:rsidRPr="000B1F89">
        <w:rPr>
          <w:noProof/>
          <w:sz w:val="24"/>
          <w:szCs w:val="24"/>
        </w:rPr>
        <w:drawing>
          <wp:inline distT="114300" distB="114300" distL="114300" distR="114300" wp14:anchorId="417F29D6" wp14:editId="4674CB1D">
            <wp:extent cx="5943600" cy="2768600"/>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943600" cy="2768600"/>
                    </a:xfrm>
                    <a:prstGeom prst="rect">
                      <a:avLst/>
                    </a:prstGeom>
                    <a:ln w="25400">
                      <a:solidFill>
                        <a:srgbClr val="000000"/>
                      </a:solidFill>
                      <a:prstDash val="solid"/>
                    </a:ln>
                  </pic:spPr>
                </pic:pic>
              </a:graphicData>
            </a:graphic>
          </wp:inline>
        </w:drawing>
      </w:r>
    </w:p>
    <w:p w14:paraId="6D84FCD9" w14:textId="6B5C78BB" w:rsidR="00C506EA" w:rsidRPr="000B1F89" w:rsidRDefault="00000000">
      <w:pPr>
        <w:spacing w:line="360" w:lineRule="auto"/>
        <w:jc w:val="center"/>
        <w:rPr>
          <w:b/>
          <w:bCs/>
          <w:sz w:val="24"/>
          <w:szCs w:val="24"/>
        </w:rPr>
      </w:pPr>
      <w:r w:rsidRPr="000B1F89">
        <w:rPr>
          <w:b/>
          <w:bCs/>
          <w:sz w:val="24"/>
          <w:szCs w:val="24"/>
        </w:rPr>
        <w:t xml:space="preserve">Figure </w:t>
      </w:r>
      <w:r w:rsidR="008771FB" w:rsidRPr="000B1F89">
        <w:rPr>
          <w:b/>
          <w:bCs/>
          <w:sz w:val="24"/>
          <w:szCs w:val="24"/>
        </w:rPr>
        <w:t>10</w:t>
      </w:r>
      <w:r w:rsidRPr="000B1F89">
        <w:rPr>
          <w:b/>
          <w:bCs/>
          <w:sz w:val="24"/>
          <w:szCs w:val="24"/>
        </w:rPr>
        <w:t>: Renewable electricity capacity growth by technology segment from 2013 to 2030</w:t>
      </w:r>
    </w:p>
    <w:p w14:paraId="21E4FBFB" w14:textId="77777777" w:rsidR="00C506EA" w:rsidRPr="000B1F89" w:rsidRDefault="00000000">
      <w:pPr>
        <w:spacing w:line="360" w:lineRule="auto"/>
        <w:jc w:val="center"/>
        <w:rPr>
          <w:sz w:val="24"/>
          <w:szCs w:val="24"/>
        </w:rPr>
      </w:pPr>
      <w:r w:rsidRPr="000B1F89">
        <w:rPr>
          <w:sz w:val="24"/>
          <w:szCs w:val="24"/>
        </w:rPr>
        <w:t>(Source: IEA, 2025)</w:t>
      </w:r>
    </w:p>
    <w:p w14:paraId="68A39C6E" w14:textId="400E7194" w:rsidR="00C506EA" w:rsidRPr="000B1F89" w:rsidRDefault="00000000">
      <w:pPr>
        <w:spacing w:line="360" w:lineRule="auto"/>
        <w:jc w:val="both"/>
        <w:rPr>
          <w:sz w:val="24"/>
          <w:szCs w:val="24"/>
        </w:rPr>
      </w:pPr>
      <w:r w:rsidRPr="000B1F89">
        <w:rPr>
          <w:sz w:val="24"/>
          <w:szCs w:val="24"/>
        </w:rPr>
        <w:t xml:space="preserve">Moreover, global renewable energy capacity seemed to surge by 700 GW in 2025, showcasing the largest annual increase in history (Gupta, 2026). This type of rapid expansion is expected to facilitate the substantial demand for the minerals, and by increasing production of these resources, BHP can be able to strongly </w:t>
      </w:r>
      <w:r w:rsidR="001A47DB" w:rsidRPr="000B1F89">
        <w:rPr>
          <w:sz w:val="24"/>
          <w:szCs w:val="24"/>
        </w:rPr>
        <w:t>capitalize</w:t>
      </w:r>
      <w:r w:rsidRPr="000B1F89">
        <w:rPr>
          <w:sz w:val="24"/>
          <w:szCs w:val="24"/>
        </w:rPr>
        <w:t xml:space="preserve"> on the growth market. </w:t>
      </w:r>
    </w:p>
    <w:p w14:paraId="67B51667" w14:textId="050E7CD0" w:rsidR="00C506EA" w:rsidRPr="000B1F89" w:rsidRDefault="00000000">
      <w:pPr>
        <w:spacing w:line="360" w:lineRule="auto"/>
        <w:jc w:val="both"/>
        <w:rPr>
          <w:sz w:val="24"/>
          <w:szCs w:val="24"/>
        </w:rPr>
      </w:pPr>
      <w:r w:rsidRPr="000B1F89">
        <w:rPr>
          <w:sz w:val="24"/>
          <w:szCs w:val="24"/>
        </w:rPr>
        <w:t xml:space="preserve">BHP can also strengthen its competitive position through the </w:t>
      </w:r>
      <w:r w:rsidRPr="000B1F89">
        <w:rPr>
          <w:b/>
          <w:bCs/>
          <w:i/>
          <w:iCs/>
          <w:sz w:val="24"/>
          <w:szCs w:val="24"/>
        </w:rPr>
        <w:t>operational efficiency and technical innovation</w:t>
      </w:r>
      <w:r w:rsidRPr="000B1F89">
        <w:rPr>
          <w:sz w:val="24"/>
          <w:szCs w:val="24"/>
        </w:rPr>
        <w:t>. The firm already invests in electrification, automation and renewable energy projects for reducing the operational emissions and improving the area of productivity (BHP, 2025</w:t>
      </w:r>
      <w:r w:rsidR="001741DF" w:rsidRPr="000B1F89">
        <w:rPr>
          <w:sz w:val="24"/>
          <w:szCs w:val="24"/>
        </w:rPr>
        <w:t xml:space="preserve">; Kennedy </w:t>
      </w:r>
      <w:r w:rsidR="001741DF" w:rsidRPr="000B1F89">
        <w:rPr>
          <w:i/>
          <w:iCs/>
          <w:sz w:val="24"/>
          <w:szCs w:val="24"/>
        </w:rPr>
        <w:t>et al</w:t>
      </w:r>
      <w:r w:rsidR="001741DF" w:rsidRPr="000B1F89">
        <w:rPr>
          <w:sz w:val="24"/>
          <w:szCs w:val="24"/>
        </w:rPr>
        <w:t>., 2026</w:t>
      </w:r>
      <w:r w:rsidRPr="000B1F89">
        <w:rPr>
          <w:sz w:val="24"/>
          <w:szCs w:val="24"/>
        </w:rPr>
        <w:t xml:space="preserve">). </w:t>
      </w:r>
    </w:p>
    <w:p w14:paraId="29296395" w14:textId="6EC5034E" w:rsidR="00C506EA" w:rsidRPr="000B1F89" w:rsidRDefault="00000000">
      <w:pPr>
        <w:spacing w:line="360" w:lineRule="auto"/>
        <w:jc w:val="both"/>
        <w:rPr>
          <w:sz w:val="24"/>
          <w:szCs w:val="24"/>
        </w:rPr>
      </w:pPr>
      <w:r w:rsidRPr="000B1F89">
        <w:rPr>
          <w:sz w:val="24"/>
          <w:szCs w:val="24"/>
        </w:rPr>
        <w:t>Another major source of competitive advantage for BHP is the</w:t>
      </w:r>
      <w:r w:rsidRPr="000B1F89">
        <w:rPr>
          <w:b/>
          <w:bCs/>
          <w:i/>
          <w:iCs/>
          <w:sz w:val="24"/>
          <w:szCs w:val="24"/>
        </w:rPr>
        <w:t xml:space="preserve"> greater access to sustainable finance</w:t>
      </w:r>
      <w:r w:rsidRPr="000B1F89">
        <w:rPr>
          <w:sz w:val="24"/>
          <w:szCs w:val="24"/>
        </w:rPr>
        <w:t xml:space="preserve">. The report shows that the record global energy investment </w:t>
      </w:r>
      <w:r w:rsidR="001A47DB" w:rsidRPr="000B1F89">
        <w:rPr>
          <w:sz w:val="24"/>
          <w:szCs w:val="24"/>
        </w:rPr>
        <w:t>reached</w:t>
      </w:r>
      <w:r w:rsidRPr="000B1F89">
        <w:rPr>
          <w:sz w:val="24"/>
          <w:szCs w:val="24"/>
        </w:rPr>
        <w:t xml:space="preserve"> US$3.3 trillion in 2025, reflecting the increased support of the investors to ensure eco-friendly business (World Economic Forum, 2026). If BHP can demonstrate credible </w:t>
      </w:r>
      <w:r w:rsidRPr="000B1F89">
        <w:rPr>
          <w:sz w:val="24"/>
          <w:szCs w:val="24"/>
        </w:rPr>
        <w:lastRenderedPageBreak/>
        <w:t xml:space="preserve">decarbonization strategies, then there will be a possibility to attract investment and secure funding for the future projects. </w:t>
      </w:r>
    </w:p>
    <w:p w14:paraId="7C37F9B2" w14:textId="77777777" w:rsidR="00AA097E" w:rsidRPr="000B1F89" w:rsidRDefault="00AA097E">
      <w:pPr>
        <w:rPr>
          <w:b/>
          <w:bCs/>
          <w:sz w:val="24"/>
          <w:szCs w:val="24"/>
        </w:rPr>
      </w:pPr>
      <w:r w:rsidRPr="000B1F89">
        <w:rPr>
          <w:b/>
          <w:bCs/>
          <w:sz w:val="24"/>
          <w:szCs w:val="24"/>
        </w:rPr>
        <w:br w:type="page"/>
      </w:r>
    </w:p>
    <w:p w14:paraId="33DE0FC4" w14:textId="4162893E" w:rsidR="00C506EA" w:rsidRPr="000B1F89" w:rsidRDefault="00000000" w:rsidP="00711BB9">
      <w:pPr>
        <w:pStyle w:val="Heading1"/>
        <w:rPr>
          <w:color w:val="auto"/>
        </w:rPr>
      </w:pPr>
      <w:bookmarkStart w:id="5" w:name="_Toc233044874"/>
      <w:r w:rsidRPr="000B1F89">
        <w:rPr>
          <w:color w:val="auto"/>
        </w:rPr>
        <w:lastRenderedPageBreak/>
        <w:t>Task 3: Critical Reflection on AI Usage</w:t>
      </w:r>
      <w:bookmarkEnd w:id="5"/>
      <w:r w:rsidRPr="000B1F89">
        <w:rPr>
          <w:color w:val="auto"/>
        </w:rPr>
        <w:t xml:space="preserve"> </w:t>
      </w:r>
    </w:p>
    <w:p w14:paraId="690F945D" w14:textId="77777777" w:rsidR="00C506EA" w:rsidRPr="000B1F89" w:rsidRDefault="00000000" w:rsidP="00711BB9">
      <w:pPr>
        <w:pStyle w:val="Heading2"/>
        <w:rPr>
          <w:color w:val="auto"/>
        </w:rPr>
      </w:pPr>
      <w:bookmarkStart w:id="6" w:name="_Toc233044875"/>
      <w:r w:rsidRPr="000B1F89">
        <w:rPr>
          <w:color w:val="auto"/>
        </w:rPr>
        <w:t>a. Tool Disclosure</w:t>
      </w:r>
      <w:bookmarkEnd w:id="6"/>
      <w:r w:rsidRPr="000B1F89">
        <w:rPr>
          <w:color w:val="auto"/>
        </w:rPr>
        <w:t xml:space="preserve"> </w:t>
      </w:r>
    </w:p>
    <w:p w14:paraId="15BB9C8A" w14:textId="78BB184C" w:rsidR="00C506EA" w:rsidRPr="000B1F89" w:rsidRDefault="00000000">
      <w:pPr>
        <w:spacing w:line="360" w:lineRule="auto"/>
        <w:jc w:val="both"/>
        <w:rPr>
          <w:sz w:val="24"/>
          <w:szCs w:val="24"/>
        </w:rPr>
      </w:pPr>
      <w:r w:rsidRPr="000B1F89">
        <w:rPr>
          <w:sz w:val="24"/>
          <w:szCs w:val="24"/>
        </w:rPr>
        <w:t>AI was used in a limited as well as supportive capacity at the time of preparing the report, and ChatGPT was taken into focus mainly for identifying the existing grammatical errors in the write-up, improving the structure of the sentences, enhancing the clarity and ensuring the report maintained a proper academic writing style</w:t>
      </w:r>
      <w:r w:rsidR="001741DF" w:rsidRPr="000B1F89">
        <w:rPr>
          <w:sz w:val="24"/>
          <w:szCs w:val="24"/>
        </w:rPr>
        <w:t xml:space="preserve"> (</w:t>
      </w:r>
      <w:proofErr w:type="spellStart"/>
      <w:r w:rsidR="001741DF" w:rsidRPr="000B1F89">
        <w:rPr>
          <w:sz w:val="24"/>
          <w:szCs w:val="24"/>
        </w:rPr>
        <w:t>Mosaiyebzadeh</w:t>
      </w:r>
      <w:proofErr w:type="spellEnd"/>
      <w:r w:rsidR="001741DF" w:rsidRPr="000B1F89">
        <w:rPr>
          <w:sz w:val="24"/>
          <w:szCs w:val="24"/>
        </w:rPr>
        <w:t xml:space="preserve"> </w:t>
      </w:r>
      <w:r w:rsidR="001741DF" w:rsidRPr="000B1F89">
        <w:rPr>
          <w:i/>
          <w:iCs/>
          <w:sz w:val="24"/>
          <w:szCs w:val="24"/>
        </w:rPr>
        <w:t>et al.,</w:t>
      </w:r>
      <w:r w:rsidR="001741DF" w:rsidRPr="000B1F89">
        <w:rPr>
          <w:sz w:val="24"/>
          <w:szCs w:val="24"/>
        </w:rPr>
        <w:t xml:space="preserve"> 2023)</w:t>
      </w:r>
      <w:r w:rsidRPr="000B1F89">
        <w:rPr>
          <w:sz w:val="24"/>
          <w:szCs w:val="24"/>
        </w:rPr>
        <w:t xml:space="preserve">. Apart from that, the tool was also used as the research-support mechanism for exploring the suitability of the strategic frameworks which were relevant for this research. For instance, a consultation with ChatGPT has been </w:t>
      </w:r>
      <w:r w:rsidR="001A47DB" w:rsidRPr="000B1F89">
        <w:rPr>
          <w:sz w:val="24"/>
          <w:szCs w:val="24"/>
        </w:rPr>
        <w:t>conducted to compare</w:t>
      </w:r>
      <w:r w:rsidRPr="000B1F89">
        <w:rPr>
          <w:sz w:val="24"/>
          <w:szCs w:val="24"/>
        </w:rPr>
        <w:t xml:space="preserve"> the Ansoff Matrix and Porter’s Generic Strategies in order to find out which one best aligns with the requirements of the assessment. The evidence has been provided below: </w:t>
      </w:r>
    </w:p>
    <w:p w14:paraId="59710B0F" w14:textId="77777777" w:rsidR="00C506EA" w:rsidRPr="000B1F89" w:rsidRDefault="00000000">
      <w:pPr>
        <w:spacing w:line="360" w:lineRule="auto"/>
        <w:jc w:val="center"/>
        <w:rPr>
          <w:sz w:val="24"/>
          <w:szCs w:val="24"/>
        </w:rPr>
      </w:pPr>
      <w:r w:rsidRPr="000B1F89">
        <w:rPr>
          <w:noProof/>
          <w:sz w:val="24"/>
          <w:szCs w:val="24"/>
        </w:rPr>
        <w:drawing>
          <wp:inline distT="114300" distB="114300" distL="114300" distR="114300" wp14:anchorId="09A0DF3F" wp14:editId="7BA120D7">
            <wp:extent cx="5943600" cy="2819400"/>
            <wp:effectExtent l="25400" t="25400" r="25400" b="254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943600" cy="2819400"/>
                    </a:xfrm>
                    <a:prstGeom prst="rect">
                      <a:avLst/>
                    </a:prstGeom>
                    <a:ln w="25400">
                      <a:solidFill>
                        <a:srgbClr val="000000"/>
                      </a:solidFill>
                      <a:prstDash val="solid"/>
                    </a:ln>
                  </pic:spPr>
                </pic:pic>
              </a:graphicData>
            </a:graphic>
          </wp:inline>
        </w:drawing>
      </w:r>
    </w:p>
    <w:p w14:paraId="60C22FBD" w14:textId="77777777" w:rsidR="00C506EA" w:rsidRPr="000B1F89" w:rsidRDefault="00000000">
      <w:pPr>
        <w:spacing w:line="360" w:lineRule="auto"/>
        <w:jc w:val="center"/>
        <w:rPr>
          <w:sz w:val="24"/>
          <w:szCs w:val="24"/>
        </w:rPr>
      </w:pPr>
      <w:r w:rsidRPr="000B1F89">
        <w:rPr>
          <w:noProof/>
          <w:sz w:val="24"/>
          <w:szCs w:val="24"/>
        </w:rPr>
        <w:lastRenderedPageBreak/>
        <w:drawing>
          <wp:inline distT="114300" distB="114300" distL="114300" distR="114300" wp14:anchorId="6F75D7B5" wp14:editId="16E1217C">
            <wp:extent cx="5943600" cy="3213100"/>
            <wp:effectExtent l="25400" t="25400" r="25400" b="254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5943600" cy="3213100"/>
                    </a:xfrm>
                    <a:prstGeom prst="rect">
                      <a:avLst/>
                    </a:prstGeom>
                    <a:ln w="25400">
                      <a:solidFill>
                        <a:srgbClr val="000000"/>
                      </a:solidFill>
                      <a:prstDash val="solid"/>
                    </a:ln>
                  </pic:spPr>
                </pic:pic>
              </a:graphicData>
            </a:graphic>
          </wp:inline>
        </w:drawing>
      </w:r>
    </w:p>
    <w:p w14:paraId="14AE5814" w14:textId="77777777" w:rsidR="00C506EA" w:rsidRPr="000B1F89" w:rsidRDefault="00000000">
      <w:pPr>
        <w:spacing w:line="360" w:lineRule="auto"/>
        <w:jc w:val="center"/>
        <w:rPr>
          <w:sz w:val="24"/>
          <w:szCs w:val="24"/>
        </w:rPr>
      </w:pPr>
      <w:r w:rsidRPr="000B1F89">
        <w:rPr>
          <w:noProof/>
          <w:sz w:val="24"/>
          <w:szCs w:val="24"/>
        </w:rPr>
        <w:drawing>
          <wp:inline distT="114300" distB="114300" distL="114300" distR="114300" wp14:anchorId="55CE46B8" wp14:editId="657BF548">
            <wp:extent cx="5943600" cy="3022600"/>
            <wp:effectExtent l="25400" t="25400" r="25400" b="2540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943600" cy="3022600"/>
                    </a:xfrm>
                    <a:prstGeom prst="rect">
                      <a:avLst/>
                    </a:prstGeom>
                    <a:ln w="25400">
                      <a:solidFill>
                        <a:srgbClr val="000000"/>
                      </a:solidFill>
                      <a:prstDash val="solid"/>
                    </a:ln>
                  </pic:spPr>
                </pic:pic>
              </a:graphicData>
            </a:graphic>
          </wp:inline>
        </w:drawing>
      </w:r>
    </w:p>
    <w:p w14:paraId="7F75B8C0" w14:textId="27829CE0" w:rsidR="00C506EA" w:rsidRPr="000B1F89" w:rsidRDefault="00000000">
      <w:pPr>
        <w:spacing w:line="360" w:lineRule="auto"/>
        <w:jc w:val="center"/>
        <w:rPr>
          <w:b/>
          <w:bCs/>
          <w:sz w:val="24"/>
          <w:szCs w:val="24"/>
        </w:rPr>
      </w:pPr>
      <w:r w:rsidRPr="000B1F89">
        <w:rPr>
          <w:b/>
          <w:bCs/>
          <w:sz w:val="24"/>
          <w:szCs w:val="24"/>
        </w:rPr>
        <w:t xml:space="preserve">Figure </w:t>
      </w:r>
      <w:r w:rsidR="00D578B4" w:rsidRPr="000B1F89">
        <w:rPr>
          <w:b/>
          <w:bCs/>
          <w:sz w:val="24"/>
          <w:szCs w:val="24"/>
        </w:rPr>
        <w:t>1</w:t>
      </w:r>
      <w:r w:rsidR="008771FB" w:rsidRPr="000B1F89">
        <w:rPr>
          <w:b/>
          <w:bCs/>
          <w:sz w:val="24"/>
          <w:szCs w:val="24"/>
        </w:rPr>
        <w:t>1</w:t>
      </w:r>
      <w:r w:rsidRPr="000B1F89">
        <w:rPr>
          <w:b/>
          <w:bCs/>
          <w:sz w:val="24"/>
          <w:szCs w:val="24"/>
        </w:rPr>
        <w:t xml:space="preserve">: Evidence of research on ChatGPT </w:t>
      </w:r>
    </w:p>
    <w:p w14:paraId="623D9482" w14:textId="77777777" w:rsidR="00C506EA" w:rsidRPr="000B1F89" w:rsidRDefault="00000000">
      <w:pPr>
        <w:spacing w:line="360" w:lineRule="auto"/>
        <w:jc w:val="center"/>
        <w:rPr>
          <w:sz w:val="24"/>
          <w:szCs w:val="24"/>
        </w:rPr>
      </w:pPr>
      <w:r w:rsidRPr="000B1F89">
        <w:rPr>
          <w:sz w:val="24"/>
          <w:szCs w:val="24"/>
        </w:rPr>
        <w:t xml:space="preserve">(Source: Self-developed) </w:t>
      </w:r>
    </w:p>
    <w:p w14:paraId="6F773BAE" w14:textId="77777777" w:rsidR="00C506EA" w:rsidRPr="000B1F89" w:rsidRDefault="00000000">
      <w:pPr>
        <w:spacing w:line="360" w:lineRule="auto"/>
        <w:jc w:val="both"/>
        <w:rPr>
          <w:sz w:val="24"/>
          <w:szCs w:val="24"/>
        </w:rPr>
      </w:pPr>
      <w:r w:rsidRPr="000B1F89">
        <w:rPr>
          <w:sz w:val="24"/>
          <w:szCs w:val="24"/>
        </w:rPr>
        <w:t xml:space="preserve">Above all, it can be stated that the AI was therefore restricted to proofreading, refinement of language, and adequate research support in connection with the guidelines of the AI usage provided in the brief of the assessment. </w:t>
      </w:r>
    </w:p>
    <w:p w14:paraId="4C397719" w14:textId="77777777" w:rsidR="00C506EA" w:rsidRPr="000B1F89" w:rsidRDefault="00000000" w:rsidP="00711BB9">
      <w:pPr>
        <w:pStyle w:val="Heading2"/>
        <w:rPr>
          <w:color w:val="auto"/>
        </w:rPr>
      </w:pPr>
      <w:bookmarkStart w:id="7" w:name="_Toc233044876"/>
      <w:r w:rsidRPr="000B1F89">
        <w:rPr>
          <w:color w:val="auto"/>
        </w:rPr>
        <w:lastRenderedPageBreak/>
        <w:t>b. Critical Evaluation of AI Output</w:t>
      </w:r>
      <w:bookmarkEnd w:id="7"/>
    </w:p>
    <w:p w14:paraId="539AE1B5" w14:textId="2AACF7CB" w:rsidR="00C506EA" w:rsidRPr="000B1F89" w:rsidRDefault="00000000">
      <w:pPr>
        <w:spacing w:line="360" w:lineRule="auto"/>
        <w:jc w:val="both"/>
        <w:rPr>
          <w:sz w:val="24"/>
          <w:szCs w:val="24"/>
        </w:rPr>
      </w:pPr>
      <w:r w:rsidRPr="000B1F89">
        <w:rPr>
          <w:sz w:val="24"/>
          <w:szCs w:val="24"/>
        </w:rPr>
        <w:t xml:space="preserve">Although AI delivered such essential </w:t>
      </w:r>
      <w:r w:rsidR="001A47DB" w:rsidRPr="000B1F89">
        <w:rPr>
          <w:sz w:val="24"/>
          <w:szCs w:val="24"/>
        </w:rPr>
        <w:t>suggestions,</w:t>
      </w:r>
      <w:r w:rsidRPr="000B1F89">
        <w:rPr>
          <w:sz w:val="24"/>
          <w:szCs w:val="24"/>
        </w:rPr>
        <w:t xml:space="preserve"> but all of the outputs were reviewed carefully and verified properly before using them in the assessment. Information which </w:t>
      </w:r>
      <w:r w:rsidR="001A47DB" w:rsidRPr="000B1F89">
        <w:rPr>
          <w:sz w:val="24"/>
          <w:szCs w:val="24"/>
        </w:rPr>
        <w:t>was</w:t>
      </w:r>
      <w:r w:rsidRPr="000B1F89">
        <w:rPr>
          <w:sz w:val="24"/>
          <w:szCs w:val="24"/>
        </w:rPr>
        <w:t xml:space="preserve"> generated by ChatGPT was cross-checked properly against the credible academic as well as industry sources, like the annual report of the BHP, its sustainability report, industry reports and </w:t>
      </w:r>
      <w:r w:rsidR="008771FB" w:rsidRPr="000B1F89">
        <w:rPr>
          <w:sz w:val="24"/>
          <w:szCs w:val="24"/>
        </w:rPr>
        <w:t xml:space="preserve">the </w:t>
      </w:r>
      <w:r w:rsidRPr="000B1F89">
        <w:rPr>
          <w:sz w:val="24"/>
          <w:szCs w:val="24"/>
        </w:rPr>
        <w:t xml:space="preserve">government publications. At the verification process, some of the AI-generated suggestions were taken into focus, and they found them unsuitable after cross-checking in comparison to the assignment requirements. For example, although AI suggested the use of the Ansoff matrix as the primary model and Porter’s generic as the secondary </w:t>
      </w:r>
      <w:r w:rsidR="001A47DB" w:rsidRPr="000B1F89">
        <w:rPr>
          <w:sz w:val="24"/>
          <w:szCs w:val="24"/>
        </w:rPr>
        <w:t>model,</w:t>
      </w:r>
      <w:r w:rsidRPr="000B1F89">
        <w:rPr>
          <w:sz w:val="24"/>
          <w:szCs w:val="24"/>
        </w:rPr>
        <w:t xml:space="preserve"> after cross-checking the requirements of the assignment, it was determined that the use of the matrix would be relevant only as the second task specifically required the recommendation on a growth strategy. Any unsupported information and unclear recommendations were excluded as well. </w:t>
      </w:r>
    </w:p>
    <w:p w14:paraId="77D1BE9B" w14:textId="77777777" w:rsidR="00C506EA" w:rsidRPr="000B1F89" w:rsidRDefault="00000000" w:rsidP="00711BB9">
      <w:pPr>
        <w:pStyle w:val="Heading2"/>
        <w:rPr>
          <w:color w:val="auto"/>
        </w:rPr>
      </w:pPr>
      <w:bookmarkStart w:id="8" w:name="_Toc233044877"/>
      <w:r w:rsidRPr="000B1F89">
        <w:rPr>
          <w:color w:val="auto"/>
        </w:rPr>
        <w:t>c. Contribution Analysis</w:t>
      </w:r>
      <w:bookmarkEnd w:id="8"/>
      <w:r w:rsidRPr="000B1F89">
        <w:rPr>
          <w:color w:val="auto"/>
        </w:rPr>
        <w:t xml:space="preserve"> </w:t>
      </w:r>
    </w:p>
    <w:p w14:paraId="448A490E" w14:textId="54A18EC3" w:rsidR="00C506EA" w:rsidRPr="000B1F89" w:rsidRDefault="00000000">
      <w:pPr>
        <w:spacing w:line="360" w:lineRule="auto"/>
        <w:jc w:val="both"/>
        <w:rPr>
          <w:sz w:val="24"/>
          <w:szCs w:val="24"/>
        </w:rPr>
      </w:pPr>
      <w:r w:rsidRPr="000B1F89">
        <w:rPr>
          <w:sz w:val="24"/>
          <w:szCs w:val="24"/>
        </w:rPr>
        <w:t xml:space="preserve">The final assessment reflected my own work and analysis, as through AI, I only got certain ideas where I faced difficulties. My contribution included the selection of BHP as the main </w:t>
      </w:r>
      <w:proofErr w:type="spellStart"/>
      <w:r w:rsidRPr="000B1F89">
        <w:rPr>
          <w:sz w:val="24"/>
          <w:szCs w:val="24"/>
        </w:rPr>
        <w:t>organisation</w:t>
      </w:r>
      <w:proofErr w:type="spellEnd"/>
      <w:r w:rsidRPr="000B1F89">
        <w:rPr>
          <w:sz w:val="24"/>
          <w:szCs w:val="24"/>
        </w:rPr>
        <w:t xml:space="preserve">, identifying the core factors like Political/Regulatory actors, along with the environment. I also collected the reliable statistical evidence from reputable websites and reports, demonstrating the environmental influences and evaluating the strategic growth option for BHP. ChatGPT was used only for </w:t>
      </w:r>
      <w:r w:rsidR="001A47DB" w:rsidRPr="000B1F89">
        <w:rPr>
          <w:sz w:val="24"/>
          <w:szCs w:val="24"/>
        </w:rPr>
        <w:t>improving the</w:t>
      </w:r>
      <w:r w:rsidRPr="000B1F89">
        <w:rPr>
          <w:sz w:val="24"/>
          <w:szCs w:val="24"/>
        </w:rPr>
        <w:t xml:space="preserve"> grammar, readability, and selection of the model for Task 2. </w:t>
      </w:r>
    </w:p>
    <w:p w14:paraId="08216499" w14:textId="77777777" w:rsidR="00C506EA" w:rsidRPr="000B1F89" w:rsidRDefault="00000000" w:rsidP="00711BB9">
      <w:pPr>
        <w:pStyle w:val="Heading2"/>
        <w:rPr>
          <w:color w:val="auto"/>
        </w:rPr>
      </w:pPr>
      <w:bookmarkStart w:id="9" w:name="_Toc233044878"/>
      <w:r w:rsidRPr="000B1F89">
        <w:rPr>
          <w:color w:val="auto"/>
        </w:rPr>
        <w:t>d. Ethical &amp; Professional Reflection</w:t>
      </w:r>
      <w:bookmarkEnd w:id="9"/>
      <w:r w:rsidRPr="000B1F89">
        <w:rPr>
          <w:color w:val="auto"/>
        </w:rPr>
        <w:t xml:space="preserve"> </w:t>
      </w:r>
    </w:p>
    <w:p w14:paraId="041CF224" w14:textId="14D769E8" w:rsidR="009B29CD" w:rsidRPr="000B1F89" w:rsidRDefault="00000000">
      <w:pPr>
        <w:spacing w:line="360" w:lineRule="auto"/>
        <w:jc w:val="both"/>
        <w:rPr>
          <w:sz w:val="24"/>
          <w:szCs w:val="24"/>
        </w:rPr>
      </w:pPr>
      <w:r w:rsidRPr="000B1F89">
        <w:rPr>
          <w:sz w:val="24"/>
          <w:szCs w:val="24"/>
        </w:rPr>
        <w:t xml:space="preserve">AI can improve the efficiency level by assisting with the proper </w:t>
      </w:r>
      <w:proofErr w:type="spellStart"/>
      <w:r w:rsidRPr="000B1F89">
        <w:rPr>
          <w:sz w:val="24"/>
          <w:szCs w:val="24"/>
        </w:rPr>
        <w:t>organisation</w:t>
      </w:r>
      <w:proofErr w:type="spellEnd"/>
      <w:r w:rsidRPr="000B1F89">
        <w:rPr>
          <w:sz w:val="24"/>
          <w:szCs w:val="24"/>
        </w:rPr>
        <w:t xml:space="preserve"> of data, proofreading, and offering preliminary research. However, such high reliance on the AI can </w:t>
      </w:r>
      <w:proofErr w:type="spellStart"/>
      <w:r w:rsidRPr="000B1F89">
        <w:rPr>
          <w:sz w:val="24"/>
          <w:szCs w:val="24"/>
        </w:rPr>
        <w:t>minimise</w:t>
      </w:r>
      <w:proofErr w:type="spellEnd"/>
      <w:r w:rsidRPr="000B1F89">
        <w:rPr>
          <w:sz w:val="24"/>
          <w:szCs w:val="24"/>
        </w:rPr>
        <w:t xml:space="preserve"> the perception of critical thinking and increase the risk of integrating inaccurate information within the academic as well as professional work. Apart from that, AI-generated content also contains false information and unsupported claims. In this </w:t>
      </w:r>
      <w:r w:rsidRPr="000B1F89">
        <w:rPr>
          <w:sz w:val="24"/>
          <w:szCs w:val="24"/>
        </w:rPr>
        <w:lastRenderedPageBreak/>
        <w:t xml:space="preserve">research, AI was employed quite responsibly as a support tool rather than a substitute for the independent analysis. </w:t>
      </w:r>
    </w:p>
    <w:p w14:paraId="2706980A" w14:textId="77777777" w:rsidR="009B29CD" w:rsidRPr="000B1F89" w:rsidRDefault="009B29CD">
      <w:pPr>
        <w:rPr>
          <w:sz w:val="24"/>
          <w:szCs w:val="24"/>
        </w:rPr>
      </w:pPr>
      <w:r w:rsidRPr="000B1F89">
        <w:rPr>
          <w:sz w:val="24"/>
          <w:szCs w:val="24"/>
        </w:rPr>
        <w:br w:type="page"/>
      </w:r>
    </w:p>
    <w:p w14:paraId="5E31038E" w14:textId="77777777" w:rsidR="009B29CD" w:rsidRPr="000B1F89" w:rsidRDefault="009B29CD" w:rsidP="00711BB9">
      <w:pPr>
        <w:pStyle w:val="Heading1"/>
        <w:rPr>
          <w:color w:val="auto"/>
        </w:rPr>
      </w:pPr>
      <w:bookmarkStart w:id="10" w:name="_Toc233044879"/>
      <w:r w:rsidRPr="000B1F89">
        <w:rPr>
          <w:color w:val="auto"/>
        </w:rPr>
        <w:lastRenderedPageBreak/>
        <w:t>References</w:t>
      </w:r>
      <w:bookmarkEnd w:id="10"/>
      <w:r w:rsidRPr="000B1F89">
        <w:rPr>
          <w:color w:val="auto"/>
        </w:rPr>
        <w:t xml:space="preserve"> </w:t>
      </w:r>
    </w:p>
    <w:p w14:paraId="7F857EE0" w14:textId="77777777" w:rsidR="001741DF" w:rsidRPr="000B1F89" w:rsidRDefault="001741DF" w:rsidP="001741DF">
      <w:pPr>
        <w:spacing w:line="360" w:lineRule="auto"/>
        <w:jc w:val="both"/>
        <w:rPr>
          <w:sz w:val="24"/>
          <w:szCs w:val="24"/>
        </w:rPr>
      </w:pPr>
      <w:r w:rsidRPr="000B1F89">
        <w:rPr>
          <w:sz w:val="24"/>
          <w:szCs w:val="24"/>
        </w:rPr>
        <w:t xml:space="preserve">BHP, (2024). </w:t>
      </w:r>
      <w:r w:rsidRPr="000B1F89">
        <w:rPr>
          <w:i/>
          <w:iCs/>
          <w:sz w:val="24"/>
          <w:szCs w:val="24"/>
        </w:rPr>
        <w:t>Pathways-towards-steelmaking-</w:t>
      </w:r>
      <w:proofErr w:type="spellStart"/>
      <w:r w:rsidRPr="000B1F89">
        <w:rPr>
          <w:i/>
          <w:iCs/>
          <w:sz w:val="24"/>
          <w:szCs w:val="24"/>
        </w:rPr>
        <w:t>decarbonisation</w:t>
      </w:r>
      <w:proofErr w:type="spellEnd"/>
      <w:r w:rsidRPr="000B1F89">
        <w:rPr>
          <w:sz w:val="24"/>
          <w:szCs w:val="24"/>
        </w:rPr>
        <w:t xml:space="preserve">. Available at: </w:t>
      </w:r>
      <w:hyperlink r:id="rId21" w:history="1">
        <w:r w:rsidRPr="000B1F89">
          <w:rPr>
            <w:rStyle w:val="Hyperlink"/>
            <w:color w:val="auto"/>
            <w:sz w:val="24"/>
            <w:szCs w:val="24"/>
            <w:lang w:val="en-IN"/>
          </w:rPr>
          <w:t>https://www.bhp.com/es/news/bhp-insights/2024/10/pathways-towards-steelmaking-decarbonisation</w:t>
        </w:r>
      </w:hyperlink>
      <w:r w:rsidRPr="000B1F89">
        <w:rPr>
          <w:sz w:val="24"/>
          <w:szCs w:val="24"/>
        </w:rPr>
        <w:t xml:space="preserve"> (Accessed: 3 June 2026).</w:t>
      </w:r>
    </w:p>
    <w:p w14:paraId="3F615B40" w14:textId="77777777" w:rsidR="001741DF" w:rsidRPr="000B1F89" w:rsidRDefault="001741DF" w:rsidP="001741DF">
      <w:pPr>
        <w:spacing w:line="360" w:lineRule="auto"/>
        <w:jc w:val="both"/>
        <w:rPr>
          <w:sz w:val="24"/>
          <w:szCs w:val="24"/>
        </w:rPr>
      </w:pPr>
      <w:r w:rsidRPr="000B1F89">
        <w:rPr>
          <w:sz w:val="24"/>
          <w:szCs w:val="24"/>
          <w:lang w:val="en-IN"/>
        </w:rPr>
        <w:t xml:space="preserve">BHP, (2025). </w:t>
      </w:r>
      <w:r w:rsidRPr="000B1F89">
        <w:rPr>
          <w:i/>
          <w:iCs/>
          <w:sz w:val="24"/>
          <w:szCs w:val="24"/>
        </w:rPr>
        <w:t>Annual Report 2025</w:t>
      </w:r>
      <w:r w:rsidRPr="000B1F89">
        <w:rPr>
          <w:sz w:val="24"/>
          <w:szCs w:val="24"/>
        </w:rPr>
        <w:t xml:space="preserve">. Available at: </w:t>
      </w:r>
      <w:hyperlink r:id="rId22" w:history="1">
        <w:r w:rsidRPr="000B1F89">
          <w:rPr>
            <w:rStyle w:val="Hyperlink"/>
            <w:color w:val="auto"/>
            <w:sz w:val="24"/>
            <w:szCs w:val="24"/>
            <w:lang w:val="en-IN"/>
          </w:rPr>
          <w:t>https://www.bhp.com/-/media/documents/investors/annual-reports/2025/250819_bhpannualreport2025.pdf</w:t>
        </w:r>
      </w:hyperlink>
      <w:r w:rsidRPr="000B1F89">
        <w:rPr>
          <w:sz w:val="24"/>
          <w:szCs w:val="24"/>
        </w:rPr>
        <w:t xml:space="preserve"> (Accessed: 1 June 2026).</w:t>
      </w:r>
    </w:p>
    <w:p w14:paraId="14F6741A" w14:textId="77777777" w:rsidR="001741DF" w:rsidRPr="000B1F89" w:rsidRDefault="001741DF" w:rsidP="001741DF">
      <w:pPr>
        <w:spacing w:line="360" w:lineRule="auto"/>
        <w:jc w:val="both"/>
        <w:rPr>
          <w:sz w:val="24"/>
          <w:szCs w:val="24"/>
        </w:rPr>
      </w:pPr>
      <w:r w:rsidRPr="000B1F89">
        <w:rPr>
          <w:sz w:val="24"/>
          <w:szCs w:val="24"/>
        </w:rPr>
        <w:t xml:space="preserve">BHP, (2026). </w:t>
      </w:r>
      <w:r w:rsidRPr="000B1F89">
        <w:rPr>
          <w:i/>
          <w:iCs/>
          <w:sz w:val="24"/>
          <w:szCs w:val="24"/>
        </w:rPr>
        <w:t>Update - Jansen Stage 1 Potash Project.</w:t>
      </w:r>
      <w:r w:rsidRPr="000B1F89">
        <w:rPr>
          <w:sz w:val="24"/>
          <w:szCs w:val="24"/>
        </w:rPr>
        <w:t xml:space="preserve"> Available at: </w:t>
      </w:r>
      <w:hyperlink r:id="rId23" w:history="1">
        <w:r w:rsidRPr="000B1F89">
          <w:rPr>
            <w:rStyle w:val="Hyperlink"/>
            <w:color w:val="auto"/>
            <w:sz w:val="24"/>
            <w:szCs w:val="24"/>
            <w:lang w:val="en-IN"/>
          </w:rPr>
          <w:t>https://www.bhp.com/news/media-centre/releases/2026/01/jansen-update</w:t>
        </w:r>
      </w:hyperlink>
      <w:r w:rsidRPr="000B1F89">
        <w:rPr>
          <w:sz w:val="24"/>
          <w:szCs w:val="24"/>
        </w:rPr>
        <w:t xml:space="preserve"> (Accessed: 6 June 2026).</w:t>
      </w:r>
    </w:p>
    <w:p w14:paraId="4DD0D8B8" w14:textId="77777777" w:rsidR="001741DF" w:rsidRPr="000B1F89" w:rsidRDefault="001741DF" w:rsidP="001741DF">
      <w:pPr>
        <w:spacing w:line="360" w:lineRule="auto"/>
        <w:jc w:val="both"/>
        <w:rPr>
          <w:sz w:val="24"/>
          <w:szCs w:val="24"/>
        </w:rPr>
      </w:pPr>
      <w:r w:rsidRPr="000B1F89">
        <w:rPr>
          <w:sz w:val="24"/>
          <w:szCs w:val="24"/>
        </w:rPr>
        <w:t xml:space="preserve">BHP, (2026). </w:t>
      </w:r>
      <w:r w:rsidRPr="000B1F89">
        <w:rPr>
          <w:i/>
          <w:iCs/>
          <w:sz w:val="24"/>
          <w:szCs w:val="24"/>
        </w:rPr>
        <w:t>Value chain (Scope 3) greenhouse gas emissions</w:t>
      </w:r>
      <w:r w:rsidRPr="000B1F89">
        <w:rPr>
          <w:sz w:val="24"/>
          <w:szCs w:val="24"/>
        </w:rPr>
        <w:t xml:space="preserve">. Available at: </w:t>
      </w:r>
      <w:hyperlink r:id="rId24" w:history="1">
        <w:r w:rsidRPr="000B1F89">
          <w:rPr>
            <w:rStyle w:val="Hyperlink"/>
            <w:color w:val="auto"/>
            <w:sz w:val="24"/>
            <w:szCs w:val="24"/>
            <w:lang w:val="en-IN"/>
          </w:rPr>
          <w:t>https://www.bhp.com/sustainability/climate-change/reducing-our-value-chain-emissions</w:t>
        </w:r>
      </w:hyperlink>
      <w:r w:rsidRPr="000B1F89">
        <w:rPr>
          <w:sz w:val="24"/>
          <w:szCs w:val="24"/>
        </w:rPr>
        <w:t xml:space="preserve"> (Accessed: 5 June 2026).</w:t>
      </w:r>
    </w:p>
    <w:p w14:paraId="6016EB6D" w14:textId="77777777" w:rsidR="001741DF" w:rsidRPr="000B1F89" w:rsidRDefault="001741DF" w:rsidP="001741DF">
      <w:pPr>
        <w:spacing w:line="360" w:lineRule="auto"/>
        <w:jc w:val="both"/>
        <w:rPr>
          <w:sz w:val="24"/>
          <w:szCs w:val="24"/>
        </w:rPr>
      </w:pPr>
      <w:r w:rsidRPr="000B1F89">
        <w:rPr>
          <w:sz w:val="24"/>
          <w:szCs w:val="24"/>
        </w:rPr>
        <w:t xml:space="preserve">Brown, D., (2026). </w:t>
      </w:r>
      <w:r w:rsidRPr="000B1F89">
        <w:rPr>
          <w:i/>
          <w:iCs/>
          <w:sz w:val="24"/>
          <w:szCs w:val="24"/>
        </w:rPr>
        <w:t>BHP’s billion-dollar Argentinian copper push</w:t>
      </w:r>
      <w:r w:rsidRPr="000B1F89">
        <w:rPr>
          <w:sz w:val="24"/>
          <w:szCs w:val="24"/>
        </w:rPr>
        <w:t xml:space="preserve">. Available at: </w:t>
      </w:r>
      <w:hyperlink r:id="rId25" w:history="1">
        <w:r w:rsidRPr="000B1F89">
          <w:rPr>
            <w:rStyle w:val="Hyperlink"/>
            <w:color w:val="auto"/>
            <w:sz w:val="24"/>
            <w:szCs w:val="24"/>
          </w:rPr>
          <w:t>https://www.australianresourcesandinvestment.com.au/2026/02/10/bhps-billion-dollar-argentinian-copper-push/</w:t>
        </w:r>
      </w:hyperlink>
      <w:r w:rsidRPr="000B1F89">
        <w:rPr>
          <w:sz w:val="24"/>
          <w:szCs w:val="24"/>
        </w:rPr>
        <w:t xml:space="preserve"> (Accessed: 4 June 2026).</w:t>
      </w:r>
    </w:p>
    <w:p w14:paraId="6A52939B" w14:textId="77777777" w:rsidR="001741DF" w:rsidRPr="000B1F89" w:rsidRDefault="001741DF" w:rsidP="001741DF">
      <w:pPr>
        <w:spacing w:line="360" w:lineRule="auto"/>
        <w:jc w:val="both"/>
        <w:rPr>
          <w:sz w:val="24"/>
          <w:szCs w:val="24"/>
        </w:rPr>
      </w:pPr>
      <w:r w:rsidRPr="000B1F89">
        <w:rPr>
          <w:sz w:val="24"/>
          <w:szCs w:val="24"/>
        </w:rPr>
        <w:t xml:space="preserve">Cer.gov.au, (2026). </w:t>
      </w:r>
      <w:r w:rsidRPr="000B1F89">
        <w:rPr>
          <w:i/>
          <w:iCs/>
          <w:sz w:val="24"/>
          <w:szCs w:val="24"/>
        </w:rPr>
        <w:t>Safeguard Mechanism.</w:t>
      </w:r>
      <w:r w:rsidRPr="000B1F89">
        <w:rPr>
          <w:sz w:val="24"/>
          <w:szCs w:val="24"/>
        </w:rPr>
        <w:t xml:space="preserve"> Available at: </w:t>
      </w:r>
      <w:hyperlink r:id="rId26" w:history="1">
        <w:r w:rsidRPr="000B1F89">
          <w:rPr>
            <w:rStyle w:val="Hyperlink"/>
            <w:color w:val="auto"/>
            <w:sz w:val="24"/>
            <w:szCs w:val="24"/>
          </w:rPr>
          <w:t>https://cer.gov.au/schemes/safeguard-mechanism</w:t>
        </w:r>
      </w:hyperlink>
      <w:r w:rsidRPr="000B1F89">
        <w:rPr>
          <w:sz w:val="24"/>
          <w:szCs w:val="24"/>
        </w:rPr>
        <w:t xml:space="preserve"> (Accessed: 2 June 2026).</w:t>
      </w:r>
    </w:p>
    <w:p w14:paraId="7CF5876F" w14:textId="77777777" w:rsidR="001741DF" w:rsidRPr="000B1F89" w:rsidRDefault="001741DF" w:rsidP="001741DF">
      <w:pPr>
        <w:spacing w:line="360" w:lineRule="auto"/>
        <w:jc w:val="both"/>
        <w:rPr>
          <w:sz w:val="24"/>
          <w:szCs w:val="24"/>
        </w:rPr>
      </w:pPr>
      <w:r w:rsidRPr="000B1F89">
        <w:rPr>
          <w:sz w:val="24"/>
          <w:szCs w:val="24"/>
        </w:rPr>
        <w:t xml:space="preserve">Dcceew.gov.au, (2025). </w:t>
      </w:r>
      <w:r w:rsidRPr="000B1F89">
        <w:rPr>
          <w:i/>
          <w:iCs/>
          <w:sz w:val="24"/>
          <w:szCs w:val="24"/>
        </w:rPr>
        <w:t>National Greenhouse Gas Inventory</w:t>
      </w:r>
      <w:r w:rsidRPr="000B1F89">
        <w:rPr>
          <w:sz w:val="24"/>
          <w:szCs w:val="24"/>
        </w:rPr>
        <w:t xml:space="preserve">. Available at: </w:t>
      </w:r>
      <w:hyperlink r:id="rId27" w:history="1">
        <w:r w:rsidRPr="000B1F89">
          <w:rPr>
            <w:rStyle w:val="Hyperlink"/>
            <w:color w:val="auto"/>
            <w:sz w:val="24"/>
            <w:szCs w:val="24"/>
          </w:rPr>
          <w:t>https://www.dcceew.gov.au/sites/default/files/documents/sept-2025-quarterly-update-infographic-full-size.pdf</w:t>
        </w:r>
      </w:hyperlink>
      <w:r w:rsidRPr="000B1F89">
        <w:rPr>
          <w:sz w:val="24"/>
          <w:szCs w:val="24"/>
        </w:rPr>
        <w:t xml:space="preserve"> (Accessed: 1 June 2026).</w:t>
      </w:r>
    </w:p>
    <w:p w14:paraId="72599D44" w14:textId="77777777" w:rsidR="001741DF" w:rsidRPr="000B1F89" w:rsidRDefault="001741DF" w:rsidP="001741DF">
      <w:pPr>
        <w:spacing w:line="360" w:lineRule="auto"/>
        <w:jc w:val="both"/>
        <w:rPr>
          <w:sz w:val="24"/>
          <w:szCs w:val="24"/>
        </w:rPr>
      </w:pPr>
      <w:r w:rsidRPr="000B1F89">
        <w:rPr>
          <w:sz w:val="24"/>
          <w:szCs w:val="24"/>
        </w:rPr>
        <w:t xml:space="preserve">Gupta, S., (2026).  </w:t>
      </w:r>
      <w:r w:rsidRPr="000B1F89">
        <w:rPr>
          <w:i/>
          <w:iCs/>
          <w:sz w:val="24"/>
          <w:szCs w:val="24"/>
        </w:rPr>
        <w:t>Near-700 GW Surge in 2025 Proves Renewable Energy Resilience – EQ</w:t>
      </w:r>
      <w:r w:rsidRPr="000B1F89">
        <w:rPr>
          <w:sz w:val="24"/>
          <w:szCs w:val="24"/>
        </w:rPr>
        <w:t xml:space="preserve">. Available at: </w:t>
      </w:r>
      <w:hyperlink r:id="rId28" w:history="1">
        <w:r w:rsidRPr="000B1F89">
          <w:rPr>
            <w:rStyle w:val="Hyperlink"/>
            <w:color w:val="auto"/>
            <w:sz w:val="24"/>
            <w:szCs w:val="24"/>
          </w:rPr>
          <w:t>https://www.eqmagpro.com/near-700-gw-surge-in-2025-proves-renewable-energy-resilience-eq/</w:t>
        </w:r>
      </w:hyperlink>
      <w:r w:rsidRPr="000B1F89">
        <w:rPr>
          <w:sz w:val="24"/>
          <w:szCs w:val="24"/>
        </w:rPr>
        <w:t xml:space="preserve"> (Accessed: 8 June 2026).</w:t>
      </w:r>
    </w:p>
    <w:p w14:paraId="72F321ED" w14:textId="77777777" w:rsidR="001741DF" w:rsidRPr="000B1F89" w:rsidRDefault="001741DF" w:rsidP="001741DF">
      <w:pPr>
        <w:spacing w:line="360" w:lineRule="auto"/>
        <w:jc w:val="both"/>
      </w:pPr>
      <w:r w:rsidRPr="000B1F89">
        <w:rPr>
          <w:sz w:val="24"/>
          <w:szCs w:val="24"/>
        </w:rPr>
        <w:t xml:space="preserve">IEA, (2025). </w:t>
      </w:r>
      <w:r w:rsidRPr="000B1F89">
        <w:rPr>
          <w:i/>
          <w:iCs/>
          <w:sz w:val="24"/>
          <w:szCs w:val="24"/>
        </w:rPr>
        <w:t>Renewable electricity</w:t>
      </w:r>
      <w:r w:rsidRPr="000B1F89">
        <w:rPr>
          <w:sz w:val="24"/>
          <w:szCs w:val="24"/>
        </w:rPr>
        <w:t xml:space="preserve">. Available at: </w:t>
      </w:r>
      <w:hyperlink r:id="rId29" w:history="1">
        <w:r w:rsidRPr="000B1F89">
          <w:rPr>
            <w:rStyle w:val="Hyperlink"/>
            <w:color w:val="auto"/>
            <w:sz w:val="24"/>
            <w:szCs w:val="24"/>
          </w:rPr>
          <w:t>https://www.iea.org/reports/renewables-2025/renewable-electricity</w:t>
        </w:r>
      </w:hyperlink>
      <w:r w:rsidRPr="000B1F89">
        <w:rPr>
          <w:sz w:val="24"/>
          <w:szCs w:val="24"/>
        </w:rPr>
        <w:t xml:space="preserve"> (Accessed: 9 June 2026).</w:t>
      </w:r>
    </w:p>
    <w:p w14:paraId="74697469" w14:textId="77777777" w:rsidR="001741DF" w:rsidRPr="000B1F89" w:rsidRDefault="001741DF" w:rsidP="001741DF">
      <w:pPr>
        <w:spacing w:line="360" w:lineRule="auto"/>
        <w:jc w:val="both"/>
        <w:rPr>
          <w:sz w:val="24"/>
          <w:szCs w:val="24"/>
        </w:rPr>
      </w:pPr>
      <w:r w:rsidRPr="000B1F89">
        <w:rPr>
          <w:sz w:val="24"/>
          <w:szCs w:val="24"/>
        </w:rPr>
        <w:t xml:space="preserve">Kennedy, S.M., M, K., P, N. and A, G.B., (2026). ‘Development and analysis of biodegradable PVA biofilms reinforced with Benincasa hispida peel powder for sustainable packaging </w:t>
      </w:r>
      <w:proofErr w:type="gramStart"/>
      <w:r w:rsidRPr="000B1F89">
        <w:rPr>
          <w:sz w:val="24"/>
          <w:szCs w:val="24"/>
        </w:rPr>
        <w:t>applications’</w:t>
      </w:r>
      <w:proofErr w:type="gramEnd"/>
      <w:r w:rsidRPr="000B1F89">
        <w:rPr>
          <w:sz w:val="24"/>
          <w:szCs w:val="24"/>
        </w:rPr>
        <w:t>. </w:t>
      </w:r>
      <w:r w:rsidRPr="000B1F89">
        <w:rPr>
          <w:i/>
          <w:iCs/>
          <w:sz w:val="24"/>
          <w:szCs w:val="24"/>
        </w:rPr>
        <w:t>Journal of Adhesion Science and Technology</w:t>
      </w:r>
      <w:r w:rsidRPr="000B1F89">
        <w:rPr>
          <w:sz w:val="24"/>
          <w:szCs w:val="24"/>
        </w:rPr>
        <w:t>, </w:t>
      </w:r>
      <w:r w:rsidRPr="000B1F89">
        <w:rPr>
          <w:i/>
          <w:iCs/>
          <w:sz w:val="24"/>
          <w:szCs w:val="24"/>
        </w:rPr>
        <w:t>40</w:t>
      </w:r>
      <w:r w:rsidRPr="000B1F89">
        <w:rPr>
          <w:sz w:val="24"/>
          <w:szCs w:val="24"/>
        </w:rPr>
        <w:t xml:space="preserve">(5), </w:t>
      </w:r>
      <w:r w:rsidRPr="000B1F89">
        <w:rPr>
          <w:sz w:val="24"/>
          <w:szCs w:val="24"/>
        </w:rPr>
        <w:lastRenderedPageBreak/>
        <w:t xml:space="preserve">pp.849-867. Available at: </w:t>
      </w:r>
      <w:hyperlink r:id="rId30" w:history="1">
        <w:r w:rsidRPr="000B1F89">
          <w:rPr>
            <w:rStyle w:val="Hyperlink"/>
            <w:color w:val="auto"/>
            <w:sz w:val="24"/>
            <w:szCs w:val="24"/>
          </w:rPr>
          <w:t>https://www.tandfonline.com/doi/abs/10.1080/01694243.2025.2569655</w:t>
        </w:r>
      </w:hyperlink>
    </w:p>
    <w:p w14:paraId="0CA3CEF8" w14:textId="77777777" w:rsidR="001741DF" w:rsidRPr="000B1F89" w:rsidRDefault="001741DF" w:rsidP="001741DF">
      <w:pPr>
        <w:spacing w:line="360" w:lineRule="auto"/>
        <w:jc w:val="both"/>
        <w:rPr>
          <w:sz w:val="24"/>
          <w:szCs w:val="24"/>
        </w:rPr>
      </w:pPr>
      <w:r w:rsidRPr="000B1F89">
        <w:rPr>
          <w:sz w:val="24"/>
          <w:szCs w:val="24"/>
        </w:rPr>
        <w:t xml:space="preserve">Kotler, P., Armstrong, G., Harris, L.C. and He, H. (2024) Principles of marketing. 19th </w:t>
      </w:r>
      <w:proofErr w:type="spellStart"/>
      <w:r w:rsidRPr="000B1F89">
        <w:rPr>
          <w:sz w:val="24"/>
          <w:szCs w:val="24"/>
        </w:rPr>
        <w:t>edn</w:t>
      </w:r>
      <w:proofErr w:type="spellEnd"/>
      <w:r w:rsidRPr="000B1F89">
        <w:rPr>
          <w:sz w:val="24"/>
          <w:szCs w:val="24"/>
        </w:rPr>
        <w:t>. Harlow: Pearson.</w:t>
      </w:r>
    </w:p>
    <w:p w14:paraId="0347A616" w14:textId="77777777" w:rsidR="001741DF" w:rsidRPr="000B1F89" w:rsidRDefault="001741DF" w:rsidP="001741DF">
      <w:pPr>
        <w:spacing w:line="360" w:lineRule="auto"/>
        <w:jc w:val="both"/>
        <w:rPr>
          <w:sz w:val="24"/>
          <w:szCs w:val="24"/>
        </w:rPr>
      </w:pPr>
      <w:r w:rsidRPr="000B1F89">
        <w:rPr>
          <w:sz w:val="24"/>
          <w:szCs w:val="24"/>
        </w:rPr>
        <w:t xml:space="preserve">Kusuma, D., (2025). </w:t>
      </w:r>
      <w:r w:rsidRPr="000B1F89">
        <w:rPr>
          <w:i/>
          <w:iCs/>
          <w:sz w:val="24"/>
          <w:szCs w:val="24"/>
        </w:rPr>
        <w:t>Australia’s Carbon Pricing: A Model for Developing Countries?</w:t>
      </w:r>
      <w:r w:rsidRPr="000B1F89">
        <w:rPr>
          <w:sz w:val="24"/>
          <w:szCs w:val="24"/>
        </w:rPr>
        <w:t xml:space="preserve"> Available at: </w:t>
      </w:r>
      <w:hyperlink r:id="rId31" w:history="1">
        <w:r w:rsidRPr="000B1F89">
          <w:rPr>
            <w:rStyle w:val="Hyperlink"/>
            <w:color w:val="auto"/>
            <w:sz w:val="24"/>
            <w:szCs w:val="24"/>
            <w:lang w:val="en-IN"/>
          </w:rPr>
          <w:t>https://dannykusuma.medium.com/australias-carbon-pricing-a-model-for-developing-countries-caa6d07471d2</w:t>
        </w:r>
      </w:hyperlink>
      <w:r w:rsidRPr="000B1F89">
        <w:rPr>
          <w:sz w:val="24"/>
          <w:szCs w:val="24"/>
        </w:rPr>
        <w:t xml:space="preserve"> (Accessed: 2 June 2026).</w:t>
      </w:r>
    </w:p>
    <w:p w14:paraId="6EBB50FD" w14:textId="77777777" w:rsidR="001741DF" w:rsidRPr="000B1F89" w:rsidRDefault="001741DF" w:rsidP="001741DF">
      <w:pPr>
        <w:spacing w:line="360" w:lineRule="auto"/>
        <w:jc w:val="both"/>
        <w:rPr>
          <w:sz w:val="24"/>
          <w:szCs w:val="24"/>
        </w:rPr>
      </w:pPr>
      <w:proofErr w:type="spellStart"/>
      <w:r w:rsidRPr="000B1F89">
        <w:rPr>
          <w:sz w:val="24"/>
          <w:szCs w:val="24"/>
        </w:rPr>
        <w:t>Miningmx</w:t>
      </w:r>
      <w:proofErr w:type="spellEnd"/>
      <w:r w:rsidRPr="000B1F89">
        <w:rPr>
          <w:sz w:val="24"/>
          <w:szCs w:val="24"/>
        </w:rPr>
        <w:t xml:space="preserve">, (2026). </w:t>
      </w:r>
      <w:r w:rsidRPr="000B1F89">
        <w:rPr>
          <w:i/>
          <w:iCs/>
          <w:sz w:val="24"/>
          <w:szCs w:val="24"/>
        </w:rPr>
        <w:t xml:space="preserve">BHP scales back once critical </w:t>
      </w:r>
      <w:proofErr w:type="spellStart"/>
      <w:r w:rsidRPr="000B1F89">
        <w:rPr>
          <w:i/>
          <w:iCs/>
          <w:sz w:val="24"/>
          <w:szCs w:val="24"/>
        </w:rPr>
        <w:t>decarbonisation</w:t>
      </w:r>
      <w:proofErr w:type="spellEnd"/>
      <w:r w:rsidRPr="000B1F89">
        <w:rPr>
          <w:i/>
          <w:iCs/>
          <w:sz w:val="24"/>
          <w:szCs w:val="24"/>
        </w:rPr>
        <w:t xml:space="preserve"> plans</w:t>
      </w:r>
      <w:r w:rsidRPr="000B1F89">
        <w:rPr>
          <w:sz w:val="24"/>
          <w:szCs w:val="24"/>
        </w:rPr>
        <w:t xml:space="preserve">. Available at: </w:t>
      </w:r>
      <w:hyperlink r:id="rId32" w:history="1">
        <w:r w:rsidRPr="000B1F89">
          <w:rPr>
            <w:rStyle w:val="Hyperlink"/>
            <w:color w:val="auto"/>
            <w:sz w:val="24"/>
            <w:szCs w:val="24"/>
          </w:rPr>
          <w:t>https://www.miningmx.com/news/markets/65423-bhp-scales-back-once-critical-decarbonisation-plans/</w:t>
        </w:r>
      </w:hyperlink>
      <w:r w:rsidRPr="000B1F89">
        <w:rPr>
          <w:sz w:val="24"/>
          <w:szCs w:val="24"/>
        </w:rPr>
        <w:t xml:space="preserve"> (Accessed: 3 June 2026).</w:t>
      </w:r>
    </w:p>
    <w:p w14:paraId="231EE031" w14:textId="77777777" w:rsidR="001741DF" w:rsidRPr="000B1F89" w:rsidRDefault="001741DF" w:rsidP="001741DF">
      <w:pPr>
        <w:spacing w:line="360" w:lineRule="auto"/>
        <w:jc w:val="both"/>
        <w:rPr>
          <w:sz w:val="24"/>
          <w:szCs w:val="24"/>
        </w:rPr>
      </w:pPr>
      <w:proofErr w:type="spellStart"/>
      <w:r w:rsidRPr="000B1F89">
        <w:rPr>
          <w:sz w:val="24"/>
          <w:szCs w:val="24"/>
        </w:rPr>
        <w:t>Mosaiyebzadeh</w:t>
      </w:r>
      <w:proofErr w:type="spellEnd"/>
      <w:r w:rsidRPr="000B1F89">
        <w:rPr>
          <w:sz w:val="24"/>
          <w:szCs w:val="24"/>
        </w:rPr>
        <w:t xml:space="preserve">, F., </w:t>
      </w:r>
      <w:proofErr w:type="spellStart"/>
      <w:r w:rsidRPr="000B1F89">
        <w:rPr>
          <w:sz w:val="24"/>
          <w:szCs w:val="24"/>
        </w:rPr>
        <w:t>Pouriyeh</w:t>
      </w:r>
      <w:proofErr w:type="spellEnd"/>
      <w:r w:rsidRPr="000B1F89">
        <w:rPr>
          <w:sz w:val="24"/>
          <w:szCs w:val="24"/>
        </w:rPr>
        <w:t xml:space="preserve">, S., </w:t>
      </w:r>
      <w:proofErr w:type="spellStart"/>
      <w:r w:rsidRPr="000B1F89">
        <w:rPr>
          <w:sz w:val="24"/>
          <w:szCs w:val="24"/>
        </w:rPr>
        <w:t>Parizi</w:t>
      </w:r>
      <w:proofErr w:type="spellEnd"/>
      <w:r w:rsidRPr="000B1F89">
        <w:rPr>
          <w:sz w:val="24"/>
          <w:szCs w:val="24"/>
        </w:rPr>
        <w:t xml:space="preserve">, R., </w:t>
      </w:r>
      <w:proofErr w:type="spellStart"/>
      <w:r w:rsidRPr="000B1F89">
        <w:rPr>
          <w:sz w:val="24"/>
          <w:szCs w:val="24"/>
        </w:rPr>
        <w:t>Dehbozorgi</w:t>
      </w:r>
      <w:proofErr w:type="spellEnd"/>
      <w:r w:rsidRPr="000B1F89">
        <w:rPr>
          <w:sz w:val="24"/>
          <w:szCs w:val="24"/>
        </w:rPr>
        <w:t xml:space="preserve">, N., </w:t>
      </w:r>
      <w:proofErr w:type="spellStart"/>
      <w:r w:rsidRPr="000B1F89">
        <w:rPr>
          <w:sz w:val="24"/>
          <w:szCs w:val="24"/>
        </w:rPr>
        <w:t>Dorodchi</w:t>
      </w:r>
      <w:proofErr w:type="spellEnd"/>
      <w:r w:rsidRPr="000B1F89">
        <w:rPr>
          <w:sz w:val="24"/>
          <w:szCs w:val="24"/>
        </w:rPr>
        <w:t xml:space="preserve">, M. and Macêdo Batista, D., (2023), October. ‘Exploring the role of ChatGPT in education: Applications and </w:t>
      </w:r>
      <w:proofErr w:type="gramStart"/>
      <w:r w:rsidRPr="000B1F89">
        <w:rPr>
          <w:sz w:val="24"/>
          <w:szCs w:val="24"/>
        </w:rPr>
        <w:t>challenges’</w:t>
      </w:r>
      <w:proofErr w:type="gramEnd"/>
      <w:r w:rsidRPr="000B1F89">
        <w:rPr>
          <w:sz w:val="24"/>
          <w:szCs w:val="24"/>
        </w:rPr>
        <w:t>. In </w:t>
      </w:r>
      <w:r w:rsidRPr="000B1F89">
        <w:rPr>
          <w:i/>
          <w:iCs/>
          <w:sz w:val="24"/>
          <w:szCs w:val="24"/>
        </w:rPr>
        <w:t>Proceedings of the 24th annual conference on information technology education</w:t>
      </w:r>
      <w:r w:rsidRPr="000B1F89">
        <w:rPr>
          <w:sz w:val="24"/>
          <w:szCs w:val="24"/>
        </w:rPr>
        <w:t xml:space="preserve"> (pp. 84-89). Available at: </w:t>
      </w:r>
      <w:hyperlink r:id="rId33" w:history="1">
        <w:r w:rsidRPr="000B1F89">
          <w:rPr>
            <w:rStyle w:val="Hyperlink"/>
            <w:color w:val="auto"/>
            <w:sz w:val="24"/>
            <w:szCs w:val="24"/>
          </w:rPr>
          <w:t>https://dl.acm.org/doi/pdf/10.1145/3585059.3611445</w:t>
        </w:r>
      </w:hyperlink>
    </w:p>
    <w:p w14:paraId="728B7FF4" w14:textId="77777777" w:rsidR="001741DF" w:rsidRPr="000B1F89" w:rsidRDefault="001741DF" w:rsidP="001741DF">
      <w:pPr>
        <w:spacing w:line="360" w:lineRule="auto"/>
        <w:jc w:val="both"/>
        <w:rPr>
          <w:sz w:val="24"/>
          <w:szCs w:val="24"/>
          <w:lang w:val="en-IN"/>
        </w:rPr>
      </w:pPr>
      <w:proofErr w:type="spellStart"/>
      <w:r w:rsidRPr="000B1F89">
        <w:rPr>
          <w:sz w:val="24"/>
          <w:szCs w:val="24"/>
        </w:rPr>
        <w:t>Nekahi</w:t>
      </w:r>
      <w:proofErr w:type="spellEnd"/>
      <w:r w:rsidRPr="000B1F89">
        <w:rPr>
          <w:sz w:val="24"/>
          <w:szCs w:val="24"/>
        </w:rPr>
        <w:t xml:space="preserve">, A., Anil Kumar, M.R., Deng, S., Li, X., Petropoulos, A., Nanda, J. and </w:t>
      </w:r>
      <w:proofErr w:type="spellStart"/>
      <w:r w:rsidRPr="000B1F89">
        <w:rPr>
          <w:sz w:val="24"/>
          <w:szCs w:val="24"/>
        </w:rPr>
        <w:t>Zaghib</w:t>
      </w:r>
      <w:proofErr w:type="spellEnd"/>
      <w:r w:rsidRPr="000B1F89">
        <w:rPr>
          <w:sz w:val="24"/>
          <w:szCs w:val="24"/>
        </w:rPr>
        <w:t>, K., (2025). ‘Toward green renewable energies and energy storage for the sustainable decarbonization and electrification of society’. </w:t>
      </w:r>
      <w:r w:rsidRPr="000B1F89">
        <w:rPr>
          <w:i/>
          <w:iCs/>
          <w:sz w:val="24"/>
          <w:szCs w:val="24"/>
        </w:rPr>
        <w:t>Electrochemical Energy Reviews</w:t>
      </w:r>
      <w:r w:rsidRPr="000B1F89">
        <w:rPr>
          <w:sz w:val="24"/>
          <w:szCs w:val="24"/>
        </w:rPr>
        <w:t>, </w:t>
      </w:r>
      <w:r w:rsidRPr="000B1F89">
        <w:rPr>
          <w:i/>
          <w:iCs/>
          <w:sz w:val="24"/>
          <w:szCs w:val="24"/>
        </w:rPr>
        <w:t>8</w:t>
      </w:r>
      <w:r w:rsidRPr="000B1F89">
        <w:rPr>
          <w:sz w:val="24"/>
          <w:szCs w:val="24"/>
        </w:rPr>
        <w:t xml:space="preserve">(1), p.12. Available at: </w:t>
      </w:r>
      <w:hyperlink r:id="rId34" w:history="1">
        <w:r w:rsidRPr="000B1F89">
          <w:rPr>
            <w:rStyle w:val="Hyperlink"/>
            <w:color w:val="auto"/>
            <w:sz w:val="24"/>
            <w:szCs w:val="24"/>
          </w:rPr>
          <w:t>https://doi.org/10.1007/s41918-025-00247-y</w:t>
        </w:r>
      </w:hyperlink>
    </w:p>
    <w:p w14:paraId="6CB8B0C5" w14:textId="77777777" w:rsidR="001741DF" w:rsidRPr="000B1F89" w:rsidRDefault="001741DF" w:rsidP="001741DF">
      <w:pPr>
        <w:spacing w:line="360" w:lineRule="auto"/>
        <w:jc w:val="both"/>
        <w:rPr>
          <w:sz w:val="24"/>
          <w:szCs w:val="24"/>
        </w:rPr>
      </w:pPr>
      <w:r w:rsidRPr="000B1F89">
        <w:rPr>
          <w:sz w:val="24"/>
          <w:szCs w:val="24"/>
        </w:rPr>
        <w:t xml:space="preserve">Reuters, (2025). </w:t>
      </w:r>
      <w:r w:rsidRPr="000B1F89">
        <w:rPr>
          <w:i/>
          <w:iCs/>
          <w:sz w:val="24"/>
          <w:szCs w:val="24"/>
        </w:rPr>
        <w:t>BHP takes steps with CATL, BYD to use more batteries, cut emissions.</w:t>
      </w:r>
      <w:r w:rsidRPr="000B1F89">
        <w:rPr>
          <w:sz w:val="24"/>
          <w:szCs w:val="24"/>
        </w:rPr>
        <w:t xml:space="preserve"> Available at: </w:t>
      </w:r>
      <w:hyperlink r:id="rId35" w:history="1">
        <w:r w:rsidRPr="000B1F89">
          <w:rPr>
            <w:rStyle w:val="Hyperlink"/>
            <w:color w:val="auto"/>
            <w:sz w:val="24"/>
            <w:szCs w:val="24"/>
            <w:lang w:val="en-IN"/>
          </w:rPr>
          <w:t>https://www.reuters.com/sustainability/climate-energy/bhp-signs-deals-with-catl-byd-use-batteries-mines-vehicles-2025-07-14</w:t>
        </w:r>
      </w:hyperlink>
      <w:r w:rsidRPr="000B1F89">
        <w:rPr>
          <w:sz w:val="24"/>
          <w:szCs w:val="24"/>
        </w:rPr>
        <w:t xml:space="preserve"> (Accessed: 4 June 2026).</w:t>
      </w:r>
    </w:p>
    <w:p w14:paraId="04625C99" w14:textId="77777777" w:rsidR="001741DF" w:rsidRPr="000B1F89" w:rsidRDefault="001741DF" w:rsidP="001741DF">
      <w:pPr>
        <w:spacing w:line="360" w:lineRule="auto"/>
        <w:jc w:val="both"/>
        <w:rPr>
          <w:sz w:val="24"/>
          <w:szCs w:val="24"/>
        </w:rPr>
      </w:pPr>
      <w:proofErr w:type="spellStart"/>
      <w:r w:rsidRPr="000B1F89">
        <w:rPr>
          <w:sz w:val="24"/>
          <w:szCs w:val="24"/>
        </w:rPr>
        <w:t>Thebusinessresearchcompany</w:t>
      </w:r>
      <w:proofErr w:type="spellEnd"/>
      <w:r w:rsidRPr="000B1F89">
        <w:rPr>
          <w:sz w:val="24"/>
          <w:szCs w:val="24"/>
        </w:rPr>
        <w:t xml:space="preserve">, (2026). </w:t>
      </w:r>
      <w:r w:rsidRPr="000B1F89">
        <w:rPr>
          <w:i/>
          <w:iCs/>
          <w:sz w:val="24"/>
          <w:szCs w:val="24"/>
          <w:lang w:val="en-IN"/>
        </w:rPr>
        <w:t>Mining Waste Management Market Report 2026.</w:t>
      </w:r>
      <w:r w:rsidRPr="000B1F89">
        <w:rPr>
          <w:sz w:val="24"/>
          <w:szCs w:val="24"/>
          <w:lang w:val="en-IN"/>
        </w:rPr>
        <w:t xml:space="preserve"> </w:t>
      </w:r>
      <w:r w:rsidRPr="000B1F89">
        <w:rPr>
          <w:sz w:val="24"/>
          <w:szCs w:val="24"/>
        </w:rPr>
        <w:t xml:space="preserve">Available at: </w:t>
      </w:r>
      <w:hyperlink r:id="rId36" w:history="1">
        <w:r w:rsidRPr="000B1F89">
          <w:rPr>
            <w:rStyle w:val="Hyperlink"/>
            <w:color w:val="auto"/>
            <w:sz w:val="24"/>
            <w:szCs w:val="24"/>
          </w:rPr>
          <w:t>https://www.thebusinessresearchcompany.com/report/mining-waste-management-global-market-report</w:t>
        </w:r>
      </w:hyperlink>
      <w:r w:rsidRPr="000B1F89">
        <w:rPr>
          <w:sz w:val="24"/>
          <w:szCs w:val="24"/>
        </w:rPr>
        <w:t xml:space="preserve"> Accessed: 9 June 2026).</w:t>
      </w:r>
    </w:p>
    <w:p w14:paraId="4C8703C4" w14:textId="77777777" w:rsidR="001741DF" w:rsidRPr="000B1F89" w:rsidRDefault="001741DF" w:rsidP="001741DF">
      <w:pPr>
        <w:spacing w:line="360" w:lineRule="auto"/>
        <w:jc w:val="both"/>
        <w:rPr>
          <w:sz w:val="24"/>
          <w:szCs w:val="24"/>
        </w:rPr>
      </w:pPr>
      <w:r w:rsidRPr="000B1F89">
        <w:rPr>
          <w:sz w:val="24"/>
          <w:szCs w:val="24"/>
        </w:rPr>
        <w:t xml:space="preserve">Thestrategyinstitute.org, (2024). </w:t>
      </w:r>
      <w:r w:rsidRPr="000B1F89">
        <w:rPr>
          <w:i/>
          <w:iCs/>
          <w:sz w:val="24"/>
          <w:szCs w:val="24"/>
        </w:rPr>
        <w:t xml:space="preserve">The Ansoff Matrix: A Powerful Tool for Business Strategy and Growth. </w:t>
      </w:r>
      <w:r w:rsidRPr="000B1F89">
        <w:rPr>
          <w:sz w:val="24"/>
          <w:szCs w:val="24"/>
        </w:rPr>
        <w:t xml:space="preserve">Available at: </w:t>
      </w:r>
      <w:hyperlink r:id="rId37" w:history="1">
        <w:r w:rsidRPr="000B1F89">
          <w:rPr>
            <w:rStyle w:val="Hyperlink"/>
            <w:color w:val="auto"/>
            <w:sz w:val="24"/>
            <w:szCs w:val="24"/>
          </w:rPr>
          <w:t>https://www.thestrategyinstitute.org/insights/the-ansoff-matrix-a-powerful-tool-for-business-strategy-and-growth</w:t>
        </w:r>
      </w:hyperlink>
      <w:r w:rsidRPr="000B1F89">
        <w:rPr>
          <w:sz w:val="24"/>
          <w:szCs w:val="24"/>
        </w:rPr>
        <w:t xml:space="preserve"> (Accessed: 10 June 2026).</w:t>
      </w:r>
    </w:p>
    <w:p w14:paraId="72A85A28" w14:textId="77777777" w:rsidR="001741DF" w:rsidRPr="000B1F89" w:rsidRDefault="001741DF" w:rsidP="001741DF">
      <w:pPr>
        <w:spacing w:line="360" w:lineRule="auto"/>
        <w:jc w:val="both"/>
        <w:rPr>
          <w:sz w:val="24"/>
          <w:szCs w:val="24"/>
        </w:rPr>
      </w:pPr>
      <w:r w:rsidRPr="000B1F89">
        <w:rPr>
          <w:sz w:val="24"/>
          <w:szCs w:val="24"/>
        </w:rPr>
        <w:lastRenderedPageBreak/>
        <w:t xml:space="preserve">World Economic Forum, (2026). </w:t>
      </w:r>
      <w:r w:rsidRPr="000B1F89">
        <w:rPr>
          <w:i/>
          <w:iCs/>
          <w:sz w:val="24"/>
          <w:szCs w:val="24"/>
        </w:rPr>
        <w:t>Energy Transition Index 2026</w:t>
      </w:r>
      <w:r w:rsidRPr="000B1F89">
        <w:rPr>
          <w:sz w:val="24"/>
          <w:szCs w:val="24"/>
        </w:rPr>
        <w:t xml:space="preserve">. Available at: </w:t>
      </w:r>
      <w:hyperlink r:id="rId38" w:history="1">
        <w:r w:rsidRPr="000B1F89">
          <w:rPr>
            <w:rStyle w:val="Hyperlink"/>
            <w:color w:val="auto"/>
            <w:sz w:val="24"/>
            <w:szCs w:val="24"/>
          </w:rPr>
          <w:t>https://www.weforum.org/publications/energy-transition-index-2026/</w:t>
        </w:r>
      </w:hyperlink>
      <w:r w:rsidRPr="000B1F89">
        <w:rPr>
          <w:sz w:val="24"/>
          <w:szCs w:val="24"/>
        </w:rPr>
        <w:t xml:space="preserve"> (Accessed: 7 June 2026).</w:t>
      </w:r>
    </w:p>
    <w:p w14:paraId="3F979636" w14:textId="77777777" w:rsidR="001741DF" w:rsidRPr="000B1F89" w:rsidRDefault="001741DF" w:rsidP="001741DF">
      <w:pPr>
        <w:spacing w:line="360" w:lineRule="auto"/>
        <w:jc w:val="both"/>
        <w:rPr>
          <w:sz w:val="24"/>
          <w:szCs w:val="24"/>
        </w:rPr>
      </w:pPr>
      <w:r w:rsidRPr="000B1F89">
        <w:rPr>
          <w:sz w:val="24"/>
          <w:szCs w:val="24"/>
        </w:rPr>
        <w:t>Zugay, B. and Zakaria, R., (2023). </w:t>
      </w:r>
      <w:r w:rsidRPr="000B1F89">
        <w:rPr>
          <w:i/>
          <w:iCs/>
          <w:sz w:val="24"/>
          <w:szCs w:val="24"/>
        </w:rPr>
        <w:t>Ansoff matrix</w:t>
      </w:r>
      <w:r w:rsidRPr="000B1F89">
        <w:rPr>
          <w:sz w:val="24"/>
          <w:szCs w:val="24"/>
        </w:rPr>
        <w:t xml:space="preserve">. SAGE Publications, </w:t>
      </w:r>
      <w:proofErr w:type="gramStart"/>
      <w:r w:rsidRPr="000B1F89">
        <w:rPr>
          <w:sz w:val="24"/>
          <w:szCs w:val="24"/>
        </w:rPr>
        <w:t>Inc..</w:t>
      </w:r>
      <w:proofErr w:type="gramEnd"/>
    </w:p>
    <w:p w14:paraId="5ACEFB16" w14:textId="77777777" w:rsidR="001741DF" w:rsidRPr="000B1F89" w:rsidRDefault="001741DF" w:rsidP="001741DF">
      <w:pPr>
        <w:spacing w:line="360" w:lineRule="auto"/>
        <w:jc w:val="both"/>
        <w:rPr>
          <w:sz w:val="24"/>
          <w:szCs w:val="24"/>
        </w:rPr>
      </w:pPr>
    </w:p>
    <w:p w14:paraId="38BA50B8" w14:textId="77777777" w:rsidR="001741DF" w:rsidRPr="000B1F89" w:rsidRDefault="001741DF" w:rsidP="001741DF">
      <w:pPr>
        <w:spacing w:line="360" w:lineRule="auto"/>
        <w:jc w:val="both"/>
        <w:rPr>
          <w:sz w:val="24"/>
          <w:szCs w:val="24"/>
        </w:rPr>
      </w:pPr>
    </w:p>
    <w:p w14:paraId="721C74B1" w14:textId="77777777" w:rsidR="009B29CD" w:rsidRPr="000B1F89" w:rsidRDefault="009B29CD" w:rsidP="009B29CD">
      <w:pPr>
        <w:spacing w:line="360" w:lineRule="auto"/>
        <w:jc w:val="both"/>
        <w:rPr>
          <w:lang w:val="en-IN"/>
        </w:rPr>
      </w:pPr>
    </w:p>
    <w:p w14:paraId="48B5A87B" w14:textId="77777777" w:rsidR="009B29CD" w:rsidRPr="000B1F89" w:rsidRDefault="009B29CD" w:rsidP="009B29CD">
      <w:pPr>
        <w:spacing w:line="360" w:lineRule="auto"/>
        <w:jc w:val="both"/>
        <w:rPr>
          <w:lang w:val="en-IN"/>
        </w:rPr>
      </w:pPr>
    </w:p>
    <w:p w14:paraId="7C0D4C06" w14:textId="77777777" w:rsidR="009B29CD" w:rsidRPr="000B1F89" w:rsidRDefault="009B29CD" w:rsidP="009B29CD">
      <w:pPr>
        <w:spacing w:line="360" w:lineRule="auto"/>
        <w:jc w:val="both"/>
        <w:rPr>
          <w:lang w:val="en-IN"/>
        </w:rPr>
      </w:pPr>
    </w:p>
    <w:p w14:paraId="0CD2FA42" w14:textId="77777777" w:rsidR="00C506EA" w:rsidRPr="000B1F89" w:rsidRDefault="00C506EA">
      <w:pPr>
        <w:spacing w:line="360" w:lineRule="auto"/>
        <w:jc w:val="both"/>
        <w:rPr>
          <w:sz w:val="24"/>
          <w:szCs w:val="24"/>
          <w:lang w:val="en-IN"/>
        </w:rPr>
      </w:pPr>
    </w:p>
    <w:sectPr w:rsidR="00C506EA" w:rsidRPr="000B1F89" w:rsidSect="009B29CD">
      <w:headerReference w:type="default" r:id="rId39"/>
      <w:footerReference w:type="default" r:id="rId4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C958F" w14:textId="77777777" w:rsidR="0016019F" w:rsidRDefault="0016019F" w:rsidP="009B29CD">
      <w:pPr>
        <w:spacing w:line="240" w:lineRule="auto"/>
      </w:pPr>
      <w:r>
        <w:separator/>
      </w:r>
    </w:p>
  </w:endnote>
  <w:endnote w:type="continuationSeparator" w:id="0">
    <w:p w14:paraId="3A1A5406" w14:textId="77777777" w:rsidR="0016019F" w:rsidRDefault="0016019F" w:rsidP="009B29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CABC27B-D91C-467C-BAA0-9F2158A49779}"/>
  </w:font>
  <w:font w:name="Shruti">
    <w:panose1 w:val="020B0502040204020203"/>
    <w:charset w:val="00"/>
    <w:family w:val="swiss"/>
    <w:pitch w:val="variable"/>
    <w:sig w:usb0="00040003" w:usb1="00000000" w:usb2="00000000" w:usb3="00000000" w:csb0="00000001" w:csb1="00000000"/>
    <w:embedRegular r:id="rId2" w:fontKey="{59153934-10CC-40C9-A523-F00552940C93}"/>
  </w:font>
  <w:font w:name="Cambria">
    <w:panose1 w:val="02040503050406030204"/>
    <w:charset w:val="00"/>
    <w:family w:val="roman"/>
    <w:pitch w:val="variable"/>
    <w:sig w:usb0="E00006FF" w:usb1="420024FF" w:usb2="02000000" w:usb3="00000000" w:csb0="0000019F" w:csb1="00000000"/>
    <w:embedRegular r:id="rId3" w:fontKey="{AC5DA8E2-967C-4190-B71E-73F5F721ED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842057"/>
      <w:docPartObj>
        <w:docPartGallery w:val="Page Numbers (Bottom of Page)"/>
        <w:docPartUnique/>
      </w:docPartObj>
    </w:sdtPr>
    <w:sdtEndPr>
      <w:rPr>
        <w:noProof/>
        <w:sz w:val="20"/>
        <w:szCs w:val="20"/>
      </w:rPr>
    </w:sdtEndPr>
    <w:sdtContent>
      <w:p w14:paraId="62A8C185" w14:textId="64F4C429" w:rsidR="009B29CD" w:rsidRPr="009B29CD" w:rsidRDefault="009B29CD">
        <w:pPr>
          <w:pStyle w:val="Footer"/>
          <w:jc w:val="right"/>
          <w:rPr>
            <w:sz w:val="20"/>
            <w:szCs w:val="20"/>
          </w:rPr>
        </w:pPr>
        <w:r w:rsidRPr="009B29CD">
          <w:rPr>
            <w:sz w:val="20"/>
            <w:szCs w:val="20"/>
          </w:rPr>
          <w:fldChar w:fldCharType="begin"/>
        </w:r>
        <w:r w:rsidRPr="009B29CD">
          <w:rPr>
            <w:sz w:val="20"/>
            <w:szCs w:val="20"/>
          </w:rPr>
          <w:instrText xml:space="preserve"> PAGE   \* MERGEFORMAT </w:instrText>
        </w:r>
        <w:r w:rsidRPr="009B29CD">
          <w:rPr>
            <w:sz w:val="20"/>
            <w:szCs w:val="20"/>
          </w:rPr>
          <w:fldChar w:fldCharType="separate"/>
        </w:r>
        <w:r w:rsidRPr="009B29CD">
          <w:rPr>
            <w:noProof/>
            <w:sz w:val="20"/>
            <w:szCs w:val="20"/>
          </w:rPr>
          <w:t>2</w:t>
        </w:r>
        <w:r w:rsidRPr="009B29CD">
          <w:rPr>
            <w:noProof/>
            <w:sz w:val="20"/>
            <w:szCs w:val="20"/>
          </w:rPr>
          <w:fldChar w:fldCharType="end"/>
        </w:r>
      </w:p>
    </w:sdtContent>
  </w:sdt>
  <w:p w14:paraId="3189B3BD" w14:textId="77777777" w:rsidR="009B29CD" w:rsidRDefault="009B2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B2D7F" w14:textId="77777777" w:rsidR="0016019F" w:rsidRDefault="0016019F" w:rsidP="009B29CD">
      <w:pPr>
        <w:spacing w:line="240" w:lineRule="auto"/>
      </w:pPr>
      <w:r>
        <w:separator/>
      </w:r>
    </w:p>
  </w:footnote>
  <w:footnote w:type="continuationSeparator" w:id="0">
    <w:p w14:paraId="5E7C08DC" w14:textId="77777777" w:rsidR="0016019F" w:rsidRDefault="0016019F" w:rsidP="009B29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6471A" w14:textId="51176260" w:rsidR="00E02E5F" w:rsidRDefault="00E02E5F">
    <w:pPr>
      <w:pStyle w:val="Header"/>
    </w:pPr>
    <w:r w:rsidRPr="00E02E5F">
      <w:rPr>
        <w:noProof/>
      </w:rPr>
      <w:drawing>
        <wp:inline distT="0" distB="0" distL="0" distR="0" wp14:anchorId="0925D1D9" wp14:editId="0AF02490">
          <wp:extent cx="2019475" cy="914479"/>
          <wp:effectExtent l="0" t="0" r="0" b="0"/>
          <wp:docPr id="2084961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61006" name=""/>
                  <pic:cNvPicPr/>
                </pic:nvPicPr>
                <pic:blipFill>
                  <a:blip r:embed="rId1"/>
                  <a:stretch>
                    <a:fillRect/>
                  </a:stretch>
                </pic:blipFill>
                <pic:spPr>
                  <a:xfrm>
                    <a:off x="0" y="0"/>
                    <a:ext cx="2019475" cy="9144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94AA0"/>
    <w:multiLevelType w:val="hybridMultilevel"/>
    <w:tmpl w:val="30B035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79458A1"/>
    <w:multiLevelType w:val="hybridMultilevel"/>
    <w:tmpl w:val="CDBE83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56082014">
    <w:abstractNumId w:val="0"/>
  </w:num>
  <w:num w:numId="2" w16cid:durableId="1877541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EA"/>
    <w:rsid w:val="000247B9"/>
    <w:rsid w:val="000B1F89"/>
    <w:rsid w:val="0016019F"/>
    <w:rsid w:val="001741DF"/>
    <w:rsid w:val="00193EE4"/>
    <w:rsid w:val="001A3D9F"/>
    <w:rsid w:val="001A47DB"/>
    <w:rsid w:val="002F05CE"/>
    <w:rsid w:val="003E5EE2"/>
    <w:rsid w:val="005516E9"/>
    <w:rsid w:val="00573E07"/>
    <w:rsid w:val="005F5282"/>
    <w:rsid w:val="00631A9F"/>
    <w:rsid w:val="00696E3D"/>
    <w:rsid w:val="00711BB9"/>
    <w:rsid w:val="00731F1A"/>
    <w:rsid w:val="008771FB"/>
    <w:rsid w:val="008C7BA0"/>
    <w:rsid w:val="009B29CD"/>
    <w:rsid w:val="00AA097E"/>
    <w:rsid w:val="00C506EA"/>
    <w:rsid w:val="00CF168B"/>
    <w:rsid w:val="00D578B4"/>
    <w:rsid w:val="00D663A4"/>
    <w:rsid w:val="00E02E5F"/>
    <w:rsid w:val="00EA4AC8"/>
    <w:rsid w:val="00F41D1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8E8A4"/>
  <w15:docId w15:val="{BA25012F-8AE4-4AE9-A700-C6EE3CC3F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11BB9"/>
    <w:pPr>
      <w:keepNext/>
      <w:keepLines/>
      <w:spacing w:before="400" w:after="120" w:line="360" w:lineRule="auto"/>
      <w:jc w:val="both"/>
      <w:outlineLvl w:val="0"/>
    </w:pPr>
    <w:rPr>
      <w:b/>
      <w:color w:val="000000" w:themeColor="text1"/>
      <w:sz w:val="24"/>
      <w:szCs w:val="40"/>
    </w:rPr>
  </w:style>
  <w:style w:type="paragraph" w:styleId="Heading2">
    <w:name w:val="heading 2"/>
    <w:basedOn w:val="Normal"/>
    <w:next w:val="Normal"/>
    <w:uiPriority w:val="9"/>
    <w:unhideWhenUsed/>
    <w:qFormat/>
    <w:rsid w:val="00711BB9"/>
    <w:pPr>
      <w:keepNext/>
      <w:keepLines/>
      <w:spacing w:before="360" w:after="120" w:line="360" w:lineRule="auto"/>
      <w:jc w:val="both"/>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B29CD"/>
    <w:pPr>
      <w:tabs>
        <w:tab w:val="center" w:pos="4513"/>
        <w:tab w:val="right" w:pos="9026"/>
      </w:tabs>
      <w:spacing w:line="240" w:lineRule="auto"/>
    </w:pPr>
  </w:style>
  <w:style w:type="character" w:customStyle="1" w:styleId="HeaderChar">
    <w:name w:val="Header Char"/>
    <w:basedOn w:val="DefaultParagraphFont"/>
    <w:link w:val="Header"/>
    <w:uiPriority w:val="99"/>
    <w:rsid w:val="009B29CD"/>
  </w:style>
  <w:style w:type="paragraph" w:styleId="Footer">
    <w:name w:val="footer"/>
    <w:basedOn w:val="Normal"/>
    <w:link w:val="FooterChar"/>
    <w:uiPriority w:val="99"/>
    <w:unhideWhenUsed/>
    <w:rsid w:val="009B29CD"/>
    <w:pPr>
      <w:tabs>
        <w:tab w:val="center" w:pos="4513"/>
        <w:tab w:val="right" w:pos="9026"/>
      </w:tabs>
      <w:spacing w:line="240" w:lineRule="auto"/>
    </w:pPr>
  </w:style>
  <w:style w:type="character" w:customStyle="1" w:styleId="FooterChar">
    <w:name w:val="Footer Char"/>
    <w:basedOn w:val="DefaultParagraphFont"/>
    <w:link w:val="Footer"/>
    <w:uiPriority w:val="99"/>
    <w:rsid w:val="009B29CD"/>
  </w:style>
  <w:style w:type="character" w:styleId="Hyperlink">
    <w:name w:val="Hyperlink"/>
    <w:basedOn w:val="DefaultParagraphFont"/>
    <w:uiPriority w:val="99"/>
    <w:unhideWhenUsed/>
    <w:rsid w:val="009B29CD"/>
    <w:rPr>
      <w:color w:val="0000FF" w:themeColor="hyperlink"/>
      <w:u w:val="single"/>
    </w:rPr>
  </w:style>
  <w:style w:type="character" w:styleId="UnresolvedMention">
    <w:name w:val="Unresolved Mention"/>
    <w:basedOn w:val="DefaultParagraphFont"/>
    <w:uiPriority w:val="99"/>
    <w:semiHidden/>
    <w:unhideWhenUsed/>
    <w:rsid w:val="00F41D15"/>
    <w:rPr>
      <w:color w:val="605E5C"/>
      <w:shd w:val="clear" w:color="auto" w:fill="E1DFDD"/>
    </w:rPr>
  </w:style>
  <w:style w:type="paragraph" w:styleId="TOCHeading">
    <w:name w:val="TOC Heading"/>
    <w:basedOn w:val="Heading1"/>
    <w:next w:val="Normal"/>
    <w:uiPriority w:val="39"/>
    <w:unhideWhenUsed/>
    <w:qFormat/>
    <w:rsid w:val="002F05C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F05CE"/>
    <w:pPr>
      <w:spacing w:after="100"/>
    </w:pPr>
  </w:style>
  <w:style w:type="paragraph" w:styleId="TOC2">
    <w:name w:val="toc 2"/>
    <w:basedOn w:val="Normal"/>
    <w:next w:val="Normal"/>
    <w:autoRedefine/>
    <w:uiPriority w:val="39"/>
    <w:unhideWhenUsed/>
    <w:rsid w:val="002F05CE"/>
    <w:pPr>
      <w:spacing w:after="100"/>
      <w:ind w:left="220"/>
    </w:pPr>
  </w:style>
  <w:style w:type="paragraph" w:styleId="ListParagraph">
    <w:name w:val="List Paragraph"/>
    <w:basedOn w:val="Normal"/>
    <w:uiPriority w:val="34"/>
    <w:qFormat/>
    <w:rsid w:val="001741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cer.gov.au/schemes/safeguard-mechanism" TargetMode="External"/><Relationship Id="rId39" Type="http://schemas.openxmlformats.org/officeDocument/2006/relationships/header" Target="header1.xml"/><Relationship Id="rId21" Type="http://schemas.openxmlformats.org/officeDocument/2006/relationships/hyperlink" Target="https://www.bhp.com/es/news/bhp-insights/2024/10/pathways-towards-steelmaking-decarbonisation" TargetMode="External"/><Relationship Id="rId34" Type="http://schemas.openxmlformats.org/officeDocument/2006/relationships/hyperlink" Target="https://doi.org/10.1007/s41918-025-00247-y"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iea.org/reports/renewables-2025/renewable-electricity"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hp.com/sustainability/climate-change/reducing-our-value-chain-emissions" TargetMode="External"/><Relationship Id="rId32" Type="http://schemas.openxmlformats.org/officeDocument/2006/relationships/hyperlink" Target="https://www.miningmx.com/news/markets/65423-bhp-scales-back-once-critical-decarbonisation-plans/" TargetMode="External"/><Relationship Id="rId37" Type="http://schemas.openxmlformats.org/officeDocument/2006/relationships/hyperlink" Target="https://www.thestrategyinstitute.org/insights/the-ansoff-matrix-a-powerful-tool-for-business-strategy-and-growth"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bhp.com/news/media-centre/releases/2026/01/jansen-update" TargetMode="External"/><Relationship Id="rId28" Type="http://schemas.openxmlformats.org/officeDocument/2006/relationships/hyperlink" Target="https://www.eqmagpro.com/near-700-gw-surge-in-2025-proves-renewable-energy-resilience-eq/" TargetMode="External"/><Relationship Id="rId36" Type="http://schemas.openxmlformats.org/officeDocument/2006/relationships/hyperlink" Target="https://www.thebusinessresearchcompany.com/report/mining-waste-management-global-market-report"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annykusuma.medium.com/australias-carbon-pricing-a-model-for-developing-countries-caa6d07471d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hp.com/-/media/documents/investors/annual-reports/2025/250819_bhpannualreport2025.pdf" TargetMode="External"/><Relationship Id="rId27" Type="http://schemas.openxmlformats.org/officeDocument/2006/relationships/hyperlink" Target="https://www.dcceew.gov.au/sites/default/files/documents/sept-2025-quarterly-update-infographic-full-size.pdf" TargetMode="External"/><Relationship Id="rId30" Type="http://schemas.openxmlformats.org/officeDocument/2006/relationships/hyperlink" Target="https://www.tandfonline.com/doi/abs/10.1080/01694243.2025.2569655" TargetMode="External"/><Relationship Id="rId35" Type="http://schemas.openxmlformats.org/officeDocument/2006/relationships/hyperlink" Target="https://www.reuters.com/sustainability/climate-energy/bhp-signs-deals-with-catl-byd-use-batteries-mines-vehicles-2025-07-14"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australianresourcesandinvestment.com.au/2026/02/10/bhps-billion-dollar-argentinian-copper-push/" TargetMode="External"/><Relationship Id="rId33" Type="http://schemas.openxmlformats.org/officeDocument/2006/relationships/hyperlink" Target="https://dl.acm.org/doi/pdf/10.1145/3585059.3611445" TargetMode="External"/><Relationship Id="rId38" Type="http://schemas.openxmlformats.org/officeDocument/2006/relationships/hyperlink" Target="https://www.weforum.org/publications/energy-transition-index-202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34468-A777-4E4B-921F-55A8FDFE5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22</Pages>
  <Words>3699</Words>
  <Characters>21088</Characters>
  <Application>Microsoft Office Word</Application>
  <DocSecurity>0</DocSecurity>
  <Lines>175</Lines>
  <Paragraphs>49</Paragraphs>
  <ScaleCrop>false</ScaleCrop>
  <Company/>
  <LinksUpToDate>false</LinksUpToDate>
  <CharactersWithSpaces>24738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KAVYA NARESHBHAI KANKOTIYA</dc:creator>
  <cp:lastModifiedBy>Kavya Kankotiya</cp:lastModifiedBy>
  <cp:revision>22</cp:revision>
  <dcterms:created xsi:type="dcterms:W3CDTF">2026-06-22T12:22:00Z</dcterms:created>
  <dcterms:modified xsi:type="dcterms:W3CDTF">2026-07-23T17:09:00Z</dcterms:modified>
</cp:coreProperties>
</file>