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A9512" w14:textId="77777777" w:rsidR="00456770" w:rsidRPr="00456770" w:rsidRDefault="00456770" w:rsidP="00456770">
      <w:pPr>
        <w:rPr>
          <w:rFonts w:ascii="Arial" w:hAnsi="Arial"/>
          <w:b/>
          <w:bCs/>
          <w:sz w:val="22"/>
          <w:szCs w:val="22"/>
          <w:u w:val="single"/>
        </w:rPr>
      </w:pPr>
      <w:r w:rsidRPr="00456770">
        <w:rPr>
          <w:rFonts w:ascii="Arial" w:hAnsi="Arial"/>
          <w:b/>
          <w:bCs/>
          <w:sz w:val="22"/>
          <w:szCs w:val="22"/>
          <w:u w:val="single"/>
        </w:rPr>
        <w:t xml:space="preserve">Molly Cana </w:t>
      </w:r>
    </w:p>
    <w:p w14:paraId="6675B9AA" w14:textId="77777777" w:rsidR="00456770" w:rsidRPr="00456770" w:rsidRDefault="00456770" w:rsidP="00456770">
      <w:pPr>
        <w:rPr>
          <w:rFonts w:ascii="Arial" w:hAnsi="Arial"/>
          <w:b/>
          <w:bCs/>
          <w:sz w:val="22"/>
          <w:szCs w:val="22"/>
          <w:u w:val="single"/>
        </w:rPr>
      </w:pPr>
      <w:r w:rsidRPr="00456770">
        <w:rPr>
          <w:rFonts w:ascii="Arial" w:hAnsi="Arial"/>
          <w:b/>
          <w:bCs/>
          <w:sz w:val="22"/>
          <w:szCs w:val="22"/>
          <w:u w:val="single"/>
        </w:rPr>
        <w:t xml:space="preserve">Student </w:t>
      </w:r>
      <w:proofErr w:type="gramStart"/>
      <w:r w:rsidRPr="00456770">
        <w:rPr>
          <w:rFonts w:ascii="Arial" w:hAnsi="Arial"/>
          <w:b/>
          <w:bCs/>
          <w:sz w:val="22"/>
          <w:szCs w:val="22"/>
          <w:u w:val="single"/>
        </w:rPr>
        <w:t>ID :</w:t>
      </w:r>
      <w:proofErr w:type="gramEnd"/>
      <w:r w:rsidRPr="00456770">
        <w:rPr>
          <w:rFonts w:ascii="Arial" w:hAnsi="Arial"/>
          <w:b/>
          <w:bCs/>
          <w:sz w:val="22"/>
          <w:szCs w:val="22"/>
          <w:u w:val="single"/>
        </w:rPr>
        <w:t xml:space="preserve"> 2005879</w:t>
      </w:r>
    </w:p>
    <w:p w14:paraId="35A5C8FE" w14:textId="64F500BA" w:rsidR="004E3E86" w:rsidRPr="0004371A" w:rsidRDefault="00A24995" w:rsidP="0004371A">
      <w:pPr>
        <w:spacing w:line="360" w:lineRule="auto"/>
        <w:rPr>
          <w:rFonts w:ascii="Arial" w:hAnsi="Arial"/>
          <w:sz w:val="24"/>
          <w:szCs w:val="24"/>
        </w:rPr>
      </w:pPr>
    </w:p>
    <w:p w14:paraId="7FD1B615" w14:textId="7AF0060E" w:rsidR="00651031" w:rsidRPr="0004371A" w:rsidRDefault="00651031" w:rsidP="0004371A">
      <w:pPr>
        <w:spacing w:line="360" w:lineRule="auto"/>
        <w:rPr>
          <w:rFonts w:ascii="Arial" w:hAnsi="Arial"/>
          <w:b/>
          <w:sz w:val="24"/>
          <w:szCs w:val="24"/>
        </w:rPr>
      </w:pPr>
      <w:r w:rsidRPr="0004371A">
        <w:rPr>
          <w:rFonts w:ascii="Arial" w:hAnsi="Arial"/>
          <w:b/>
          <w:sz w:val="24"/>
          <w:szCs w:val="24"/>
        </w:rPr>
        <w:t>‘</w:t>
      </w:r>
      <w:r w:rsidRPr="0004371A">
        <w:rPr>
          <w:rFonts w:ascii="Arial" w:hAnsi="Arial"/>
          <w:b/>
          <w:sz w:val="24"/>
          <w:szCs w:val="24"/>
        </w:rPr>
        <w:t>Consider whether the defence of insanity is fit for purpose or is in need of reform.</w:t>
      </w:r>
      <w:r w:rsidRPr="0004371A">
        <w:rPr>
          <w:rFonts w:ascii="Arial" w:hAnsi="Arial"/>
          <w:b/>
          <w:sz w:val="24"/>
          <w:szCs w:val="24"/>
        </w:rPr>
        <w:t>’</w:t>
      </w:r>
    </w:p>
    <w:p w14:paraId="4BDF12F6" w14:textId="77777777" w:rsidR="00651031" w:rsidRPr="0004371A" w:rsidRDefault="00651031" w:rsidP="0004371A">
      <w:pPr>
        <w:spacing w:line="360" w:lineRule="auto"/>
        <w:rPr>
          <w:rFonts w:ascii="Arial" w:hAnsi="Arial"/>
          <w:sz w:val="24"/>
          <w:szCs w:val="24"/>
        </w:rPr>
      </w:pPr>
    </w:p>
    <w:p w14:paraId="3F82F199" w14:textId="2C7EECA8" w:rsidR="00795F60" w:rsidRPr="0004371A" w:rsidRDefault="00712E99" w:rsidP="0004371A">
      <w:pPr>
        <w:spacing w:line="360" w:lineRule="auto"/>
        <w:rPr>
          <w:rFonts w:ascii="Arial" w:hAnsi="Arial"/>
          <w:sz w:val="24"/>
          <w:szCs w:val="24"/>
        </w:rPr>
      </w:pPr>
      <w:r w:rsidRPr="0004371A">
        <w:rPr>
          <w:rFonts w:ascii="Arial" w:hAnsi="Arial"/>
          <w:sz w:val="24"/>
          <w:szCs w:val="24"/>
        </w:rPr>
        <w:t xml:space="preserve">The defence of insanity, which Is also referred to as the ‘mental disorder defence’ is a defence that argued the person cannot be liable for their actions due to a psychiatric disorder. The defence argues the person could not be responsible for their crimes as they did not understand what they were doing, or that they were unlawful. </w:t>
      </w:r>
      <w:r w:rsidR="00795F60" w:rsidRPr="0004371A">
        <w:rPr>
          <w:rFonts w:ascii="Arial" w:hAnsi="Arial"/>
          <w:sz w:val="24"/>
          <w:szCs w:val="24"/>
        </w:rPr>
        <w:t>While the principle of legal insanity was further developed in Hadfield in the late eighteenth century, the M'Naghten case established the basic test of criminal liability in relation to mentally disordered defendants in common law</w:t>
      </w:r>
      <w:r w:rsidR="00FD0AC4" w:rsidRPr="0004371A">
        <w:rPr>
          <w:rFonts w:ascii="Arial" w:hAnsi="Arial"/>
          <w:sz w:val="24"/>
          <w:szCs w:val="24"/>
        </w:rPr>
        <w:t xml:space="preserve"> (Law Commission, 2021).</w:t>
      </w:r>
    </w:p>
    <w:p w14:paraId="2264FCFA" w14:textId="1749C150" w:rsidR="00CF406E" w:rsidRPr="0004371A" w:rsidRDefault="00CF406E" w:rsidP="0004371A">
      <w:pPr>
        <w:spacing w:line="360" w:lineRule="auto"/>
        <w:rPr>
          <w:rFonts w:ascii="Arial" w:hAnsi="Arial"/>
          <w:sz w:val="24"/>
          <w:szCs w:val="24"/>
        </w:rPr>
      </w:pPr>
    </w:p>
    <w:p w14:paraId="608E03DD" w14:textId="0A95DAF7" w:rsidR="0043645A" w:rsidRPr="0004371A" w:rsidRDefault="00CF406E" w:rsidP="0004371A">
      <w:pPr>
        <w:spacing w:line="360" w:lineRule="auto"/>
        <w:rPr>
          <w:rFonts w:ascii="Arial" w:hAnsi="Arial"/>
          <w:sz w:val="24"/>
          <w:szCs w:val="24"/>
        </w:rPr>
      </w:pPr>
      <w:r w:rsidRPr="0004371A">
        <w:rPr>
          <w:rFonts w:ascii="Arial" w:hAnsi="Arial"/>
          <w:sz w:val="24"/>
          <w:szCs w:val="24"/>
        </w:rPr>
        <w:t xml:space="preserve">An attempt was made by </w:t>
      </w:r>
      <w:r w:rsidRPr="0004371A">
        <w:rPr>
          <w:rFonts w:ascii="Arial" w:hAnsi="Arial"/>
          <w:sz w:val="24"/>
          <w:szCs w:val="24"/>
        </w:rPr>
        <w:t xml:space="preserve">Daniel M'Naghten to assassinate Prime Minister Sir Robert Peel, but instead shot and killed Prime Minister's </w:t>
      </w:r>
      <w:r w:rsidRPr="0004371A">
        <w:rPr>
          <w:rFonts w:ascii="Arial" w:hAnsi="Arial"/>
          <w:sz w:val="24"/>
          <w:szCs w:val="24"/>
        </w:rPr>
        <w:t>s</w:t>
      </w:r>
      <w:r w:rsidRPr="0004371A">
        <w:rPr>
          <w:rFonts w:ascii="Arial" w:hAnsi="Arial"/>
          <w:sz w:val="24"/>
          <w:szCs w:val="24"/>
        </w:rPr>
        <w:t>ecretary Edward Drummond. At the time of the murder, M'Naghten was suffering from psychotic delusions. The M'Naghten rules were developed by the House of Lords to determine if an individual should be exempt from criminal liability due to insanity</w:t>
      </w:r>
      <w:r w:rsidR="00736CF2" w:rsidRPr="0004371A">
        <w:rPr>
          <w:rFonts w:ascii="Arial" w:hAnsi="Arial"/>
          <w:sz w:val="24"/>
          <w:szCs w:val="24"/>
        </w:rPr>
        <w:t xml:space="preserve"> (</w:t>
      </w:r>
      <w:r w:rsidR="00736CF2" w:rsidRPr="0004371A">
        <w:rPr>
          <w:rFonts w:ascii="Arial" w:hAnsi="Arial"/>
          <w:color w:val="000000"/>
          <w:spacing w:val="-5"/>
          <w:sz w:val="24"/>
          <w:szCs w:val="24"/>
          <w:shd w:val="clear" w:color="auto" w:fill="FFFFFF"/>
        </w:rPr>
        <w:t>Ward 1962)</w:t>
      </w:r>
      <w:r w:rsidR="00736CF2" w:rsidRPr="0004371A">
        <w:rPr>
          <w:rFonts w:ascii="Arial" w:hAnsi="Arial"/>
          <w:color w:val="000000"/>
          <w:spacing w:val="-5"/>
          <w:sz w:val="24"/>
          <w:szCs w:val="24"/>
          <w:shd w:val="clear" w:color="auto" w:fill="FFFFFF"/>
        </w:rPr>
        <w:t>.</w:t>
      </w:r>
      <w:r w:rsidR="00C021CA" w:rsidRPr="0004371A">
        <w:rPr>
          <w:rFonts w:ascii="Arial" w:hAnsi="Arial"/>
          <w:sz w:val="24"/>
          <w:szCs w:val="24"/>
        </w:rPr>
        <w:t xml:space="preserve"> There are </w:t>
      </w:r>
      <w:r w:rsidR="0052559D" w:rsidRPr="0004371A">
        <w:rPr>
          <w:rFonts w:ascii="Arial" w:hAnsi="Arial"/>
          <w:sz w:val="24"/>
          <w:szCs w:val="24"/>
        </w:rPr>
        <w:t>criticisms</w:t>
      </w:r>
      <w:r w:rsidR="00C021CA" w:rsidRPr="0004371A">
        <w:rPr>
          <w:rFonts w:ascii="Arial" w:hAnsi="Arial"/>
          <w:sz w:val="24"/>
          <w:szCs w:val="24"/>
        </w:rPr>
        <w:t xml:space="preserve"> of the </w:t>
      </w:r>
      <w:r w:rsidR="00C021CA" w:rsidRPr="0004371A">
        <w:rPr>
          <w:rFonts w:ascii="Arial" w:hAnsi="Arial"/>
          <w:sz w:val="24"/>
          <w:szCs w:val="24"/>
        </w:rPr>
        <w:t>M'Naghten Rules</w:t>
      </w:r>
      <w:r w:rsidR="00C021CA" w:rsidRPr="0004371A">
        <w:rPr>
          <w:rFonts w:ascii="Arial" w:hAnsi="Arial"/>
          <w:sz w:val="24"/>
          <w:szCs w:val="24"/>
        </w:rPr>
        <w:t>, for example t</w:t>
      </w:r>
      <w:r w:rsidR="00C021CA" w:rsidRPr="0004371A">
        <w:rPr>
          <w:rFonts w:ascii="Arial" w:hAnsi="Arial"/>
          <w:sz w:val="24"/>
          <w:szCs w:val="24"/>
        </w:rPr>
        <w:t xml:space="preserve">he second </w:t>
      </w:r>
      <w:r w:rsidR="00C021CA" w:rsidRPr="0004371A">
        <w:rPr>
          <w:rFonts w:ascii="Arial" w:hAnsi="Arial"/>
          <w:sz w:val="24"/>
          <w:szCs w:val="24"/>
        </w:rPr>
        <w:t>limb</w:t>
      </w:r>
      <w:r w:rsidR="00C021CA" w:rsidRPr="0004371A">
        <w:rPr>
          <w:rFonts w:ascii="Arial" w:hAnsi="Arial"/>
          <w:sz w:val="24"/>
          <w:szCs w:val="24"/>
        </w:rPr>
        <w:t xml:space="preserve"> of the M'Naghten Rules</w:t>
      </w:r>
      <w:r w:rsidR="00C021CA" w:rsidRPr="0004371A">
        <w:rPr>
          <w:rFonts w:ascii="Arial" w:hAnsi="Arial"/>
          <w:sz w:val="24"/>
          <w:szCs w:val="24"/>
        </w:rPr>
        <w:t>,</w:t>
      </w:r>
      <w:r w:rsidR="00C021CA" w:rsidRPr="0004371A">
        <w:rPr>
          <w:rFonts w:ascii="Arial" w:hAnsi="Arial"/>
          <w:sz w:val="24"/>
          <w:szCs w:val="24"/>
        </w:rPr>
        <w:t xml:space="preserve"> a criminal did not know ‘</w:t>
      </w:r>
      <w:r w:rsidR="00C021CA" w:rsidRPr="0004371A">
        <w:rPr>
          <w:rFonts w:ascii="Arial" w:hAnsi="Arial"/>
          <w:sz w:val="24"/>
          <w:szCs w:val="24"/>
        </w:rPr>
        <w:t xml:space="preserve">what </w:t>
      </w:r>
      <w:r w:rsidR="00C021CA" w:rsidRPr="0004371A">
        <w:rPr>
          <w:rFonts w:ascii="Arial" w:hAnsi="Arial"/>
          <w:sz w:val="24"/>
          <w:szCs w:val="24"/>
        </w:rPr>
        <w:t xml:space="preserve">he was doing what was wrong' </w:t>
      </w:r>
      <w:r w:rsidR="00C021CA" w:rsidRPr="0004371A">
        <w:rPr>
          <w:rFonts w:ascii="Arial" w:hAnsi="Arial"/>
          <w:sz w:val="24"/>
          <w:szCs w:val="24"/>
        </w:rPr>
        <w:t xml:space="preserve"> there are flaws in this as he </w:t>
      </w:r>
      <w:r w:rsidR="00C021CA" w:rsidRPr="0004371A">
        <w:rPr>
          <w:rFonts w:ascii="Arial" w:hAnsi="Arial"/>
          <w:sz w:val="24"/>
          <w:szCs w:val="24"/>
        </w:rPr>
        <w:t>only includes</w:t>
      </w:r>
      <w:r w:rsidR="00C021CA" w:rsidRPr="0004371A">
        <w:rPr>
          <w:rFonts w:ascii="Arial" w:hAnsi="Arial"/>
          <w:sz w:val="24"/>
          <w:szCs w:val="24"/>
        </w:rPr>
        <w:t xml:space="preserve"> the word</w:t>
      </w:r>
      <w:r w:rsidR="00C021CA" w:rsidRPr="0004371A">
        <w:rPr>
          <w:rFonts w:ascii="Arial" w:hAnsi="Arial"/>
          <w:sz w:val="24"/>
          <w:szCs w:val="24"/>
        </w:rPr>
        <w:t xml:space="preserve"> ‘wrong' in </w:t>
      </w:r>
      <w:r w:rsidR="00C021CA" w:rsidRPr="0004371A">
        <w:rPr>
          <w:rFonts w:ascii="Arial" w:hAnsi="Arial"/>
          <w:sz w:val="24"/>
          <w:szCs w:val="24"/>
        </w:rPr>
        <w:t>a</w:t>
      </w:r>
      <w:r w:rsidR="00C021CA" w:rsidRPr="0004371A">
        <w:rPr>
          <w:rFonts w:ascii="Arial" w:hAnsi="Arial"/>
          <w:sz w:val="24"/>
          <w:szCs w:val="24"/>
        </w:rPr>
        <w:t xml:space="preserve"> legal sense and does not include</w:t>
      </w:r>
      <w:r w:rsidR="00C021CA" w:rsidRPr="0004371A">
        <w:rPr>
          <w:rFonts w:ascii="Arial" w:hAnsi="Arial"/>
          <w:sz w:val="24"/>
          <w:szCs w:val="24"/>
        </w:rPr>
        <w:t xml:space="preserve"> or consider</w:t>
      </w:r>
      <w:r w:rsidR="00C021CA" w:rsidRPr="0004371A">
        <w:rPr>
          <w:rFonts w:ascii="Arial" w:hAnsi="Arial"/>
          <w:sz w:val="24"/>
          <w:szCs w:val="24"/>
        </w:rPr>
        <w:t xml:space="preserve"> moral wrongdoing, which </w:t>
      </w:r>
      <w:r w:rsidR="00C021CA" w:rsidRPr="0004371A">
        <w:rPr>
          <w:rFonts w:ascii="Arial" w:hAnsi="Arial"/>
          <w:sz w:val="24"/>
          <w:szCs w:val="24"/>
        </w:rPr>
        <w:t xml:space="preserve">many </w:t>
      </w:r>
      <w:r w:rsidR="00C021CA" w:rsidRPr="0004371A">
        <w:rPr>
          <w:rFonts w:ascii="Arial" w:hAnsi="Arial"/>
          <w:sz w:val="24"/>
          <w:szCs w:val="24"/>
        </w:rPr>
        <w:t>claim makes the second limb inadequate.</w:t>
      </w:r>
      <w:r w:rsidR="0052559D" w:rsidRPr="0004371A">
        <w:rPr>
          <w:rFonts w:ascii="Arial" w:hAnsi="Arial"/>
          <w:sz w:val="24"/>
          <w:szCs w:val="24"/>
        </w:rPr>
        <w:t xml:space="preserve"> This issue was highlighted in the case law R v Windle (1952). Where a man killed his suicidal wife with one hundred aspirin tablets. Medical investigation proved that he was in fact suffering with mental illness at the time of committing the offence</w:t>
      </w:r>
      <w:r w:rsidR="0043645A" w:rsidRPr="0004371A">
        <w:rPr>
          <w:rFonts w:ascii="Arial" w:hAnsi="Arial"/>
          <w:sz w:val="24"/>
          <w:szCs w:val="24"/>
        </w:rPr>
        <w:t>. However, at the time of his arrest he said the words “I suppose they will hang me for this” to the officer arresting him. The judge</w:t>
      </w:r>
      <w:r w:rsidR="0043645A" w:rsidRPr="0004371A">
        <w:rPr>
          <w:rFonts w:ascii="Arial" w:hAnsi="Arial"/>
          <w:sz w:val="24"/>
          <w:szCs w:val="24"/>
        </w:rPr>
        <w:t xml:space="preserve"> decided that even though </w:t>
      </w:r>
      <w:r w:rsidR="0043645A" w:rsidRPr="0004371A">
        <w:rPr>
          <w:rFonts w:ascii="Arial" w:hAnsi="Arial"/>
          <w:sz w:val="24"/>
          <w:szCs w:val="24"/>
        </w:rPr>
        <w:t xml:space="preserve">he </w:t>
      </w:r>
      <w:r w:rsidR="0043645A" w:rsidRPr="0004371A">
        <w:rPr>
          <w:rFonts w:ascii="Arial" w:hAnsi="Arial"/>
          <w:sz w:val="24"/>
          <w:szCs w:val="24"/>
        </w:rPr>
        <w:t>ha</w:t>
      </w:r>
      <w:r w:rsidR="0043645A" w:rsidRPr="0004371A">
        <w:rPr>
          <w:rFonts w:ascii="Arial" w:hAnsi="Arial"/>
          <w:sz w:val="24"/>
          <w:szCs w:val="24"/>
        </w:rPr>
        <w:t>d</w:t>
      </w:r>
      <w:r w:rsidR="0043645A" w:rsidRPr="0004371A">
        <w:rPr>
          <w:rFonts w:ascii="Arial" w:hAnsi="Arial"/>
          <w:sz w:val="24"/>
          <w:szCs w:val="24"/>
        </w:rPr>
        <w:t xml:space="preserve"> a defect of reason, he can still be held accountable if he knew what he was doing was illegal.</w:t>
      </w:r>
      <w:r w:rsidR="0043645A" w:rsidRPr="0004371A">
        <w:rPr>
          <w:rFonts w:ascii="Arial" w:hAnsi="Arial"/>
          <w:sz w:val="24"/>
          <w:szCs w:val="24"/>
        </w:rPr>
        <w:t xml:space="preserve"> </w:t>
      </w:r>
      <w:r w:rsidR="0043645A" w:rsidRPr="0004371A">
        <w:rPr>
          <w:rFonts w:ascii="Arial" w:hAnsi="Arial"/>
          <w:sz w:val="24"/>
          <w:szCs w:val="24"/>
        </w:rPr>
        <w:t>Despite the fact that one of the psychologists believed the defendant did not know his acts were morally wrong, a consideration that was ignored by the judge, the judge found that the defendant understood what he had done was illegal</w:t>
      </w:r>
      <w:r w:rsidR="0043645A" w:rsidRPr="0004371A">
        <w:rPr>
          <w:rFonts w:ascii="Arial" w:hAnsi="Arial"/>
          <w:sz w:val="24"/>
          <w:szCs w:val="24"/>
        </w:rPr>
        <w:t xml:space="preserve"> and therefore prosecuted him on those grounds (</w:t>
      </w:r>
      <w:proofErr w:type="spellStart"/>
      <w:r w:rsidR="0043645A" w:rsidRPr="0004371A">
        <w:rPr>
          <w:rFonts w:ascii="Arial" w:hAnsi="Arial"/>
          <w:sz w:val="24"/>
          <w:szCs w:val="24"/>
        </w:rPr>
        <w:t>Mukhia</w:t>
      </w:r>
      <w:proofErr w:type="spellEnd"/>
      <w:r w:rsidR="0043645A" w:rsidRPr="0004371A">
        <w:rPr>
          <w:rFonts w:ascii="Arial" w:hAnsi="Arial"/>
          <w:sz w:val="24"/>
          <w:szCs w:val="24"/>
        </w:rPr>
        <w:t xml:space="preserve">, 2012). </w:t>
      </w:r>
    </w:p>
    <w:p w14:paraId="7109AFE8" w14:textId="1BAE5277" w:rsidR="0043645A" w:rsidRPr="0004371A" w:rsidRDefault="0043645A" w:rsidP="0004371A">
      <w:pPr>
        <w:spacing w:line="360" w:lineRule="auto"/>
        <w:rPr>
          <w:rFonts w:ascii="Arial" w:hAnsi="Arial"/>
          <w:sz w:val="24"/>
          <w:szCs w:val="24"/>
        </w:rPr>
      </w:pPr>
    </w:p>
    <w:p w14:paraId="75A6DD32" w14:textId="1A2D3270" w:rsidR="00A843ED" w:rsidRPr="0004371A" w:rsidRDefault="00DD0BF9" w:rsidP="0004371A">
      <w:pPr>
        <w:spacing w:line="360" w:lineRule="auto"/>
        <w:rPr>
          <w:rFonts w:ascii="Arial" w:hAnsi="Arial" w:cs="Segoe UI"/>
          <w:color w:val="212529"/>
          <w:sz w:val="24"/>
          <w:szCs w:val="24"/>
          <w:shd w:val="clear" w:color="auto" w:fill="FFFFFF"/>
        </w:rPr>
      </w:pPr>
      <w:r w:rsidRPr="0004371A">
        <w:rPr>
          <w:rFonts w:ascii="Arial" w:hAnsi="Arial"/>
          <w:sz w:val="24"/>
          <w:szCs w:val="24"/>
        </w:rPr>
        <w:t>Another Flaw in the defence of insanity is the lack of psychiatric understanding. The term ‘disease of the mind’</w:t>
      </w:r>
      <w:r w:rsidR="00FC3FEF" w:rsidRPr="0004371A">
        <w:rPr>
          <w:rFonts w:ascii="Arial" w:hAnsi="Arial"/>
          <w:sz w:val="24"/>
          <w:szCs w:val="24"/>
        </w:rPr>
        <w:t>. By definition, defence of inanity refers to ‘</w:t>
      </w:r>
      <w:r w:rsidR="00FC3FEF" w:rsidRPr="0004371A">
        <w:rPr>
          <w:rFonts w:ascii="Arial" w:hAnsi="Arial"/>
          <w:sz w:val="24"/>
          <w:szCs w:val="24"/>
        </w:rPr>
        <w:t xml:space="preserve">the premise that certain mental illnesses or defects can impair a person's capacity to shape the necessary </w:t>
      </w:r>
      <w:proofErr w:type="spellStart"/>
      <w:r w:rsidR="00FC3FEF" w:rsidRPr="0004371A">
        <w:rPr>
          <w:rFonts w:ascii="Arial" w:hAnsi="Arial"/>
          <w:sz w:val="24"/>
          <w:szCs w:val="24"/>
        </w:rPr>
        <w:t>mens</w:t>
      </w:r>
      <w:proofErr w:type="spellEnd"/>
      <w:r w:rsidR="00FC3FEF" w:rsidRPr="0004371A">
        <w:rPr>
          <w:rFonts w:ascii="Arial" w:hAnsi="Arial"/>
          <w:sz w:val="24"/>
          <w:szCs w:val="24"/>
        </w:rPr>
        <w:t xml:space="preserve"> rea</w:t>
      </w:r>
      <w:r w:rsidR="00FC3FEF" w:rsidRPr="0004371A">
        <w:rPr>
          <w:rFonts w:ascii="Arial" w:hAnsi="Arial"/>
          <w:sz w:val="24"/>
          <w:szCs w:val="24"/>
        </w:rPr>
        <w:t xml:space="preserve">’ (Feuerstein, 2005). However, the case law R v Kemp (1957) causes confusion amongst the exception </w:t>
      </w:r>
      <w:r w:rsidR="00891A18" w:rsidRPr="0004371A">
        <w:rPr>
          <w:rFonts w:ascii="Arial" w:hAnsi="Arial"/>
          <w:sz w:val="24"/>
          <w:szCs w:val="24"/>
        </w:rPr>
        <w:t xml:space="preserve">of, </w:t>
      </w:r>
      <w:r w:rsidR="00FC3FEF" w:rsidRPr="0004371A">
        <w:rPr>
          <w:rFonts w:ascii="Arial" w:hAnsi="Arial"/>
          <w:sz w:val="24"/>
          <w:szCs w:val="24"/>
        </w:rPr>
        <w:t xml:space="preserve">and </w:t>
      </w:r>
      <w:r w:rsidR="00FC3FEF" w:rsidRPr="0004371A">
        <w:rPr>
          <w:rFonts w:ascii="Arial" w:hAnsi="Arial"/>
          <w:sz w:val="24"/>
          <w:szCs w:val="24"/>
        </w:rPr>
        <w:t>differentiation</w:t>
      </w:r>
      <w:r w:rsidR="00FC3FEF" w:rsidRPr="0004371A">
        <w:rPr>
          <w:rFonts w:ascii="Arial" w:hAnsi="Arial"/>
          <w:sz w:val="24"/>
          <w:szCs w:val="24"/>
        </w:rPr>
        <w:t xml:space="preserve"> between physical and mental illness. </w:t>
      </w:r>
      <w:r w:rsidR="00891A18" w:rsidRPr="0004371A">
        <w:rPr>
          <w:rFonts w:ascii="Arial" w:hAnsi="Arial"/>
          <w:sz w:val="24"/>
          <w:szCs w:val="24"/>
        </w:rPr>
        <w:t>R v Kemp (1957)</w:t>
      </w:r>
      <w:r w:rsidR="00891A18" w:rsidRPr="0004371A">
        <w:rPr>
          <w:rFonts w:ascii="Arial" w:hAnsi="Arial"/>
          <w:sz w:val="24"/>
          <w:szCs w:val="24"/>
        </w:rPr>
        <w:t xml:space="preserve"> says that physical impairment is considers a ‘disease of the mind’, and this is where the confusion lies. A defendant used a hammer to assault his wife, yet his previous history didn’t consist of any account of violence. Under the Offences Against the Person Act 1861, the defendant was charged by the judge for causing grievous bodily harm (GBH). The defendant appealed the verdict on the grounds that he experienced a loss of consciousness related to </w:t>
      </w:r>
      <w:r w:rsidR="00891A18" w:rsidRPr="0004371A">
        <w:rPr>
          <w:rFonts w:ascii="Arial" w:hAnsi="Arial" w:cs="Segoe UI"/>
          <w:color w:val="212529"/>
          <w:sz w:val="24"/>
          <w:szCs w:val="24"/>
          <w:shd w:val="clear" w:color="auto" w:fill="FFFFFF"/>
        </w:rPr>
        <w:t>arteriosclerosis</w:t>
      </w:r>
      <w:r w:rsidR="00891A18" w:rsidRPr="0004371A">
        <w:rPr>
          <w:rFonts w:ascii="Arial" w:hAnsi="Arial" w:cs="Segoe UI"/>
          <w:color w:val="212529"/>
          <w:sz w:val="24"/>
          <w:szCs w:val="24"/>
          <w:shd w:val="clear" w:color="auto" w:fill="FFFFFF"/>
        </w:rPr>
        <w:t xml:space="preserve">. He </w:t>
      </w:r>
      <w:r w:rsidR="00C96B8F" w:rsidRPr="0004371A">
        <w:rPr>
          <w:rFonts w:ascii="Arial" w:hAnsi="Arial" w:cs="Segoe UI"/>
          <w:color w:val="212529"/>
          <w:sz w:val="24"/>
          <w:szCs w:val="24"/>
          <w:shd w:val="clear" w:color="auto" w:fill="FFFFFF"/>
        </w:rPr>
        <w:t>argued that he experienced congestion of the blood in his brain, caused by hardening of the arteries</w:t>
      </w:r>
      <w:r w:rsidR="006F127B" w:rsidRPr="0004371A">
        <w:rPr>
          <w:rFonts w:ascii="Arial" w:hAnsi="Arial" w:cs="Segoe UI"/>
          <w:color w:val="212529"/>
          <w:sz w:val="24"/>
          <w:szCs w:val="24"/>
          <w:shd w:val="clear" w:color="auto" w:fill="FFFFFF"/>
        </w:rPr>
        <w:t xml:space="preserve">. </w:t>
      </w:r>
      <w:r w:rsidR="00164E19" w:rsidRPr="0004371A">
        <w:rPr>
          <w:rFonts w:ascii="Arial" w:hAnsi="Arial" w:cs="Segoe UI"/>
          <w:color w:val="212529"/>
          <w:sz w:val="24"/>
          <w:szCs w:val="24"/>
          <w:shd w:val="clear" w:color="auto" w:fill="FFFFFF"/>
        </w:rPr>
        <w:t xml:space="preserve">The appeal court had to decide whether the trial judge correctly instructed the jury that insanity was the proper </w:t>
      </w:r>
      <w:r w:rsidR="00164E19" w:rsidRPr="0004371A">
        <w:rPr>
          <w:rFonts w:ascii="Arial" w:hAnsi="Arial" w:cs="Segoe UI"/>
          <w:color w:val="212529"/>
          <w:sz w:val="24"/>
          <w:szCs w:val="24"/>
          <w:shd w:val="clear" w:color="auto" w:fill="FFFFFF"/>
        </w:rPr>
        <w:t>defence</w:t>
      </w:r>
      <w:r w:rsidR="00164E19" w:rsidRPr="0004371A">
        <w:rPr>
          <w:rFonts w:ascii="Arial" w:hAnsi="Arial" w:cs="Segoe UI"/>
          <w:color w:val="212529"/>
          <w:sz w:val="24"/>
          <w:szCs w:val="24"/>
          <w:shd w:val="clear" w:color="auto" w:fill="FFFFFF"/>
        </w:rPr>
        <w:t xml:space="preserve"> in this case, and whether the M'Naghten "disease of the mind" test should be applied to physical conditions </w:t>
      </w:r>
      <w:r w:rsidR="00164E19" w:rsidRPr="0004371A">
        <w:rPr>
          <w:rFonts w:ascii="Arial" w:hAnsi="Arial" w:cs="Segoe UI"/>
          <w:color w:val="212529"/>
          <w:sz w:val="24"/>
          <w:szCs w:val="24"/>
          <w:shd w:val="clear" w:color="auto" w:fill="FFFFFF"/>
        </w:rPr>
        <w:t xml:space="preserve">too. Overall, the court claimed that due to the effect on a </w:t>
      </w:r>
      <w:r w:rsidR="00446949" w:rsidRPr="0004371A">
        <w:rPr>
          <w:rFonts w:ascii="Arial" w:hAnsi="Arial" w:cs="Segoe UI"/>
          <w:color w:val="212529"/>
          <w:sz w:val="24"/>
          <w:szCs w:val="24"/>
          <w:shd w:val="clear" w:color="auto" w:fill="FFFFFF"/>
        </w:rPr>
        <w:t>person’s</w:t>
      </w:r>
      <w:r w:rsidR="00164E19" w:rsidRPr="0004371A">
        <w:rPr>
          <w:rFonts w:ascii="Arial" w:hAnsi="Arial" w:cs="Segoe UI"/>
          <w:color w:val="212529"/>
          <w:sz w:val="24"/>
          <w:szCs w:val="24"/>
          <w:shd w:val="clear" w:color="auto" w:fill="FFFFFF"/>
        </w:rPr>
        <w:t xml:space="preserve"> ability to reason, that hardening of the </w:t>
      </w:r>
      <w:r w:rsidR="00446949" w:rsidRPr="0004371A">
        <w:rPr>
          <w:rFonts w:ascii="Arial" w:hAnsi="Arial" w:cs="Segoe UI"/>
          <w:color w:val="212529"/>
          <w:sz w:val="24"/>
          <w:szCs w:val="24"/>
          <w:shd w:val="clear" w:color="auto" w:fill="FFFFFF"/>
        </w:rPr>
        <w:t>arteries</w:t>
      </w:r>
      <w:r w:rsidR="00164E19" w:rsidRPr="0004371A">
        <w:rPr>
          <w:rFonts w:ascii="Arial" w:hAnsi="Arial" w:cs="Segoe UI"/>
          <w:color w:val="212529"/>
          <w:sz w:val="24"/>
          <w:szCs w:val="24"/>
          <w:shd w:val="clear" w:color="auto" w:fill="FFFFFF"/>
        </w:rPr>
        <w:t xml:space="preserve"> could in</w:t>
      </w:r>
      <w:r w:rsidR="00446949" w:rsidRPr="0004371A">
        <w:rPr>
          <w:rFonts w:ascii="Arial" w:hAnsi="Arial" w:cs="Segoe UI"/>
          <w:color w:val="212529"/>
          <w:sz w:val="24"/>
          <w:szCs w:val="24"/>
          <w:shd w:val="clear" w:color="auto" w:fill="FFFFFF"/>
        </w:rPr>
        <w:t xml:space="preserve"> </w:t>
      </w:r>
      <w:r w:rsidR="00164E19" w:rsidRPr="0004371A">
        <w:rPr>
          <w:rFonts w:ascii="Arial" w:hAnsi="Arial" w:cs="Segoe UI"/>
          <w:color w:val="212529"/>
          <w:sz w:val="24"/>
          <w:szCs w:val="24"/>
          <w:shd w:val="clear" w:color="auto" w:fill="FFFFFF"/>
        </w:rPr>
        <w:t xml:space="preserve">fact count as disease of the mind.  This has been heavily </w:t>
      </w:r>
      <w:r w:rsidR="00446949" w:rsidRPr="0004371A">
        <w:rPr>
          <w:rFonts w:ascii="Arial" w:hAnsi="Arial" w:cs="Segoe UI"/>
          <w:color w:val="212529"/>
          <w:sz w:val="24"/>
          <w:szCs w:val="24"/>
          <w:shd w:val="clear" w:color="auto" w:fill="FFFFFF"/>
        </w:rPr>
        <w:t>criticised</w:t>
      </w:r>
      <w:r w:rsidR="00164E19" w:rsidRPr="0004371A">
        <w:rPr>
          <w:rFonts w:ascii="Arial" w:hAnsi="Arial" w:cs="Segoe UI"/>
          <w:color w:val="212529"/>
          <w:sz w:val="24"/>
          <w:szCs w:val="24"/>
          <w:shd w:val="clear" w:color="auto" w:fill="FFFFFF"/>
        </w:rPr>
        <w:t>, many argue that defence of insanity should only apply to mental health or psychiatric issues</w:t>
      </w:r>
      <w:r w:rsidR="00A843ED" w:rsidRPr="0004371A">
        <w:rPr>
          <w:rFonts w:ascii="Arial" w:hAnsi="Arial" w:cs="Segoe UI"/>
          <w:color w:val="212529"/>
          <w:sz w:val="24"/>
          <w:szCs w:val="24"/>
          <w:shd w:val="clear" w:color="auto" w:fill="FFFFFF"/>
        </w:rPr>
        <w:t xml:space="preserve"> (Williams, 1954).</w:t>
      </w:r>
    </w:p>
    <w:p w14:paraId="243F06D3" w14:textId="1140CC48" w:rsidR="00267626" w:rsidRPr="0004371A" w:rsidRDefault="00446949" w:rsidP="0004371A">
      <w:pPr>
        <w:spacing w:line="360" w:lineRule="auto"/>
        <w:rPr>
          <w:rFonts w:ascii="Arial" w:hAnsi="Arial" w:cs="Segoe UI"/>
          <w:color w:val="212529"/>
          <w:sz w:val="24"/>
          <w:szCs w:val="24"/>
          <w:shd w:val="clear" w:color="auto" w:fill="FFFFFF"/>
        </w:rPr>
      </w:pPr>
      <w:r w:rsidRPr="0004371A">
        <w:rPr>
          <w:rFonts w:ascii="Arial" w:hAnsi="Arial" w:cs="Segoe UI"/>
          <w:color w:val="212529"/>
          <w:sz w:val="24"/>
          <w:szCs w:val="24"/>
          <w:shd w:val="clear" w:color="auto" w:fill="FFFFFF"/>
        </w:rPr>
        <w:t xml:space="preserve">The defence of inanity can seem somewhat ambiguous at times, and difficult to interoperate. R v Clarke (1972) is an example of how it can be misinterpreted. A woman was arrested for shop lifting items, by placing them in her handbag. She was convicted under the Theft Act </w:t>
      </w:r>
      <w:proofErr w:type="gramStart"/>
      <w:r w:rsidRPr="0004371A">
        <w:rPr>
          <w:rFonts w:ascii="Arial" w:hAnsi="Arial" w:cs="Segoe UI"/>
          <w:color w:val="212529"/>
          <w:sz w:val="24"/>
          <w:szCs w:val="24"/>
          <w:shd w:val="clear" w:color="auto" w:fill="FFFFFF"/>
        </w:rPr>
        <w:t>1968,</w:t>
      </w:r>
      <w:proofErr w:type="gramEnd"/>
      <w:r w:rsidRPr="0004371A">
        <w:rPr>
          <w:rFonts w:ascii="Arial" w:hAnsi="Arial" w:cs="Segoe UI"/>
          <w:color w:val="212529"/>
          <w:sz w:val="24"/>
          <w:szCs w:val="24"/>
          <w:shd w:val="clear" w:color="auto" w:fill="FFFFFF"/>
        </w:rPr>
        <w:t xml:space="preserve"> however her trial judge decided the most appropriate defence was defence of insanity on grounds that she was absent minded and had no recollection of stealing any items. Issues raised in this case was the uncertainty of whether defence of insanity </w:t>
      </w:r>
      <w:r w:rsidR="005A0904" w:rsidRPr="0004371A">
        <w:rPr>
          <w:rFonts w:ascii="Arial" w:hAnsi="Arial" w:cs="Segoe UI"/>
          <w:color w:val="212529"/>
          <w:sz w:val="24"/>
          <w:szCs w:val="24"/>
          <w:shd w:val="clear" w:color="auto" w:fill="FFFFFF"/>
        </w:rPr>
        <w:t>was appropriate</w:t>
      </w:r>
      <w:r w:rsidRPr="0004371A">
        <w:rPr>
          <w:rFonts w:ascii="Arial" w:hAnsi="Arial" w:cs="Segoe UI"/>
          <w:color w:val="212529"/>
          <w:sz w:val="24"/>
          <w:szCs w:val="24"/>
          <w:shd w:val="clear" w:color="auto" w:fill="FFFFFF"/>
        </w:rPr>
        <w:t xml:space="preserve"> due to the fact the defendant only experienced depression, which came with slight and </w:t>
      </w:r>
      <w:r w:rsidR="000C2BE3" w:rsidRPr="0004371A">
        <w:rPr>
          <w:rFonts w:ascii="Arial" w:hAnsi="Arial" w:cs="Segoe UI"/>
          <w:color w:val="212529"/>
          <w:sz w:val="24"/>
          <w:szCs w:val="24"/>
          <w:shd w:val="clear" w:color="auto" w:fill="FFFFFF"/>
        </w:rPr>
        <w:t xml:space="preserve">infrequent periods of forgetfulness. </w:t>
      </w:r>
      <w:r w:rsidR="000C2BE3" w:rsidRPr="0004371A">
        <w:rPr>
          <w:rFonts w:ascii="Arial" w:hAnsi="Arial" w:cs="Segoe UI"/>
          <w:color w:val="212529"/>
          <w:sz w:val="24"/>
          <w:szCs w:val="24"/>
          <w:shd w:val="clear" w:color="auto" w:fill="FFFFFF"/>
        </w:rPr>
        <w:t xml:space="preserve">The defendant had not articulated an insanity </w:t>
      </w:r>
      <w:r w:rsidR="000C2BE3" w:rsidRPr="0004371A">
        <w:rPr>
          <w:rFonts w:ascii="Arial" w:hAnsi="Arial" w:cs="Segoe UI"/>
          <w:color w:val="212529"/>
          <w:sz w:val="24"/>
          <w:szCs w:val="24"/>
          <w:shd w:val="clear" w:color="auto" w:fill="FFFFFF"/>
        </w:rPr>
        <w:t>defence</w:t>
      </w:r>
      <w:r w:rsidR="005A0904" w:rsidRPr="0004371A">
        <w:rPr>
          <w:rFonts w:ascii="Arial" w:hAnsi="Arial" w:cs="Segoe UI"/>
          <w:color w:val="212529"/>
          <w:sz w:val="24"/>
          <w:szCs w:val="24"/>
          <w:shd w:val="clear" w:color="auto" w:fill="FFFFFF"/>
        </w:rPr>
        <w:t>, r</w:t>
      </w:r>
      <w:r w:rsidR="000C2BE3" w:rsidRPr="0004371A">
        <w:rPr>
          <w:rFonts w:ascii="Arial" w:hAnsi="Arial" w:cs="Segoe UI"/>
          <w:color w:val="212529"/>
          <w:sz w:val="24"/>
          <w:szCs w:val="24"/>
          <w:shd w:val="clear" w:color="auto" w:fill="FFFFFF"/>
        </w:rPr>
        <w:t xml:space="preserve">ather, he was simply trying to refute </w:t>
      </w:r>
      <w:proofErr w:type="spellStart"/>
      <w:r w:rsidR="000C2BE3" w:rsidRPr="0004371A">
        <w:rPr>
          <w:rFonts w:ascii="Arial" w:hAnsi="Arial" w:cs="Segoe UI"/>
          <w:color w:val="212529"/>
          <w:sz w:val="24"/>
          <w:szCs w:val="24"/>
          <w:shd w:val="clear" w:color="auto" w:fill="FFFFFF"/>
        </w:rPr>
        <w:t>mens</w:t>
      </w:r>
      <w:proofErr w:type="spellEnd"/>
      <w:r w:rsidR="000C2BE3" w:rsidRPr="0004371A">
        <w:rPr>
          <w:rFonts w:ascii="Arial" w:hAnsi="Arial" w:cs="Segoe UI"/>
          <w:color w:val="212529"/>
          <w:sz w:val="24"/>
          <w:szCs w:val="24"/>
          <w:shd w:val="clear" w:color="auto" w:fill="FFFFFF"/>
        </w:rPr>
        <w:t xml:space="preserve"> rea, and in either situation, a case of temporary absent mindedness is </w:t>
      </w:r>
      <w:r w:rsidR="005A0904" w:rsidRPr="0004371A">
        <w:rPr>
          <w:rFonts w:ascii="Arial" w:hAnsi="Arial" w:cs="Segoe UI"/>
          <w:color w:val="212529"/>
          <w:sz w:val="24"/>
          <w:szCs w:val="24"/>
          <w:shd w:val="clear" w:color="auto" w:fill="FFFFFF"/>
        </w:rPr>
        <w:t xml:space="preserve">not of psychiatric severity </w:t>
      </w:r>
      <w:r w:rsidR="000C2BE3" w:rsidRPr="0004371A">
        <w:rPr>
          <w:rFonts w:ascii="Arial" w:hAnsi="Arial" w:cs="Segoe UI"/>
          <w:color w:val="212529"/>
          <w:sz w:val="24"/>
          <w:szCs w:val="24"/>
          <w:shd w:val="clear" w:color="auto" w:fill="FFFFFF"/>
        </w:rPr>
        <w:t xml:space="preserve">from the requirement </w:t>
      </w:r>
      <w:r w:rsidR="005A0904" w:rsidRPr="0004371A">
        <w:rPr>
          <w:rFonts w:ascii="Arial" w:hAnsi="Arial" w:cs="Segoe UI"/>
          <w:color w:val="212529"/>
          <w:sz w:val="24"/>
          <w:szCs w:val="24"/>
          <w:shd w:val="clear" w:color="auto" w:fill="FFFFFF"/>
        </w:rPr>
        <w:t xml:space="preserve">necessary </w:t>
      </w:r>
      <w:r w:rsidR="000C2BE3" w:rsidRPr="0004371A">
        <w:rPr>
          <w:rFonts w:ascii="Arial" w:hAnsi="Arial" w:cs="Segoe UI"/>
          <w:color w:val="212529"/>
          <w:sz w:val="24"/>
          <w:szCs w:val="24"/>
          <w:shd w:val="clear" w:color="auto" w:fill="FFFFFF"/>
        </w:rPr>
        <w:t xml:space="preserve">to prevail in an insanity </w:t>
      </w:r>
      <w:r w:rsidR="005A0904" w:rsidRPr="0004371A">
        <w:rPr>
          <w:rFonts w:ascii="Arial" w:hAnsi="Arial" w:cs="Segoe UI"/>
          <w:color w:val="212529"/>
          <w:sz w:val="24"/>
          <w:szCs w:val="24"/>
          <w:shd w:val="clear" w:color="auto" w:fill="FFFFFF"/>
        </w:rPr>
        <w:t>defence</w:t>
      </w:r>
      <w:r w:rsidR="000C2BE3" w:rsidRPr="0004371A">
        <w:rPr>
          <w:rFonts w:ascii="Arial" w:hAnsi="Arial" w:cs="Segoe UI"/>
          <w:color w:val="212529"/>
          <w:sz w:val="24"/>
          <w:szCs w:val="24"/>
          <w:shd w:val="clear" w:color="auto" w:fill="FFFFFF"/>
        </w:rPr>
        <w:t xml:space="preserve">, according to the court. A significant deficiency of rationality on the part of the defendant is required for an insanity </w:t>
      </w:r>
      <w:r w:rsidR="005A0904" w:rsidRPr="0004371A">
        <w:rPr>
          <w:rFonts w:ascii="Arial" w:hAnsi="Arial" w:cs="Segoe UI"/>
          <w:color w:val="212529"/>
          <w:sz w:val="24"/>
          <w:szCs w:val="24"/>
          <w:shd w:val="clear" w:color="auto" w:fill="FFFFFF"/>
        </w:rPr>
        <w:t>defence</w:t>
      </w:r>
      <w:r w:rsidR="000C2BE3" w:rsidRPr="0004371A">
        <w:rPr>
          <w:rFonts w:ascii="Arial" w:hAnsi="Arial" w:cs="Segoe UI"/>
          <w:color w:val="212529"/>
          <w:sz w:val="24"/>
          <w:szCs w:val="24"/>
          <w:shd w:val="clear" w:color="auto" w:fill="FFFFFF"/>
        </w:rPr>
        <w:t xml:space="preserve"> to proceed</w:t>
      </w:r>
      <w:r w:rsidR="00A843ED" w:rsidRPr="0004371A">
        <w:rPr>
          <w:rFonts w:ascii="Arial" w:hAnsi="Arial" w:cs="Segoe UI"/>
          <w:color w:val="212529"/>
          <w:sz w:val="24"/>
          <w:szCs w:val="24"/>
          <w:shd w:val="clear" w:color="auto" w:fill="FFFFFF"/>
        </w:rPr>
        <w:t xml:space="preserve"> (House of Lords, 2008).</w:t>
      </w:r>
    </w:p>
    <w:p w14:paraId="7DE9A338" w14:textId="07279CF9" w:rsidR="001F6A44" w:rsidRPr="0004371A" w:rsidRDefault="001F6A44" w:rsidP="0004371A">
      <w:pPr>
        <w:spacing w:line="360" w:lineRule="auto"/>
        <w:rPr>
          <w:rFonts w:ascii="Arial" w:hAnsi="Arial" w:cs="Segoe UI"/>
          <w:color w:val="212529"/>
          <w:sz w:val="24"/>
          <w:szCs w:val="24"/>
          <w:shd w:val="clear" w:color="auto" w:fill="FFFFFF"/>
        </w:rPr>
      </w:pPr>
    </w:p>
    <w:p w14:paraId="15BDB93A" w14:textId="77777777" w:rsidR="001F6A44" w:rsidRPr="0004371A" w:rsidRDefault="001F6A44" w:rsidP="0004371A">
      <w:pPr>
        <w:spacing w:line="360" w:lineRule="auto"/>
        <w:rPr>
          <w:rFonts w:ascii="Arial" w:hAnsi="Arial" w:cs="Segoe UI"/>
          <w:color w:val="212529"/>
          <w:sz w:val="24"/>
          <w:szCs w:val="24"/>
          <w:shd w:val="clear" w:color="auto" w:fill="FFFFFF"/>
        </w:rPr>
      </w:pPr>
    </w:p>
    <w:p w14:paraId="323DB0F2" w14:textId="17A61D13" w:rsidR="0043645A" w:rsidRPr="0004371A" w:rsidRDefault="001F6A44" w:rsidP="0004371A">
      <w:pPr>
        <w:spacing w:line="360" w:lineRule="auto"/>
        <w:rPr>
          <w:rFonts w:ascii="Arial" w:hAnsi="Arial"/>
          <w:sz w:val="24"/>
          <w:szCs w:val="24"/>
        </w:rPr>
      </w:pPr>
      <w:r w:rsidRPr="0004371A">
        <w:rPr>
          <w:rFonts w:ascii="Arial" w:hAnsi="Arial" w:cs="Segoe UI"/>
          <w:color w:val="212529"/>
          <w:sz w:val="24"/>
          <w:szCs w:val="24"/>
          <w:shd w:val="clear" w:color="auto" w:fill="FFFFFF"/>
        </w:rPr>
        <w:t>Another reason</w:t>
      </w:r>
      <w:r w:rsidR="00006216" w:rsidRPr="0004371A">
        <w:rPr>
          <w:rFonts w:ascii="Arial" w:hAnsi="Arial" w:cs="Segoe UI"/>
          <w:color w:val="212529"/>
          <w:sz w:val="24"/>
          <w:szCs w:val="24"/>
          <w:shd w:val="clear" w:color="auto" w:fill="FFFFFF"/>
        </w:rPr>
        <w:t xml:space="preserve"> that </w:t>
      </w:r>
      <w:r w:rsidRPr="0004371A">
        <w:rPr>
          <w:rFonts w:ascii="Arial" w:hAnsi="Arial" w:cs="Segoe UI"/>
          <w:color w:val="212529"/>
          <w:sz w:val="24"/>
          <w:szCs w:val="24"/>
          <w:shd w:val="clear" w:color="auto" w:fill="FFFFFF"/>
        </w:rPr>
        <w:t xml:space="preserve">defence of insanity is </w:t>
      </w:r>
      <w:r w:rsidR="00006216" w:rsidRPr="0004371A">
        <w:rPr>
          <w:rFonts w:ascii="Arial" w:hAnsi="Arial" w:cs="Segoe UI"/>
          <w:color w:val="212529"/>
          <w:sz w:val="24"/>
          <w:szCs w:val="24"/>
          <w:shd w:val="clear" w:color="auto" w:fill="FFFFFF"/>
        </w:rPr>
        <w:t>desperate f</w:t>
      </w:r>
      <w:r w:rsidR="00CC517E" w:rsidRPr="0004371A">
        <w:rPr>
          <w:rFonts w:ascii="Arial" w:hAnsi="Arial" w:cs="Segoe UI"/>
          <w:color w:val="212529"/>
          <w:sz w:val="24"/>
          <w:szCs w:val="24"/>
          <w:shd w:val="clear" w:color="auto" w:fill="FFFFFF"/>
        </w:rPr>
        <w:t>or</w:t>
      </w:r>
      <w:r w:rsidR="00006216" w:rsidRPr="0004371A">
        <w:rPr>
          <w:rFonts w:ascii="Arial" w:hAnsi="Arial" w:cs="Segoe UI"/>
          <w:color w:val="212529"/>
          <w:sz w:val="24"/>
          <w:szCs w:val="24"/>
          <w:shd w:val="clear" w:color="auto" w:fill="FFFFFF"/>
        </w:rPr>
        <w:t xml:space="preserve"> reform is that the label ‘insane’ is significantly outdated, the word isn’t fitting for many reasons and is somewhat offensive. The term is simply incorrect in terms of learning difficulties, learning disabilities and epilepsy. It is an outdated description of mental illness and being diagnosed with mental illness doesn’t strictly deem a person as ‘insane’</w:t>
      </w:r>
      <w:r w:rsidR="00CA5437" w:rsidRPr="0004371A">
        <w:rPr>
          <w:rFonts w:ascii="Arial" w:hAnsi="Arial" w:cs="Segoe UI"/>
          <w:color w:val="212529"/>
          <w:sz w:val="24"/>
          <w:szCs w:val="24"/>
          <w:shd w:val="clear" w:color="auto" w:fill="FFFFFF"/>
        </w:rPr>
        <w:t xml:space="preserve"> (Rix, 2018).</w:t>
      </w:r>
    </w:p>
    <w:p w14:paraId="10F3F637" w14:textId="3BBD18B2" w:rsidR="0043645A" w:rsidRPr="0004371A" w:rsidRDefault="0043645A" w:rsidP="0004371A">
      <w:pPr>
        <w:spacing w:line="360" w:lineRule="auto"/>
        <w:rPr>
          <w:rFonts w:ascii="Arial" w:hAnsi="Arial"/>
          <w:sz w:val="24"/>
          <w:szCs w:val="24"/>
        </w:rPr>
      </w:pPr>
    </w:p>
    <w:p w14:paraId="14A2FF5A" w14:textId="77CAAFA0" w:rsidR="00C26519" w:rsidRPr="0004371A" w:rsidRDefault="00C26519" w:rsidP="0004371A">
      <w:pPr>
        <w:spacing w:line="360" w:lineRule="auto"/>
        <w:rPr>
          <w:rFonts w:ascii="Arial" w:hAnsi="Arial"/>
          <w:sz w:val="24"/>
          <w:szCs w:val="24"/>
        </w:rPr>
      </w:pPr>
      <w:r w:rsidRPr="0004371A">
        <w:rPr>
          <w:rFonts w:ascii="Arial" w:hAnsi="Arial"/>
          <w:sz w:val="24"/>
          <w:szCs w:val="24"/>
        </w:rPr>
        <w:t xml:space="preserve">However, </w:t>
      </w:r>
      <w:r w:rsidR="00006216" w:rsidRPr="0004371A">
        <w:rPr>
          <w:rFonts w:ascii="Arial" w:hAnsi="Arial"/>
          <w:sz w:val="24"/>
          <w:szCs w:val="24"/>
        </w:rPr>
        <w:t xml:space="preserve">The Law commission released a discussion report </w:t>
      </w:r>
      <w:r w:rsidR="00CC517E" w:rsidRPr="0004371A">
        <w:rPr>
          <w:rFonts w:ascii="Arial" w:hAnsi="Arial"/>
          <w:sz w:val="24"/>
          <w:szCs w:val="24"/>
        </w:rPr>
        <w:t>analysing</w:t>
      </w:r>
      <w:r w:rsidR="00006216" w:rsidRPr="0004371A">
        <w:rPr>
          <w:rFonts w:ascii="Arial" w:hAnsi="Arial"/>
          <w:sz w:val="24"/>
          <w:szCs w:val="24"/>
        </w:rPr>
        <w:t xml:space="preserve"> insanity and automatism. In this paper they disclosed that they found </w:t>
      </w:r>
      <w:r w:rsidRPr="0004371A">
        <w:rPr>
          <w:rFonts w:ascii="Arial" w:hAnsi="Arial"/>
          <w:sz w:val="24"/>
          <w:szCs w:val="24"/>
        </w:rPr>
        <w:t xml:space="preserve">no practical </w:t>
      </w:r>
      <w:r w:rsidR="00006216" w:rsidRPr="0004371A">
        <w:rPr>
          <w:rFonts w:ascii="Arial" w:hAnsi="Arial"/>
          <w:sz w:val="24"/>
          <w:szCs w:val="24"/>
        </w:rPr>
        <w:t>issue</w:t>
      </w:r>
      <w:r w:rsidRPr="0004371A">
        <w:rPr>
          <w:rFonts w:ascii="Arial" w:hAnsi="Arial"/>
          <w:sz w:val="24"/>
          <w:szCs w:val="24"/>
        </w:rPr>
        <w:t>s</w:t>
      </w:r>
      <w:r w:rsidR="00006216" w:rsidRPr="0004371A">
        <w:rPr>
          <w:rFonts w:ascii="Arial" w:hAnsi="Arial"/>
          <w:sz w:val="24"/>
          <w:szCs w:val="24"/>
        </w:rPr>
        <w:t xml:space="preserve"> in terms of the insanity defence</w:t>
      </w:r>
      <w:r w:rsidRPr="0004371A">
        <w:rPr>
          <w:rFonts w:ascii="Arial" w:hAnsi="Arial"/>
          <w:sz w:val="24"/>
          <w:szCs w:val="24"/>
        </w:rPr>
        <w:t xml:space="preserve"> when used in practice</w:t>
      </w:r>
      <w:r w:rsidR="00006216" w:rsidRPr="0004371A">
        <w:rPr>
          <w:rFonts w:ascii="Arial" w:hAnsi="Arial"/>
          <w:sz w:val="24"/>
          <w:szCs w:val="24"/>
        </w:rPr>
        <w:t xml:space="preserve">. While academic critiques of the </w:t>
      </w:r>
      <w:r w:rsidRPr="0004371A">
        <w:rPr>
          <w:rFonts w:ascii="Arial" w:hAnsi="Arial"/>
          <w:sz w:val="24"/>
          <w:szCs w:val="24"/>
        </w:rPr>
        <w:t>defences</w:t>
      </w:r>
      <w:r w:rsidR="00006216" w:rsidRPr="0004371A">
        <w:rPr>
          <w:rFonts w:ascii="Arial" w:hAnsi="Arial"/>
          <w:sz w:val="24"/>
          <w:szCs w:val="24"/>
        </w:rPr>
        <w:t xml:space="preserve"> are warranted, legal and medical professionals claim that they operate </w:t>
      </w:r>
      <w:r w:rsidRPr="0004371A">
        <w:rPr>
          <w:rFonts w:ascii="Arial" w:hAnsi="Arial"/>
          <w:sz w:val="24"/>
          <w:szCs w:val="24"/>
        </w:rPr>
        <w:t xml:space="preserve">quite easily </w:t>
      </w:r>
      <w:r w:rsidR="00006216" w:rsidRPr="0004371A">
        <w:rPr>
          <w:rFonts w:ascii="Arial" w:hAnsi="Arial"/>
          <w:sz w:val="24"/>
          <w:szCs w:val="24"/>
        </w:rPr>
        <w:t>around the issues</w:t>
      </w:r>
      <w:r w:rsidR="00360DA3" w:rsidRPr="0004371A">
        <w:rPr>
          <w:rFonts w:ascii="Arial" w:hAnsi="Arial"/>
          <w:sz w:val="24"/>
          <w:szCs w:val="24"/>
        </w:rPr>
        <w:t xml:space="preserve"> (</w:t>
      </w:r>
      <w:r w:rsidR="00360DA3" w:rsidRPr="0004371A">
        <w:rPr>
          <w:rFonts w:ascii="Arial" w:hAnsi="Arial" w:cs="Segoe UI"/>
          <w:color w:val="212529"/>
          <w:sz w:val="24"/>
          <w:szCs w:val="24"/>
          <w:shd w:val="clear" w:color="auto" w:fill="FFFFFF"/>
        </w:rPr>
        <w:t>Law Commission, 2013).</w:t>
      </w:r>
      <w:r w:rsidR="00006216" w:rsidRPr="0004371A">
        <w:rPr>
          <w:rFonts w:ascii="Arial" w:hAnsi="Arial"/>
          <w:sz w:val="24"/>
          <w:szCs w:val="24"/>
        </w:rPr>
        <w:t xml:space="preserve"> They mentioned that there are other facets of the criminal justice system that should be addressed before the insanity and automatism </w:t>
      </w:r>
      <w:r w:rsidRPr="0004371A">
        <w:rPr>
          <w:rFonts w:ascii="Arial" w:hAnsi="Arial"/>
          <w:sz w:val="24"/>
          <w:szCs w:val="24"/>
        </w:rPr>
        <w:t xml:space="preserve">defences. In conclusion, the </w:t>
      </w:r>
      <w:r w:rsidRPr="0004371A">
        <w:rPr>
          <w:rFonts w:ascii="Arial" w:hAnsi="Arial"/>
          <w:sz w:val="24"/>
          <w:szCs w:val="24"/>
        </w:rPr>
        <w:t>defence of insanity</w:t>
      </w:r>
      <w:r w:rsidRPr="0004371A">
        <w:rPr>
          <w:rFonts w:ascii="Arial" w:hAnsi="Arial"/>
          <w:sz w:val="24"/>
          <w:szCs w:val="24"/>
        </w:rPr>
        <w:t xml:space="preserve"> has numerous flaws and would undoubtedly benefit from reform. Although, it seems as though it’s still effective in prosecution, and legal practitioners don’t experience any major issues when using it for </w:t>
      </w:r>
      <w:r w:rsidR="00CC517E" w:rsidRPr="0004371A">
        <w:rPr>
          <w:rFonts w:ascii="Arial" w:hAnsi="Arial"/>
          <w:sz w:val="24"/>
          <w:szCs w:val="24"/>
        </w:rPr>
        <w:t>prosecution and</w:t>
      </w:r>
      <w:r w:rsidRPr="0004371A">
        <w:rPr>
          <w:rFonts w:ascii="Arial" w:hAnsi="Arial"/>
          <w:sz w:val="24"/>
          <w:szCs w:val="24"/>
        </w:rPr>
        <w:t xml:space="preserve"> believe that it is not desperate for reform. </w:t>
      </w:r>
    </w:p>
    <w:p w14:paraId="0389E046" w14:textId="5AB62F14" w:rsidR="00CF406E" w:rsidRPr="0004371A" w:rsidRDefault="00CF406E" w:rsidP="0004371A">
      <w:pPr>
        <w:spacing w:line="360" w:lineRule="auto"/>
        <w:rPr>
          <w:rFonts w:ascii="Arial" w:hAnsi="Arial"/>
          <w:sz w:val="24"/>
          <w:szCs w:val="24"/>
        </w:rPr>
      </w:pPr>
    </w:p>
    <w:p w14:paraId="1A38EF8E" w14:textId="154AD389" w:rsidR="00CA5437" w:rsidRPr="0004371A" w:rsidRDefault="00CA5437" w:rsidP="0004371A">
      <w:pPr>
        <w:spacing w:line="360" w:lineRule="auto"/>
        <w:rPr>
          <w:rFonts w:ascii="Arial" w:hAnsi="Arial"/>
          <w:sz w:val="24"/>
          <w:szCs w:val="24"/>
        </w:rPr>
      </w:pPr>
    </w:p>
    <w:p w14:paraId="72A1E40A" w14:textId="38C05587" w:rsidR="00CA5437" w:rsidRPr="0004371A" w:rsidRDefault="00CA5437" w:rsidP="0004371A">
      <w:pPr>
        <w:spacing w:line="360" w:lineRule="auto"/>
        <w:rPr>
          <w:rFonts w:ascii="Arial" w:hAnsi="Arial"/>
          <w:sz w:val="24"/>
          <w:szCs w:val="24"/>
        </w:rPr>
      </w:pPr>
      <w:r w:rsidRPr="0004371A">
        <w:rPr>
          <w:rFonts w:ascii="Arial" w:hAnsi="Arial"/>
          <w:b/>
          <w:bCs/>
          <w:sz w:val="24"/>
          <w:szCs w:val="24"/>
          <w:u w:val="single"/>
        </w:rPr>
        <w:t>References</w:t>
      </w:r>
      <w:r w:rsidRPr="0004371A">
        <w:rPr>
          <w:rFonts w:ascii="Arial" w:hAnsi="Arial"/>
          <w:sz w:val="24"/>
          <w:szCs w:val="24"/>
        </w:rPr>
        <w:t xml:space="preserve"> </w:t>
      </w:r>
    </w:p>
    <w:p w14:paraId="603035E1" w14:textId="1CD2B227" w:rsidR="00BB12FF" w:rsidRPr="0004371A" w:rsidRDefault="00CA5437" w:rsidP="0004371A">
      <w:pPr>
        <w:pStyle w:val="Heading4"/>
        <w:spacing w:before="0" w:line="360" w:lineRule="auto"/>
        <w:rPr>
          <w:rFonts w:ascii="Arial" w:hAnsi="Arial"/>
          <w:color w:val="000000"/>
          <w:sz w:val="24"/>
          <w:szCs w:val="24"/>
        </w:rPr>
      </w:pPr>
      <w:r w:rsidRPr="0004371A">
        <w:rPr>
          <w:rFonts w:ascii="Arial" w:hAnsi="Arial"/>
          <w:b/>
          <w:bCs/>
          <w:sz w:val="24"/>
          <w:szCs w:val="24"/>
        </w:rPr>
        <w:t xml:space="preserve"> </w:t>
      </w:r>
      <w:r w:rsidR="00BB12FF" w:rsidRPr="0004371A">
        <w:rPr>
          <w:rFonts w:ascii="Arial" w:hAnsi="Arial"/>
          <w:color w:val="000000"/>
          <w:sz w:val="24"/>
          <w:szCs w:val="24"/>
        </w:rPr>
        <w:t>Andrew Donohue, D. (2021) "Legal Insanity: Assessment of the Inability to Refrain", </w:t>
      </w:r>
      <w:r w:rsidR="00BB12FF" w:rsidRPr="0004371A">
        <w:rPr>
          <w:rFonts w:ascii="Arial" w:hAnsi="Arial"/>
          <w:i w:val="0"/>
          <w:iCs w:val="0"/>
          <w:color w:val="000000"/>
          <w:sz w:val="24"/>
          <w:szCs w:val="24"/>
        </w:rPr>
        <w:t>Psychiatry (</w:t>
      </w:r>
      <w:proofErr w:type="spellStart"/>
      <w:r w:rsidR="00BB12FF" w:rsidRPr="0004371A">
        <w:rPr>
          <w:rFonts w:ascii="Arial" w:hAnsi="Arial"/>
          <w:i w:val="0"/>
          <w:iCs w:val="0"/>
          <w:color w:val="000000"/>
          <w:sz w:val="24"/>
          <w:szCs w:val="24"/>
        </w:rPr>
        <w:t>Edgmont</w:t>
      </w:r>
      <w:proofErr w:type="spellEnd"/>
      <w:r w:rsidR="00BB12FF" w:rsidRPr="0004371A">
        <w:rPr>
          <w:rFonts w:ascii="Arial" w:hAnsi="Arial"/>
          <w:i w:val="0"/>
          <w:iCs w:val="0"/>
          <w:color w:val="000000"/>
          <w:sz w:val="24"/>
          <w:szCs w:val="24"/>
        </w:rPr>
        <w:t>)</w:t>
      </w:r>
      <w:r w:rsidR="00BB12FF" w:rsidRPr="0004371A">
        <w:rPr>
          <w:rFonts w:ascii="Arial" w:hAnsi="Arial"/>
          <w:color w:val="000000"/>
          <w:sz w:val="24"/>
          <w:szCs w:val="24"/>
        </w:rPr>
        <w:t>, 5(3), p. 58. Available at: https://www.ncbi.nlm.nih.gov/pmc/articles/PMC2710106/ (Accessed: 6 May 2021).</w:t>
      </w:r>
    </w:p>
    <w:p w14:paraId="5A093A37" w14:textId="77777777" w:rsidR="00BB12FF" w:rsidRPr="0004371A" w:rsidRDefault="00BB12FF" w:rsidP="0004371A">
      <w:pPr>
        <w:spacing w:line="360" w:lineRule="auto"/>
        <w:rPr>
          <w:rFonts w:ascii="Arial" w:hAnsi="Arial"/>
          <w:sz w:val="24"/>
          <w:szCs w:val="24"/>
        </w:rPr>
      </w:pPr>
    </w:p>
    <w:p w14:paraId="348FE323" w14:textId="2F0B24BA"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Criminal insanity and mental health </w:t>
      </w:r>
      <w:r w:rsidRPr="0004371A">
        <w:rPr>
          <w:rFonts w:ascii="Arial" w:hAnsi="Arial"/>
          <w:color w:val="000000"/>
          <w:sz w:val="24"/>
          <w:szCs w:val="24"/>
        </w:rPr>
        <w:t>(2021). Available at: https://www.citizensinformation.ie/en/justice/criminal_law/criminal_trial/criminal_insanity_and_mental_health.html (Accessed: 6 May 2021).</w:t>
      </w:r>
    </w:p>
    <w:p w14:paraId="598CB7C1" w14:textId="77777777" w:rsidR="00BB12FF" w:rsidRPr="0004371A" w:rsidRDefault="00BB12FF" w:rsidP="0004371A">
      <w:pPr>
        <w:spacing w:line="360" w:lineRule="auto"/>
        <w:rPr>
          <w:rFonts w:ascii="Arial" w:hAnsi="Arial"/>
          <w:sz w:val="24"/>
          <w:szCs w:val="24"/>
        </w:rPr>
      </w:pPr>
    </w:p>
    <w:p w14:paraId="0F098CDC" w14:textId="77777777"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lastRenderedPageBreak/>
        <w:t>Criminal Procedure (Insanity) Act 1964</w:t>
      </w:r>
      <w:r w:rsidRPr="0004371A">
        <w:rPr>
          <w:rFonts w:ascii="Arial" w:hAnsi="Arial"/>
          <w:color w:val="000000"/>
          <w:sz w:val="24"/>
          <w:szCs w:val="24"/>
        </w:rPr>
        <w:t> (2021). Available at: https://www.legislation.gov.uk/ukpga/1964/84/body/enacted?view=plain (Accessed: 6 May 2021).</w:t>
      </w:r>
    </w:p>
    <w:p w14:paraId="7C6D90E9" w14:textId="77777777" w:rsidR="00BB12FF" w:rsidRPr="0004371A" w:rsidRDefault="00BB12FF" w:rsidP="0004371A">
      <w:pPr>
        <w:spacing w:line="360" w:lineRule="auto"/>
        <w:rPr>
          <w:rFonts w:ascii="Arial" w:hAnsi="Arial"/>
          <w:i/>
          <w:iCs/>
          <w:sz w:val="24"/>
          <w:szCs w:val="24"/>
        </w:rPr>
      </w:pPr>
      <w:proofErr w:type="spellStart"/>
      <w:r w:rsidRPr="0004371A">
        <w:rPr>
          <w:rFonts w:ascii="Arial" w:hAnsi="Arial"/>
          <w:i/>
          <w:iCs/>
          <w:color w:val="000000"/>
          <w:spacing w:val="-5"/>
          <w:sz w:val="24"/>
          <w:szCs w:val="24"/>
          <w:shd w:val="clear" w:color="auto" w:fill="FFFFFF"/>
        </w:rPr>
        <w:t>D.Ward</w:t>
      </w:r>
      <w:proofErr w:type="spellEnd"/>
      <w:r w:rsidRPr="0004371A">
        <w:rPr>
          <w:rFonts w:ascii="Arial" w:hAnsi="Arial"/>
          <w:i/>
          <w:iCs/>
          <w:color w:val="000000"/>
          <w:spacing w:val="-5"/>
          <w:sz w:val="24"/>
          <w:szCs w:val="24"/>
          <w:shd w:val="clear" w:color="auto" w:fill="FFFFFF"/>
        </w:rPr>
        <w:t xml:space="preserve"> (1962) </w:t>
      </w:r>
      <w:r w:rsidRPr="0004371A">
        <w:rPr>
          <w:rFonts w:ascii="Arial" w:hAnsi="Arial"/>
          <w:i/>
          <w:iCs/>
          <w:sz w:val="24"/>
          <w:szCs w:val="24"/>
        </w:rPr>
        <w:t>The M'Naghten Rule: A Re-evaluation, vol 45</w:t>
      </w:r>
    </w:p>
    <w:p w14:paraId="38453C55" w14:textId="125D354E" w:rsidR="00CA5437" w:rsidRPr="0004371A" w:rsidRDefault="00CA5437" w:rsidP="0004371A">
      <w:pPr>
        <w:spacing w:line="360" w:lineRule="auto"/>
        <w:rPr>
          <w:rFonts w:ascii="Arial" w:hAnsi="Arial"/>
          <w:b/>
          <w:bCs/>
          <w:sz w:val="24"/>
          <w:szCs w:val="24"/>
        </w:rPr>
      </w:pPr>
    </w:p>
    <w:p w14:paraId="681CB126" w14:textId="06724C32"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 xml:space="preserve">House of Lords - Regina v. Antoine (On Appeal </w:t>
      </w:r>
      <w:proofErr w:type="gramStart"/>
      <w:r w:rsidRPr="0004371A">
        <w:rPr>
          <w:rFonts w:ascii="Arial" w:hAnsi="Arial"/>
          <w:i w:val="0"/>
          <w:iCs w:val="0"/>
          <w:color w:val="000000"/>
          <w:sz w:val="24"/>
          <w:szCs w:val="24"/>
        </w:rPr>
        <w:t>From</w:t>
      </w:r>
      <w:proofErr w:type="gramEnd"/>
      <w:r w:rsidRPr="0004371A">
        <w:rPr>
          <w:rFonts w:ascii="Arial" w:hAnsi="Arial"/>
          <w:i w:val="0"/>
          <w:iCs w:val="0"/>
          <w:color w:val="000000"/>
          <w:sz w:val="24"/>
          <w:szCs w:val="24"/>
        </w:rPr>
        <w:t xml:space="preserve"> The Court of Appeal Criminal Division) </w:t>
      </w:r>
      <w:r w:rsidRPr="0004371A">
        <w:rPr>
          <w:rFonts w:ascii="Arial" w:hAnsi="Arial"/>
          <w:color w:val="000000"/>
          <w:sz w:val="24"/>
          <w:szCs w:val="24"/>
        </w:rPr>
        <w:t>(2021). Available at: https://publications.parliament.uk/pa/ld199900/ldjudgmt/jd000330/ant-2.htm (Accessed: 6 May 2021).</w:t>
      </w:r>
    </w:p>
    <w:p w14:paraId="69E1CEE9" w14:textId="77777777" w:rsidR="00BB12FF" w:rsidRPr="0004371A" w:rsidRDefault="00BB12FF" w:rsidP="0004371A">
      <w:pPr>
        <w:spacing w:line="360" w:lineRule="auto"/>
        <w:rPr>
          <w:rFonts w:ascii="Arial" w:hAnsi="Arial"/>
          <w:sz w:val="24"/>
          <w:szCs w:val="24"/>
        </w:rPr>
      </w:pPr>
    </w:p>
    <w:p w14:paraId="2FC4E934" w14:textId="16CBBC0E" w:rsidR="00BB12FF" w:rsidRPr="0004371A" w:rsidRDefault="00BB12FF" w:rsidP="0004371A">
      <w:pPr>
        <w:spacing w:line="360" w:lineRule="auto"/>
        <w:rPr>
          <w:rFonts w:ascii="Arial" w:hAnsi="Arial"/>
          <w:i/>
          <w:iCs/>
          <w:sz w:val="24"/>
          <w:szCs w:val="24"/>
        </w:rPr>
      </w:pPr>
      <w:r w:rsidRPr="0004371A">
        <w:rPr>
          <w:rFonts w:ascii="Arial" w:hAnsi="Arial"/>
          <w:color w:val="000000" w:themeColor="text1"/>
          <w:sz w:val="24"/>
          <w:szCs w:val="24"/>
        </w:rPr>
        <w:t xml:space="preserve">House of Lords (2008) </w:t>
      </w:r>
      <w:r w:rsidRPr="0004371A">
        <w:rPr>
          <w:rFonts w:ascii="Arial" w:hAnsi="Arial"/>
          <w:i/>
          <w:iCs/>
          <w:sz w:val="24"/>
          <w:szCs w:val="24"/>
        </w:rPr>
        <w:t xml:space="preserve">Opinions of the Lords of appeal for judgment in the </w:t>
      </w:r>
      <w:proofErr w:type="spellStart"/>
      <w:r w:rsidRPr="0004371A">
        <w:rPr>
          <w:rFonts w:ascii="Arial" w:hAnsi="Arial"/>
          <w:i/>
          <w:iCs/>
          <w:sz w:val="24"/>
          <w:szCs w:val="24"/>
        </w:rPr>
        <w:t>cauise</w:t>
      </w:r>
      <w:proofErr w:type="spellEnd"/>
      <w:r w:rsidRPr="0004371A">
        <w:rPr>
          <w:rFonts w:ascii="Arial" w:hAnsi="Arial"/>
          <w:i/>
          <w:iCs/>
          <w:sz w:val="24"/>
          <w:szCs w:val="24"/>
        </w:rPr>
        <w:t xml:space="preserve">: </w:t>
      </w:r>
      <w:r w:rsidRPr="0004371A">
        <w:rPr>
          <w:rFonts w:ascii="Arial" w:hAnsi="Arial"/>
          <w:i/>
          <w:iCs/>
          <w:sz w:val="24"/>
          <w:szCs w:val="24"/>
        </w:rPr>
        <w:t>R v Clarke (Appellant) (On Appeal from the Court of Appeal (Criminal Division)</w:t>
      </w:r>
    </w:p>
    <w:p w14:paraId="20FA1EC8" w14:textId="77777777" w:rsidR="00BB12FF" w:rsidRPr="0004371A" w:rsidRDefault="00BB12FF" w:rsidP="0004371A">
      <w:pPr>
        <w:spacing w:line="360" w:lineRule="auto"/>
        <w:rPr>
          <w:rFonts w:ascii="Arial" w:hAnsi="Arial"/>
          <w:i/>
          <w:iCs/>
          <w:sz w:val="24"/>
          <w:szCs w:val="24"/>
        </w:rPr>
      </w:pPr>
    </w:p>
    <w:p w14:paraId="30334709" w14:textId="367BB340" w:rsidR="00BB12FF" w:rsidRPr="0004371A" w:rsidRDefault="00BB12FF" w:rsidP="0004371A">
      <w:pPr>
        <w:spacing w:line="360" w:lineRule="auto"/>
        <w:outlineLvl w:val="3"/>
        <w:rPr>
          <w:rFonts w:ascii="Arial" w:hAnsi="Arial"/>
          <w:color w:val="000000"/>
          <w:sz w:val="24"/>
          <w:szCs w:val="24"/>
        </w:rPr>
      </w:pPr>
      <w:r w:rsidRPr="00D463CC">
        <w:rPr>
          <w:rFonts w:ascii="Arial" w:hAnsi="Arial"/>
          <w:i/>
          <w:iCs/>
          <w:color w:val="000000"/>
          <w:sz w:val="24"/>
          <w:szCs w:val="24"/>
        </w:rPr>
        <w:t>Insanity definition and meaning | Collins English Dictionary</w:t>
      </w:r>
      <w:r w:rsidRPr="00D463CC">
        <w:rPr>
          <w:rFonts w:ascii="Arial" w:hAnsi="Arial"/>
          <w:color w:val="000000"/>
          <w:sz w:val="24"/>
          <w:szCs w:val="24"/>
        </w:rPr>
        <w:t> (2021). Available at: https://www.collinsdictionary.com/dictionary/english/insanity (Accessed: 6 May 2021).</w:t>
      </w:r>
    </w:p>
    <w:p w14:paraId="42987ADD" w14:textId="77777777" w:rsidR="00BB12FF" w:rsidRPr="0004371A" w:rsidRDefault="00BB12FF" w:rsidP="0004371A">
      <w:pPr>
        <w:spacing w:line="360" w:lineRule="auto"/>
        <w:outlineLvl w:val="3"/>
        <w:rPr>
          <w:rFonts w:ascii="Arial" w:hAnsi="Arial"/>
          <w:color w:val="000000"/>
          <w:sz w:val="24"/>
          <w:szCs w:val="24"/>
        </w:rPr>
      </w:pPr>
    </w:p>
    <w:p w14:paraId="3A38E143" w14:textId="6EAE373D" w:rsidR="00BB12FF" w:rsidRPr="0004371A" w:rsidRDefault="00BB12FF" w:rsidP="0004371A">
      <w:pPr>
        <w:spacing w:line="360" w:lineRule="auto"/>
        <w:rPr>
          <w:rFonts w:ascii="Arial" w:hAnsi="Arial"/>
          <w:color w:val="000000"/>
          <w:spacing w:val="-5"/>
          <w:sz w:val="24"/>
          <w:szCs w:val="24"/>
          <w:shd w:val="clear" w:color="auto" w:fill="FFFFFF"/>
        </w:rPr>
      </w:pPr>
      <w:proofErr w:type="gramStart"/>
      <w:r w:rsidRPr="0004371A">
        <w:rPr>
          <w:rFonts w:ascii="Arial" w:hAnsi="Arial"/>
          <w:sz w:val="24"/>
          <w:szCs w:val="24"/>
        </w:rPr>
        <w:t>J.E</w:t>
      </w:r>
      <w:proofErr w:type="gramEnd"/>
      <w:r w:rsidRPr="0004371A">
        <w:rPr>
          <w:rFonts w:ascii="Arial" w:hAnsi="Arial"/>
          <w:sz w:val="24"/>
          <w:szCs w:val="24"/>
        </w:rPr>
        <w:t xml:space="preserve"> </w:t>
      </w:r>
      <w:proofErr w:type="spellStart"/>
      <w:r w:rsidRPr="0004371A">
        <w:rPr>
          <w:rFonts w:ascii="Arial" w:hAnsi="Arial"/>
          <w:sz w:val="24"/>
          <w:szCs w:val="24"/>
        </w:rPr>
        <w:t>Hall.Williams</w:t>
      </w:r>
      <w:proofErr w:type="spellEnd"/>
      <w:r w:rsidRPr="0004371A">
        <w:rPr>
          <w:rFonts w:ascii="Arial" w:hAnsi="Arial"/>
          <w:sz w:val="24"/>
          <w:szCs w:val="24"/>
        </w:rPr>
        <w:t xml:space="preserve"> (1954) </w:t>
      </w:r>
      <w:r w:rsidRPr="0004371A">
        <w:rPr>
          <w:rFonts w:ascii="Arial" w:hAnsi="Arial"/>
          <w:i/>
          <w:iCs/>
          <w:sz w:val="24"/>
          <w:szCs w:val="24"/>
        </w:rPr>
        <w:t>‘Wrong’ In the M’Naghten rules.</w:t>
      </w:r>
      <w:r w:rsidRPr="0004371A">
        <w:rPr>
          <w:rFonts w:ascii="Arial" w:hAnsi="Arial"/>
          <w:i/>
          <w:iCs/>
          <w:color w:val="000000"/>
          <w:spacing w:val="-5"/>
          <w:sz w:val="24"/>
          <w:szCs w:val="24"/>
          <w:shd w:val="clear" w:color="auto" w:fill="FFFFFF"/>
        </w:rPr>
        <w:t xml:space="preserve"> </w:t>
      </w:r>
      <w:r w:rsidRPr="0004371A">
        <w:rPr>
          <w:rFonts w:ascii="Arial" w:hAnsi="Arial"/>
          <w:i/>
          <w:iCs/>
          <w:color w:val="000000"/>
          <w:spacing w:val="-5"/>
          <w:sz w:val="24"/>
          <w:szCs w:val="24"/>
          <w:shd w:val="clear" w:color="auto" w:fill="FFFFFF"/>
        </w:rPr>
        <w:t>The British Journal of Delinquency</w:t>
      </w:r>
      <w:r w:rsidRPr="0004371A">
        <w:rPr>
          <w:rFonts w:ascii="Arial" w:hAnsi="Arial"/>
          <w:color w:val="000000"/>
          <w:spacing w:val="-5"/>
          <w:sz w:val="24"/>
          <w:szCs w:val="24"/>
          <w:shd w:val="clear" w:color="auto" w:fill="FFFFFF"/>
        </w:rPr>
        <w:t>, vol. 5, no. 1</w:t>
      </w:r>
      <w:r w:rsidRPr="0004371A">
        <w:rPr>
          <w:rFonts w:ascii="Arial" w:hAnsi="Arial"/>
          <w:color w:val="000000"/>
          <w:spacing w:val="-5"/>
          <w:sz w:val="24"/>
          <w:szCs w:val="24"/>
          <w:shd w:val="clear" w:color="auto" w:fill="FFFFFF"/>
        </w:rPr>
        <w:t>.</w:t>
      </w:r>
    </w:p>
    <w:p w14:paraId="2C8A1FE3" w14:textId="77777777" w:rsidR="00BB12FF" w:rsidRPr="0004371A" w:rsidRDefault="00BB12FF" w:rsidP="0004371A">
      <w:pPr>
        <w:spacing w:line="360" w:lineRule="auto"/>
        <w:rPr>
          <w:rFonts w:ascii="Arial" w:hAnsi="Arial"/>
          <w:color w:val="000000"/>
          <w:spacing w:val="-5"/>
          <w:sz w:val="24"/>
          <w:szCs w:val="24"/>
          <w:shd w:val="clear" w:color="auto" w:fill="FFFFFF"/>
        </w:rPr>
      </w:pPr>
    </w:p>
    <w:p w14:paraId="33269BA3" w14:textId="49F623B4" w:rsidR="00BB12FF" w:rsidRPr="0004371A" w:rsidRDefault="00BB12FF" w:rsidP="0004371A">
      <w:pPr>
        <w:pStyle w:val="Heading1"/>
        <w:shd w:val="clear" w:color="auto" w:fill="FFFFFF"/>
        <w:spacing w:before="0" w:beforeAutospacing="0" w:after="180" w:afterAutospacing="0" w:line="360" w:lineRule="auto"/>
        <w:textAlignment w:val="baseline"/>
        <w:rPr>
          <w:rFonts w:ascii="Arial" w:hAnsi="Arial"/>
          <w:b w:val="0"/>
          <w:bCs w:val="0"/>
          <w:i/>
          <w:iCs/>
          <w:color w:val="000000" w:themeColor="text1"/>
          <w:sz w:val="24"/>
          <w:szCs w:val="24"/>
        </w:rPr>
      </w:pPr>
      <w:r w:rsidRPr="0004371A">
        <w:rPr>
          <w:rFonts w:ascii="Arial" w:hAnsi="Arial"/>
          <w:b w:val="0"/>
          <w:bCs w:val="0"/>
          <w:sz w:val="24"/>
          <w:szCs w:val="24"/>
        </w:rPr>
        <w:t>Keith. J. B Rix (2018) ‘</w:t>
      </w:r>
      <w:r w:rsidRPr="0004371A">
        <w:rPr>
          <w:rFonts w:ascii="Arial" w:hAnsi="Arial"/>
          <w:b w:val="0"/>
          <w:bCs w:val="0"/>
          <w:i/>
          <w:iCs/>
          <w:color w:val="000000" w:themeColor="text1"/>
          <w:sz w:val="24"/>
          <w:szCs w:val="24"/>
        </w:rPr>
        <w:t>Towards a more just insanity defence: recovering moral wrongfulness in the M'Naghten Rules</w:t>
      </w:r>
      <w:r w:rsidRPr="0004371A">
        <w:rPr>
          <w:rFonts w:ascii="Arial" w:hAnsi="Arial"/>
          <w:b w:val="0"/>
          <w:bCs w:val="0"/>
          <w:i/>
          <w:iCs/>
          <w:color w:val="000000" w:themeColor="text1"/>
          <w:sz w:val="24"/>
          <w:szCs w:val="24"/>
        </w:rPr>
        <w:t xml:space="preserve">’. </w:t>
      </w:r>
    </w:p>
    <w:p w14:paraId="6B2D7CF3" w14:textId="5AE4A676" w:rsidR="00BB12FF" w:rsidRPr="0004371A" w:rsidRDefault="00BB12FF" w:rsidP="0004371A">
      <w:pPr>
        <w:spacing w:line="360" w:lineRule="auto"/>
        <w:rPr>
          <w:rFonts w:ascii="Arial" w:hAnsi="Arial"/>
          <w:sz w:val="24"/>
          <w:szCs w:val="24"/>
        </w:rPr>
      </w:pPr>
      <w:r w:rsidRPr="0004371A">
        <w:rPr>
          <w:rFonts w:ascii="Arial" w:hAnsi="Arial"/>
          <w:sz w:val="24"/>
          <w:szCs w:val="24"/>
        </w:rPr>
        <w:t xml:space="preserve">Law Commission (2013), </w:t>
      </w:r>
      <w:r w:rsidRPr="0004371A">
        <w:rPr>
          <w:rFonts w:ascii="Arial" w:hAnsi="Arial"/>
          <w:i/>
          <w:iCs/>
          <w:sz w:val="24"/>
          <w:szCs w:val="24"/>
        </w:rPr>
        <w:t>Criminal Liability: Insanity and Automatism</w:t>
      </w:r>
      <w:r w:rsidRPr="0004371A">
        <w:rPr>
          <w:rFonts w:ascii="Arial" w:hAnsi="Arial"/>
          <w:sz w:val="24"/>
          <w:szCs w:val="24"/>
        </w:rPr>
        <w:t xml:space="preserve"> </w:t>
      </w:r>
    </w:p>
    <w:p w14:paraId="16D4D89E" w14:textId="77777777" w:rsidR="00BB12FF" w:rsidRPr="0004371A" w:rsidRDefault="00BB12FF" w:rsidP="0004371A">
      <w:pPr>
        <w:spacing w:line="360" w:lineRule="auto"/>
        <w:rPr>
          <w:rFonts w:ascii="Arial" w:hAnsi="Arial"/>
          <w:sz w:val="24"/>
          <w:szCs w:val="24"/>
        </w:rPr>
      </w:pPr>
    </w:p>
    <w:p w14:paraId="4B1F7415" w14:textId="10D2F02F"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Mental Health: Suspects and Defendants with Mental Health Conditions or Disorders | The Crown Prosecution Service</w:t>
      </w:r>
      <w:r w:rsidRPr="0004371A">
        <w:rPr>
          <w:rFonts w:ascii="Arial" w:hAnsi="Arial"/>
          <w:color w:val="000000"/>
          <w:sz w:val="24"/>
          <w:szCs w:val="24"/>
        </w:rPr>
        <w:t> (2019). Available at: https://www.cps.gov.uk/legal-guidance/mental-health-suspects-and-defendants-mental-health-conditions-or-disorders (Accessed: 6 May 2021).</w:t>
      </w:r>
    </w:p>
    <w:p w14:paraId="07550375" w14:textId="77777777" w:rsidR="00BB12FF" w:rsidRPr="0004371A" w:rsidRDefault="00BB12FF" w:rsidP="0004371A">
      <w:pPr>
        <w:spacing w:line="360" w:lineRule="auto"/>
        <w:rPr>
          <w:rFonts w:ascii="Arial" w:hAnsi="Arial"/>
          <w:sz w:val="24"/>
          <w:szCs w:val="24"/>
        </w:rPr>
      </w:pPr>
    </w:p>
    <w:p w14:paraId="10B52292" w14:textId="637264D0" w:rsidR="00BB12FF" w:rsidRPr="0004371A" w:rsidRDefault="00BB12FF" w:rsidP="0004371A">
      <w:pPr>
        <w:spacing w:line="360" w:lineRule="auto"/>
        <w:rPr>
          <w:rFonts w:ascii="Arial" w:hAnsi="Arial"/>
          <w:i/>
          <w:iCs/>
          <w:sz w:val="24"/>
          <w:szCs w:val="24"/>
        </w:rPr>
      </w:pPr>
      <w:r w:rsidRPr="0004371A">
        <w:rPr>
          <w:rFonts w:ascii="Arial" w:hAnsi="Arial"/>
          <w:color w:val="000000"/>
          <w:sz w:val="24"/>
          <w:szCs w:val="24"/>
        </w:rPr>
        <w:t xml:space="preserve">Ministry of Justice, (2010) </w:t>
      </w:r>
      <w:r w:rsidRPr="0004371A">
        <w:rPr>
          <w:rFonts w:ascii="Arial" w:hAnsi="Arial"/>
          <w:i/>
          <w:iCs/>
          <w:sz w:val="24"/>
          <w:szCs w:val="24"/>
        </w:rPr>
        <w:t>Statistics of Mentally Disordered Offenders 2008 England and Wales</w:t>
      </w:r>
    </w:p>
    <w:p w14:paraId="36925A14" w14:textId="77777777" w:rsidR="00BB12FF" w:rsidRPr="0004371A" w:rsidRDefault="00BB12FF" w:rsidP="0004371A">
      <w:pPr>
        <w:spacing w:line="360" w:lineRule="auto"/>
        <w:rPr>
          <w:rFonts w:ascii="Arial" w:hAnsi="Arial"/>
          <w:i/>
          <w:iCs/>
          <w:sz w:val="24"/>
          <w:szCs w:val="24"/>
        </w:rPr>
      </w:pPr>
    </w:p>
    <w:p w14:paraId="0FFC05D2" w14:textId="77777777" w:rsidR="00BB12FF" w:rsidRPr="0004371A" w:rsidRDefault="00BB12FF" w:rsidP="0004371A">
      <w:pPr>
        <w:spacing w:line="360" w:lineRule="auto"/>
        <w:rPr>
          <w:rFonts w:ascii="Arial" w:hAnsi="Arial"/>
          <w:i/>
          <w:iCs/>
          <w:sz w:val="24"/>
          <w:szCs w:val="24"/>
        </w:rPr>
      </w:pPr>
      <w:r w:rsidRPr="0004371A">
        <w:rPr>
          <w:rFonts w:ascii="Arial" w:hAnsi="Arial"/>
          <w:sz w:val="24"/>
          <w:szCs w:val="24"/>
        </w:rPr>
        <w:lastRenderedPageBreak/>
        <w:t xml:space="preserve">S. </w:t>
      </w:r>
      <w:proofErr w:type="spellStart"/>
      <w:r w:rsidRPr="0004371A">
        <w:rPr>
          <w:rFonts w:ascii="Arial" w:hAnsi="Arial"/>
          <w:sz w:val="24"/>
          <w:szCs w:val="24"/>
        </w:rPr>
        <w:t>Mukhia</w:t>
      </w:r>
      <w:proofErr w:type="spellEnd"/>
      <w:r w:rsidRPr="0004371A">
        <w:rPr>
          <w:rFonts w:ascii="Arial" w:hAnsi="Arial"/>
          <w:sz w:val="24"/>
          <w:szCs w:val="24"/>
        </w:rPr>
        <w:t xml:space="preserve"> (2012) </w:t>
      </w:r>
      <w:r w:rsidRPr="0004371A">
        <w:rPr>
          <w:rFonts w:ascii="Arial" w:hAnsi="Arial"/>
          <w:i/>
          <w:iCs/>
          <w:sz w:val="24"/>
          <w:szCs w:val="24"/>
        </w:rPr>
        <w:t>Is the common law defence of insanity ineffective and in desperate need of reform?</w:t>
      </w:r>
    </w:p>
    <w:p w14:paraId="52780767" w14:textId="279674ED"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Sentencing offenders with mental disorders, developmental disorders, or neurological impairments – Sentencing</w:t>
      </w:r>
      <w:r w:rsidRPr="0004371A">
        <w:rPr>
          <w:rFonts w:ascii="Arial" w:hAnsi="Arial"/>
          <w:color w:val="000000"/>
          <w:sz w:val="24"/>
          <w:szCs w:val="24"/>
        </w:rPr>
        <w:t> (2020). Available at: https://www.sentencingcouncil.org.uk/overarching-guides/magistrates-court/item/sentencing-offenders-with-mental-disorders-developmental-disorders-or-neurological-impairments/ (Accessed: 6 May 2021).</w:t>
      </w:r>
    </w:p>
    <w:p w14:paraId="521082C3" w14:textId="77777777" w:rsidR="00BB12FF" w:rsidRPr="0004371A" w:rsidRDefault="00BB12FF" w:rsidP="0004371A">
      <w:pPr>
        <w:spacing w:line="360" w:lineRule="auto"/>
        <w:rPr>
          <w:rFonts w:ascii="Arial" w:hAnsi="Arial"/>
          <w:sz w:val="24"/>
          <w:szCs w:val="24"/>
        </w:rPr>
      </w:pPr>
    </w:p>
    <w:p w14:paraId="61C0EA82" w14:textId="5E75446F" w:rsidR="00BB12FF" w:rsidRPr="0004371A" w:rsidRDefault="00BB12FF" w:rsidP="0004371A">
      <w:pPr>
        <w:spacing w:line="360" w:lineRule="auto"/>
        <w:outlineLvl w:val="3"/>
        <w:rPr>
          <w:rFonts w:ascii="Arial" w:hAnsi="Arial"/>
          <w:color w:val="000000"/>
          <w:sz w:val="24"/>
          <w:szCs w:val="24"/>
        </w:rPr>
      </w:pPr>
      <w:r w:rsidRPr="00D463CC">
        <w:rPr>
          <w:rFonts w:ascii="Arial" w:hAnsi="Arial"/>
          <w:color w:val="000000"/>
          <w:sz w:val="24"/>
          <w:szCs w:val="24"/>
        </w:rPr>
        <w:t xml:space="preserve">Seth Feuerstein, S. (2021) "The Insanity </w:t>
      </w:r>
      <w:proofErr w:type="spellStart"/>
      <w:r w:rsidRPr="00D463CC">
        <w:rPr>
          <w:rFonts w:ascii="Arial" w:hAnsi="Arial"/>
          <w:color w:val="000000"/>
          <w:sz w:val="24"/>
          <w:szCs w:val="24"/>
        </w:rPr>
        <w:t>Defense</w:t>
      </w:r>
      <w:proofErr w:type="spellEnd"/>
      <w:r w:rsidRPr="00D463CC">
        <w:rPr>
          <w:rFonts w:ascii="Arial" w:hAnsi="Arial"/>
          <w:color w:val="000000"/>
          <w:sz w:val="24"/>
          <w:szCs w:val="24"/>
        </w:rPr>
        <w:t>", </w:t>
      </w:r>
      <w:r w:rsidRPr="00D463CC">
        <w:rPr>
          <w:rFonts w:ascii="Arial" w:hAnsi="Arial"/>
          <w:i/>
          <w:iCs/>
          <w:color w:val="000000"/>
          <w:sz w:val="24"/>
          <w:szCs w:val="24"/>
        </w:rPr>
        <w:t>Psychiatry (</w:t>
      </w:r>
      <w:proofErr w:type="spellStart"/>
      <w:r w:rsidRPr="00D463CC">
        <w:rPr>
          <w:rFonts w:ascii="Arial" w:hAnsi="Arial"/>
          <w:i/>
          <w:iCs/>
          <w:color w:val="000000"/>
          <w:sz w:val="24"/>
          <w:szCs w:val="24"/>
        </w:rPr>
        <w:t>Edgmont</w:t>
      </w:r>
      <w:proofErr w:type="spellEnd"/>
      <w:r w:rsidRPr="00D463CC">
        <w:rPr>
          <w:rFonts w:ascii="Arial" w:hAnsi="Arial"/>
          <w:i/>
          <w:iCs/>
          <w:color w:val="000000"/>
          <w:sz w:val="24"/>
          <w:szCs w:val="24"/>
        </w:rPr>
        <w:t>)</w:t>
      </w:r>
      <w:r w:rsidRPr="00D463CC">
        <w:rPr>
          <w:rFonts w:ascii="Arial" w:hAnsi="Arial"/>
          <w:color w:val="000000"/>
          <w:sz w:val="24"/>
          <w:szCs w:val="24"/>
        </w:rPr>
        <w:t>, 2(9), p. 24. Available at: https://www.ncbi.nlm.nih.gov/pmc/articles/PMC2993532/ (Accessed: 6 May 2021).</w:t>
      </w:r>
    </w:p>
    <w:p w14:paraId="53CF4F1C" w14:textId="77777777" w:rsidR="00BB12FF" w:rsidRPr="00D463CC" w:rsidRDefault="00BB12FF" w:rsidP="0004371A">
      <w:pPr>
        <w:spacing w:line="360" w:lineRule="auto"/>
        <w:outlineLvl w:val="3"/>
        <w:rPr>
          <w:rFonts w:ascii="Arial" w:hAnsi="Arial"/>
          <w:color w:val="000000"/>
          <w:sz w:val="24"/>
          <w:szCs w:val="24"/>
        </w:rPr>
      </w:pPr>
    </w:p>
    <w:p w14:paraId="40F1733D" w14:textId="531AB784"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Statistics of mentally disordered offenders: 2008</w:t>
      </w:r>
      <w:r w:rsidRPr="0004371A">
        <w:rPr>
          <w:rFonts w:ascii="Arial" w:hAnsi="Arial"/>
          <w:color w:val="000000"/>
          <w:sz w:val="24"/>
          <w:szCs w:val="24"/>
        </w:rPr>
        <w:t> (2021). Available at: https://www.gov.uk/government/statistics/statistics-of-mentally-disordered-offenders-ns (Accessed: 6 May 2021).</w:t>
      </w:r>
    </w:p>
    <w:p w14:paraId="42FF34B2" w14:textId="77777777" w:rsidR="00BB12FF" w:rsidRPr="0004371A" w:rsidRDefault="00BB12FF" w:rsidP="0004371A">
      <w:pPr>
        <w:spacing w:line="360" w:lineRule="auto"/>
        <w:rPr>
          <w:rFonts w:ascii="Arial" w:hAnsi="Arial"/>
          <w:sz w:val="24"/>
          <w:szCs w:val="24"/>
        </w:rPr>
      </w:pPr>
    </w:p>
    <w:p w14:paraId="09DEC83A" w14:textId="77777777" w:rsidR="00BB12FF" w:rsidRPr="0004371A" w:rsidRDefault="00BB12FF" w:rsidP="0004371A">
      <w:pPr>
        <w:pStyle w:val="Heading4"/>
        <w:spacing w:before="0" w:line="360" w:lineRule="auto"/>
        <w:rPr>
          <w:rFonts w:ascii="Arial" w:hAnsi="Arial"/>
          <w:color w:val="000000"/>
          <w:sz w:val="24"/>
          <w:szCs w:val="24"/>
        </w:rPr>
      </w:pPr>
      <w:r w:rsidRPr="0004371A">
        <w:rPr>
          <w:rFonts w:ascii="Arial" w:hAnsi="Arial"/>
          <w:i w:val="0"/>
          <w:iCs w:val="0"/>
          <w:color w:val="000000"/>
          <w:sz w:val="24"/>
          <w:szCs w:val="24"/>
        </w:rPr>
        <w:t>The Definition of Insanity</w:t>
      </w:r>
      <w:r w:rsidRPr="0004371A">
        <w:rPr>
          <w:rFonts w:ascii="Arial" w:hAnsi="Arial"/>
          <w:color w:val="000000"/>
          <w:sz w:val="24"/>
          <w:szCs w:val="24"/>
        </w:rPr>
        <w:t> (2021). Available at: https://www.psychologytoday.com/gb/blog/in-therapy/200907/the-definition-insanity (Accessed: 6 May 2021).</w:t>
      </w:r>
    </w:p>
    <w:p w14:paraId="3210726C" w14:textId="77777777" w:rsidR="004F1E0E" w:rsidRPr="0004371A" w:rsidRDefault="004F1E0E" w:rsidP="0004371A">
      <w:pPr>
        <w:spacing w:line="360" w:lineRule="auto"/>
        <w:rPr>
          <w:rFonts w:ascii="Arial" w:hAnsi="Arial"/>
          <w:sz w:val="24"/>
          <w:szCs w:val="24"/>
        </w:rPr>
      </w:pPr>
    </w:p>
    <w:p w14:paraId="37A59E17" w14:textId="13CCC78F" w:rsidR="004F1E0E" w:rsidRPr="0004371A" w:rsidRDefault="004F1E0E" w:rsidP="0004371A">
      <w:pPr>
        <w:spacing w:line="360" w:lineRule="auto"/>
        <w:rPr>
          <w:rFonts w:ascii="Arial" w:hAnsi="Arial"/>
          <w:sz w:val="24"/>
          <w:szCs w:val="24"/>
        </w:rPr>
      </w:pPr>
      <w:r w:rsidRPr="0004371A">
        <w:rPr>
          <w:rFonts w:ascii="Arial" w:hAnsi="Arial"/>
          <w:sz w:val="24"/>
          <w:szCs w:val="24"/>
        </w:rPr>
        <w:t>R v Windle [1952]</w:t>
      </w:r>
    </w:p>
    <w:p w14:paraId="265471B2" w14:textId="77777777" w:rsidR="004F1E0E" w:rsidRPr="0004371A" w:rsidRDefault="004F1E0E" w:rsidP="0004371A">
      <w:pPr>
        <w:spacing w:line="360" w:lineRule="auto"/>
        <w:rPr>
          <w:rFonts w:ascii="Arial" w:hAnsi="Arial"/>
          <w:sz w:val="24"/>
          <w:szCs w:val="24"/>
        </w:rPr>
      </w:pPr>
      <w:r w:rsidRPr="0004371A">
        <w:rPr>
          <w:rFonts w:ascii="Arial" w:hAnsi="Arial"/>
          <w:sz w:val="24"/>
          <w:szCs w:val="24"/>
        </w:rPr>
        <w:t>M’Naghten Rules [1843]</w:t>
      </w:r>
    </w:p>
    <w:p w14:paraId="109A84F8" w14:textId="77777777" w:rsidR="004F1E0E" w:rsidRPr="0004371A" w:rsidRDefault="004F1E0E" w:rsidP="0004371A">
      <w:pPr>
        <w:spacing w:line="360" w:lineRule="auto"/>
        <w:rPr>
          <w:rFonts w:ascii="Arial" w:hAnsi="Arial"/>
          <w:sz w:val="24"/>
          <w:szCs w:val="24"/>
        </w:rPr>
      </w:pPr>
      <w:r w:rsidRPr="0004371A">
        <w:rPr>
          <w:rFonts w:ascii="Arial" w:hAnsi="Arial"/>
          <w:sz w:val="24"/>
          <w:szCs w:val="24"/>
        </w:rPr>
        <w:t>R v Clarke [1972]</w:t>
      </w:r>
    </w:p>
    <w:p w14:paraId="12EBE6A1" w14:textId="77777777" w:rsidR="004F1E0E" w:rsidRPr="0004371A" w:rsidRDefault="004F1E0E" w:rsidP="0004371A">
      <w:pPr>
        <w:spacing w:line="360" w:lineRule="auto"/>
        <w:rPr>
          <w:rFonts w:ascii="Arial" w:hAnsi="Arial"/>
          <w:sz w:val="24"/>
          <w:szCs w:val="24"/>
        </w:rPr>
      </w:pPr>
      <w:r w:rsidRPr="0004371A">
        <w:rPr>
          <w:rFonts w:ascii="Arial" w:hAnsi="Arial"/>
          <w:sz w:val="24"/>
          <w:szCs w:val="24"/>
        </w:rPr>
        <w:t>R v Kemp [1957]</w:t>
      </w:r>
    </w:p>
    <w:p w14:paraId="217F44F0" w14:textId="652533BB" w:rsidR="004F1E0E" w:rsidRPr="0004371A" w:rsidRDefault="004F1E0E" w:rsidP="0004371A">
      <w:pPr>
        <w:spacing w:line="360" w:lineRule="auto"/>
        <w:rPr>
          <w:rFonts w:ascii="Arial" w:hAnsi="Arial"/>
          <w:sz w:val="24"/>
          <w:szCs w:val="24"/>
        </w:rPr>
      </w:pPr>
    </w:p>
    <w:p w14:paraId="5F3E7575" w14:textId="7A2CF240" w:rsidR="00651031" w:rsidRPr="0004371A" w:rsidRDefault="00651031" w:rsidP="0004371A">
      <w:pPr>
        <w:spacing w:line="360" w:lineRule="auto"/>
        <w:rPr>
          <w:rFonts w:ascii="Arial" w:hAnsi="Arial"/>
          <w:b/>
          <w:bCs/>
          <w:sz w:val="24"/>
          <w:szCs w:val="24"/>
        </w:rPr>
      </w:pPr>
    </w:p>
    <w:p w14:paraId="29567EE8" w14:textId="2B504403" w:rsidR="00651031" w:rsidRPr="0004371A" w:rsidRDefault="00651031" w:rsidP="0004371A">
      <w:pPr>
        <w:spacing w:line="360" w:lineRule="auto"/>
        <w:rPr>
          <w:rFonts w:ascii="Arial" w:hAnsi="Arial"/>
          <w:b/>
          <w:bCs/>
          <w:sz w:val="24"/>
          <w:szCs w:val="24"/>
          <w:u w:val="single"/>
        </w:rPr>
      </w:pPr>
      <w:r w:rsidRPr="0004371A">
        <w:rPr>
          <w:rFonts w:ascii="Arial" w:hAnsi="Arial"/>
          <w:b/>
          <w:bCs/>
          <w:sz w:val="24"/>
          <w:szCs w:val="24"/>
          <w:u w:val="single"/>
        </w:rPr>
        <w:t>Question 2</w:t>
      </w:r>
    </w:p>
    <w:p w14:paraId="1DFCA842" w14:textId="77777777" w:rsidR="00D463CC" w:rsidRPr="0004371A" w:rsidRDefault="00D463CC" w:rsidP="0004371A">
      <w:pPr>
        <w:spacing w:line="360" w:lineRule="auto"/>
        <w:rPr>
          <w:rFonts w:ascii="Arial" w:hAnsi="Arial"/>
          <w:sz w:val="24"/>
          <w:szCs w:val="24"/>
        </w:rPr>
      </w:pPr>
    </w:p>
    <w:p w14:paraId="47EF5A66" w14:textId="77777777" w:rsidR="00AE35AD" w:rsidRPr="0004371A" w:rsidRDefault="00651031" w:rsidP="0004371A">
      <w:pPr>
        <w:spacing w:line="360" w:lineRule="auto"/>
        <w:rPr>
          <w:rFonts w:ascii="Arial" w:hAnsi="Arial"/>
          <w:color w:val="000000"/>
          <w:sz w:val="24"/>
          <w:szCs w:val="24"/>
        </w:rPr>
      </w:pPr>
      <w:r w:rsidRPr="0004371A">
        <w:rPr>
          <w:rFonts w:ascii="Arial" w:hAnsi="Arial"/>
          <w:color w:val="000000"/>
          <w:sz w:val="24"/>
          <w:szCs w:val="24"/>
        </w:rPr>
        <w:t xml:space="preserve">In this scenario Ali, jenny’s </w:t>
      </w:r>
      <w:r w:rsidR="00481F30" w:rsidRPr="0004371A">
        <w:rPr>
          <w:rFonts w:ascii="Arial" w:hAnsi="Arial"/>
          <w:color w:val="000000"/>
          <w:sz w:val="24"/>
          <w:szCs w:val="24"/>
        </w:rPr>
        <w:t>ex-boyfriend</w:t>
      </w:r>
      <w:r w:rsidRPr="0004371A">
        <w:rPr>
          <w:rFonts w:ascii="Arial" w:hAnsi="Arial"/>
          <w:color w:val="000000"/>
          <w:sz w:val="24"/>
          <w:szCs w:val="24"/>
        </w:rPr>
        <w:t xml:space="preserve"> started a fight due to the </w:t>
      </w:r>
      <w:r w:rsidR="00481F30" w:rsidRPr="0004371A">
        <w:rPr>
          <w:rFonts w:ascii="Arial" w:hAnsi="Arial"/>
          <w:color w:val="000000"/>
          <w:sz w:val="24"/>
          <w:szCs w:val="24"/>
        </w:rPr>
        <w:t>jealousy</w:t>
      </w:r>
      <w:r w:rsidRPr="0004371A">
        <w:rPr>
          <w:rFonts w:ascii="Arial" w:hAnsi="Arial"/>
          <w:color w:val="000000"/>
          <w:sz w:val="24"/>
          <w:szCs w:val="24"/>
        </w:rPr>
        <w:t xml:space="preserve"> of seeing her new </w:t>
      </w:r>
      <w:r w:rsidR="00481F30" w:rsidRPr="0004371A">
        <w:rPr>
          <w:rFonts w:ascii="Arial" w:hAnsi="Arial"/>
          <w:color w:val="000000"/>
          <w:sz w:val="24"/>
          <w:szCs w:val="24"/>
        </w:rPr>
        <w:t>partner</w:t>
      </w:r>
      <w:r w:rsidRPr="0004371A">
        <w:rPr>
          <w:rFonts w:ascii="Arial" w:hAnsi="Arial"/>
          <w:color w:val="000000"/>
          <w:sz w:val="24"/>
          <w:szCs w:val="24"/>
        </w:rPr>
        <w:t xml:space="preserve"> Colin. </w:t>
      </w:r>
      <w:r w:rsidR="00481F30" w:rsidRPr="0004371A">
        <w:rPr>
          <w:rFonts w:ascii="Arial" w:hAnsi="Arial"/>
          <w:color w:val="000000"/>
          <w:sz w:val="24"/>
          <w:szCs w:val="24"/>
        </w:rPr>
        <w:t>The doorman Lee asked</w:t>
      </w:r>
      <w:r w:rsidRPr="0004371A">
        <w:rPr>
          <w:rFonts w:ascii="Arial" w:hAnsi="Arial"/>
          <w:color w:val="000000"/>
          <w:sz w:val="24"/>
          <w:szCs w:val="24"/>
        </w:rPr>
        <w:t xml:space="preserve"> Ali to leave </w:t>
      </w:r>
      <w:r w:rsidR="00481F30" w:rsidRPr="0004371A">
        <w:rPr>
          <w:rFonts w:ascii="Arial" w:hAnsi="Arial"/>
          <w:color w:val="000000"/>
          <w:sz w:val="24"/>
          <w:szCs w:val="24"/>
        </w:rPr>
        <w:t>which</w:t>
      </w:r>
      <w:r w:rsidRPr="0004371A">
        <w:rPr>
          <w:rFonts w:ascii="Arial" w:hAnsi="Arial"/>
          <w:color w:val="000000"/>
          <w:sz w:val="24"/>
          <w:szCs w:val="24"/>
        </w:rPr>
        <w:t xml:space="preserve"> then led to Ali punching him </w:t>
      </w:r>
      <w:r w:rsidR="00481F30" w:rsidRPr="0004371A">
        <w:rPr>
          <w:rFonts w:ascii="Arial" w:hAnsi="Arial"/>
          <w:color w:val="000000"/>
          <w:sz w:val="24"/>
          <w:szCs w:val="24"/>
        </w:rPr>
        <w:t xml:space="preserve">in the face leaving Lee unconscious. Unfortunately, Lee died later that night. As a result of his actions, Ali would’ve been charged with </w:t>
      </w:r>
      <w:r w:rsidR="00054FD5" w:rsidRPr="0004371A">
        <w:rPr>
          <w:rFonts w:ascii="Arial" w:hAnsi="Arial"/>
          <w:color w:val="000000"/>
          <w:sz w:val="24"/>
          <w:szCs w:val="24"/>
        </w:rPr>
        <w:t>Grievous</w:t>
      </w:r>
      <w:r w:rsidR="00481F30" w:rsidRPr="0004371A">
        <w:rPr>
          <w:rFonts w:ascii="Arial" w:hAnsi="Arial"/>
          <w:color w:val="000000"/>
          <w:sz w:val="24"/>
          <w:szCs w:val="24"/>
        </w:rPr>
        <w:t xml:space="preserve"> Bodily Harm</w:t>
      </w:r>
      <w:r w:rsidR="00054FD5" w:rsidRPr="0004371A">
        <w:rPr>
          <w:rFonts w:ascii="Arial" w:hAnsi="Arial"/>
          <w:color w:val="000000"/>
          <w:sz w:val="24"/>
          <w:szCs w:val="24"/>
        </w:rPr>
        <w:t xml:space="preserve"> (GBH) and Manslaughter.</w:t>
      </w:r>
    </w:p>
    <w:p w14:paraId="7663376A" w14:textId="77777777" w:rsidR="00AE35AD" w:rsidRPr="0004371A" w:rsidRDefault="00AE35AD" w:rsidP="0004371A">
      <w:pPr>
        <w:spacing w:line="360" w:lineRule="auto"/>
        <w:rPr>
          <w:rFonts w:ascii="Arial" w:hAnsi="Arial"/>
          <w:color w:val="000000"/>
          <w:sz w:val="24"/>
          <w:szCs w:val="24"/>
        </w:rPr>
      </w:pPr>
    </w:p>
    <w:p w14:paraId="4DFBBC9C" w14:textId="22BED522" w:rsidR="00A8618F" w:rsidRPr="0004371A" w:rsidRDefault="00054FD5" w:rsidP="0004371A">
      <w:pPr>
        <w:spacing w:line="360" w:lineRule="auto"/>
        <w:rPr>
          <w:rFonts w:ascii="Arial" w:hAnsi="Arial"/>
          <w:color w:val="000000"/>
          <w:sz w:val="24"/>
          <w:szCs w:val="24"/>
          <w:shd w:val="clear" w:color="auto" w:fill="FFFFFF"/>
        </w:rPr>
      </w:pPr>
      <w:r w:rsidRPr="0004371A">
        <w:rPr>
          <w:rFonts w:ascii="Arial" w:hAnsi="Arial"/>
          <w:color w:val="000000"/>
          <w:sz w:val="24"/>
          <w:szCs w:val="24"/>
        </w:rPr>
        <w:lastRenderedPageBreak/>
        <w:t xml:space="preserve"> G</w:t>
      </w:r>
      <w:r w:rsidRPr="0004371A">
        <w:rPr>
          <w:rFonts w:ascii="Arial" w:hAnsi="Arial"/>
          <w:color w:val="000000"/>
          <w:sz w:val="24"/>
          <w:szCs w:val="24"/>
        </w:rPr>
        <w:t>rievous bodily harm</w:t>
      </w:r>
      <w:r w:rsidRPr="0004371A">
        <w:rPr>
          <w:rFonts w:ascii="Arial" w:hAnsi="Arial"/>
          <w:color w:val="000000"/>
          <w:sz w:val="24"/>
          <w:szCs w:val="24"/>
        </w:rPr>
        <w:t xml:space="preserve"> is under </w:t>
      </w:r>
      <w:r w:rsidRPr="0004371A">
        <w:rPr>
          <w:rFonts w:ascii="Arial" w:hAnsi="Arial"/>
          <w:color w:val="000000"/>
          <w:sz w:val="24"/>
          <w:szCs w:val="24"/>
        </w:rPr>
        <w:t xml:space="preserve">Section 18, also known as wounding with intent, </w:t>
      </w:r>
      <w:r w:rsidRPr="0004371A">
        <w:rPr>
          <w:rFonts w:ascii="Arial" w:hAnsi="Arial"/>
          <w:color w:val="000000"/>
          <w:sz w:val="24"/>
          <w:szCs w:val="24"/>
        </w:rPr>
        <w:t xml:space="preserve">it </w:t>
      </w:r>
      <w:r w:rsidRPr="0004371A">
        <w:rPr>
          <w:rFonts w:ascii="Arial" w:hAnsi="Arial"/>
          <w:color w:val="000000"/>
          <w:sz w:val="24"/>
          <w:szCs w:val="24"/>
        </w:rPr>
        <w:t>is the most severe form of assault. This is an indictable offense, meaning it can only be prosecuted in the Crown Court. The maximum punishment is life in jail.</w:t>
      </w:r>
      <w:r w:rsidR="00AE35AD" w:rsidRPr="0004371A">
        <w:rPr>
          <w:rFonts w:ascii="Arial" w:hAnsi="Arial"/>
          <w:color w:val="000000"/>
          <w:sz w:val="24"/>
          <w:szCs w:val="24"/>
        </w:rPr>
        <w:t xml:space="preserve"> There are two types of assault, section 18 and section 20, the only difference between them both is intent. Ali did in fact punch Lee with intent to cause bodily harm, therefore comes under section 20. Offences against the person act 1861 defines GBH as </w:t>
      </w:r>
      <w:r w:rsidR="00AE35AD" w:rsidRPr="0004371A">
        <w:rPr>
          <w:rFonts w:ascii="Arial" w:hAnsi="Arial"/>
          <w:color w:val="000000"/>
          <w:sz w:val="24"/>
          <w:szCs w:val="24"/>
          <w:shd w:val="clear" w:color="auto" w:fill="FFFFFF"/>
        </w:rPr>
        <w:t xml:space="preserve">"whosoever shall unlawfully and maliciously wound or inflict any grievous bodily harm on any other person, either with or without a weapon or instrument, shall be guilty of a </w:t>
      </w:r>
      <w:r w:rsidR="00AE35AD" w:rsidRPr="0004371A">
        <w:rPr>
          <w:rFonts w:ascii="Arial" w:hAnsi="Arial"/>
          <w:color w:val="000000"/>
          <w:sz w:val="24"/>
          <w:szCs w:val="24"/>
          <w:shd w:val="clear" w:color="auto" w:fill="FFFFFF"/>
        </w:rPr>
        <w:t>misdemeanour</w:t>
      </w:r>
      <w:r w:rsidR="00AE35AD" w:rsidRPr="0004371A">
        <w:rPr>
          <w:rFonts w:ascii="Arial" w:hAnsi="Arial"/>
          <w:color w:val="000000"/>
          <w:sz w:val="24"/>
          <w:szCs w:val="24"/>
          <w:shd w:val="clear" w:color="auto" w:fill="FFFFFF"/>
        </w:rPr>
        <w:t>"</w:t>
      </w:r>
      <w:r w:rsidR="00AE35AD" w:rsidRPr="0004371A">
        <w:rPr>
          <w:rFonts w:ascii="Arial" w:hAnsi="Arial"/>
          <w:color w:val="000000"/>
          <w:sz w:val="24"/>
          <w:szCs w:val="24"/>
          <w:shd w:val="clear" w:color="auto" w:fill="FFFFFF"/>
        </w:rPr>
        <w:t xml:space="preserve">. </w:t>
      </w:r>
    </w:p>
    <w:p w14:paraId="0E0335BF" w14:textId="2C31A34D" w:rsidR="00A8618F" w:rsidRPr="0004371A" w:rsidRDefault="00A8618F" w:rsidP="0004371A">
      <w:pPr>
        <w:spacing w:line="360" w:lineRule="auto"/>
        <w:rPr>
          <w:rFonts w:ascii="Arial" w:hAnsi="Arial"/>
          <w:color w:val="000000"/>
          <w:sz w:val="24"/>
          <w:szCs w:val="24"/>
          <w:shd w:val="clear" w:color="auto" w:fill="FFFFFF"/>
        </w:rPr>
      </w:pPr>
    </w:p>
    <w:p w14:paraId="07527C52" w14:textId="42E29B23" w:rsidR="00A8618F" w:rsidRPr="0004371A" w:rsidRDefault="00A8618F" w:rsidP="0004371A">
      <w:pPr>
        <w:spacing w:line="360" w:lineRule="auto"/>
        <w:rPr>
          <w:rFonts w:ascii="Arial" w:hAnsi="Arial"/>
          <w:b/>
          <w:bCs/>
          <w:color w:val="000000"/>
          <w:sz w:val="24"/>
          <w:szCs w:val="24"/>
          <w:shd w:val="clear" w:color="auto" w:fill="FFFFFF"/>
        </w:rPr>
      </w:pPr>
      <w:r w:rsidRPr="0004371A">
        <w:rPr>
          <w:rFonts w:ascii="Arial" w:hAnsi="Arial"/>
          <w:b/>
          <w:bCs/>
          <w:color w:val="000000"/>
          <w:sz w:val="24"/>
          <w:szCs w:val="24"/>
          <w:shd w:val="clear" w:color="auto" w:fill="FFFFFF"/>
        </w:rPr>
        <w:t>Actus rea of GBH</w:t>
      </w:r>
    </w:p>
    <w:p w14:paraId="40A62DF4" w14:textId="456C33BC" w:rsidR="00AE35AD" w:rsidRPr="0004371A" w:rsidRDefault="00A8618F" w:rsidP="0004371A">
      <w:pPr>
        <w:spacing w:line="360" w:lineRule="auto"/>
        <w:rPr>
          <w:rFonts w:ascii="Arial" w:hAnsi="Arial"/>
          <w:color w:val="000000"/>
          <w:sz w:val="24"/>
          <w:szCs w:val="24"/>
          <w:shd w:val="clear" w:color="auto" w:fill="FFFFFF"/>
        </w:rPr>
      </w:pPr>
      <w:r w:rsidRPr="0004371A">
        <w:rPr>
          <w:rFonts w:ascii="Arial" w:hAnsi="Arial"/>
          <w:color w:val="000000"/>
          <w:sz w:val="24"/>
          <w:szCs w:val="24"/>
          <w:shd w:val="clear" w:color="auto" w:fill="FFFFFF"/>
        </w:rPr>
        <w:t>T</w:t>
      </w:r>
      <w:r w:rsidR="00AE35AD" w:rsidRPr="0004371A">
        <w:rPr>
          <w:rFonts w:ascii="Arial" w:hAnsi="Arial"/>
          <w:color w:val="000000"/>
          <w:sz w:val="24"/>
          <w:szCs w:val="24"/>
          <w:shd w:val="clear" w:color="auto" w:fill="FFFFFF"/>
        </w:rPr>
        <w:t>he wounding or grievous bodily harm must be done "maliciously," but Cunningham (1957) clarified that this simply means that the defendant must cause the harm</w:t>
      </w:r>
      <w:r w:rsidR="00AE35AD" w:rsidRPr="0004371A">
        <w:rPr>
          <w:rFonts w:ascii="Arial" w:hAnsi="Arial"/>
          <w:color w:val="000000"/>
          <w:sz w:val="24"/>
          <w:szCs w:val="24"/>
          <w:shd w:val="clear" w:color="auto" w:fill="FFFFFF"/>
        </w:rPr>
        <w:t xml:space="preserve"> with intent</w:t>
      </w:r>
      <w:r w:rsidR="00AE35AD" w:rsidRPr="0004371A">
        <w:rPr>
          <w:rFonts w:ascii="Arial" w:hAnsi="Arial"/>
          <w:color w:val="000000"/>
          <w:sz w:val="24"/>
          <w:szCs w:val="24"/>
          <w:shd w:val="clear" w:color="auto" w:fill="FFFFFF"/>
        </w:rPr>
        <w:t xml:space="preserve"> or be subjectively careless about whether such harm would occur. R v </w:t>
      </w:r>
      <w:proofErr w:type="spellStart"/>
      <w:r w:rsidR="00AE35AD" w:rsidRPr="0004371A">
        <w:rPr>
          <w:rFonts w:ascii="Arial" w:hAnsi="Arial"/>
          <w:color w:val="000000"/>
          <w:sz w:val="24"/>
          <w:szCs w:val="24"/>
          <w:shd w:val="clear" w:color="auto" w:fill="FFFFFF"/>
        </w:rPr>
        <w:t>Mowatt</w:t>
      </w:r>
      <w:proofErr w:type="spellEnd"/>
      <w:r w:rsidR="00AE35AD" w:rsidRPr="0004371A">
        <w:rPr>
          <w:rFonts w:ascii="Arial" w:hAnsi="Arial"/>
          <w:color w:val="000000"/>
          <w:sz w:val="24"/>
          <w:szCs w:val="24"/>
          <w:shd w:val="clear" w:color="auto" w:fill="FFFFFF"/>
        </w:rPr>
        <w:t xml:space="preserve"> (1976), provided the important principle that the prosecution does not have to show that the defendant intended or anticipated the damage.</w:t>
      </w:r>
    </w:p>
    <w:p w14:paraId="1F9E3330" w14:textId="55B8B62E" w:rsidR="00A8618F" w:rsidRPr="0004371A" w:rsidRDefault="00A8618F" w:rsidP="0004371A">
      <w:pPr>
        <w:spacing w:line="360" w:lineRule="auto"/>
        <w:rPr>
          <w:rFonts w:ascii="Arial" w:hAnsi="Arial"/>
          <w:b/>
          <w:bCs/>
          <w:color w:val="000000"/>
          <w:sz w:val="24"/>
          <w:szCs w:val="24"/>
          <w:shd w:val="clear" w:color="auto" w:fill="FFFFFF"/>
        </w:rPr>
      </w:pPr>
      <w:proofErr w:type="spellStart"/>
      <w:r w:rsidRPr="0004371A">
        <w:rPr>
          <w:rFonts w:ascii="Arial" w:hAnsi="Arial"/>
          <w:b/>
          <w:bCs/>
          <w:color w:val="000000"/>
          <w:sz w:val="24"/>
          <w:szCs w:val="24"/>
          <w:shd w:val="clear" w:color="auto" w:fill="FFFFFF"/>
        </w:rPr>
        <w:t>Mens</w:t>
      </w:r>
      <w:proofErr w:type="spellEnd"/>
      <w:r w:rsidRPr="0004371A">
        <w:rPr>
          <w:rFonts w:ascii="Arial" w:hAnsi="Arial"/>
          <w:b/>
          <w:bCs/>
          <w:color w:val="000000"/>
          <w:sz w:val="24"/>
          <w:szCs w:val="24"/>
          <w:shd w:val="clear" w:color="auto" w:fill="FFFFFF"/>
        </w:rPr>
        <w:t xml:space="preserve"> Rea</w:t>
      </w:r>
    </w:p>
    <w:p w14:paraId="2A31DDC0" w14:textId="75B3556F" w:rsidR="00A8618F" w:rsidRPr="0004371A" w:rsidRDefault="00A8618F" w:rsidP="0004371A">
      <w:pPr>
        <w:spacing w:line="360" w:lineRule="auto"/>
        <w:rPr>
          <w:rFonts w:ascii="Arial" w:hAnsi="Arial"/>
          <w:sz w:val="24"/>
          <w:szCs w:val="24"/>
        </w:rPr>
      </w:pPr>
      <w:r w:rsidRPr="0004371A">
        <w:rPr>
          <w:rFonts w:ascii="Arial" w:hAnsi="Arial"/>
          <w:sz w:val="24"/>
          <w:szCs w:val="24"/>
        </w:rPr>
        <w:t xml:space="preserve">According to R v </w:t>
      </w:r>
      <w:proofErr w:type="spellStart"/>
      <w:r w:rsidRPr="0004371A">
        <w:rPr>
          <w:rFonts w:ascii="Arial" w:hAnsi="Arial"/>
          <w:sz w:val="24"/>
          <w:szCs w:val="24"/>
        </w:rPr>
        <w:t>Belfon</w:t>
      </w:r>
      <w:proofErr w:type="spellEnd"/>
      <w:r w:rsidRPr="0004371A">
        <w:rPr>
          <w:rFonts w:ascii="Arial" w:hAnsi="Arial"/>
          <w:sz w:val="24"/>
          <w:szCs w:val="24"/>
        </w:rPr>
        <w:t xml:space="preserve"> 1976, the </w:t>
      </w:r>
      <w:r w:rsidRPr="0004371A">
        <w:rPr>
          <w:rFonts w:ascii="Arial" w:hAnsi="Arial"/>
          <w:sz w:val="24"/>
          <w:szCs w:val="24"/>
        </w:rPr>
        <w:t>jury</w:t>
      </w:r>
      <w:r w:rsidRPr="0004371A">
        <w:rPr>
          <w:rFonts w:ascii="Arial" w:hAnsi="Arial"/>
          <w:sz w:val="24"/>
          <w:szCs w:val="24"/>
        </w:rPr>
        <w:t xml:space="preserve"> must show that the </w:t>
      </w:r>
      <w:r w:rsidRPr="0004371A">
        <w:rPr>
          <w:rFonts w:ascii="Arial" w:hAnsi="Arial"/>
          <w:sz w:val="24"/>
          <w:szCs w:val="24"/>
        </w:rPr>
        <w:t>Ali</w:t>
      </w:r>
      <w:r w:rsidRPr="0004371A">
        <w:rPr>
          <w:rFonts w:ascii="Arial" w:hAnsi="Arial"/>
          <w:sz w:val="24"/>
          <w:szCs w:val="24"/>
        </w:rPr>
        <w:t xml:space="preserve"> had a clear intention to </w:t>
      </w:r>
      <w:r w:rsidRPr="0004371A">
        <w:rPr>
          <w:rFonts w:ascii="Arial" w:hAnsi="Arial"/>
          <w:sz w:val="24"/>
          <w:szCs w:val="24"/>
        </w:rPr>
        <w:t>cause</w:t>
      </w:r>
      <w:r w:rsidRPr="0004371A">
        <w:rPr>
          <w:rFonts w:ascii="Arial" w:hAnsi="Arial"/>
          <w:sz w:val="24"/>
          <w:szCs w:val="24"/>
        </w:rPr>
        <w:t xml:space="preserve"> GBH </w:t>
      </w:r>
      <w:r w:rsidRPr="0004371A">
        <w:rPr>
          <w:rFonts w:ascii="Arial" w:hAnsi="Arial"/>
          <w:sz w:val="24"/>
          <w:szCs w:val="24"/>
        </w:rPr>
        <w:t>or</w:t>
      </w:r>
      <w:r w:rsidRPr="0004371A">
        <w:rPr>
          <w:rFonts w:ascii="Arial" w:hAnsi="Arial"/>
          <w:sz w:val="24"/>
          <w:szCs w:val="24"/>
        </w:rPr>
        <w:t xml:space="preserve"> that the </w:t>
      </w:r>
      <w:r w:rsidRPr="0004371A">
        <w:rPr>
          <w:rFonts w:ascii="Arial" w:hAnsi="Arial"/>
          <w:sz w:val="24"/>
          <w:szCs w:val="24"/>
        </w:rPr>
        <w:t>he</w:t>
      </w:r>
      <w:r w:rsidRPr="0004371A">
        <w:rPr>
          <w:rFonts w:ascii="Arial" w:hAnsi="Arial"/>
          <w:sz w:val="24"/>
          <w:szCs w:val="24"/>
        </w:rPr>
        <w:t xml:space="preserve"> had an indirect intention to cause GBH</w:t>
      </w:r>
      <w:r w:rsidRPr="0004371A">
        <w:rPr>
          <w:rFonts w:ascii="Arial" w:hAnsi="Arial"/>
          <w:sz w:val="24"/>
          <w:szCs w:val="24"/>
        </w:rPr>
        <w:t>.</w:t>
      </w:r>
    </w:p>
    <w:p w14:paraId="7BE16ED8" w14:textId="1266477D" w:rsidR="00FC7FCF" w:rsidRPr="0004371A" w:rsidRDefault="00FC7FCF" w:rsidP="0004371A">
      <w:pPr>
        <w:spacing w:line="360" w:lineRule="auto"/>
        <w:rPr>
          <w:rFonts w:ascii="Arial" w:hAnsi="Arial"/>
          <w:sz w:val="24"/>
          <w:szCs w:val="24"/>
        </w:rPr>
      </w:pPr>
    </w:p>
    <w:p w14:paraId="4EC36324" w14:textId="0D4403BE" w:rsidR="00624AD1" w:rsidRPr="0004371A" w:rsidRDefault="00FC7FCF" w:rsidP="0004371A">
      <w:pPr>
        <w:spacing w:line="360" w:lineRule="auto"/>
        <w:rPr>
          <w:rFonts w:ascii="Arial" w:hAnsi="Arial"/>
          <w:sz w:val="24"/>
          <w:szCs w:val="24"/>
        </w:rPr>
      </w:pPr>
      <w:r w:rsidRPr="0004371A">
        <w:rPr>
          <w:rFonts w:ascii="Arial" w:hAnsi="Arial"/>
          <w:sz w:val="24"/>
          <w:szCs w:val="24"/>
        </w:rPr>
        <w:t xml:space="preserve">As a result of the GBH caused by Ali punching Lee, Lee died later that night. This would mean Ali is liable for manslaughter. </w:t>
      </w:r>
      <w:r w:rsidRPr="0004371A">
        <w:rPr>
          <w:rFonts w:ascii="Arial" w:hAnsi="Arial"/>
          <w:sz w:val="24"/>
          <w:szCs w:val="24"/>
        </w:rPr>
        <w:t>Since manslaughter always involves a fatality, it always involves the highest level of harm. Involuntary and voluntary manslaughter are the two types of manslaughter. Unlawful killing without the intent to kill or inflict very serious harm is known as involuntary manslaughter.</w:t>
      </w:r>
      <w:r w:rsidRPr="0004371A">
        <w:rPr>
          <w:rFonts w:ascii="Arial" w:hAnsi="Arial"/>
          <w:sz w:val="24"/>
          <w:szCs w:val="24"/>
        </w:rPr>
        <w:t xml:space="preserve"> </w:t>
      </w:r>
      <w:r w:rsidR="00624AD1" w:rsidRPr="0004371A">
        <w:rPr>
          <w:rFonts w:ascii="Arial" w:hAnsi="Arial"/>
          <w:sz w:val="24"/>
          <w:szCs w:val="24"/>
        </w:rPr>
        <w:t xml:space="preserve">Similar to Ali’s case, </w:t>
      </w:r>
      <w:r w:rsidR="00624AD1" w:rsidRPr="0004371A">
        <w:rPr>
          <w:rFonts w:ascii="Arial" w:hAnsi="Arial" w:cs="Segoe UI"/>
          <w:color w:val="212529"/>
          <w:sz w:val="24"/>
          <w:szCs w:val="24"/>
          <w:shd w:val="clear" w:color="auto" w:fill="FFFFFF"/>
        </w:rPr>
        <w:t>DPP v Newbury and Jones [1976]</w:t>
      </w:r>
      <w:r w:rsidR="00624AD1" w:rsidRPr="0004371A">
        <w:rPr>
          <w:rFonts w:ascii="Arial" w:hAnsi="Arial" w:cs="Segoe UI"/>
          <w:color w:val="212529"/>
          <w:sz w:val="24"/>
          <w:szCs w:val="24"/>
          <w:shd w:val="clear" w:color="auto" w:fill="FFFFFF"/>
        </w:rPr>
        <w:t xml:space="preserve"> where a</w:t>
      </w:r>
      <w:r w:rsidR="00624AD1" w:rsidRPr="0004371A">
        <w:rPr>
          <w:rFonts w:ascii="Arial" w:hAnsi="Arial" w:cs="Segoe UI"/>
          <w:color w:val="212529"/>
          <w:sz w:val="24"/>
          <w:szCs w:val="24"/>
          <w:shd w:val="clear" w:color="auto" w:fill="FFFFFF"/>
        </w:rPr>
        <w:t xml:space="preserve"> defendant was found guilty of manslaughter </w:t>
      </w:r>
      <w:r w:rsidR="00624AD1" w:rsidRPr="0004371A">
        <w:rPr>
          <w:rFonts w:ascii="Arial" w:hAnsi="Arial" w:cs="Segoe UI"/>
          <w:color w:val="212529"/>
          <w:sz w:val="24"/>
          <w:szCs w:val="24"/>
          <w:shd w:val="clear" w:color="auto" w:fill="FFFFFF"/>
        </w:rPr>
        <w:t>because it was</w:t>
      </w:r>
      <w:r w:rsidR="00624AD1" w:rsidRPr="0004371A">
        <w:rPr>
          <w:rFonts w:ascii="Arial" w:hAnsi="Arial" w:cs="Segoe UI"/>
          <w:color w:val="212529"/>
          <w:sz w:val="24"/>
          <w:szCs w:val="24"/>
          <w:shd w:val="clear" w:color="auto" w:fill="FFFFFF"/>
        </w:rPr>
        <w:t xml:space="preserve"> proven that he knowingly committed an unlawful and dangerous act that resulted in death, and that the defendant knew that the act was unlawful or dangerous.</w:t>
      </w:r>
    </w:p>
    <w:p w14:paraId="3D4A7890" w14:textId="6CFFFDAF" w:rsidR="004F5C37" w:rsidRPr="0004371A" w:rsidRDefault="004F5C37" w:rsidP="0004371A">
      <w:pPr>
        <w:spacing w:line="360" w:lineRule="auto"/>
        <w:rPr>
          <w:rFonts w:ascii="Arial" w:hAnsi="Arial"/>
          <w:sz w:val="24"/>
          <w:szCs w:val="24"/>
        </w:rPr>
      </w:pPr>
    </w:p>
    <w:p w14:paraId="33B40674" w14:textId="2065A7C3" w:rsidR="004F5C37" w:rsidRPr="0004371A" w:rsidRDefault="004F5C37" w:rsidP="0004371A">
      <w:pPr>
        <w:spacing w:line="360" w:lineRule="auto"/>
        <w:rPr>
          <w:rFonts w:ascii="Arial" w:hAnsi="Arial"/>
          <w:sz w:val="24"/>
          <w:szCs w:val="24"/>
        </w:rPr>
      </w:pPr>
      <w:r w:rsidRPr="0004371A">
        <w:rPr>
          <w:rFonts w:ascii="Arial" w:hAnsi="Arial"/>
          <w:sz w:val="24"/>
          <w:szCs w:val="24"/>
        </w:rPr>
        <w:t xml:space="preserve">The next day, Ali grabbed colin by the arm and proceeded to stab him directly in the stomach. Ali’s action of stabbing Colin would make him liable for Murder. </w:t>
      </w:r>
      <w:r w:rsidRPr="0004371A">
        <w:rPr>
          <w:rFonts w:ascii="Arial" w:hAnsi="Arial"/>
          <w:sz w:val="24"/>
          <w:szCs w:val="24"/>
        </w:rPr>
        <w:t xml:space="preserve">Murder is a crime in England and Wales under common law. It is the most serious form of murder, in which one person intentionally kills another with the intent to cause death </w:t>
      </w:r>
      <w:r w:rsidRPr="0004371A">
        <w:rPr>
          <w:rFonts w:ascii="Arial" w:hAnsi="Arial"/>
          <w:sz w:val="24"/>
          <w:szCs w:val="24"/>
        </w:rPr>
        <w:lastRenderedPageBreak/>
        <w:t>or serious injury.</w:t>
      </w:r>
      <w:r w:rsidRPr="0004371A">
        <w:rPr>
          <w:rFonts w:ascii="Arial" w:hAnsi="Arial"/>
          <w:sz w:val="24"/>
          <w:szCs w:val="24"/>
        </w:rPr>
        <w:t xml:space="preserve"> </w:t>
      </w:r>
      <w:r w:rsidRPr="0004371A">
        <w:rPr>
          <w:rFonts w:ascii="Arial" w:hAnsi="Arial"/>
          <w:sz w:val="24"/>
          <w:szCs w:val="24"/>
        </w:rPr>
        <w:t xml:space="preserve">Murder is a crime in England and Wales under common law. It is the most serious form of </w:t>
      </w:r>
      <w:r w:rsidRPr="0004371A">
        <w:rPr>
          <w:rFonts w:ascii="Arial" w:hAnsi="Arial"/>
          <w:sz w:val="24"/>
          <w:szCs w:val="24"/>
        </w:rPr>
        <w:t>killing</w:t>
      </w:r>
      <w:r w:rsidRPr="0004371A">
        <w:rPr>
          <w:rFonts w:ascii="Arial" w:hAnsi="Arial"/>
          <w:sz w:val="24"/>
          <w:szCs w:val="24"/>
        </w:rPr>
        <w:t xml:space="preserve">, </w:t>
      </w:r>
      <w:r w:rsidRPr="0004371A">
        <w:rPr>
          <w:rFonts w:ascii="Arial" w:hAnsi="Arial"/>
          <w:sz w:val="24"/>
          <w:szCs w:val="24"/>
        </w:rPr>
        <w:t>where</w:t>
      </w:r>
      <w:r w:rsidRPr="0004371A">
        <w:rPr>
          <w:rFonts w:ascii="Arial" w:hAnsi="Arial"/>
          <w:sz w:val="24"/>
          <w:szCs w:val="24"/>
        </w:rPr>
        <w:t xml:space="preserve"> </w:t>
      </w:r>
      <w:r w:rsidRPr="0004371A">
        <w:rPr>
          <w:rFonts w:ascii="Arial" w:hAnsi="Arial"/>
          <w:sz w:val="24"/>
          <w:szCs w:val="24"/>
        </w:rPr>
        <w:t>a</w:t>
      </w:r>
      <w:r w:rsidRPr="0004371A">
        <w:rPr>
          <w:rFonts w:ascii="Arial" w:hAnsi="Arial"/>
          <w:sz w:val="24"/>
          <w:szCs w:val="24"/>
        </w:rPr>
        <w:t xml:space="preserve"> person intentionally kills another with the intent to cause death or serious injury.</w:t>
      </w:r>
      <w:r w:rsidRPr="0004371A">
        <w:rPr>
          <w:rFonts w:ascii="Arial" w:hAnsi="Arial"/>
          <w:sz w:val="24"/>
          <w:szCs w:val="24"/>
        </w:rPr>
        <w:t xml:space="preserve"> Ali would be liable for Murder due to the fact he intentionally kills Colin with the intent to cause death or serious injury. </w:t>
      </w:r>
    </w:p>
    <w:p w14:paraId="78D132FD" w14:textId="1657DDDE" w:rsidR="00FC7FCF" w:rsidRPr="0004371A" w:rsidRDefault="00FC7FCF" w:rsidP="0004371A">
      <w:pPr>
        <w:spacing w:line="360" w:lineRule="auto"/>
        <w:rPr>
          <w:rFonts w:ascii="Arial" w:hAnsi="Arial"/>
          <w:sz w:val="24"/>
          <w:szCs w:val="24"/>
        </w:rPr>
      </w:pPr>
    </w:p>
    <w:p w14:paraId="275A89C7" w14:textId="25F8E267" w:rsidR="00A8618F" w:rsidRPr="0004371A" w:rsidRDefault="004F5C37" w:rsidP="0004371A">
      <w:pPr>
        <w:spacing w:line="360" w:lineRule="auto"/>
        <w:rPr>
          <w:rFonts w:ascii="Arial" w:hAnsi="Arial"/>
          <w:sz w:val="24"/>
          <w:szCs w:val="24"/>
        </w:rPr>
      </w:pPr>
      <w:r w:rsidRPr="0004371A">
        <w:rPr>
          <w:rFonts w:ascii="Arial" w:hAnsi="Arial"/>
          <w:sz w:val="24"/>
          <w:szCs w:val="24"/>
        </w:rPr>
        <w:t xml:space="preserve">In conclusion, Ali would be liable for offences such as </w:t>
      </w:r>
      <w:proofErr w:type="spellStart"/>
      <w:r w:rsidRPr="0004371A">
        <w:rPr>
          <w:rFonts w:ascii="Arial" w:hAnsi="Arial"/>
          <w:sz w:val="24"/>
          <w:szCs w:val="24"/>
        </w:rPr>
        <w:t>Grevious</w:t>
      </w:r>
      <w:proofErr w:type="spellEnd"/>
      <w:r w:rsidRPr="0004371A">
        <w:rPr>
          <w:rFonts w:ascii="Arial" w:hAnsi="Arial"/>
          <w:sz w:val="24"/>
          <w:szCs w:val="24"/>
        </w:rPr>
        <w:t xml:space="preserve"> bodily harm, for punching the doorman. Manslaughter, for unintentionally killing Lee by punching him. Lastly, Ali would be liable for Murder for stabbing Lee with the intent of killing or causing serious injury. </w:t>
      </w:r>
    </w:p>
    <w:p w14:paraId="3DCBD6C8" w14:textId="2AB04B6E" w:rsidR="00A8618F" w:rsidRPr="0004371A" w:rsidRDefault="00A8618F" w:rsidP="0004371A">
      <w:pPr>
        <w:spacing w:line="360" w:lineRule="auto"/>
        <w:rPr>
          <w:rFonts w:ascii="Arial" w:hAnsi="Arial"/>
          <w:sz w:val="24"/>
          <w:szCs w:val="24"/>
        </w:rPr>
      </w:pPr>
    </w:p>
    <w:p w14:paraId="7A6BB7FF" w14:textId="6FDD4118" w:rsidR="00CA5437" w:rsidRPr="0004371A" w:rsidRDefault="0004371A" w:rsidP="0004371A">
      <w:pPr>
        <w:spacing w:line="360" w:lineRule="auto"/>
        <w:rPr>
          <w:rFonts w:ascii="Arial" w:hAnsi="Arial"/>
          <w:sz w:val="24"/>
          <w:szCs w:val="24"/>
        </w:rPr>
      </w:pPr>
      <w:r w:rsidRPr="0004371A">
        <w:rPr>
          <w:rFonts w:ascii="Arial" w:hAnsi="Arial" w:cs="Segoe UI"/>
          <w:color w:val="212529"/>
          <w:sz w:val="24"/>
          <w:szCs w:val="24"/>
          <w:shd w:val="clear" w:color="auto" w:fill="FFFFFF"/>
        </w:rPr>
        <w:t xml:space="preserve">DPP v Newbury and Jones </w:t>
      </w:r>
      <w:r w:rsidRPr="0004371A">
        <w:rPr>
          <w:rFonts w:ascii="Arial" w:hAnsi="Arial" w:cs="Segoe UI"/>
          <w:color w:val="212529"/>
          <w:sz w:val="24"/>
          <w:szCs w:val="24"/>
          <w:shd w:val="clear" w:color="auto" w:fill="FFFFFF"/>
        </w:rPr>
        <w:t>(</w:t>
      </w:r>
      <w:r w:rsidRPr="0004371A">
        <w:rPr>
          <w:rFonts w:ascii="Arial" w:hAnsi="Arial" w:cs="Segoe UI"/>
          <w:color w:val="212529"/>
          <w:sz w:val="24"/>
          <w:szCs w:val="24"/>
          <w:shd w:val="clear" w:color="auto" w:fill="FFFFFF"/>
        </w:rPr>
        <w:t>1976</w:t>
      </w:r>
      <w:r w:rsidRPr="0004371A">
        <w:rPr>
          <w:rFonts w:ascii="Arial" w:hAnsi="Arial" w:cs="Segoe UI"/>
          <w:color w:val="212529"/>
          <w:sz w:val="24"/>
          <w:szCs w:val="24"/>
          <w:shd w:val="clear" w:color="auto" w:fill="FFFFFF"/>
        </w:rPr>
        <w:t>)</w:t>
      </w:r>
    </w:p>
    <w:p w14:paraId="36AEEB0F" w14:textId="3D0AB802" w:rsidR="00CA5437" w:rsidRPr="0004371A" w:rsidRDefault="0004371A" w:rsidP="0004371A">
      <w:pPr>
        <w:spacing w:line="360" w:lineRule="auto"/>
        <w:rPr>
          <w:rFonts w:ascii="Arial" w:hAnsi="Arial"/>
          <w:color w:val="000000"/>
          <w:sz w:val="24"/>
          <w:szCs w:val="24"/>
          <w:shd w:val="clear" w:color="auto" w:fill="FFFFFF"/>
        </w:rPr>
      </w:pPr>
      <w:r w:rsidRPr="0004371A">
        <w:rPr>
          <w:rFonts w:ascii="Arial" w:hAnsi="Arial"/>
          <w:color w:val="000000"/>
          <w:sz w:val="24"/>
          <w:szCs w:val="24"/>
          <w:shd w:val="clear" w:color="auto" w:fill="FFFFFF"/>
        </w:rPr>
        <w:t xml:space="preserve">R v </w:t>
      </w:r>
      <w:proofErr w:type="spellStart"/>
      <w:r w:rsidRPr="0004371A">
        <w:rPr>
          <w:rFonts w:ascii="Arial" w:hAnsi="Arial"/>
          <w:color w:val="000000"/>
          <w:sz w:val="24"/>
          <w:szCs w:val="24"/>
          <w:shd w:val="clear" w:color="auto" w:fill="FFFFFF"/>
        </w:rPr>
        <w:t>Mowatt</w:t>
      </w:r>
      <w:proofErr w:type="spellEnd"/>
      <w:r w:rsidRPr="0004371A">
        <w:rPr>
          <w:rFonts w:ascii="Arial" w:hAnsi="Arial"/>
          <w:color w:val="000000"/>
          <w:sz w:val="24"/>
          <w:szCs w:val="24"/>
          <w:shd w:val="clear" w:color="auto" w:fill="FFFFFF"/>
        </w:rPr>
        <w:t xml:space="preserve"> (1976)</w:t>
      </w:r>
    </w:p>
    <w:p w14:paraId="5F41F041" w14:textId="7FAACB0C" w:rsidR="0004371A" w:rsidRPr="0004371A" w:rsidRDefault="0004371A" w:rsidP="0004371A">
      <w:pPr>
        <w:spacing w:line="360" w:lineRule="auto"/>
        <w:rPr>
          <w:rFonts w:ascii="Arial" w:hAnsi="Arial"/>
          <w:sz w:val="24"/>
          <w:szCs w:val="24"/>
        </w:rPr>
      </w:pPr>
      <w:r w:rsidRPr="0004371A">
        <w:rPr>
          <w:rFonts w:ascii="Arial" w:hAnsi="Arial"/>
          <w:sz w:val="24"/>
          <w:szCs w:val="24"/>
        </w:rPr>
        <w:t xml:space="preserve">R v </w:t>
      </w:r>
      <w:proofErr w:type="spellStart"/>
      <w:r w:rsidRPr="0004371A">
        <w:rPr>
          <w:rFonts w:ascii="Arial" w:hAnsi="Arial"/>
          <w:sz w:val="24"/>
          <w:szCs w:val="24"/>
        </w:rPr>
        <w:t>Belfon</w:t>
      </w:r>
      <w:proofErr w:type="spellEnd"/>
      <w:r w:rsidRPr="0004371A">
        <w:rPr>
          <w:rFonts w:ascii="Arial" w:hAnsi="Arial"/>
          <w:sz w:val="24"/>
          <w:szCs w:val="24"/>
        </w:rPr>
        <w:t xml:space="preserve"> 1976</w:t>
      </w:r>
    </w:p>
    <w:p w14:paraId="5591B37C" w14:textId="49EA0EA1" w:rsidR="00CA5437" w:rsidRPr="00CA5437" w:rsidRDefault="00CA5437" w:rsidP="00CA5437">
      <w:pPr>
        <w:pStyle w:val="Heading1"/>
        <w:shd w:val="clear" w:color="auto" w:fill="FFFFFF"/>
        <w:spacing w:before="0" w:beforeAutospacing="0" w:after="180" w:afterAutospacing="0" w:line="310" w:lineRule="atLeast"/>
        <w:textAlignment w:val="baseline"/>
        <w:rPr>
          <w:rFonts w:ascii="Helvetica" w:hAnsi="Helvetica"/>
          <w:b w:val="0"/>
          <w:bCs w:val="0"/>
          <w:color w:val="000000" w:themeColor="text1"/>
          <w:sz w:val="42"/>
          <w:szCs w:val="42"/>
        </w:rPr>
      </w:pPr>
    </w:p>
    <w:p w14:paraId="44A2C676" w14:textId="0DF64943" w:rsidR="00CA5437" w:rsidRPr="00CA5437" w:rsidRDefault="00CA5437">
      <w:pPr>
        <w:rPr>
          <w:rFonts w:asciiTheme="minorHAnsi" w:hAnsiTheme="minorHAnsi"/>
          <w:i/>
          <w:iCs/>
          <w:sz w:val="24"/>
          <w:szCs w:val="24"/>
        </w:rPr>
      </w:pPr>
    </w:p>
    <w:sectPr w:rsidR="00CA5437" w:rsidRPr="00CA5437" w:rsidSect="0078184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A41F29" w14:textId="77777777" w:rsidR="00A24995" w:rsidRDefault="00A24995" w:rsidP="00795F60">
      <w:r>
        <w:separator/>
      </w:r>
    </w:p>
  </w:endnote>
  <w:endnote w:type="continuationSeparator" w:id="0">
    <w:p w14:paraId="4D7240CC" w14:textId="77777777" w:rsidR="00A24995" w:rsidRDefault="00A24995" w:rsidP="00795F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8613E7" w14:textId="77777777" w:rsidR="00A24995" w:rsidRDefault="00A24995" w:rsidP="00795F60">
      <w:r>
        <w:separator/>
      </w:r>
    </w:p>
  </w:footnote>
  <w:footnote w:type="continuationSeparator" w:id="0">
    <w:p w14:paraId="25F9F135" w14:textId="77777777" w:rsidR="00A24995" w:rsidRDefault="00A24995" w:rsidP="00795F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2A62F7"/>
    <w:multiLevelType w:val="hybridMultilevel"/>
    <w:tmpl w:val="DA744344"/>
    <w:lvl w:ilvl="0" w:tplc="55AAEA1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F60"/>
    <w:rsid w:val="00006216"/>
    <w:rsid w:val="0004371A"/>
    <w:rsid w:val="00054FD5"/>
    <w:rsid w:val="000C2BE3"/>
    <w:rsid w:val="00164E19"/>
    <w:rsid w:val="001F6A44"/>
    <w:rsid w:val="00267626"/>
    <w:rsid w:val="003127F3"/>
    <w:rsid w:val="00342BB6"/>
    <w:rsid w:val="00360DA3"/>
    <w:rsid w:val="0043645A"/>
    <w:rsid w:val="00446949"/>
    <w:rsid w:val="00456770"/>
    <w:rsid w:val="00481F30"/>
    <w:rsid w:val="004F1E0E"/>
    <w:rsid w:val="004F5C37"/>
    <w:rsid w:val="0052559D"/>
    <w:rsid w:val="005A0904"/>
    <w:rsid w:val="005B4336"/>
    <w:rsid w:val="00624AD1"/>
    <w:rsid w:val="00651031"/>
    <w:rsid w:val="006F127B"/>
    <w:rsid w:val="00712E99"/>
    <w:rsid w:val="00736CF2"/>
    <w:rsid w:val="0078184F"/>
    <w:rsid w:val="00795F60"/>
    <w:rsid w:val="007B4B61"/>
    <w:rsid w:val="007E3505"/>
    <w:rsid w:val="00891A18"/>
    <w:rsid w:val="00A24995"/>
    <w:rsid w:val="00A843ED"/>
    <w:rsid w:val="00A8618F"/>
    <w:rsid w:val="00AE35AD"/>
    <w:rsid w:val="00BB12FF"/>
    <w:rsid w:val="00C021CA"/>
    <w:rsid w:val="00C26519"/>
    <w:rsid w:val="00C96B8F"/>
    <w:rsid w:val="00CA5437"/>
    <w:rsid w:val="00CC517E"/>
    <w:rsid w:val="00CF406E"/>
    <w:rsid w:val="00D066BA"/>
    <w:rsid w:val="00D463CC"/>
    <w:rsid w:val="00DD0BF9"/>
    <w:rsid w:val="00FC3FEF"/>
    <w:rsid w:val="00FC7FCF"/>
    <w:rsid w:val="00FD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23E7F"/>
  <w15:chartTrackingRefBased/>
  <w15:docId w15:val="{00925F1E-51AD-6345-A633-B741C9BA2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F60"/>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CA5437"/>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unhideWhenUsed/>
    <w:qFormat/>
    <w:rsid w:val="00D463C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F60"/>
    <w:pPr>
      <w:ind w:left="720"/>
      <w:contextualSpacing/>
    </w:pPr>
  </w:style>
  <w:style w:type="paragraph" w:styleId="Header">
    <w:name w:val="header"/>
    <w:basedOn w:val="Normal"/>
    <w:link w:val="HeaderChar"/>
    <w:uiPriority w:val="99"/>
    <w:unhideWhenUsed/>
    <w:rsid w:val="00795F60"/>
    <w:pPr>
      <w:tabs>
        <w:tab w:val="center" w:pos="4513"/>
        <w:tab w:val="right" w:pos="9026"/>
      </w:tabs>
    </w:pPr>
  </w:style>
  <w:style w:type="character" w:customStyle="1" w:styleId="HeaderChar">
    <w:name w:val="Header Char"/>
    <w:basedOn w:val="DefaultParagraphFont"/>
    <w:link w:val="Header"/>
    <w:uiPriority w:val="99"/>
    <w:rsid w:val="00795F6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95F60"/>
    <w:pPr>
      <w:tabs>
        <w:tab w:val="center" w:pos="4513"/>
        <w:tab w:val="right" w:pos="9026"/>
      </w:tabs>
    </w:pPr>
  </w:style>
  <w:style w:type="character" w:customStyle="1" w:styleId="FooterChar">
    <w:name w:val="Footer Char"/>
    <w:basedOn w:val="DefaultParagraphFont"/>
    <w:link w:val="Footer"/>
    <w:uiPriority w:val="99"/>
    <w:rsid w:val="00795F6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A5437"/>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D463CC"/>
    <w:rPr>
      <w:rFonts w:asciiTheme="majorHAnsi" w:eastAsiaTheme="majorEastAsia" w:hAnsiTheme="majorHAnsi" w:cstheme="majorBidi"/>
      <w:i/>
      <w:iCs/>
      <w:color w:val="2F5496" w:themeColor="accent1" w:themeShade="BF"/>
      <w:sz w:val="20"/>
      <w:szCs w:val="20"/>
      <w:lang w:eastAsia="en-GB"/>
    </w:rPr>
  </w:style>
  <w:style w:type="character" w:styleId="Strong">
    <w:name w:val="Strong"/>
    <w:basedOn w:val="DefaultParagraphFont"/>
    <w:uiPriority w:val="22"/>
    <w:qFormat/>
    <w:rsid w:val="00FC7FCF"/>
    <w:rPr>
      <w:b/>
      <w:bCs/>
    </w:rPr>
  </w:style>
  <w:style w:type="paragraph" w:styleId="NormalWeb">
    <w:name w:val="Normal (Web)"/>
    <w:basedOn w:val="Normal"/>
    <w:uiPriority w:val="99"/>
    <w:semiHidden/>
    <w:unhideWhenUsed/>
    <w:rsid w:val="00624AD1"/>
    <w:pPr>
      <w:spacing w:before="100" w:beforeAutospacing="1" w:after="100" w:afterAutospacing="1"/>
    </w:pPr>
    <w:rPr>
      <w:sz w:val="24"/>
      <w:szCs w:val="24"/>
    </w:rPr>
  </w:style>
  <w:style w:type="character" w:styleId="Emphasis">
    <w:name w:val="Emphasis"/>
    <w:basedOn w:val="DefaultParagraphFont"/>
    <w:uiPriority w:val="20"/>
    <w:qFormat/>
    <w:rsid w:val="00624AD1"/>
    <w:rPr>
      <w:i/>
      <w:iCs/>
    </w:rPr>
  </w:style>
  <w:style w:type="character" w:styleId="Hyperlink">
    <w:name w:val="Hyperlink"/>
    <w:basedOn w:val="DefaultParagraphFont"/>
    <w:uiPriority w:val="99"/>
    <w:semiHidden/>
    <w:unhideWhenUsed/>
    <w:rsid w:val="00624A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904391">
      <w:bodyDiv w:val="1"/>
      <w:marLeft w:val="0"/>
      <w:marRight w:val="0"/>
      <w:marTop w:val="0"/>
      <w:marBottom w:val="0"/>
      <w:divBdr>
        <w:top w:val="none" w:sz="0" w:space="0" w:color="auto"/>
        <w:left w:val="none" w:sz="0" w:space="0" w:color="auto"/>
        <w:bottom w:val="none" w:sz="0" w:space="0" w:color="auto"/>
        <w:right w:val="none" w:sz="0" w:space="0" w:color="auto"/>
      </w:divBdr>
    </w:div>
    <w:div w:id="117069730">
      <w:bodyDiv w:val="1"/>
      <w:marLeft w:val="0"/>
      <w:marRight w:val="0"/>
      <w:marTop w:val="0"/>
      <w:marBottom w:val="0"/>
      <w:divBdr>
        <w:top w:val="none" w:sz="0" w:space="0" w:color="auto"/>
        <w:left w:val="none" w:sz="0" w:space="0" w:color="auto"/>
        <w:bottom w:val="none" w:sz="0" w:space="0" w:color="auto"/>
        <w:right w:val="none" w:sz="0" w:space="0" w:color="auto"/>
      </w:divBdr>
    </w:div>
    <w:div w:id="168642688">
      <w:bodyDiv w:val="1"/>
      <w:marLeft w:val="0"/>
      <w:marRight w:val="0"/>
      <w:marTop w:val="0"/>
      <w:marBottom w:val="0"/>
      <w:divBdr>
        <w:top w:val="none" w:sz="0" w:space="0" w:color="auto"/>
        <w:left w:val="none" w:sz="0" w:space="0" w:color="auto"/>
        <w:bottom w:val="none" w:sz="0" w:space="0" w:color="auto"/>
        <w:right w:val="none" w:sz="0" w:space="0" w:color="auto"/>
      </w:divBdr>
    </w:div>
    <w:div w:id="444691464">
      <w:bodyDiv w:val="1"/>
      <w:marLeft w:val="0"/>
      <w:marRight w:val="0"/>
      <w:marTop w:val="0"/>
      <w:marBottom w:val="0"/>
      <w:divBdr>
        <w:top w:val="none" w:sz="0" w:space="0" w:color="auto"/>
        <w:left w:val="none" w:sz="0" w:space="0" w:color="auto"/>
        <w:bottom w:val="none" w:sz="0" w:space="0" w:color="auto"/>
        <w:right w:val="none" w:sz="0" w:space="0" w:color="auto"/>
      </w:divBdr>
    </w:div>
    <w:div w:id="473525778">
      <w:bodyDiv w:val="1"/>
      <w:marLeft w:val="0"/>
      <w:marRight w:val="0"/>
      <w:marTop w:val="0"/>
      <w:marBottom w:val="0"/>
      <w:divBdr>
        <w:top w:val="none" w:sz="0" w:space="0" w:color="auto"/>
        <w:left w:val="none" w:sz="0" w:space="0" w:color="auto"/>
        <w:bottom w:val="none" w:sz="0" w:space="0" w:color="auto"/>
        <w:right w:val="none" w:sz="0" w:space="0" w:color="auto"/>
      </w:divBdr>
    </w:div>
    <w:div w:id="512232326">
      <w:bodyDiv w:val="1"/>
      <w:marLeft w:val="0"/>
      <w:marRight w:val="0"/>
      <w:marTop w:val="0"/>
      <w:marBottom w:val="0"/>
      <w:divBdr>
        <w:top w:val="none" w:sz="0" w:space="0" w:color="auto"/>
        <w:left w:val="none" w:sz="0" w:space="0" w:color="auto"/>
        <w:bottom w:val="none" w:sz="0" w:space="0" w:color="auto"/>
        <w:right w:val="none" w:sz="0" w:space="0" w:color="auto"/>
      </w:divBdr>
    </w:div>
    <w:div w:id="514422649">
      <w:bodyDiv w:val="1"/>
      <w:marLeft w:val="0"/>
      <w:marRight w:val="0"/>
      <w:marTop w:val="0"/>
      <w:marBottom w:val="0"/>
      <w:divBdr>
        <w:top w:val="none" w:sz="0" w:space="0" w:color="auto"/>
        <w:left w:val="none" w:sz="0" w:space="0" w:color="auto"/>
        <w:bottom w:val="none" w:sz="0" w:space="0" w:color="auto"/>
        <w:right w:val="none" w:sz="0" w:space="0" w:color="auto"/>
      </w:divBdr>
    </w:div>
    <w:div w:id="722993210">
      <w:bodyDiv w:val="1"/>
      <w:marLeft w:val="0"/>
      <w:marRight w:val="0"/>
      <w:marTop w:val="0"/>
      <w:marBottom w:val="0"/>
      <w:divBdr>
        <w:top w:val="none" w:sz="0" w:space="0" w:color="auto"/>
        <w:left w:val="none" w:sz="0" w:space="0" w:color="auto"/>
        <w:bottom w:val="none" w:sz="0" w:space="0" w:color="auto"/>
        <w:right w:val="none" w:sz="0" w:space="0" w:color="auto"/>
      </w:divBdr>
    </w:div>
    <w:div w:id="790251226">
      <w:bodyDiv w:val="1"/>
      <w:marLeft w:val="0"/>
      <w:marRight w:val="0"/>
      <w:marTop w:val="0"/>
      <w:marBottom w:val="0"/>
      <w:divBdr>
        <w:top w:val="none" w:sz="0" w:space="0" w:color="auto"/>
        <w:left w:val="none" w:sz="0" w:space="0" w:color="auto"/>
        <w:bottom w:val="none" w:sz="0" w:space="0" w:color="auto"/>
        <w:right w:val="none" w:sz="0" w:space="0" w:color="auto"/>
      </w:divBdr>
    </w:div>
    <w:div w:id="797525868">
      <w:bodyDiv w:val="1"/>
      <w:marLeft w:val="0"/>
      <w:marRight w:val="0"/>
      <w:marTop w:val="0"/>
      <w:marBottom w:val="0"/>
      <w:divBdr>
        <w:top w:val="none" w:sz="0" w:space="0" w:color="auto"/>
        <w:left w:val="none" w:sz="0" w:space="0" w:color="auto"/>
        <w:bottom w:val="none" w:sz="0" w:space="0" w:color="auto"/>
        <w:right w:val="none" w:sz="0" w:space="0" w:color="auto"/>
      </w:divBdr>
    </w:div>
    <w:div w:id="814686865">
      <w:bodyDiv w:val="1"/>
      <w:marLeft w:val="0"/>
      <w:marRight w:val="0"/>
      <w:marTop w:val="0"/>
      <w:marBottom w:val="0"/>
      <w:divBdr>
        <w:top w:val="none" w:sz="0" w:space="0" w:color="auto"/>
        <w:left w:val="none" w:sz="0" w:space="0" w:color="auto"/>
        <w:bottom w:val="none" w:sz="0" w:space="0" w:color="auto"/>
        <w:right w:val="none" w:sz="0" w:space="0" w:color="auto"/>
      </w:divBdr>
    </w:div>
    <w:div w:id="821392616">
      <w:bodyDiv w:val="1"/>
      <w:marLeft w:val="0"/>
      <w:marRight w:val="0"/>
      <w:marTop w:val="0"/>
      <w:marBottom w:val="0"/>
      <w:divBdr>
        <w:top w:val="none" w:sz="0" w:space="0" w:color="auto"/>
        <w:left w:val="none" w:sz="0" w:space="0" w:color="auto"/>
        <w:bottom w:val="none" w:sz="0" w:space="0" w:color="auto"/>
        <w:right w:val="none" w:sz="0" w:space="0" w:color="auto"/>
      </w:divBdr>
    </w:div>
    <w:div w:id="989017439">
      <w:bodyDiv w:val="1"/>
      <w:marLeft w:val="0"/>
      <w:marRight w:val="0"/>
      <w:marTop w:val="0"/>
      <w:marBottom w:val="0"/>
      <w:divBdr>
        <w:top w:val="none" w:sz="0" w:space="0" w:color="auto"/>
        <w:left w:val="none" w:sz="0" w:space="0" w:color="auto"/>
        <w:bottom w:val="none" w:sz="0" w:space="0" w:color="auto"/>
        <w:right w:val="none" w:sz="0" w:space="0" w:color="auto"/>
      </w:divBdr>
    </w:div>
    <w:div w:id="1403913435">
      <w:bodyDiv w:val="1"/>
      <w:marLeft w:val="0"/>
      <w:marRight w:val="0"/>
      <w:marTop w:val="0"/>
      <w:marBottom w:val="0"/>
      <w:divBdr>
        <w:top w:val="none" w:sz="0" w:space="0" w:color="auto"/>
        <w:left w:val="none" w:sz="0" w:space="0" w:color="auto"/>
        <w:bottom w:val="none" w:sz="0" w:space="0" w:color="auto"/>
        <w:right w:val="none" w:sz="0" w:space="0" w:color="auto"/>
      </w:divBdr>
    </w:div>
    <w:div w:id="1515455387">
      <w:bodyDiv w:val="1"/>
      <w:marLeft w:val="0"/>
      <w:marRight w:val="0"/>
      <w:marTop w:val="0"/>
      <w:marBottom w:val="0"/>
      <w:divBdr>
        <w:top w:val="none" w:sz="0" w:space="0" w:color="auto"/>
        <w:left w:val="none" w:sz="0" w:space="0" w:color="auto"/>
        <w:bottom w:val="none" w:sz="0" w:space="0" w:color="auto"/>
        <w:right w:val="none" w:sz="0" w:space="0" w:color="auto"/>
      </w:divBdr>
    </w:div>
    <w:div w:id="1555193813">
      <w:bodyDiv w:val="1"/>
      <w:marLeft w:val="0"/>
      <w:marRight w:val="0"/>
      <w:marTop w:val="0"/>
      <w:marBottom w:val="0"/>
      <w:divBdr>
        <w:top w:val="none" w:sz="0" w:space="0" w:color="auto"/>
        <w:left w:val="none" w:sz="0" w:space="0" w:color="auto"/>
        <w:bottom w:val="none" w:sz="0" w:space="0" w:color="auto"/>
        <w:right w:val="none" w:sz="0" w:space="0" w:color="auto"/>
      </w:divBdr>
    </w:div>
    <w:div w:id="1560438176">
      <w:bodyDiv w:val="1"/>
      <w:marLeft w:val="0"/>
      <w:marRight w:val="0"/>
      <w:marTop w:val="0"/>
      <w:marBottom w:val="0"/>
      <w:divBdr>
        <w:top w:val="none" w:sz="0" w:space="0" w:color="auto"/>
        <w:left w:val="none" w:sz="0" w:space="0" w:color="auto"/>
        <w:bottom w:val="none" w:sz="0" w:space="0" w:color="auto"/>
        <w:right w:val="none" w:sz="0" w:space="0" w:color="auto"/>
      </w:divBdr>
    </w:div>
    <w:div w:id="1566261808">
      <w:bodyDiv w:val="1"/>
      <w:marLeft w:val="0"/>
      <w:marRight w:val="0"/>
      <w:marTop w:val="0"/>
      <w:marBottom w:val="0"/>
      <w:divBdr>
        <w:top w:val="none" w:sz="0" w:space="0" w:color="auto"/>
        <w:left w:val="none" w:sz="0" w:space="0" w:color="auto"/>
        <w:bottom w:val="none" w:sz="0" w:space="0" w:color="auto"/>
        <w:right w:val="none" w:sz="0" w:space="0" w:color="auto"/>
      </w:divBdr>
    </w:div>
    <w:div w:id="1788618089">
      <w:bodyDiv w:val="1"/>
      <w:marLeft w:val="0"/>
      <w:marRight w:val="0"/>
      <w:marTop w:val="0"/>
      <w:marBottom w:val="0"/>
      <w:divBdr>
        <w:top w:val="none" w:sz="0" w:space="0" w:color="auto"/>
        <w:left w:val="none" w:sz="0" w:space="0" w:color="auto"/>
        <w:bottom w:val="none" w:sz="0" w:space="0" w:color="auto"/>
        <w:right w:val="none" w:sz="0" w:space="0" w:color="auto"/>
      </w:divBdr>
    </w:div>
    <w:div w:id="1811634597">
      <w:bodyDiv w:val="1"/>
      <w:marLeft w:val="0"/>
      <w:marRight w:val="0"/>
      <w:marTop w:val="0"/>
      <w:marBottom w:val="0"/>
      <w:divBdr>
        <w:top w:val="none" w:sz="0" w:space="0" w:color="auto"/>
        <w:left w:val="none" w:sz="0" w:space="0" w:color="auto"/>
        <w:bottom w:val="none" w:sz="0" w:space="0" w:color="auto"/>
        <w:right w:val="none" w:sz="0" w:space="0" w:color="auto"/>
      </w:divBdr>
    </w:div>
    <w:div w:id="1843935529">
      <w:bodyDiv w:val="1"/>
      <w:marLeft w:val="0"/>
      <w:marRight w:val="0"/>
      <w:marTop w:val="0"/>
      <w:marBottom w:val="0"/>
      <w:divBdr>
        <w:top w:val="none" w:sz="0" w:space="0" w:color="auto"/>
        <w:left w:val="none" w:sz="0" w:space="0" w:color="auto"/>
        <w:bottom w:val="none" w:sz="0" w:space="0" w:color="auto"/>
        <w:right w:val="none" w:sz="0" w:space="0" w:color="auto"/>
      </w:divBdr>
    </w:div>
    <w:div w:id="188490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7</Pages>
  <Words>1842</Words>
  <Characters>10538</Characters>
  <Application>Microsoft Office Word</Application>
  <DocSecurity>0</DocSecurity>
  <Lines>219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15</cp:revision>
  <dcterms:created xsi:type="dcterms:W3CDTF">2021-05-06T09:17:00Z</dcterms:created>
  <dcterms:modified xsi:type="dcterms:W3CDTF">2021-05-06T22:36:00Z</dcterms:modified>
</cp:coreProperties>
</file>