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keepNext w:val="0"/>
        <w:keepLines w:val="0"/>
        <w:pageBreakBefore w:val="0"/>
        <w:widowControl w:val="1"/>
        <w:shd w:val="clear" w:color="auto" w:fill="auto"/>
        <w:suppressAutoHyphens w:val="0"/>
        <w:bidi w:val="0"/>
        <w:spacing w:before="0" w:after="0" w:line="480" w:lineRule="auto"/>
        <w:ind w:left="0" w:right="0" w:firstLine="0"/>
        <w:jc w:val="left"/>
        <w:outlineLvl w:val="9"/>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noFill/>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noFill/>
          </w14:textOutline>
          <w14:textFill>
            <w14:solidFill>
              <w14:srgbClr w14:val="000000"/>
            </w14:solidFill>
          </w14:textFill>
        </w:rPr>
        <w:drawing xmlns:a="http://schemas.openxmlformats.org/drawingml/2006/main">
          <wp:anchor distT="152400" distB="152400" distL="152400" distR="152400" simplePos="0" relativeHeight="251659264" behindDoc="0" locked="0" layoutInCell="1" allowOverlap="1">
            <wp:simplePos x="0" y="0"/>
            <wp:positionH relativeFrom="margin">
              <wp:posOffset>-360256</wp:posOffset>
            </wp:positionH>
            <wp:positionV relativeFrom="line">
              <wp:posOffset>-38100</wp:posOffset>
            </wp:positionV>
            <wp:extent cx="2607528" cy="862492"/>
            <wp:effectExtent l="0" t="0" r="0" b="0"/>
            <wp:wrapThrough wrapText="bothSides" distL="152400" distR="152400">
              <wp:wrapPolygon edited="1">
                <wp:start x="0" y="0"/>
                <wp:lineTo x="21600" y="0"/>
                <wp:lineTo x="21600" y="21600"/>
                <wp:lineTo x="0" y="21600"/>
                <wp:lineTo x="0" y="0"/>
              </wp:wrapPolygon>
            </wp:wrapThrough>
            <wp:docPr id="1073741825" name="officeArt object" descr="Unknown.png"/>
            <wp:cNvGraphicFramePr/>
            <a:graphic xmlns:a="http://schemas.openxmlformats.org/drawingml/2006/main">
              <a:graphicData uri="http://schemas.openxmlformats.org/drawingml/2006/picture">
                <pic:pic xmlns:pic="http://schemas.openxmlformats.org/drawingml/2006/picture">
                  <pic:nvPicPr>
                    <pic:cNvPr id="1073741825" name="Unknown.png" descr="Unknown.png"/>
                    <pic:cNvPicPr>
                      <a:picLocks noChangeAspect="1"/>
                    </pic:cNvPicPr>
                  </pic:nvPicPr>
                  <pic:blipFill>
                    <a:blip r:embed="rId4">
                      <a:extLst/>
                    </a:blip>
                    <a:stretch>
                      <a:fillRect/>
                    </a:stretch>
                  </pic:blipFill>
                  <pic:spPr>
                    <a:xfrm>
                      <a:off x="0" y="0"/>
                      <a:ext cx="2607528" cy="862492"/>
                    </a:xfrm>
                    <a:prstGeom prst="rect">
                      <a:avLst/>
                    </a:prstGeom>
                    <a:ln w="12700" cap="flat">
                      <a:noFill/>
                      <a:miter lim="400000"/>
                    </a:ln>
                    <a:effectLst/>
                  </pic:spPr>
                </pic:pic>
              </a:graphicData>
            </a:graphic>
          </wp:anchor>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pStyle w:val="Subtitle"/>
        <w:bidi w:val="0"/>
        <w:ind w:left="0" w:right="0" w:firstLine="0"/>
        <w:jc w:val="center"/>
        <w:rPr>
          <w:rFonts w:ascii="Arial" w:hAnsi="Arial"/>
          <w:sz w:val="28"/>
          <w:szCs w:val="28"/>
          <w:u w:color="000000"/>
          <w:rtl w:val="0"/>
          <w:lang w:val="en-US"/>
          <w14:textOutline w14:w="12700" w14:cap="flat">
            <w14:noFill/>
            <w14:miter w14:lim="400000"/>
          </w14:textOutline>
        </w:rPr>
      </w:pPr>
    </w:p>
    <w:p>
      <w:pPr>
        <w:keepNext w:val="0"/>
        <w:keepLines w:val="0"/>
        <w:pageBreakBefore w:val="0"/>
        <w:widowControl w:val="1"/>
        <w:shd w:val="clear" w:color="auto" w:fill="auto"/>
        <w:suppressAutoHyphens w:val="0"/>
        <w:bidi w:val="0"/>
        <w:spacing w:before="160" w:after="0" w:line="240" w:lineRule="auto"/>
        <w:ind w:left="0" w:right="0" w:firstLine="0"/>
        <w:jc w:val="left"/>
        <w:outlineLvl w:val="9"/>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160" w:after="0" w:line="240" w:lineRule="auto"/>
        <w:ind w:left="0" w:right="0" w:firstLine="0"/>
        <w:jc w:val="left"/>
        <w:outlineLvl w:val="9"/>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160" w:after="0" w:line="240" w:lineRule="auto"/>
        <w:ind w:left="0" w:right="0" w:firstLine="0"/>
        <w:jc w:val="left"/>
        <w:outlineLvl w:val="9"/>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pStyle w:val="Default"/>
        <w:bidi w:val="0"/>
        <w:spacing w:before="0" w:after="240"/>
        <w:ind w:left="0" w:right="0" w:firstLine="0"/>
        <w:jc w:val="center"/>
        <w:rPr>
          <w:rFonts w:ascii="Times Roman" w:hAnsi="Times Roman"/>
          <w:b w:val="1"/>
          <w:bCs w:val="1"/>
          <w:sz w:val="24"/>
          <w:szCs w:val="24"/>
          <w:rtl w:val="0"/>
        </w:rPr>
      </w:pPr>
    </w:p>
    <w:p>
      <w:pPr>
        <w:pStyle w:val="Default"/>
        <w:bidi w:val="0"/>
        <w:spacing w:before="0" w:after="240"/>
        <w:ind w:left="0" w:right="0" w:firstLine="0"/>
        <w:jc w:val="center"/>
        <w:rPr>
          <w:rFonts w:ascii="Arial" w:cs="Arial" w:hAnsi="Arial" w:eastAsia="Arial"/>
          <w:b w:val="1"/>
          <w:bCs w:val="1"/>
          <w:sz w:val="29"/>
          <w:szCs w:val="29"/>
          <w:rtl w:val="0"/>
        </w:rPr>
      </w:pPr>
      <w:r>
        <w:rPr>
          <w:rFonts w:ascii="Arial" w:hAnsi="Arial"/>
          <w:b w:val="1"/>
          <w:bCs w:val="1"/>
          <w:sz w:val="29"/>
          <w:szCs w:val="29"/>
          <w:rtl w:val="0"/>
          <w:lang w:val="fr-FR"/>
        </w:rPr>
        <w:t>Entrepreneurship (LCBB</w:t>
      </w:r>
      <w:r>
        <w:rPr>
          <w:rFonts w:ascii="Arial" w:hAnsi="Arial"/>
          <w:b w:val="1"/>
          <w:bCs w:val="1"/>
          <w:sz w:val="29"/>
          <w:szCs w:val="29"/>
          <w:rtl w:val="0"/>
          <w:lang w:val="en-US"/>
        </w:rPr>
        <w:t>5</w:t>
      </w:r>
      <w:r>
        <w:rPr>
          <w:rFonts w:ascii="Arial" w:hAnsi="Arial"/>
          <w:b w:val="1"/>
          <w:bCs w:val="1"/>
          <w:sz w:val="29"/>
          <w:szCs w:val="29"/>
          <w:rtl w:val="0"/>
        </w:rPr>
        <w:t>00</w:t>
      </w:r>
      <w:r>
        <w:rPr>
          <w:rFonts w:ascii="Arial" w:hAnsi="Arial"/>
          <w:b w:val="1"/>
          <w:bCs w:val="1"/>
          <w:sz w:val="29"/>
          <w:szCs w:val="29"/>
          <w:rtl w:val="0"/>
          <w:lang w:val="en-US"/>
        </w:rPr>
        <w:t>1</w:t>
      </w:r>
      <w:r>
        <w:rPr>
          <w:rFonts w:ascii="Arial" w:hAnsi="Arial"/>
          <w:b w:val="1"/>
          <w:bCs w:val="1"/>
          <w:sz w:val="29"/>
          <w:szCs w:val="29"/>
          <w:rtl w:val="0"/>
        </w:rPr>
        <w:t>)</w:t>
      </w:r>
    </w:p>
    <w:p>
      <w:pPr>
        <w:keepNext w:val="0"/>
        <w:keepLines w:val="0"/>
        <w:pageBreakBefore w:val="0"/>
        <w:widowControl w:val="1"/>
        <w:shd w:val="clear" w:color="auto" w:fill="auto"/>
        <w:suppressAutoHyphens w:val="0"/>
        <w:bidi w:val="0"/>
        <w:spacing w:before="16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pStyle w:val="Subtitle"/>
        <w:bidi w:val="0"/>
        <w:ind w:left="0" w:right="0" w:firstLine="0"/>
        <w:jc w:val="center"/>
        <w:rPr>
          <w:rFonts w:ascii="Times Roman" w:cs="Times Roman" w:hAnsi="Times Roman" w:eastAsia="Times Roman"/>
          <w:sz w:val="24"/>
          <w:szCs w:val="24"/>
          <w:u w:color="000000"/>
          <w:rtl w:val="0"/>
          <w:lang w:val="en-US"/>
          <w14:textOutline w14:w="12700" w14:cap="flat">
            <w14:noFill/>
            <w14:miter w14:lim="400000"/>
          </w14:textOutline>
        </w:rPr>
      </w:pPr>
      <w:r>
        <w:rPr>
          <w:rFonts w:ascii="Arial" w:hAnsi="Arial"/>
          <w:sz w:val="28"/>
          <w:szCs w:val="28"/>
          <w:u w:color="000000"/>
          <w:rtl w:val="0"/>
          <w:lang w:val="en-US"/>
          <w14:textOutline w14:w="12700" w14:cap="flat">
            <w14:noFill/>
            <w14:miter w14:lim="400000"/>
          </w14:textOutline>
        </w:rPr>
        <w:t>Lectures Names:</w:t>
      </w:r>
      <w:r>
        <w:rPr>
          <w:rFonts w:ascii="Arial" w:hAnsi="Arial"/>
          <w:sz w:val="28"/>
          <w:szCs w:val="28"/>
          <w:u w:color="000000"/>
          <w:rtl w:val="0"/>
          <w:lang w:val="en-US"/>
          <w14:textOutline w14:w="12700" w14:cap="flat">
            <w14:noFill/>
            <w14:miter w14:lim="400000"/>
          </w14:textOutline>
        </w:rPr>
        <w:t xml:space="preserve"> </w:t>
      </w:r>
      <w:r>
        <w:rPr>
          <w:rFonts w:ascii="Arial" w:hAnsi="Arial"/>
          <w:sz w:val="28"/>
          <w:szCs w:val="28"/>
          <w:u w:color="000000"/>
          <w:rtl w:val="0"/>
          <w:lang w:val="en-US"/>
          <w14:textOutline w14:w="12700" w14:cap="flat">
            <w14:noFill/>
            <w14:miter w14:lim="400000"/>
          </w14:textOutline>
        </w:rPr>
        <w:t xml:space="preserve">Dr John-Paul Okeke </w:t>
      </w:r>
    </w:p>
    <w:p>
      <w:pPr>
        <w:pStyle w:val="Subtitle"/>
        <w:bidi w:val="0"/>
        <w:ind w:left="0" w:right="0" w:firstLine="0"/>
        <w:jc w:val="center"/>
        <w:rPr>
          <w:rFonts w:ascii="Times Roman" w:cs="Times Roman" w:hAnsi="Times Roman" w:eastAsia="Times Roman"/>
          <w:sz w:val="24"/>
          <w:szCs w:val="24"/>
          <w:u w:color="000000"/>
          <w:rtl w:val="0"/>
          <w:lang w:val="en-US"/>
          <w14:textOutline w14:w="12700" w14:cap="flat">
            <w14:noFill/>
            <w14:miter w14:lim="400000"/>
          </w14:textOutline>
        </w:rPr>
      </w:pPr>
    </w:p>
    <w:p>
      <w:pPr>
        <w:keepNext w:val="0"/>
        <w:keepLines w:val="0"/>
        <w:pageBreakBefore w:val="0"/>
        <w:widowControl w:val="1"/>
        <w:shd w:val="clear" w:color="auto" w:fill="auto"/>
        <w:suppressAutoHyphens w:val="0"/>
        <w:bidi w:val="0"/>
        <w:spacing w:before="16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pStyle w:val="Title"/>
        <w:bidi w:val="0"/>
        <w:ind w:left="0" w:right="0" w:firstLine="0"/>
        <w:jc w:val="center"/>
        <w:rPr>
          <w:rFonts w:ascii="Times Roman" w:cs="Times Roman" w:hAnsi="Times Roman" w:eastAsia="Times Roman"/>
          <w:sz w:val="24"/>
          <w:szCs w:val="24"/>
          <w:u w:color="000000"/>
          <w:rtl w:val="0"/>
          <w:lang w:val="en-US"/>
          <w14:textOutline w14:w="12700" w14:cap="flat">
            <w14:noFill/>
            <w14:miter w14:lim="400000"/>
          </w14:textOutline>
        </w:rPr>
      </w:pPr>
      <w:r>
        <w:rPr>
          <w:rFonts w:ascii="Arial" w:hAnsi="Arial"/>
          <w:sz w:val="28"/>
          <w:szCs w:val="28"/>
          <w:u w:color="000000"/>
          <w:rtl w:val="0"/>
          <w:lang w:val="en-US"/>
          <w14:textOutline w14:w="12700" w14:cap="flat">
            <w14:noFill/>
            <w14:miter w14:lim="400000"/>
          </w14:textOutline>
        </w:rPr>
        <w:t>Assessment</w:t>
      </w:r>
      <w:r>
        <w:rPr>
          <w:rFonts w:ascii="Arial" w:hAnsi="Arial"/>
          <w:sz w:val="28"/>
          <w:szCs w:val="28"/>
          <w:u w:color="000000"/>
          <w:rtl w:val="0"/>
          <w:lang w:val="en-US"/>
          <w14:textOutline w14:w="12700" w14:cap="flat">
            <w14:noFill/>
            <w14:miter w14:lim="400000"/>
          </w14:textOutline>
        </w:rPr>
        <w:t xml:space="preserve"> 2- Business Plan</w:t>
      </w:r>
    </w:p>
    <w:p>
      <w:pPr>
        <w:pStyle w:val="Title"/>
        <w:bidi w:val="0"/>
        <w:ind w:left="0" w:right="0" w:firstLine="0"/>
        <w:jc w:val="center"/>
        <w:rPr>
          <w:rFonts w:ascii="Arial" w:cs="Arial" w:hAnsi="Arial" w:eastAsia="Arial"/>
          <w:sz w:val="28"/>
          <w:szCs w:val="28"/>
          <w:u w:color="000000"/>
          <w:rtl w:val="0"/>
          <w:lang w:val="en-US"/>
          <w14:textOutline w14:w="12700" w14:cap="flat">
            <w14:noFill/>
            <w14:miter w14:lim="400000"/>
          </w14:textOutline>
        </w:rPr>
      </w:pPr>
    </w:p>
    <w:p>
      <w:pPr>
        <w:pStyle w:val="Title"/>
        <w:bidi w:val="0"/>
        <w:ind w:left="0" w:right="0" w:firstLine="0"/>
        <w:jc w:val="center"/>
        <w:rPr>
          <w:rFonts w:ascii="Arial" w:cs="Arial" w:hAnsi="Arial" w:eastAsia="Arial"/>
          <w:sz w:val="28"/>
          <w:szCs w:val="28"/>
          <w:u w:color="000000"/>
          <w:rtl w:val="0"/>
          <w:lang w:val="en-US"/>
          <w14:textOutline w14:w="12700" w14:cap="flat">
            <w14:noFill/>
            <w14:miter w14:lim="400000"/>
          </w14:textOutline>
        </w:rPr>
      </w:pPr>
      <w:r>
        <w:rPr>
          <w:rFonts w:ascii="Times Roman" w:cs="Times Roman" w:hAnsi="Times Roman" w:eastAsia="Times Roman"/>
          <w:sz w:val="24"/>
          <w:szCs w:val="24"/>
          <w:u w:color="000000"/>
          <w:rtl w:val="0"/>
          <w:lang w:val="en-US"/>
          <w14:textOutline w14:w="12700" w14:cap="flat">
            <w14:noFill/>
            <w14:miter w14:lim="400000"/>
          </w14:textOutline>
        </w:rPr>
        <w:br w:type="textWrapp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Student Names: Manuela Manolova</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Student ID: 201827</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1</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pStyle w:val="Default"/>
        <w:bidi w:val="0"/>
        <w:spacing w:before="0" w:after="240"/>
        <w:ind w:left="0" w:right="0" w:firstLine="0"/>
        <w:jc w:val="center"/>
        <w:rPr>
          <w:rFonts w:ascii="Arial" w:cs="Arial" w:hAnsi="Arial" w:eastAsia="Arial"/>
          <w:b w:val="1"/>
          <w:bCs w:val="1"/>
          <w:sz w:val="26"/>
          <w:szCs w:val="26"/>
          <w:shd w:val="clear" w:color="auto" w:fill="ffffff"/>
          <w:rtl w:val="0"/>
        </w:rPr>
      </w:pPr>
      <w:r>
        <w:rPr>
          <w:rFonts w:ascii="Arial" w:hAnsi="Arial"/>
          <w:b w:val="1"/>
          <w:bCs w:val="1"/>
          <w:sz w:val="26"/>
          <w:szCs w:val="26"/>
          <w:shd w:val="clear" w:color="auto" w:fill="ffffff"/>
          <w:rtl w:val="0"/>
          <w:lang w:val="en-US"/>
        </w:rPr>
        <w:t xml:space="preserve">Table of Contents </w:t>
      </w:r>
    </w:p>
    <w:p>
      <w:pPr>
        <w:pStyle w:val="Default"/>
        <w:bidi w:val="0"/>
        <w:spacing w:before="0" w:after="240"/>
        <w:ind w:left="0" w:right="0" w:firstLine="0"/>
        <w:jc w:val="center"/>
        <w:rPr>
          <w:rFonts w:ascii="Arial" w:cs="Arial" w:hAnsi="Arial" w:eastAsia="Arial"/>
          <w:b w:val="1"/>
          <w:bCs w:val="1"/>
          <w:sz w:val="26"/>
          <w:szCs w:val="26"/>
          <w:shd w:val="clear" w:color="auto" w:fill="ffffff"/>
          <w:rtl w:val="0"/>
        </w:rPr>
      </w:pPr>
    </w:p>
    <w:p>
      <w:pPr>
        <w:pStyle w:val="Default"/>
        <w:bidi w:val="0"/>
        <w:spacing w:before="0" w:after="240"/>
        <w:ind w:left="0" w:right="0" w:firstLine="0"/>
        <w:jc w:val="center"/>
        <w:rPr>
          <w:rFonts w:ascii="Times Roman" w:cs="Times Roman" w:hAnsi="Times Roman" w:eastAsia="Times Roman"/>
          <w:b w:val="0"/>
          <w:bCs w:val="0"/>
          <w:outline w:val="0"/>
          <w:color w:val="000000"/>
          <w:sz w:val="24"/>
          <w:szCs w:val="24"/>
          <w:shd w:val="clear" w:color="auto" w:fill="ffffff"/>
          <w:rtl w:val="0"/>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BUSINESS DESCRIPTION / MARKET OPPORTUNITY</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3</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INDUSTRY ANALYSIS</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.3</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OPERATIONS AND MANAGEMENT TEAM</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.5</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MARKETING</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.6</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t>FINANCIALS</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7</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REFERENCE LIST</w:t>
      </w:r>
      <w:r>
        <w:rPr>
          <w:rFonts w:ascii="Times Roman" w:cs="Arial Unicode MS" w:hAnsi="Times Roman"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8</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Times Roman" w:cs="Times Roman" w:hAnsi="Times Roman" w:eastAsia="Times Roman"/>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14:textOutline w14:w="12700" w14:cap="flat">
            <w14:noFill/>
            <w14:miter w14:lim="400000"/>
          </w14:textOutline>
          <w14:textFill>
            <w14:solidFill>
              <w14:srgbClr w14:val="000000"/>
            </w14:solidFill>
          </w14:textFill>
        </w:rPr>
      </w:pPr>
    </w:p>
    <w:p>
      <w:pPr>
        <w:pStyle w:val="Default"/>
        <w:bidi w:val="0"/>
        <w:spacing w:before="0" w:after="240"/>
        <w:ind w:left="0" w:right="0" w:firstLine="0"/>
        <w:jc w:val="left"/>
        <w:rPr>
          <w:rFonts w:ascii="Arial" w:cs="Arial" w:hAnsi="Arial" w:eastAsia="Arial"/>
          <w:b w:val="1"/>
          <w:bCs w:val="1"/>
          <w:sz w:val="29"/>
          <w:szCs w:val="29"/>
          <w:shd w:val="clear" w:color="auto" w:fill="ffffff"/>
          <w:rtl w:val="0"/>
          <w:lang w:val="en-US"/>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page"/>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rtl w:val="0"/>
          <w:lang w:val="en-US"/>
          <w14:textOutline w14:w="12700" w14:cap="flat">
            <w14:noFill/>
            <w14:miter w14:lim="400000"/>
          </w14:textOutline>
          <w14:textFill>
            <w14:solidFill>
              <w14:srgbClr w14:val="000000"/>
            </w14:solidFill>
          </w14:textFill>
        </w:rPr>
        <w:t>BUSINESS DESCRIPTION / MARKET OPPORTUNITY</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General Description of the Company</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The company intends to launch a new product into the gaming industry to rival existing brands. The new innovative product, dubbed the Smart Gaming Glasses, intends to take gaming culture and experience to new levels. Accordingly, the company is a new venture that seeks to unseat key industry players, such as Google, Sony, Microsoft, Tencent, and Nintendo. The company intends to achieve a rapid growth in the next five years by leveraging innovation, unique marketing strategies, and robust capital support from various stakeholders. The new venture</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 distinctive nature encompasses its ability to introduce new features to the gaming industry by focusing on the functional and entertainment perspectives. Besides, the new venture will offer its services and products via online platforms, enhancing its reach to remote regions of the world.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Mission Statement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To target the gaming world with an innovative, convenient product that offers both recreational and functional benefits to users by focusing on remote service provision.</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Description of Product or Service</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The innovative product, as proposed in the business model, is Smart Gaming Glasses that consumers will purchase online and subscribe to the company</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 website for exclusive gaming adventures. The product will encompass smart technologies, such as virtual reality (VR) and augmented reality (AR). These features will enable users to play virtual games while enjoying real-life experiences. For instance, the product will enable customers to jog in a treadmill while surrounded in a virtual environment for an exclusive and captivating experience. Accordingly, the innovative product will offer functional, recreational, and health benefits to users. The ability of customers to purchase Smart Gaming Glasses online via Shopify, and play the game virtually on the company</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 website is the innovative element that makes it relevant in a post-Covid 19. Besides, customer demand for innovative and, smart products has escalated in the past 5 years.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The Ownership Structure</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The ownership structure of the new venture will consist of founders, directors, and shareholders, considering that the firm will be Limited Liability Company.  The new venture team will encompass advisors, employees, and stakeholders that will drive the company</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 operational agenda. Accordingly, intellectual property and legal considerations will define the company</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 operational scale and level of engagement with stakeholders. The medium enterprise will have 60 stakeholders for the start, with an expected initial turnover of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45 million.</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rtl w:val="0"/>
          <w:lang w:val="en-US"/>
          <w14:textOutline w14:w="12700" w14:cap="flat">
            <w14:noFill/>
            <w14:miter w14:lim="400000"/>
          </w14:textOutline>
          <w14:textFill>
            <w14:solidFill>
              <w14:srgbClr w14:val="000000"/>
            </w14:solidFill>
          </w14:textFill>
        </w:rPr>
        <w:t>INDUSTRY ANALYSIS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Industry Size and Growth Rate</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The gaming industry has grown tremendously over the past decade due to technological advancements and heightened customer demand. Unlike video games of the 20th century that employed a combination of analogue and digital technology, modern gaming technology integrate virtual reality and augmented reality (Mariano &amp;Koo 2015, p. 970). The industry has superseded both movie and music industries, considering the over 2 billion gamers spread across the globe. With a market size of over 20% of the global population, the gaming industry generated over $150 billion in revenue at the height of the pandemic in 2020. Current industry players, such as Nintendo and Sony, target tech savvy gamers through their unique devices.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Sales Projections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Given past industry performance and current gaming trends, analysts project at 50% growth in the gaming industry by 2025. Currently, tech giants, including Meta, Google, and Apple, have disclosed intentions to venture into the gaming industry. Such growth projections will see sales grow exponentially and annual revenues reach a whopping $250 billion</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Porters Five Forces Analysis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a)</w:t>
      </w: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Threat of New Entry</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The threat of new entrants into the gaming industry is significantly low due to capital intensive nature of the industry and innovation levels. The competitive nature of the gaming industry requires a high level of product differentiation and integration of high-level hardware manufacturing expertise (Palma-Ruiz, Torres-Toukoumidis, Gonz</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á</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lez-Moreno, &amp; Valles-Baca 2022). These requirements permits only established firms and highly innovative firms to sustain their operations. Accordingly, the new venture will only worry about existing rivals, such as Microsoft, Nintendo, and Sony, but not new entrants.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b) </w:t>
      </w: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Threat of Substitutes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The threat of substitute products in the gaming industry is palpable, considering the competitive aspect of the industry and product differentiation. Although Smart gaming Glasses are innovative, the proliferation of gaming PCs presents a significant threat (Philander, Abarbanel, &amp; Repetti 2015). Over the years, gamers have relied on gaming consoles from various manufacturers. However, technological advancements present newer gadgets that outsmart gaming consoles in many dimensions. However, Smart Gaming Glasses are unique in their functionality and benefits, which limits the threat of substitute products to the new venture.</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c) </w:t>
      </w: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Bargaining Power of Customers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Given industry rivalry, customers may wield substantial bargaining power in the gaming market. However, due to the innovativeness of many gaming products and limited threat of new entrants, customers</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bargaining power may not influence market prices and trends. For instance, Sony, Nintendo, and Trancent have dominated the market for many years, essentially suppressing the bargaining power of many customers. Accordingly, Smart Gaming Glasses will present a unique attribute on which customers will not have any influence.</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d) </w:t>
      </w: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Bargaining Power of Suppliers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The suppliers in the gaming industry wield substantial power due to the scarcity of high performance semiconductors for manufacturing gaming consoles and smart gaming devices. These suppliers may delay the supply of various components to such industry players as Xbox and Sony (Palma-Ruiz, Torres-Toukoumidis, Gonz</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á</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lez-Moreno, &amp; Valles-Baca 2022). Besides, gaming software developers wield exclusive power over their clients, which present a significant challenge. However, the new venture will offset this challenge through liaising with multiple suppliers and developers.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Competitive Rivalry: who are your main competitors and how can you differentiate yourself from them</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Competitor 1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Sony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Sony</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 PlayStation is a popular brand among the gaming community due to its innovative features. With constant updates to its products, Sony is a key rival to the new product. However, the new venture will integrate VR and AR to provide both functional and recreational benefits. This level of product differentiation will influence many customers towards the new brand.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Competitor 2:</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Nintendo</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Nintendo presents a significant competition with its ground-breaking product, Switch. The Japanese company commands a significant market share in the Far East and Southeast Asia due to price and product differentiation. However, the new venture presents a unique product with VR and AR technologies that will supersede customers</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expectations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Competitor 3:</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1"/>
          <w:bCs w:val="1"/>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Microsoft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Microsoft has been penetrating the market with its product Xbox. However, this product presents insignificant threat due to its incompatibility with many gaming consoles. Accordingly, Smart gaming Glasses will liaise with Microsoft to synchronise both products for enhanced user experience.</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rtl w:val="0"/>
          <w:lang w:val="en-US"/>
          <w14:textOutline w14:w="12700" w14:cap="flat">
            <w14:noFill/>
            <w14:miter w14:lim="400000"/>
          </w14:textOutline>
          <w14:textFill>
            <w14:solidFill>
              <w14:srgbClr w14:val="000000"/>
            </w14:solidFill>
          </w14:textFill>
        </w:rPr>
        <w:t>OPERATIONS AND MANAGEMENT TEAM</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Operations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Processes Involved</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The business will focus on virtual operations, from the purchase of the hardware to the periodic subscriptions. Customers will access Smart Gaming Glasses from the company via Shopify, a web-based marketing platform. Transactions and delivery of these smart gadgets will occur virtually while customers will remit requisite funds through online payment methods, as Kumar (2021, p. 2506) suggests. Customers who purchase the product will require to log into the company</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 website to subscribe and enjoy and unrivalled gaming experience. The company</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 operation will be online due to COVID-19 restrictions and the efficiency in operating remotely. Accordingly, the company</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 engagement with customers will occur digitally, including transactions.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Business Transactions and Payment methods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Since company will engage its stakeholders virtually, all transactions will be online, including for supplies and purchases. Fundamentally, the new venture will use online payment methods as PayPal and Card to facilitate supplies and purchases of various products. These online payments methods are reputable and have a global reach, which increases efficiency in the company</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 operations (Fu, Lin, &amp; Zhang 2020). Besides, the adoption of online transactions will streamline the company</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 value and supply chains.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Supplies and Equipment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The new venture will have minimal players in its supply chain due to its virtual model of operation. However, the business will operate in the high tech gaming industry, which requires high performance semiconductors (Faganel &amp; Constantini 2020, p. 11). Accordingly, the business will collaborate with various chip manufactures to manufacture and supply such electrical components. Besides, recent privacy and data protection issues have raised critical questions, especially in the gaming industry. The firm will contract IT security companies to secure its platforms and products from potential breach.</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Revenue Generation</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The company will have two major revenue generation streams, namely product sales and subscription fees. The company will sell Smart Gaming Glasses to its customers remotely. However, customers will have to subscribe to the company</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 platform to unlock various games. Such periodic subscriptions will generate substantial long-term revenues to the company (Baltezarevi</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ć</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Baltezarevi</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ć</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&amp; Baltezarevi</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ć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2018). Consequently, the company will prevent revenue loss through installation of data security systems to forestall possible data breaches. Besides, the collaboration with Shopify will ensure that customers receive only high quality products and avoid counterfeits in alternative markets. These measures will raise customer confidence and ensure business sustainability.</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Management Team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tbl>
      <w:tblPr>
        <w:tblW w:w="963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3210"/>
        <w:gridCol w:w="3210"/>
        <w:gridCol w:w="3210"/>
      </w:tblGrid>
      <w:tr>
        <w:tblPrEx>
          <w:shd w:val="clear" w:color="auto" w:fill="bdc0bf"/>
        </w:tblPrEx>
        <w:trPr>
          <w:trHeight w:val="295" w:hRule="atLeast"/>
          <w:tblHeader/>
        </w:trPr>
        <w:tc>
          <w:tcPr>
            <w:tcW w:type="dxa" w:w="3210"/>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Name</w:t>
            </w:r>
          </w:p>
        </w:tc>
        <w:tc>
          <w:tcPr>
            <w:tcW w:type="dxa" w:w="3210"/>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Skills</w:t>
            </w:r>
          </w:p>
        </w:tc>
        <w:tc>
          <w:tcPr>
            <w:tcW w:type="dxa" w:w="3210"/>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What do they bring to the firm </w:t>
            </w:r>
          </w:p>
        </w:tc>
      </w:tr>
      <w:tr>
        <w:tblPrEx>
          <w:shd w:val="clear" w:color="auto" w:fill="auto"/>
        </w:tblPrEx>
        <w:trPr>
          <w:trHeight w:val="485" w:hRule="atLeast"/>
        </w:trPr>
        <w:tc>
          <w:tcPr>
            <w:tcW w:type="dxa" w:w="3210"/>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John Steward- Founder (BoD)</w:t>
            </w:r>
          </w:p>
        </w:tc>
        <w:tc>
          <w:tcPr>
            <w:tcW w:type="dxa" w:w="3210"/>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Inovative skills, critical thinking skills</w:t>
            </w:r>
          </w:p>
        </w:tc>
        <w:tc>
          <w:tcPr>
            <w:tcW w:type="dxa" w:w="3210"/>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Lead product innovation team in the company</w:t>
            </w:r>
          </w:p>
        </w:tc>
      </w:tr>
      <w:tr>
        <w:tblPrEx>
          <w:shd w:val="clear" w:color="auto" w:fill="auto"/>
        </w:tblPrEx>
        <w:trPr>
          <w:trHeight w:val="295"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Michael Brown- Founder (BoD)</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Organisational skills </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Manage various departments </w:t>
            </w:r>
          </w:p>
        </w:tc>
      </w:tr>
      <w:tr>
        <w:tblPrEx>
          <w:shd w:val="clear" w:color="auto" w:fill="auto"/>
        </w:tblPrEx>
        <w:trPr>
          <w:trHeight w:val="961"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Pauline May- Director of Marketing</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Impeccable marketing skills, communication skills, analytical skills, and product development skills</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Marketing the innovative product across digital and social media platforms to raise awareness and increase brand loyalty</w:t>
            </w:r>
          </w:p>
        </w:tc>
      </w:tr>
      <w:tr>
        <w:tblPrEx>
          <w:shd w:val="clear" w:color="auto" w:fill="auto"/>
        </w:tblPrEx>
        <w:trPr>
          <w:trHeight w:val="481"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Gordon White- Sales Manager </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International skills, product promotion skills</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Drive sales to ensure business sustainability and profitability </w:t>
            </w:r>
          </w:p>
        </w:tc>
      </w:tr>
      <w:tr>
        <w:tblPrEx>
          <w:shd w:val="clear" w:color="auto" w:fill="auto"/>
        </w:tblPrEx>
        <w:trPr>
          <w:trHeight w:val="295"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Andrew Vincent-IT Manager </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Systems operation skills</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721"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Andrey Catherine- Customer Relationship Manager </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International skills, emotional intelligence, motivational skills</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Resolve all customer-related issues, both in product and business relations </w:t>
            </w:r>
          </w:p>
        </w:tc>
      </w:tr>
      <w:tr>
        <w:tblPrEx>
          <w:shd w:val="clear" w:color="auto" w:fill="auto"/>
        </w:tblPrEx>
        <w:trPr>
          <w:trHeight w:val="721" w:hRule="atLeast"/>
        </w:trPr>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Nancy Celine- Human Resource Manager </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International skills, corporate management skills, people management </w:t>
            </w:r>
          </w:p>
        </w:tc>
        <w:tc>
          <w:tcPr>
            <w:tcW w:type="dxa" w:w="3210"/>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bidi w:val="0"/>
            </w:pPr>
            <w:r>
              <w:rPr>
                <w:rFonts w:ascii="Helvetica Neue" w:cs="Arial Unicode MS" w:hAnsi="Helvetica Neue" w:eastAsia="Arial Unicode MS"/>
                <w:rtl w:val="0"/>
              </w:rPr>
              <w:t xml:space="preserve">Hire, promote, dismiss, and motivate employee </w:t>
            </w:r>
          </w:p>
        </w:tc>
      </w:tr>
    </w:tbl>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rtl w:val="0"/>
          <w:lang w:val="en-US"/>
          <w14:textOutline w14:w="12700" w14:cap="flat">
            <w14:noFill/>
            <w14:miter w14:lim="400000"/>
          </w14:textOutline>
          <w14:textFill>
            <w14:solidFill>
              <w14:srgbClr w14:val="000000"/>
            </w14:solidFill>
          </w14:textFill>
        </w:rPr>
        <w:t>MARKETING</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The Four P</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 must be used to describe your marketing strategy</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Product: Brief description of the product</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The innovative product will be Smart gaming Glasses that will be used for virtual reality and augmented reality gaming services. This product will consist of both tangible and intangible dimensions to enable consumers to purchase hardware and enjoy a unique gaming experience, respectively. According to King, Delfabbro, Billieux, &amp; Potenza (2020), the branding, packaging, and labelling of Smart gaming Glasses will centre on functionality and recreation. Given the innovativeness of the products, it will have assortments, warranties, and guarantees.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Price: Pricing Strategies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Since price will affect the company</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 bottom line directly, the company will adopt a dynamic pricing strategy that considers customer expectations and business sustainability. Since the new venture will introduce the most innovative gaming product to the industry, it will set the price according to customer perceived value. However, the basis for price setting will be the uniqueness of the product, customer experience, projected revenues, and industry rivalry (Ulyanov &amp; Savelyev 2021, p. 3). This will include discounts and allowance to returning customers through the online payment system.</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Promotional Mix</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The promotional strategy for the innovative product will include social media marketing and search engine marketing. Through these strategies, the company will target the gaming community with the uniqueness and benefits of its product, as Luo, Huang, &amp; Lam (2019, p. 530) suggests. The message frequency will depend on agreed algorithms.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1"/>
          <w:iCs w:val="1"/>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Place (Distribution strategy)</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The place entails the distribution strategy for the new product and subsequent customer convenience. Since the new venture will operate remotely, all its operations will occur through designated online platforms. For instance, customer will purchase Smart Gaming Glasses through Shopify and pay for the product through online payment methods (Barringer &amp; Ireland 2019, p. 17). Customers will pay subscription fees for online gaming services via the company</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 platform. Through franchising and assortment, the company will employ such strategies as selective distribution and intensive distribution.</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6"/>
          <w:szCs w:val="26"/>
          <w:u w:val="none" w:color="000000"/>
          <w:shd w:val="nil" w:color="auto" w:fill="auto"/>
          <w:vertAlign w:val="baseline"/>
          <w:rtl w:val="0"/>
          <w:lang w:val="en-US"/>
          <w14:textOutline w14:w="12700" w14:cap="flat">
            <w14:noFill/>
            <w14:miter w14:lim="400000"/>
          </w14:textOutline>
          <w14:textFill>
            <w14:solidFill>
              <w14:srgbClr w14:val="000000"/>
            </w14:solidFill>
          </w14:textFill>
        </w:rPr>
        <w:t>FINANCIALS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Sources of Funds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The firm</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s start-up costs will be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350,000. According to Hisrich, Peters, &amp; Shepherd (2020, p.23), these funds will be raised from different sources to meet both variable and fixed costs. The funds will come from venture capital, investors, shareholders, bank loans, business incubators, and personal contributions by founders.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rtl w:val="0"/>
          <w:lang w:val="en-US"/>
          <w14:textOutline w14:w="12700" w14:cap="flat">
            <w14:noFill/>
            <w14:miter w14:lim="400000"/>
          </w14:textOutline>
          <w14:textFill>
            <w14:solidFill>
              <w14:srgbClr w14:val="000000"/>
            </w14:solidFill>
          </w14:textFill>
        </w:rPr>
        <w:t>Use of funds</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tbl>
      <w:tblPr>
        <w:tblW w:w="9630"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1564"/>
        <w:gridCol w:w="1187"/>
        <w:gridCol w:w="1376"/>
        <w:gridCol w:w="1376"/>
        <w:gridCol w:w="1376"/>
        <w:gridCol w:w="1376"/>
        <w:gridCol w:w="1375"/>
      </w:tblGrid>
      <w:tr>
        <w:tblPrEx>
          <w:shd w:val="clear" w:color="auto" w:fill="bdc0bf"/>
        </w:tblPrEx>
        <w:trPr>
          <w:trHeight w:val="295" w:hRule="atLeast"/>
          <w:tblHeader/>
        </w:trPr>
        <w:tc>
          <w:tcPr>
            <w:tcW w:type="dxa" w:w="1564"/>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tc>
        <w:tc>
          <w:tcPr>
            <w:tcW w:type="dxa" w:w="1187"/>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Month 1</w:t>
            </w:r>
          </w:p>
        </w:tc>
        <w:tc>
          <w:tcPr>
            <w:tcW w:type="dxa" w:w="1375"/>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Month 2</w:t>
            </w:r>
          </w:p>
        </w:tc>
        <w:tc>
          <w:tcPr>
            <w:tcW w:type="dxa" w:w="1375"/>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Month 3</w:t>
            </w:r>
          </w:p>
        </w:tc>
        <w:tc>
          <w:tcPr>
            <w:tcW w:type="dxa" w:w="1375"/>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Month 4</w:t>
            </w:r>
          </w:p>
        </w:tc>
        <w:tc>
          <w:tcPr>
            <w:tcW w:type="dxa" w:w="1375"/>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Month 5 </w:t>
            </w:r>
          </w:p>
        </w:tc>
        <w:tc>
          <w:tcPr>
            <w:tcW w:type="dxa" w:w="1375"/>
            <w:tcBorders>
              <w:top w:val="single" w:color="000000" w:sz="2" w:space="0" w:shadow="0" w:frame="0"/>
              <w:left w:val="single" w:color="000000" w:sz="2" w:space="0" w:shadow="0" w:frame="0"/>
              <w:bottom w:val="single" w:color="000000" w:sz="6"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Month 6</w:t>
            </w:r>
          </w:p>
        </w:tc>
      </w:tr>
      <w:tr>
        <w:tblPrEx>
          <w:shd w:val="clear" w:color="auto" w:fill="auto"/>
        </w:tblPrEx>
        <w:trPr>
          <w:trHeight w:val="1205" w:hRule="atLeast"/>
        </w:trPr>
        <w:tc>
          <w:tcPr>
            <w:tcW w:type="dxa" w:w="1564"/>
            <w:tcBorders>
              <w:top w:val="single" w:color="000000" w:sz="6"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Revenue ( from operations and marketing section )</w:t>
            </w:r>
          </w:p>
        </w:tc>
        <w:tc>
          <w:tcPr>
            <w:tcW w:type="dxa" w:w="1187"/>
            <w:tcBorders>
              <w:top w:val="single" w:color="000000" w:sz="6"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3000</w:t>
            </w:r>
          </w:p>
        </w:tc>
        <w:tc>
          <w:tcPr>
            <w:tcW w:type="dxa" w:w="1375"/>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5000</w:t>
            </w:r>
          </w:p>
        </w:tc>
        <w:tc>
          <w:tcPr>
            <w:tcW w:type="dxa" w:w="1375"/>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6000</w:t>
            </w:r>
          </w:p>
        </w:tc>
        <w:tc>
          <w:tcPr>
            <w:tcW w:type="dxa" w:w="1375"/>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8000</w:t>
            </w:r>
          </w:p>
        </w:tc>
        <w:tc>
          <w:tcPr>
            <w:tcW w:type="dxa" w:w="1375"/>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10500</w:t>
            </w:r>
          </w:p>
        </w:tc>
        <w:tc>
          <w:tcPr>
            <w:tcW w:type="dxa" w:w="1375"/>
            <w:tcBorders>
              <w:top w:val="single" w:color="000000" w:sz="6"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15000</w:t>
            </w:r>
          </w:p>
        </w:tc>
      </w:tr>
      <w:tr>
        <w:tblPrEx>
          <w:shd w:val="clear" w:color="auto" w:fill="auto"/>
        </w:tblPrEx>
        <w:trPr>
          <w:trHeight w:val="1681" w:hRule="atLeast"/>
        </w:trPr>
        <w:tc>
          <w:tcPr>
            <w:tcW w:type="dxa" w:w="1564"/>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Fixed Costs</w:t>
            </w:r>
          </w:p>
          <w:p>
            <w:pPr>
              <w:pStyle w:val="Table Style 1"/>
              <w:bidi w:val="0"/>
            </w:pPr>
            <w:r>
              <w:rPr>
                <w:rFonts w:ascii="Helvetica Neue" w:cs="Arial Unicode MS" w:hAnsi="Helvetica Neue" w:eastAsia="Arial Unicode MS"/>
                <w:rtl w:val="0"/>
              </w:rPr>
              <w:t xml:space="preserve">Rent </w:t>
            </w:r>
          </w:p>
          <w:p>
            <w:pPr>
              <w:pStyle w:val="Table Style 1"/>
              <w:bidi w:val="0"/>
            </w:pPr>
            <w:r>
              <w:rPr>
                <w:rFonts w:ascii="Helvetica Neue" w:cs="Arial Unicode MS" w:hAnsi="Helvetica Neue" w:eastAsia="Arial Unicode MS"/>
                <w:rtl w:val="0"/>
              </w:rPr>
              <w:t>Insurance</w:t>
            </w:r>
          </w:p>
          <w:p>
            <w:pPr>
              <w:pStyle w:val="Table Style 1"/>
              <w:bidi w:val="0"/>
            </w:pPr>
            <w:r>
              <w:rPr>
                <w:rFonts w:ascii="Helvetica Neue" w:cs="Arial Unicode MS" w:hAnsi="Helvetica Neue" w:eastAsia="Arial Unicode MS"/>
                <w:rtl w:val="0"/>
              </w:rPr>
              <w:t>Property Tax</w:t>
            </w:r>
          </w:p>
          <w:p>
            <w:pPr>
              <w:pStyle w:val="Table Style 1"/>
              <w:bidi w:val="0"/>
            </w:pPr>
            <w:r>
              <w:rPr>
                <w:rFonts w:ascii="Helvetica Neue" w:cs="Arial Unicode MS" w:hAnsi="Helvetica Neue" w:eastAsia="Arial Unicode MS"/>
                <w:rtl w:val="0"/>
              </w:rPr>
              <w:t>Interest Payments</w:t>
            </w:r>
          </w:p>
          <w:p>
            <w:pPr>
              <w:pStyle w:val="Table Style 1"/>
              <w:bidi w:val="0"/>
            </w:pPr>
          </w:p>
        </w:tc>
        <w:tc>
          <w:tcPr>
            <w:tcW w:type="dxa" w:w="1187"/>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5000</w:t>
            </w:r>
          </w:p>
        </w:tc>
        <w:tc>
          <w:tcPr>
            <w:tcW w:type="dxa" w:w="137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5000</w:t>
            </w:r>
          </w:p>
        </w:tc>
        <w:tc>
          <w:tcPr>
            <w:tcW w:type="dxa" w:w="137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5000</w:t>
            </w:r>
          </w:p>
        </w:tc>
        <w:tc>
          <w:tcPr>
            <w:tcW w:type="dxa" w:w="137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5000</w:t>
            </w:r>
          </w:p>
        </w:tc>
        <w:tc>
          <w:tcPr>
            <w:tcW w:type="dxa" w:w="137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5000</w:t>
            </w:r>
          </w:p>
        </w:tc>
        <w:tc>
          <w:tcPr>
            <w:tcW w:type="dxa" w:w="137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5000</w:t>
            </w:r>
          </w:p>
        </w:tc>
      </w:tr>
      <w:tr>
        <w:tblPrEx>
          <w:shd w:val="clear" w:color="auto" w:fill="auto"/>
        </w:tblPrEx>
        <w:trPr>
          <w:trHeight w:val="1681" w:hRule="atLeast"/>
        </w:trPr>
        <w:tc>
          <w:tcPr>
            <w:tcW w:type="dxa" w:w="1564"/>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 xml:space="preserve">Variable Costs </w:t>
            </w:r>
          </w:p>
          <w:p>
            <w:pPr>
              <w:pStyle w:val="Table Style 1"/>
              <w:bidi w:val="0"/>
            </w:pPr>
            <w:r>
              <w:rPr>
                <w:rFonts w:ascii="Helvetica Neue" w:cs="Arial Unicode MS" w:hAnsi="Helvetica Neue" w:eastAsia="Arial Unicode MS"/>
                <w:rtl w:val="0"/>
              </w:rPr>
              <w:t>Labour</w:t>
            </w:r>
          </w:p>
          <w:p>
            <w:pPr>
              <w:pStyle w:val="Table Style 1"/>
              <w:bidi w:val="0"/>
            </w:pPr>
            <w:r>
              <w:rPr>
                <w:rFonts w:ascii="Helvetica Neue" w:cs="Arial Unicode MS" w:hAnsi="Helvetica Neue" w:eastAsia="Arial Unicode MS"/>
                <w:rtl w:val="0"/>
              </w:rPr>
              <w:t>Discounts and Commissions</w:t>
            </w:r>
          </w:p>
          <w:p>
            <w:pPr>
              <w:pStyle w:val="Table Style 1"/>
              <w:bidi w:val="0"/>
            </w:pPr>
            <w:r>
              <w:rPr>
                <w:rFonts w:ascii="Helvetica Neue" w:cs="Arial Unicode MS" w:hAnsi="Helvetica Neue" w:eastAsia="Arial Unicode MS"/>
                <w:rtl w:val="0"/>
              </w:rPr>
              <w:t>Utility Expenses</w:t>
            </w:r>
          </w:p>
          <w:p>
            <w:pPr>
              <w:pStyle w:val="Table Style 1"/>
              <w:bidi w:val="0"/>
            </w:pPr>
          </w:p>
        </w:tc>
        <w:tc>
          <w:tcPr>
            <w:tcW w:type="dxa" w:w="1187"/>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1000</w:t>
            </w:r>
          </w:p>
        </w:tc>
        <w:tc>
          <w:tcPr>
            <w:tcW w:type="dxa" w:w="137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1500</w:t>
            </w:r>
          </w:p>
        </w:tc>
        <w:tc>
          <w:tcPr>
            <w:tcW w:type="dxa" w:w="137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1000</w:t>
            </w:r>
          </w:p>
        </w:tc>
        <w:tc>
          <w:tcPr>
            <w:tcW w:type="dxa" w:w="137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1000</w:t>
            </w:r>
          </w:p>
        </w:tc>
        <w:tc>
          <w:tcPr>
            <w:tcW w:type="dxa" w:w="137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4000</w:t>
            </w:r>
          </w:p>
        </w:tc>
        <w:tc>
          <w:tcPr>
            <w:tcW w:type="dxa" w:w="137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1000</w:t>
            </w:r>
          </w:p>
        </w:tc>
      </w:tr>
      <w:tr>
        <w:tblPrEx>
          <w:shd w:val="clear" w:color="auto" w:fill="auto"/>
        </w:tblPrEx>
        <w:trPr>
          <w:trHeight w:val="295" w:hRule="atLeast"/>
        </w:trPr>
        <w:tc>
          <w:tcPr>
            <w:tcW w:type="dxa" w:w="1564"/>
            <w:tcBorders>
              <w:top w:val="single" w:color="000000" w:sz="2" w:space="0" w:shadow="0" w:frame="0"/>
              <w:left w:val="single" w:color="000000" w:sz="2" w:space="0" w:shadow="0" w:frame="0"/>
              <w:bottom w:val="single" w:color="000000" w:sz="2" w:space="0" w:shadow="0" w:frame="0"/>
              <w:right w:val="single" w:color="000000" w:sz="6" w:space="0" w:shadow="0" w:frame="0"/>
            </w:tcBorders>
            <w:shd w:val="clear" w:color="auto" w:fill="dcdcdc"/>
            <w:tcMar>
              <w:top w:type="dxa" w:w="80"/>
              <w:left w:type="dxa" w:w="80"/>
              <w:bottom w:type="dxa" w:w="80"/>
              <w:right w:type="dxa" w:w="80"/>
            </w:tcMar>
            <w:vAlign w:val="top"/>
          </w:tcPr>
          <w:p>
            <w:pPr>
              <w:pStyle w:val="Table Style 1"/>
              <w:bidi w:val="0"/>
            </w:pPr>
            <w:r>
              <w:rPr>
                <w:rFonts w:ascii="Helvetica Neue" w:cs="Arial Unicode MS" w:hAnsi="Helvetica Neue" w:eastAsia="Arial Unicode MS"/>
                <w:rtl w:val="0"/>
              </w:rPr>
              <w:t>Profit</w:t>
            </w:r>
          </w:p>
        </w:tc>
        <w:tc>
          <w:tcPr>
            <w:tcW w:type="dxa" w:w="1187"/>
            <w:tcBorders>
              <w:top w:val="single" w:color="000000" w:sz="2" w:space="0" w:shadow="0" w:frame="0"/>
              <w:left w:val="single" w:color="000000" w:sz="6"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1"/>
                <w:bCs w:val="1"/>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3000</w:t>
            </w:r>
          </w:p>
        </w:tc>
        <w:tc>
          <w:tcPr>
            <w:tcW w:type="dxa" w:w="137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1"/>
                <w:bCs w:val="1"/>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1500</w:t>
            </w:r>
          </w:p>
        </w:tc>
        <w:tc>
          <w:tcPr>
            <w:tcW w:type="dxa" w:w="137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1"/>
                <w:bCs w:val="1"/>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0</w:t>
            </w:r>
          </w:p>
        </w:tc>
        <w:tc>
          <w:tcPr>
            <w:tcW w:type="dxa" w:w="137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1"/>
                <w:bCs w:val="1"/>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2000</w:t>
            </w:r>
          </w:p>
        </w:tc>
        <w:tc>
          <w:tcPr>
            <w:tcW w:type="dxa" w:w="137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1"/>
                <w:bCs w:val="1"/>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2500</w:t>
            </w:r>
          </w:p>
        </w:tc>
        <w:tc>
          <w:tcPr>
            <w:tcW w:type="dxa" w:w="1375"/>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f5f5f5"/>
            <w:tcMar>
              <w:top w:type="dxa" w:w="80"/>
              <w:left w:type="dxa" w:w="80"/>
              <w:bottom w:type="dxa" w:w="80"/>
              <w:right w:type="dxa" w:w="80"/>
            </w:tcMar>
            <w:vAlign w:val="top"/>
          </w:tcPr>
          <w:p>
            <w:pPr>
              <w:keepNext w:val="0"/>
              <w:keepLines w:val="0"/>
              <w:pageBreakBefore w:val="0"/>
              <w:widowControl w:val="1"/>
              <w:shd w:val="clear" w:color="auto" w:fill="auto"/>
              <w:suppressAutoHyphens w:val="0"/>
              <w:bidi w:val="0"/>
              <w:spacing w:before="0" w:after="0" w:line="240" w:lineRule="auto"/>
              <w:ind w:left="0" w:right="0" w:firstLine="0"/>
              <w:jc w:val="right"/>
              <w:outlineLvl w:val="9"/>
              <w:rPr>
                <w:rtl w:val="0"/>
              </w:rPr>
            </w:pPr>
            <w:r>
              <w:rPr>
                <w:rFonts w:ascii="Helvetica Neue" w:cs="Arial Unicode MS" w:hAnsi="Helvetica Neue" w:eastAsia="Arial Unicode MS" w:hint="default"/>
                <w:b w:val="1"/>
                <w:bCs w:val="1"/>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w:t>
            </w:r>
            <w: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20"/>
                <w:szCs w:val="20"/>
                <w:u w:val="none"/>
                <w:shd w:val="nil" w:color="auto" w:fill="auto"/>
                <w:vertAlign w:val="baseline"/>
                <w:rtl w:val="0"/>
                <w14:textOutline>
                  <w14:noFill/>
                </w14:textOutline>
                <w14:textFill>
                  <w14:solidFill>
                    <w14:srgbClr w14:val="000000"/>
                  </w14:solidFill>
                </w14:textFill>
              </w:rPr>
              <w:t>9000</w:t>
            </w:r>
          </w:p>
        </w:tc>
      </w:tr>
    </w:tbl>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column"/>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Reference List</w:t>
      </w:r>
    </w:p>
    <w:p>
      <w:pPr>
        <w:keepNext w:val="0"/>
        <w:keepLines w:val="0"/>
        <w:pageBreakBefore w:val="0"/>
        <w:widowControl w:val="1"/>
        <w:shd w:val="clear" w:color="auto" w:fill="auto"/>
        <w:suppressAutoHyphens w:val="0"/>
        <w:bidi w:val="0"/>
        <w:spacing w:before="0" w:after="0" w:line="240" w:lineRule="auto"/>
        <w:ind w:left="0" w:right="0" w:firstLine="0"/>
        <w:jc w:val="center"/>
        <w:outlineLvl w:val="9"/>
        <w:rPr>
          <w:rFonts w:ascii="Arial" w:cs="Arial" w:hAnsi="Arial" w:eastAsia="Arial"/>
          <w:b w:val="1"/>
          <w:bCs w:val="1"/>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numPr>
          <w:ilvl w:val="0"/>
          <w:numId w:val="2"/>
        </w:numPr>
        <w:shd w:val="clear" w:color="auto" w:fill="auto"/>
        <w:suppressAutoHyphens w:val="0"/>
        <w:bidi w:val="0"/>
        <w:spacing w:before="0" w:after="0" w:line="240" w:lineRule="auto"/>
        <w:ind w:right="0"/>
        <w:jc w:val="left"/>
        <w:outlineLvl w:val="9"/>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Baltezarevi</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ć</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R., Baltezarevi</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ć</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B. and Baltezarevi</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ć</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V., 2018.</w:t>
      </w:r>
      <w:r>
        <w:rPr>
          <w:rFonts w:ascii="Arial" w:cs="Arial Unicode MS" w:hAnsi="Arial" w:eastAsia="Arial Unicode MS"/>
          <w:b w:val="0"/>
          <w:bCs w:val="0"/>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The video</w:t>
      </w:r>
      <w:r>
        <w:rPr>
          <w:rFonts w:ascii="Arial" w:cs="Arial Unicode MS" w:hAnsi="Arial" w:eastAsia="Arial Unicode MS"/>
          <w:b w:val="0"/>
          <w:bCs w:val="0"/>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gaming industry</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From play to revenue.</w:t>
      </w:r>
      <w:r>
        <w:rPr>
          <w:rFonts w:ascii="Arial" w:cs="Arial Unicode MS" w:hAnsi="Arial" w:eastAsia="Arial Unicode MS"/>
          <w:b w:val="0"/>
          <w:bCs w:val="0"/>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International Review</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(3-4), pp. 71-76.</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2.  </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Barringer, B., Ireland, D., 2019. Entrepreneurship: Successfully Launching New Ventures. Sixth edition; Global edition. Harlow, England: Pearson.</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3.  </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Dumitriu, S., (2019) </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Management matters</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The entrepreneurs network. Available at: https://www.tenentrepreneurs.org/research/management-matters Accessed: 12th May 2020</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4.  </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Faganel, A. and Constantini, M., 2020. CRM adoption factors in the gaming industry. </w:t>
      </w:r>
      <w:r>
        <w:rPr>
          <w:rFonts w:ascii="Arial" w:cs="Arial Unicode MS" w:hAnsi="Arial" w:eastAsia="Arial Unicode MS"/>
          <w:b w:val="0"/>
          <w:bCs w:val="0"/>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Management: journal of contemporary management issues</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25(1), pp. 1-23.</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5.  </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Fu, X.M., Lin, Y. and Zhang, Y., 2020. Responsible investing in the gaming industry. </w:t>
      </w:r>
      <w:r>
        <w:rPr>
          <w:rFonts w:ascii="Arial" w:cs="Arial Unicode MS" w:hAnsi="Arial" w:eastAsia="Arial Unicode MS"/>
          <w:b w:val="0"/>
          <w:bCs w:val="0"/>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Journal of Corporate Finance, 64</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p. 101657.</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6.  </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Hisrich, R.D., Peters, M.P., Shepherd, D.A., (2020) Entrepreneurship. Eleventh edition, New York: McGraw-Hill</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7.  </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King, D.L., Delfabbro, P.H., Billieux, J. and Potenza, M.N., 2020. Problematic online gaming and the COVID-19 pandemic. </w:t>
      </w:r>
      <w:r>
        <w:rPr>
          <w:rFonts w:ascii="Arial" w:cs="Arial Unicode MS" w:hAnsi="Arial" w:eastAsia="Arial Unicode MS"/>
          <w:b w:val="0"/>
          <w:bCs w:val="0"/>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Journal of Behavioral Addictions,</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9(2), pp.184-186.</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8.  </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Kumar, K., 2021. Growth trends in the gaming industry of India. I</w:t>
      </w:r>
      <w:r>
        <w:rPr>
          <w:rFonts w:ascii="Arial" w:cs="Arial Unicode MS" w:hAnsi="Arial" w:eastAsia="Arial Unicode MS"/>
          <w:b w:val="0"/>
          <w:bCs w:val="0"/>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nternational Journal of Social Science and Economic Research</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6(7), pp. 2500-2510.</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9.  </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Luo, J.M., Huang, G.Q. and Lam, C.F., 2019. Barriers to the implementation of corporate social responsibility in gaming industry. </w:t>
      </w:r>
      <w:r>
        <w:rPr>
          <w:rFonts w:ascii="Arial" w:cs="Arial Unicode MS" w:hAnsi="Arial" w:eastAsia="Arial Unicode MS"/>
          <w:b w:val="0"/>
          <w:bCs w:val="0"/>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Journal of Quality Assurance in Hospitality &amp; Tourism,</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20(5), pp. 528-551.</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10.  </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Mariano, B. and Koo, S.G., 2015, July. Is cloud gaming the future of the gaming industry?. In 2015 </w:t>
      </w:r>
      <w:r>
        <w:rPr>
          <w:rFonts w:ascii="Arial" w:cs="Arial Unicode MS" w:hAnsi="Arial" w:eastAsia="Arial Unicode MS"/>
          <w:b w:val="0"/>
          <w:bCs w:val="0"/>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Seventh International Conference on Ubiquitous and Future Networks</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 (pp. 969-972). IEEE.</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11.  </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Palma-Ruiz, J.M., Torres-Toukoumidis, A., Gonz</w:t>
      </w:r>
      <w:r>
        <w:rPr>
          <w:rFonts w:ascii="Arial" w:cs="Arial Unicode MS" w:hAnsi="Arial" w:eastAsia="Arial Unicode MS" w:hint="default"/>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á</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lez-Moreno, S.E. and Valles-Baca, H.G., 2022. An overview of the gaming industry across nations: using analytics with power BI to forecast and identify key influencers. </w:t>
      </w:r>
      <w:r>
        <w:rPr>
          <w:rFonts w:ascii="Arial" w:cs="Arial Unicode MS" w:hAnsi="Arial" w:eastAsia="Arial Unicode MS"/>
          <w:b w:val="0"/>
          <w:bCs w:val="0"/>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Heliyon</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p.e08959.</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12.  </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Philander, K.S., Abarbanel, B.L. and Repetti, T., 2015. Consumer spending in the gaming industry: evidence of complementary demand in casino and online venues. </w:t>
      </w:r>
      <w:r>
        <w:rPr>
          <w:rFonts w:ascii="Arial" w:cs="Arial Unicode MS" w:hAnsi="Arial" w:eastAsia="Arial Unicode MS"/>
          <w:b w:val="0"/>
          <w:bCs w:val="0"/>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International Gambling Studies</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15(2), pp.256-272.</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13.  </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Ulyanov, D. and Savelyev, D., 2021, September. Development and research of learning algorithms for neural networks with reinforcement in the gaming industry. In 2021 </w:t>
      </w:r>
      <w:r>
        <w:rPr>
          <w:rFonts w:ascii="Arial" w:cs="Arial Unicode MS" w:hAnsi="Arial" w:eastAsia="Arial Unicode MS"/>
          <w:b w:val="0"/>
          <w:bCs w:val="0"/>
          <w:i w:val="1"/>
          <w:iCs w:val="1"/>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 xml:space="preserve">International Conference on Information Technology and Nanotechnology (ITNT) </w:t>
      </w:r>
      <w:r>
        <w:rPr>
          <w:rFonts w:ascii="Arial" w:cs="Arial Unicode MS" w:hAnsi="Arial"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t>(pp. 1-6). IEEE.</w:t>
      </w:r>
      <w:r>
        <w:rPr>
          <w:rFonts w:ascii="Arial Unicode MS" w:cs="Arial Unicode MS" w:hAnsi="Arial Unicode MS" w:eastAsia="Arial Unicode MS"/>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br w:type="page"/>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tl w:val="0"/>
        </w:rPr>
      </w:pPr>
      <w:r>
        <w:rPr>
          <w:rFonts w:ascii="Arial" w:cs="Arial" w:hAnsi="Arial" w:eastAsia="Arial"/>
          <w:b w:val="0"/>
          <w:bCs w:val="0"/>
          <w:i w:val="0"/>
          <w:iCs w:val="0"/>
          <w:caps w:val="0"/>
          <w:smallCaps w:val="0"/>
          <w:strike w:val="0"/>
          <w:dstrike w:val="0"/>
          <w:outline w:val="0"/>
          <w:color w:val="000000"/>
          <w:spacing w:val="0"/>
          <w:kern w:val="0"/>
          <w:position w:val="0"/>
          <w:sz w:val="28"/>
          <w:szCs w:val="28"/>
          <w:u w:val="none" w:color="000000"/>
          <w:shd w:val="nil" w:color="auto" w:fill="auto"/>
          <w:vertAlign w:val="baseline"/>
          <w:rtl w:val="0"/>
          <w:lang w:val="en-US"/>
          <w14:textOutline w14:w="12700" w14:cap="flat">
            <w14:noFill/>
            <w14:miter w14:lim="400000"/>
          </w14:textOutline>
          <w14:textFill>
            <w14:solidFill>
              <w14:srgbClr w14:val="000000"/>
            </w14:solidFill>
          </w14:textFill>
        </w:rPr>
      </w:r>
    </w:p>
    <w:sectPr>
      <w:headerReference w:type="default" r:id="rId5"/>
      <w:footerReference w:type="default" r:id="rId6"/>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tab/>
    </w:r>
    <w:r>
      <w:rPr/>
      <w:fldChar w:fldCharType="begin" w:fldLock="0"/>
    </w:r>
    <w:r>
      <w:instrText xml:space="preserve"> PAGE </w:instrText>
    </w:r>
    <w:r>
      <w:rPr/>
      <w:fldChar w:fldCharType="separate" w:fldLock="0"/>
    </w:r>
    <w:r/>
    <w:r>
      <w:rPr/>
      <w:fldChar w:fldCharType="end" w:fldLock="0"/>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Numbered"/>
  </w:abstractNum>
  <w:abstractNum w:abstractNumId="1">
    <w:multiLevelType w:val="hybridMultilevel"/>
    <w:styleLink w:val="Numbered"/>
    <w:lvl w:ilvl="0">
      <w:start w:val="1"/>
      <w:numFmt w:val="decimal"/>
      <w:suff w:val="tab"/>
      <w:lvlText w:val="%1."/>
      <w:lvlJc w:val="left"/>
      <w:pPr>
        <w:ind w:left="458" w:hanging="458"/>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818" w:hanging="458"/>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1538" w:hanging="458"/>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2258" w:hanging="458"/>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2618" w:hanging="458"/>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2978" w:hanging="458"/>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shd w:val="nil" w:color="auto" w:fill="auto"/>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shd w:val="nil" w:color="auto" w:fill="auto"/>
      <w:vertAlign w:val="baseline"/>
      <w:lang w:val="en-US"/>
      <w14:textOutline>
        <w14:noFill/>
      </w14:textOutline>
      <w14:textFill>
        <w14:solidFill>
          <w14:srgbClr w14:val="000000"/>
        </w14:solidFill>
      </w14:textFill>
    </w:r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1"/>
      <w:bCs w:val="1"/>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numbering" w:styleId="Numbered">
    <w:name w:val="Numbered"/>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numbering" Target="numbering.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