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7B8B950" w14:textId="77777777" w:rsidR="00D072CA" w:rsidRPr="00D072CA" w:rsidRDefault="00D072CA" w:rsidP="00D072CA"/>
    <w:p w14:paraId="6B84B205" w14:textId="77777777" w:rsidR="00063D08" w:rsidRPr="00D072CA" w:rsidRDefault="00000000">
      <w:pPr>
        <w:rPr>
          <w:b/>
          <w:bCs/>
          <w:sz w:val="44"/>
          <w:szCs w:val="44"/>
        </w:rPr>
      </w:pPr>
      <w:r w:rsidRPr="00D072CA">
        <w:rPr>
          <w:b/>
          <w:bCs/>
          <w:sz w:val="44"/>
          <w:szCs w:val="44"/>
        </w:rPr>
        <w:t>Module: BMHP6029 - Psychological Classifications and Provisions</w:t>
      </w:r>
    </w:p>
    <w:p w14:paraId="5CAE5F61" w14:textId="77777777" w:rsidR="00063D08" w:rsidRPr="00D072CA" w:rsidRDefault="00000000">
      <w:pPr>
        <w:rPr>
          <w:b/>
          <w:bCs/>
          <w:sz w:val="44"/>
          <w:szCs w:val="44"/>
        </w:rPr>
      </w:pPr>
      <w:r w:rsidRPr="00D072CA">
        <w:rPr>
          <w:b/>
          <w:bCs/>
          <w:sz w:val="44"/>
          <w:szCs w:val="44"/>
        </w:rPr>
        <w:t>Assignment: Component 2 Written Report (2,000 words)</w:t>
      </w:r>
    </w:p>
    <w:p w14:paraId="174494E0" w14:textId="35639A20" w:rsidR="00D072CA" w:rsidRPr="00D072CA" w:rsidRDefault="00D072CA">
      <w:pPr>
        <w:rPr>
          <w:b/>
          <w:bCs/>
          <w:sz w:val="44"/>
          <w:szCs w:val="44"/>
        </w:rPr>
      </w:pPr>
      <w:r w:rsidRPr="00D072CA">
        <w:rPr>
          <w:b/>
          <w:bCs/>
          <w:sz w:val="44"/>
          <w:szCs w:val="44"/>
        </w:rPr>
        <w:t>Tina Carpenter</w:t>
      </w:r>
    </w:p>
    <w:p w14:paraId="6A0DD4D7" w14:textId="1050E16A" w:rsidR="00D072CA" w:rsidRPr="00D072CA" w:rsidRDefault="00D072CA">
      <w:pPr>
        <w:rPr>
          <w:b/>
          <w:bCs/>
          <w:sz w:val="44"/>
          <w:szCs w:val="44"/>
        </w:rPr>
      </w:pPr>
      <w:r w:rsidRPr="00D072CA">
        <w:rPr>
          <w:b/>
          <w:bCs/>
          <w:sz w:val="44"/>
          <w:szCs w:val="44"/>
        </w:rPr>
        <w:t>2309622</w:t>
      </w:r>
    </w:p>
    <w:p w14:paraId="13B58C67" w14:textId="0BC7AD6E" w:rsidR="00D072CA" w:rsidRPr="00D072CA" w:rsidRDefault="00D072CA">
      <w:pPr>
        <w:rPr>
          <w:b/>
          <w:bCs/>
          <w:sz w:val="44"/>
          <w:szCs w:val="44"/>
        </w:rPr>
      </w:pPr>
      <w:r w:rsidRPr="00D072CA">
        <w:rPr>
          <w:b/>
          <w:bCs/>
          <w:sz w:val="44"/>
          <w:szCs w:val="44"/>
        </w:rPr>
        <w:t>Neale Haddon</w:t>
      </w:r>
    </w:p>
    <w:p w14:paraId="288DE5EE" w14:textId="77777777" w:rsidR="00063D08" w:rsidRDefault="00000000">
      <w:r>
        <w:br w:type="page"/>
      </w:r>
    </w:p>
    <w:p w14:paraId="66BA9F32" w14:textId="77777777" w:rsidR="00063D08" w:rsidRPr="00D072CA" w:rsidRDefault="00000000">
      <w:pPr>
        <w:rPr>
          <w:b/>
          <w:bCs/>
          <w:color w:val="007BB8"/>
          <w:sz w:val="40"/>
          <w:szCs w:val="40"/>
        </w:rPr>
      </w:pPr>
      <w:r w:rsidRPr="00D072CA">
        <w:rPr>
          <w:b/>
          <w:bCs/>
          <w:color w:val="007BB8"/>
          <w:sz w:val="40"/>
          <w:szCs w:val="40"/>
        </w:rPr>
        <w:lastRenderedPageBreak/>
        <w:t>Post-Traumatic Stress Disorder (PTSD): Classification, Diagnosis, Treatment and Contemporary Debates</w:t>
      </w:r>
    </w:p>
    <w:p w14:paraId="207A22CC" w14:textId="77777777" w:rsidR="00063D08" w:rsidRDefault="00063D08"/>
    <w:p w14:paraId="1833F55E" w14:textId="77777777" w:rsidR="007609E7" w:rsidRPr="007609E7" w:rsidRDefault="007609E7" w:rsidP="007609E7">
      <w:pPr>
        <w:rPr>
          <w:lang w:val="en-GB"/>
        </w:rPr>
      </w:pPr>
      <w:r w:rsidRPr="007609E7">
        <w:rPr>
          <w:lang w:val="en-GB"/>
        </w:rPr>
        <w:t>Post-Traumatic Stress Disorder (PTSD) is a complex psychiatric disorder that arises following exposure to one or more traumatic events. Trauma can encompass life-threatening incidents, such as natural disasters, serious accidents, armed conflict, sexual assault, or witnessing severe injury or death. The disorder is associated with significant emotional, cognitive, behavioural, and physiological consequences that may persist long after the traumatic event (Bisson et al., 2021).</w:t>
      </w:r>
    </w:p>
    <w:p w14:paraId="1C58CC6D" w14:textId="77777777" w:rsidR="007609E7" w:rsidRPr="007609E7" w:rsidRDefault="007609E7" w:rsidP="007609E7">
      <w:pPr>
        <w:rPr>
          <w:lang w:val="en-GB"/>
        </w:rPr>
      </w:pPr>
      <w:r w:rsidRPr="007609E7">
        <w:rPr>
          <w:lang w:val="en-GB"/>
        </w:rPr>
        <w:t xml:space="preserve">ICD-11 classifies PTSD under </w:t>
      </w:r>
      <w:r w:rsidRPr="007609E7">
        <w:rPr>
          <w:b/>
          <w:bCs/>
          <w:lang w:val="en-GB"/>
        </w:rPr>
        <w:t>Chapter 6: Mental, Behavioural, or Neurodevelopmental Disorders</w:t>
      </w:r>
      <w:r w:rsidRPr="007609E7">
        <w:rPr>
          <w:lang w:val="en-GB"/>
        </w:rPr>
        <w:t>, specifically in the category “Disorders Specifically Associated with Stress” (WHO, 2022). PTSD is characterised by three core symptom clusters: re-experiencing the traumatic event, avoidance of reminders, and a persistent sense of heightened threat. Unlike ICD-10, ICD-11 introduces a refined diagnostic framework, aiming to improve clinical utility and global applicability (</w:t>
      </w:r>
      <w:proofErr w:type="spellStart"/>
      <w:r w:rsidRPr="007609E7">
        <w:rPr>
          <w:lang w:val="en-GB"/>
        </w:rPr>
        <w:t>Maercker</w:t>
      </w:r>
      <w:proofErr w:type="spellEnd"/>
      <w:r w:rsidRPr="007609E7">
        <w:rPr>
          <w:lang w:val="en-GB"/>
        </w:rPr>
        <w:t xml:space="preserve"> et al., 2022).</w:t>
      </w:r>
    </w:p>
    <w:p w14:paraId="15A72AB2" w14:textId="77777777" w:rsidR="007609E7" w:rsidRDefault="007609E7" w:rsidP="007609E7">
      <w:pPr>
        <w:rPr>
          <w:lang w:val="en-GB"/>
        </w:rPr>
      </w:pPr>
      <w:r w:rsidRPr="007609E7">
        <w:rPr>
          <w:lang w:val="en-GB"/>
        </w:rPr>
        <w:t>This report critically examines PTSD in relation to its ICD-11 classification, diagnostic criteria, treatment approaches, rehabilitation strategies, and current debates, informed by contemporary academic literature. It also evaluates emerging issues, such as neurodivergence and cultural considerations, and concludes with evidence-based recommendations to enhance clinical practice and policy.</w:t>
      </w:r>
    </w:p>
    <w:p w14:paraId="22B8EEC5" w14:textId="77777777" w:rsidR="007609E7" w:rsidRPr="007609E7" w:rsidRDefault="007609E7" w:rsidP="007609E7">
      <w:pPr>
        <w:rPr>
          <w:b/>
          <w:bCs/>
          <w:lang w:val="en-GB"/>
        </w:rPr>
      </w:pPr>
      <w:r w:rsidRPr="007609E7">
        <w:rPr>
          <w:b/>
          <w:bCs/>
          <w:lang w:val="en-GB"/>
        </w:rPr>
        <w:t>1. Classification and Diagnosis</w:t>
      </w:r>
    </w:p>
    <w:p w14:paraId="2BACB663" w14:textId="77777777" w:rsidR="007609E7" w:rsidRPr="007609E7" w:rsidRDefault="007609E7" w:rsidP="007609E7">
      <w:pPr>
        <w:rPr>
          <w:b/>
          <w:bCs/>
          <w:lang w:val="en-GB"/>
        </w:rPr>
      </w:pPr>
      <w:r w:rsidRPr="007609E7">
        <w:rPr>
          <w:b/>
          <w:bCs/>
          <w:lang w:val="en-GB"/>
        </w:rPr>
        <w:t>1.1 ICD-11 Classification</w:t>
      </w:r>
    </w:p>
    <w:p w14:paraId="1BDDBDFF" w14:textId="77777777" w:rsidR="007609E7" w:rsidRPr="007609E7" w:rsidRDefault="007609E7" w:rsidP="007609E7">
      <w:pPr>
        <w:rPr>
          <w:lang w:val="en-GB"/>
        </w:rPr>
      </w:pPr>
      <w:r w:rsidRPr="007609E7">
        <w:rPr>
          <w:lang w:val="en-GB"/>
        </w:rPr>
        <w:t xml:space="preserve">PTSD is classified as </w:t>
      </w:r>
      <w:r w:rsidRPr="007609E7">
        <w:rPr>
          <w:b/>
          <w:bCs/>
          <w:lang w:val="en-GB"/>
        </w:rPr>
        <w:t>6B40</w:t>
      </w:r>
      <w:r w:rsidRPr="007609E7">
        <w:rPr>
          <w:lang w:val="en-GB"/>
        </w:rPr>
        <w:t xml:space="preserve"> in ICD-11, reflecting its placement under disorders specifically linked to exposure to exceptional stress (WHO, 2022). ICD-11 emphasises three key symptom clusters:</w:t>
      </w:r>
    </w:p>
    <w:p w14:paraId="24CEA4CC" w14:textId="77777777" w:rsidR="007609E7" w:rsidRPr="007609E7" w:rsidRDefault="007609E7" w:rsidP="007609E7">
      <w:pPr>
        <w:numPr>
          <w:ilvl w:val="0"/>
          <w:numId w:val="10"/>
        </w:numPr>
        <w:rPr>
          <w:lang w:val="en-GB"/>
        </w:rPr>
      </w:pPr>
      <w:r w:rsidRPr="007609E7">
        <w:rPr>
          <w:b/>
          <w:bCs/>
          <w:lang w:val="en-GB"/>
        </w:rPr>
        <w:t>Re-experiencing</w:t>
      </w:r>
      <w:r w:rsidRPr="007609E7">
        <w:rPr>
          <w:lang w:val="en-GB"/>
        </w:rPr>
        <w:t xml:space="preserve"> – intrusive memories, flashbacks, or nightmares that evoke the perception that the traumatic event is happening in the present.</w:t>
      </w:r>
    </w:p>
    <w:p w14:paraId="2694F2B0" w14:textId="77777777" w:rsidR="007609E7" w:rsidRPr="007609E7" w:rsidRDefault="007609E7" w:rsidP="007609E7">
      <w:pPr>
        <w:numPr>
          <w:ilvl w:val="0"/>
          <w:numId w:val="10"/>
        </w:numPr>
        <w:rPr>
          <w:lang w:val="en-GB"/>
        </w:rPr>
      </w:pPr>
      <w:r w:rsidRPr="007609E7">
        <w:rPr>
          <w:b/>
          <w:bCs/>
          <w:lang w:val="en-GB"/>
        </w:rPr>
        <w:t>Avoidance</w:t>
      </w:r>
      <w:r w:rsidRPr="007609E7">
        <w:rPr>
          <w:lang w:val="en-GB"/>
        </w:rPr>
        <w:t xml:space="preserve"> – deliberate efforts to avoid thoughts, feelings, people, places, or situations that are reminders of the trauma.</w:t>
      </w:r>
    </w:p>
    <w:p w14:paraId="3B2F15D7" w14:textId="77777777" w:rsidR="007609E7" w:rsidRPr="007609E7" w:rsidRDefault="007609E7" w:rsidP="007609E7">
      <w:pPr>
        <w:numPr>
          <w:ilvl w:val="0"/>
          <w:numId w:val="10"/>
        </w:numPr>
        <w:rPr>
          <w:lang w:val="en-GB"/>
        </w:rPr>
      </w:pPr>
      <w:r w:rsidRPr="007609E7">
        <w:rPr>
          <w:b/>
          <w:bCs/>
          <w:lang w:val="en-GB"/>
        </w:rPr>
        <w:t>Persistent sense of threat</w:t>
      </w:r>
      <w:r w:rsidRPr="007609E7">
        <w:rPr>
          <w:lang w:val="en-GB"/>
        </w:rPr>
        <w:t xml:space="preserve"> – heightened hypervigilance or exaggerated startle responses.</w:t>
      </w:r>
    </w:p>
    <w:p w14:paraId="1865B306" w14:textId="77777777" w:rsidR="007609E7" w:rsidRPr="007609E7" w:rsidRDefault="007609E7" w:rsidP="007609E7">
      <w:pPr>
        <w:rPr>
          <w:lang w:val="en-GB"/>
        </w:rPr>
      </w:pPr>
      <w:r w:rsidRPr="007609E7">
        <w:rPr>
          <w:lang w:val="en-GB"/>
        </w:rPr>
        <w:lastRenderedPageBreak/>
        <w:t xml:space="preserve">ICD-11 also distinguishes </w:t>
      </w:r>
      <w:r w:rsidRPr="007609E7">
        <w:rPr>
          <w:b/>
          <w:bCs/>
          <w:lang w:val="en-GB"/>
        </w:rPr>
        <w:t>Complex PTSD (C-PTSD)</w:t>
      </w:r>
      <w:r w:rsidRPr="007609E7">
        <w:rPr>
          <w:lang w:val="en-GB"/>
        </w:rPr>
        <w:t xml:space="preserve"> (6B41), which arises from prolonged or repeated trauma, typically interpersonal in nature. C-PTSD includes additional disturbances in self-organisation, such as affect dysregulation, negative self-concept, and difficulties in interpersonal relationships (</w:t>
      </w:r>
      <w:proofErr w:type="spellStart"/>
      <w:r w:rsidRPr="007609E7">
        <w:rPr>
          <w:lang w:val="en-GB"/>
        </w:rPr>
        <w:t>Cloitre</w:t>
      </w:r>
      <w:proofErr w:type="spellEnd"/>
      <w:r w:rsidRPr="007609E7">
        <w:rPr>
          <w:lang w:val="en-GB"/>
        </w:rPr>
        <w:t xml:space="preserve"> et al., 2020). This differentiation has been the subject of extensive scholarly debate, with some arguing it improves diagnostic precision, while others suggest it complicates clinical decision-making (</w:t>
      </w:r>
      <w:proofErr w:type="spellStart"/>
      <w:r w:rsidRPr="007609E7">
        <w:rPr>
          <w:lang w:val="en-GB"/>
        </w:rPr>
        <w:t>Karatzias</w:t>
      </w:r>
      <w:proofErr w:type="spellEnd"/>
      <w:r w:rsidRPr="007609E7">
        <w:rPr>
          <w:lang w:val="en-GB"/>
        </w:rPr>
        <w:t xml:space="preserve"> et al., 2019).</w:t>
      </w:r>
    </w:p>
    <w:p w14:paraId="10919F76" w14:textId="77777777" w:rsidR="007609E7" w:rsidRPr="007609E7" w:rsidRDefault="007609E7" w:rsidP="007609E7">
      <w:pPr>
        <w:rPr>
          <w:b/>
          <w:bCs/>
          <w:lang w:val="en-GB"/>
        </w:rPr>
      </w:pPr>
      <w:r w:rsidRPr="007609E7">
        <w:rPr>
          <w:b/>
          <w:bCs/>
          <w:lang w:val="en-GB"/>
        </w:rPr>
        <w:t>1.2 Diagnostic Criteria</w:t>
      </w:r>
    </w:p>
    <w:p w14:paraId="3D9F20C6" w14:textId="77777777" w:rsidR="007609E7" w:rsidRPr="007609E7" w:rsidRDefault="007609E7" w:rsidP="007609E7">
      <w:pPr>
        <w:rPr>
          <w:lang w:val="en-GB"/>
        </w:rPr>
      </w:pPr>
      <w:r w:rsidRPr="007609E7">
        <w:rPr>
          <w:lang w:val="en-GB"/>
        </w:rPr>
        <w:t>To meet diagnostic criteria, symptoms must persist for at least several weeks and cause significant functional impairment. The ICD-11 emphasises observable and measurable symptoms, prioritising clinical utility over extensive symptom checklists (WHO, 2022).</w:t>
      </w:r>
    </w:p>
    <w:p w14:paraId="1CB91A88" w14:textId="77777777" w:rsidR="007609E7" w:rsidRPr="007609E7" w:rsidRDefault="007609E7" w:rsidP="007609E7">
      <w:pPr>
        <w:rPr>
          <w:lang w:val="en-GB"/>
        </w:rPr>
      </w:pPr>
      <w:r w:rsidRPr="007609E7">
        <w:rPr>
          <w:lang w:val="en-GB"/>
        </w:rPr>
        <w:t>Diagnosis typically involves:</w:t>
      </w:r>
    </w:p>
    <w:p w14:paraId="043B9BA4" w14:textId="77777777" w:rsidR="007609E7" w:rsidRPr="007609E7" w:rsidRDefault="007609E7" w:rsidP="007609E7">
      <w:pPr>
        <w:numPr>
          <w:ilvl w:val="0"/>
          <w:numId w:val="11"/>
        </w:numPr>
        <w:rPr>
          <w:lang w:val="en-GB"/>
        </w:rPr>
      </w:pPr>
      <w:r w:rsidRPr="007609E7">
        <w:rPr>
          <w:lang w:val="en-GB"/>
        </w:rPr>
        <w:t>Detailed clinical interviews</w:t>
      </w:r>
    </w:p>
    <w:p w14:paraId="7DCE99F2" w14:textId="77777777" w:rsidR="007609E7" w:rsidRPr="007609E7" w:rsidRDefault="007609E7" w:rsidP="007609E7">
      <w:pPr>
        <w:numPr>
          <w:ilvl w:val="0"/>
          <w:numId w:val="11"/>
        </w:numPr>
        <w:rPr>
          <w:lang w:val="en-GB"/>
        </w:rPr>
      </w:pPr>
      <w:r w:rsidRPr="007609E7">
        <w:rPr>
          <w:lang w:val="en-GB"/>
        </w:rPr>
        <w:t>Trauma history assessment</w:t>
      </w:r>
    </w:p>
    <w:p w14:paraId="79F4E208" w14:textId="77777777" w:rsidR="007609E7" w:rsidRPr="007609E7" w:rsidRDefault="007609E7" w:rsidP="007609E7">
      <w:pPr>
        <w:numPr>
          <w:ilvl w:val="0"/>
          <w:numId w:val="11"/>
        </w:numPr>
        <w:rPr>
          <w:lang w:val="en-GB"/>
        </w:rPr>
      </w:pPr>
      <w:r w:rsidRPr="007609E7">
        <w:rPr>
          <w:lang w:val="en-GB"/>
        </w:rPr>
        <w:t xml:space="preserve">Use of standardised measures such as the </w:t>
      </w:r>
      <w:r w:rsidRPr="007609E7">
        <w:rPr>
          <w:b/>
          <w:bCs/>
          <w:lang w:val="en-GB"/>
        </w:rPr>
        <w:t>Clinician-Administered PTSD Scale (CAPS)</w:t>
      </w:r>
      <w:r w:rsidRPr="007609E7">
        <w:rPr>
          <w:lang w:val="en-GB"/>
        </w:rPr>
        <w:t xml:space="preserve"> or </w:t>
      </w:r>
      <w:r w:rsidRPr="007609E7">
        <w:rPr>
          <w:b/>
          <w:bCs/>
          <w:lang w:val="en-GB"/>
        </w:rPr>
        <w:t>PTSD Checklist (PCL-5)</w:t>
      </w:r>
    </w:p>
    <w:p w14:paraId="42903655" w14:textId="77777777" w:rsidR="007609E7" w:rsidRPr="007609E7" w:rsidRDefault="007609E7" w:rsidP="007609E7">
      <w:pPr>
        <w:rPr>
          <w:lang w:val="en-GB"/>
        </w:rPr>
      </w:pPr>
      <w:r w:rsidRPr="007609E7">
        <w:rPr>
          <w:lang w:val="en-GB"/>
        </w:rPr>
        <w:t>A core consideration in diagnosis is distinguishing PTSD from other psychiatric disorders, particularly depression, anxiety disorders, and adjustment disorders. Misdiagnosis is common, particularly among neurodivergent populations or culturally diverse groups, due to variations in trauma expression (Stoddard et al., 2021; Summerfield, 2019).</w:t>
      </w:r>
    </w:p>
    <w:p w14:paraId="3181243C" w14:textId="77777777" w:rsidR="007609E7" w:rsidRPr="007609E7" w:rsidRDefault="007609E7" w:rsidP="007609E7">
      <w:pPr>
        <w:rPr>
          <w:b/>
          <w:bCs/>
          <w:lang w:val="en-GB"/>
        </w:rPr>
      </w:pPr>
      <w:r w:rsidRPr="007609E7">
        <w:rPr>
          <w:b/>
          <w:bCs/>
          <w:lang w:val="en-GB"/>
        </w:rPr>
        <w:t>1.3 Language in Classification</w:t>
      </w:r>
    </w:p>
    <w:p w14:paraId="4257E4F8" w14:textId="77777777" w:rsidR="007609E7" w:rsidRPr="007609E7" w:rsidRDefault="007609E7" w:rsidP="007609E7">
      <w:pPr>
        <w:rPr>
          <w:lang w:val="en-GB"/>
        </w:rPr>
      </w:pPr>
      <w:r w:rsidRPr="007609E7">
        <w:rPr>
          <w:lang w:val="en-GB"/>
        </w:rPr>
        <w:t xml:space="preserve">ICD-11 consistently uses the term </w:t>
      </w:r>
      <w:r w:rsidRPr="007609E7">
        <w:rPr>
          <w:b/>
          <w:bCs/>
          <w:lang w:val="en-GB"/>
        </w:rPr>
        <w:t>“disorder”</w:t>
      </w:r>
      <w:r w:rsidRPr="007609E7">
        <w:rPr>
          <w:lang w:val="en-GB"/>
        </w:rPr>
        <w:t>, reflecting the structured, clinically recognised nature of PTSD while avoiding ambiguous terminology such as “illness” or “condition” (WHO, 2022). This terminology signals the functional impact of PTSD on daily life and underscores its clinical significance.</w:t>
      </w:r>
    </w:p>
    <w:p w14:paraId="40F7C966" w14:textId="4B2F0B58" w:rsidR="007609E7" w:rsidRPr="007609E7" w:rsidRDefault="007609E7" w:rsidP="007609E7">
      <w:pPr>
        <w:rPr>
          <w:lang w:val="en-GB"/>
        </w:rPr>
      </w:pPr>
    </w:p>
    <w:p w14:paraId="7CF61695" w14:textId="77777777" w:rsidR="007609E7" w:rsidRPr="007609E7" w:rsidRDefault="007609E7" w:rsidP="007609E7">
      <w:pPr>
        <w:rPr>
          <w:b/>
          <w:bCs/>
          <w:lang w:val="en-GB"/>
        </w:rPr>
      </w:pPr>
      <w:r w:rsidRPr="007609E7">
        <w:rPr>
          <w:b/>
          <w:bCs/>
          <w:lang w:val="en-GB"/>
        </w:rPr>
        <w:t>2. Symptoms and Impact</w:t>
      </w:r>
    </w:p>
    <w:p w14:paraId="07CD4BBE" w14:textId="77777777" w:rsidR="007609E7" w:rsidRPr="007609E7" w:rsidRDefault="007609E7" w:rsidP="007609E7">
      <w:pPr>
        <w:rPr>
          <w:lang w:val="en-GB"/>
        </w:rPr>
      </w:pPr>
      <w:r w:rsidRPr="007609E7">
        <w:rPr>
          <w:lang w:val="en-GB"/>
        </w:rPr>
        <w:t>PTSD symptoms manifest in multiple domains:</w:t>
      </w:r>
    </w:p>
    <w:p w14:paraId="69DF6401" w14:textId="77777777" w:rsidR="007609E7" w:rsidRPr="007609E7" w:rsidRDefault="007609E7" w:rsidP="007609E7">
      <w:pPr>
        <w:rPr>
          <w:b/>
          <w:bCs/>
          <w:lang w:val="en-GB"/>
        </w:rPr>
      </w:pPr>
      <w:r w:rsidRPr="007609E7">
        <w:rPr>
          <w:b/>
          <w:bCs/>
          <w:lang w:val="en-GB"/>
        </w:rPr>
        <w:t>2.1 Re-experiencing</w:t>
      </w:r>
    </w:p>
    <w:p w14:paraId="3A0C6C1B" w14:textId="77777777" w:rsidR="007609E7" w:rsidRPr="007609E7" w:rsidRDefault="007609E7" w:rsidP="007609E7">
      <w:pPr>
        <w:rPr>
          <w:lang w:val="en-GB"/>
        </w:rPr>
      </w:pPr>
      <w:r w:rsidRPr="007609E7">
        <w:rPr>
          <w:lang w:val="en-GB"/>
        </w:rPr>
        <w:t>Individuals may experience vivid, intrusive memories, flashbacks, or nightmares. These events often provoke physiological responses such as sweating, racing heartbeat, or hyperventilation (Brewin, 2020).</w:t>
      </w:r>
    </w:p>
    <w:p w14:paraId="099C1750" w14:textId="77777777" w:rsidR="007609E7" w:rsidRPr="007609E7" w:rsidRDefault="007609E7" w:rsidP="007609E7">
      <w:pPr>
        <w:rPr>
          <w:b/>
          <w:bCs/>
          <w:lang w:val="en-GB"/>
        </w:rPr>
      </w:pPr>
      <w:r w:rsidRPr="007609E7">
        <w:rPr>
          <w:b/>
          <w:bCs/>
          <w:lang w:val="en-GB"/>
        </w:rPr>
        <w:t>2.2 Avoidance and Emotional Numbing</w:t>
      </w:r>
    </w:p>
    <w:p w14:paraId="443700D3" w14:textId="77777777" w:rsidR="007609E7" w:rsidRPr="007609E7" w:rsidRDefault="007609E7" w:rsidP="007609E7">
      <w:pPr>
        <w:rPr>
          <w:lang w:val="en-GB"/>
        </w:rPr>
      </w:pPr>
      <w:r w:rsidRPr="007609E7">
        <w:rPr>
          <w:lang w:val="en-GB"/>
        </w:rPr>
        <w:lastRenderedPageBreak/>
        <w:t>Avoidance behaviours can severely limit social interaction, occupational participation, and engagement in everyday activities. Emotional numbing, including detachment or inability to experience positive emotions, exacerbates isolation and hinders recovery.</w:t>
      </w:r>
    </w:p>
    <w:p w14:paraId="0D27714D" w14:textId="77777777" w:rsidR="007609E7" w:rsidRPr="007609E7" w:rsidRDefault="007609E7" w:rsidP="007609E7">
      <w:pPr>
        <w:rPr>
          <w:b/>
          <w:bCs/>
          <w:lang w:val="en-GB"/>
        </w:rPr>
      </w:pPr>
      <w:r w:rsidRPr="007609E7">
        <w:rPr>
          <w:b/>
          <w:bCs/>
          <w:lang w:val="en-GB"/>
        </w:rPr>
        <w:t>2.3 Hyperarousal and Cognitive Disturbances</w:t>
      </w:r>
    </w:p>
    <w:p w14:paraId="3D3257DC" w14:textId="77777777" w:rsidR="007609E7" w:rsidRPr="007609E7" w:rsidRDefault="007609E7" w:rsidP="007609E7">
      <w:pPr>
        <w:rPr>
          <w:lang w:val="en-GB"/>
        </w:rPr>
      </w:pPr>
      <w:r w:rsidRPr="007609E7">
        <w:rPr>
          <w:lang w:val="en-GB"/>
        </w:rPr>
        <w:t>Symptoms include exaggerated startle responses, irritability, hypervigilance, sleep disturbances, and concentration difficulties. Cognitive distortions, including guilt, shame, and negative self-perception, further impede functional recovery (</w:t>
      </w:r>
      <w:proofErr w:type="spellStart"/>
      <w:r w:rsidRPr="007609E7">
        <w:rPr>
          <w:lang w:val="en-GB"/>
        </w:rPr>
        <w:t>Cloitre</w:t>
      </w:r>
      <w:proofErr w:type="spellEnd"/>
      <w:r w:rsidRPr="007609E7">
        <w:rPr>
          <w:lang w:val="en-GB"/>
        </w:rPr>
        <w:t xml:space="preserve"> et al., 2020).</w:t>
      </w:r>
    </w:p>
    <w:p w14:paraId="4F61784D" w14:textId="77777777" w:rsidR="007609E7" w:rsidRPr="007609E7" w:rsidRDefault="007609E7" w:rsidP="007609E7">
      <w:pPr>
        <w:rPr>
          <w:b/>
          <w:bCs/>
          <w:lang w:val="en-GB"/>
        </w:rPr>
      </w:pPr>
      <w:r w:rsidRPr="007609E7">
        <w:rPr>
          <w:b/>
          <w:bCs/>
          <w:lang w:val="en-GB"/>
        </w:rPr>
        <w:t>2.4 Functional and Social Impact</w:t>
      </w:r>
    </w:p>
    <w:p w14:paraId="6950F298" w14:textId="77777777" w:rsidR="007609E7" w:rsidRPr="007609E7" w:rsidRDefault="007609E7" w:rsidP="007609E7">
      <w:pPr>
        <w:rPr>
          <w:lang w:val="en-GB"/>
        </w:rPr>
      </w:pPr>
      <w:r w:rsidRPr="007609E7">
        <w:rPr>
          <w:lang w:val="en-GB"/>
        </w:rPr>
        <w:t>PTSD is associated with significant impairments in occupational, social, and educational functioning. Chronic symptoms can lead to substance misuse, chronic physical health problems, and strained interpersonal relationships. Vulnerable populations, such as refugees and survivors of domestic violence, often experience compounded challenges due to ongoing environmental stressors (</w:t>
      </w:r>
      <w:proofErr w:type="spellStart"/>
      <w:r w:rsidRPr="007609E7">
        <w:rPr>
          <w:lang w:val="en-GB"/>
        </w:rPr>
        <w:t>Robjant</w:t>
      </w:r>
      <w:proofErr w:type="spellEnd"/>
      <w:r w:rsidRPr="007609E7">
        <w:rPr>
          <w:lang w:val="en-GB"/>
        </w:rPr>
        <w:t xml:space="preserve"> &amp; Fazel, 2020).</w:t>
      </w:r>
    </w:p>
    <w:p w14:paraId="61779C24" w14:textId="77777777" w:rsidR="007609E7" w:rsidRPr="007609E7" w:rsidRDefault="007609E7" w:rsidP="007609E7">
      <w:pPr>
        <w:rPr>
          <w:lang w:val="en-GB"/>
        </w:rPr>
      </w:pPr>
      <w:r w:rsidRPr="007609E7">
        <w:rPr>
          <w:lang w:val="en-GB"/>
        </w:rPr>
        <w:pict w14:anchorId="7FCAE0ED">
          <v:rect id="_x0000_i1080" style="width:0;height:1.5pt" o:hralign="center" o:hrstd="t" o:hr="t" fillcolor="#a0a0a0" stroked="f"/>
        </w:pict>
      </w:r>
    </w:p>
    <w:p w14:paraId="44ADF2A3" w14:textId="77777777" w:rsidR="007609E7" w:rsidRPr="007609E7" w:rsidRDefault="007609E7" w:rsidP="007609E7">
      <w:pPr>
        <w:rPr>
          <w:b/>
          <w:bCs/>
          <w:lang w:val="en-GB"/>
        </w:rPr>
      </w:pPr>
      <w:r w:rsidRPr="007609E7">
        <w:rPr>
          <w:b/>
          <w:bCs/>
          <w:lang w:val="en-GB"/>
        </w:rPr>
        <w:t>3. Causes and Risk Factors</w:t>
      </w:r>
    </w:p>
    <w:p w14:paraId="60421DB9" w14:textId="77777777" w:rsidR="007609E7" w:rsidRPr="007609E7" w:rsidRDefault="007609E7" w:rsidP="007609E7">
      <w:pPr>
        <w:rPr>
          <w:b/>
          <w:bCs/>
          <w:lang w:val="en-GB"/>
        </w:rPr>
      </w:pPr>
      <w:r w:rsidRPr="007609E7">
        <w:rPr>
          <w:b/>
          <w:bCs/>
          <w:lang w:val="en-GB"/>
        </w:rPr>
        <w:t>3.1 Biological Factors</w:t>
      </w:r>
    </w:p>
    <w:p w14:paraId="637B191F" w14:textId="77777777" w:rsidR="007609E7" w:rsidRPr="007609E7" w:rsidRDefault="007609E7" w:rsidP="007609E7">
      <w:pPr>
        <w:rPr>
          <w:lang w:val="en-GB"/>
        </w:rPr>
      </w:pPr>
      <w:r w:rsidRPr="007609E7">
        <w:rPr>
          <w:lang w:val="en-GB"/>
        </w:rPr>
        <w:t>Genetic predisposition, neurobiological alterations, and hormonal dysregulation can influence susceptibility to PTSD. Structural and functional changes in the amygdala, hippocampus, and prefrontal cortex affect emotional processing, memory consolidation, and stress responses (Brewin, 2020).</w:t>
      </w:r>
    </w:p>
    <w:p w14:paraId="047FAF14" w14:textId="77777777" w:rsidR="007609E7" w:rsidRPr="007609E7" w:rsidRDefault="007609E7" w:rsidP="007609E7">
      <w:pPr>
        <w:rPr>
          <w:b/>
          <w:bCs/>
          <w:lang w:val="en-GB"/>
        </w:rPr>
      </w:pPr>
      <w:r w:rsidRPr="007609E7">
        <w:rPr>
          <w:b/>
          <w:bCs/>
          <w:lang w:val="en-GB"/>
        </w:rPr>
        <w:t>3.2 Psychological Factors</w:t>
      </w:r>
    </w:p>
    <w:p w14:paraId="316C4C90" w14:textId="77777777" w:rsidR="007609E7" w:rsidRPr="007609E7" w:rsidRDefault="007609E7" w:rsidP="007609E7">
      <w:pPr>
        <w:rPr>
          <w:lang w:val="en-GB"/>
        </w:rPr>
      </w:pPr>
      <w:r w:rsidRPr="007609E7">
        <w:rPr>
          <w:lang w:val="en-GB"/>
        </w:rPr>
        <w:t>Pre-existing mental health conditions, maladaptive coping strategies, and prior trauma exposure increase vulnerability. Cognitive theories emphasise negative appraisals of trauma and persistent maladaptive beliefs about safety, trust, and self-efficacy (Greenwald &amp; Shapiro, 2018).</w:t>
      </w:r>
    </w:p>
    <w:p w14:paraId="22C1EFEE" w14:textId="77777777" w:rsidR="007609E7" w:rsidRPr="007609E7" w:rsidRDefault="007609E7" w:rsidP="007609E7">
      <w:pPr>
        <w:rPr>
          <w:b/>
          <w:bCs/>
          <w:lang w:val="en-GB"/>
        </w:rPr>
      </w:pPr>
      <w:r w:rsidRPr="007609E7">
        <w:rPr>
          <w:b/>
          <w:bCs/>
          <w:lang w:val="en-GB"/>
        </w:rPr>
        <w:t>3.3 Social and Environmental Factors</w:t>
      </w:r>
    </w:p>
    <w:p w14:paraId="051E391C" w14:textId="77777777" w:rsidR="007609E7" w:rsidRPr="007609E7" w:rsidRDefault="007609E7" w:rsidP="007609E7">
      <w:pPr>
        <w:rPr>
          <w:lang w:val="en-GB"/>
        </w:rPr>
      </w:pPr>
      <w:r w:rsidRPr="007609E7">
        <w:rPr>
          <w:lang w:val="en-GB"/>
        </w:rPr>
        <w:t>Lack of social support, ongoing stress, socioeconomic disadvantage, and exposure to chronic adversity exacerbate PTSD risk. Protective factors, including resilience, supportive networks, and access to mental health care, can mitigate severity (Stoddard et al., 2021).</w:t>
      </w:r>
    </w:p>
    <w:p w14:paraId="73818AC3" w14:textId="77777777" w:rsidR="007609E7" w:rsidRPr="007609E7" w:rsidRDefault="007609E7" w:rsidP="007609E7">
      <w:pPr>
        <w:rPr>
          <w:lang w:val="en-GB"/>
        </w:rPr>
      </w:pPr>
      <w:r w:rsidRPr="007609E7">
        <w:rPr>
          <w:lang w:val="en-GB"/>
        </w:rPr>
        <w:pict w14:anchorId="2523D504">
          <v:rect id="_x0000_i1081" style="width:0;height:1.5pt" o:hralign="center" o:hrstd="t" o:hr="t" fillcolor="#a0a0a0" stroked="f"/>
        </w:pict>
      </w:r>
    </w:p>
    <w:p w14:paraId="4BB53F65" w14:textId="77777777" w:rsidR="007609E7" w:rsidRPr="007609E7" w:rsidRDefault="007609E7" w:rsidP="007609E7">
      <w:pPr>
        <w:rPr>
          <w:b/>
          <w:bCs/>
          <w:lang w:val="en-GB"/>
        </w:rPr>
      </w:pPr>
      <w:r w:rsidRPr="007609E7">
        <w:rPr>
          <w:b/>
          <w:bCs/>
          <w:lang w:val="en-GB"/>
        </w:rPr>
        <w:t>4. Treatment Approaches</w:t>
      </w:r>
    </w:p>
    <w:p w14:paraId="034DD68B" w14:textId="77777777" w:rsidR="007609E7" w:rsidRPr="007609E7" w:rsidRDefault="007609E7" w:rsidP="007609E7">
      <w:pPr>
        <w:rPr>
          <w:b/>
          <w:bCs/>
          <w:lang w:val="en-GB"/>
        </w:rPr>
      </w:pPr>
      <w:r w:rsidRPr="007609E7">
        <w:rPr>
          <w:b/>
          <w:bCs/>
          <w:lang w:val="en-GB"/>
        </w:rPr>
        <w:t>4.1 Psychological Therapies</w:t>
      </w:r>
    </w:p>
    <w:p w14:paraId="5C2C4599" w14:textId="77777777" w:rsidR="007609E7" w:rsidRPr="007609E7" w:rsidRDefault="007609E7" w:rsidP="007609E7">
      <w:pPr>
        <w:rPr>
          <w:b/>
          <w:bCs/>
          <w:lang w:val="en-GB"/>
        </w:rPr>
      </w:pPr>
      <w:r w:rsidRPr="007609E7">
        <w:rPr>
          <w:b/>
          <w:bCs/>
          <w:lang w:val="en-GB"/>
        </w:rPr>
        <w:t>Trauma-Focused Cognitive Behavioural Therapy (TF-CBT)</w:t>
      </w:r>
    </w:p>
    <w:p w14:paraId="2976D3C8" w14:textId="77777777" w:rsidR="007609E7" w:rsidRPr="007609E7" w:rsidRDefault="007609E7" w:rsidP="007609E7">
      <w:pPr>
        <w:rPr>
          <w:lang w:val="en-GB"/>
        </w:rPr>
      </w:pPr>
      <w:r w:rsidRPr="007609E7">
        <w:rPr>
          <w:lang w:val="en-GB"/>
        </w:rPr>
        <w:lastRenderedPageBreak/>
        <w:t xml:space="preserve">TF-CBT addresses maladaptive thoughts and avoidance behaviours while promoting emotional processing. Evidence indicates significant symptom reduction and </w:t>
      </w:r>
      <w:proofErr w:type="gramStart"/>
      <w:r w:rsidRPr="007609E7">
        <w:rPr>
          <w:lang w:val="en-GB"/>
        </w:rPr>
        <w:t>improved</w:t>
      </w:r>
      <w:proofErr w:type="gramEnd"/>
      <w:r w:rsidRPr="007609E7">
        <w:rPr>
          <w:lang w:val="en-GB"/>
        </w:rPr>
        <w:t xml:space="preserve"> functional outcomes (NICE, 2018).</w:t>
      </w:r>
    </w:p>
    <w:p w14:paraId="4EA757ED" w14:textId="77777777" w:rsidR="007609E7" w:rsidRPr="007609E7" w:rsidRDefault="007609E7" w:rsidP="007609E7">
      <w:pPr>
        <w:rPr>
          <w:b/>
          <w:bCs/>
          <w:lang w:val="en-GB"/>
        </w:rPr>
      </w:pPr>
      <w:r w:rsidRPr="007609E7">
        <w:rPr>
          <w:b/>
          <w:bCs/>
          <w:lang w:val="en-GB"/>
        </w:rPr>
        <w:t>Eye Movement Desensitisation and Reprocessing (EMDR)</w:t>
      </w:r>
    </w:p>
    <w:p w14:paraId="04E508C0" w14:textId="77777777" w:rsidR="007609E7" w:rsidRPr="007609E7" w:rsidRDefault="007609E7" w:rsidP="007609E7">
      <w:pPr>
        <w:rPr>
          <w:lang w:val="en-GB"/>
        </w:rPr>
      </w:pPr>
      <w:r w:rsidRPr="007609E7">
        <w:rPr>
          <w:lang w:val="en-GB"/>
        </w:rPr>
        <w:t>EMDR facilitates the reprocessing of traumatic memories through bilateral stimulation. Meta-analyses demonstrate its efficacy is comparable to TF-CBT, particularly for reducing intrusive symptoms (Greenwald &amp; Shapiro, 2018).</w:t>
      </w:r>
    </w:p>
    <w:p w14:paraId="618D6592" w14:textId="77777777" w:rsidR="007609E7" w:rsidRPr="007609E7" w:rsidRDefault="007609E7" w:rsidP="007609E7">
      <w:pPr>
        <w:rPr>
          <w:b/>
          <w:bCs/>
          <w:lang w:val="en-GB"/>
        </w:rPr>
      </w:pPr>
      <w:r w:rsidRPr="007609E7">
        <w:rPr>
          <w:b/>
          <w:bCs/>
          <w:lang w:val="en-GB"/>
        </w:rPr>
        <w:t>Narrative Exposure Therapy (NET)</w:t>
      </w:r>
    </w:p>
    <w:p w14:paraId="087E783F" w14:textId="77777777" w:rsidR="007609E7" w:rsidRPr="007609E7" w:rsidRDefault="007609E7" w:rsidP="007609E7">
      <w:pPr>
        <w:rPr>
          <w:lang w:val="en-GB"/>
        </w:rPr>
      </w:pPr>
      <w:r w:rsidRPr="007609E7">
        <w:rPr>
          <w:lang w:val="en-GB"/>
        </w:rPr>
        <w:t>NET is commonly used with survivors of prolonged trauma, helping individuals construct coherent narratives and integrate traumatic memories, enhancing meaning-making and emotional regulation (</w:t>
      </w:r>
      <w:proofErr w:type="spellStart"/>
      <w:r w:rsidRPr="007609E7">
        <w:rPr>
          <w:lang w:val="en-GB"/>
        </w:rPr>
        <w:t>Robjant</w:t>
      </w:r>
      <w:proofErr w:type="spellEnd"/>
      <w:r w:rsidRPr="007609E7">
        <w:rPr>
          <w:lang w:val="en-GB"/>
        </w:rPr>
        <w:t xml:space="preserve"> &amp; Fazel, 2020).</w:t>
      </w:r>
    </w:p>
    <w:p w14:paraId="76D7B311" w14:textId="77777777" w:rsidR="007609E7" w:rsidRPr="007609E7" w:rsidRDefault="007609E7" w:rsidP="007609E7">
      <w:pPr>
        <w:rPr>
          <w:b/>
          <w:bCs/>
          <w:lang w:val="en-GB"/>
        </w:rPr>
      </w:pPr>
      <w:r w:rsidRPr="007609E7">
        <w:rPr>
          <w:b/>
          <w:bCs/>
          <w:lang w:val="en-GB"/>
        </w:rPr>
        <w:t>4.2 Pharmacological Interventions</w:t>
      </w:r>
    </w:p>
    <w:p w14:paraId="4BFD9D7E" w14:textId="77777777" w:rsidR="007609E7" w:rsidRPr="007609E7" w:rsidRDefault="007609E7" w:rsidP="007609E7">
      <w:pPr>
        <w:rPr>
          <w:lang w:val="en-GB"/>
        </w:rPr>
      </w:pPr>
      <w:r w:rsidRPr="007609E7">
        <w:rPr>
          <w:lang w:val="en-GB"/>
        </w:rPr>
        <w:t>SSRIs, including sertraline and paroxetine, are recommended when psychological therapies are insufficient or unavailable. They can alleviate anxiety, depression, and sleep disturbances but generally do not address core traumatic memory processing (Hoskins et al., 2021).</w:t>
      </w:r>
    </w:p>
    <w:p w14:paraId="5B8FD09A" w14:textId="77777777" w:rsidR="007609E7" w:rsidRPr="007609E7" w:rsidRDefault="007609E7" w:rsidP="007609E7">
      <w:pPr>
        <w:rPr>
          <w:b/>
          <w:bCs/>
          <w:lang w:val="en-GB"/>
        </w:rPr>
      </w:pPr>
      <w:r w:rsidRPr="007609E7">
        <w:rPr>
          <w:b/>
          <w:bCs/>
          <w:lang w:val="en-GB"/>
        </w:rPr>
        <w:t>4.3 Rehabilitation and Recovery</w:t>
      </w:r>
    </w:p>
    <w:p w14:paraId="37427804" w14:textId="77777777" w:rsidR="007609E7" w:rsidRPr="007609E7" w:rsidRDefault="007609E7" w:rsidP="007609E7">
      <w:pPr>
        <w:rPr>
          <w:lang w:val="en-GB"/>
        </w:rPr>
      </w:pPr>
      <w:r w:rsidRPr="007609E7">
        <w:rPr>
          <w:lang w:val="en-GB"/>
        </w:rPr>
        <w:t>Rehabilitation focuses on restoring social, occupational, and functional capacities. Psychoeducation, community support, vocational rehabilitation, and peer support programmes are integral. Trauma-informed care ensures safe, empowering, and collaborative recovery processes.</w:t>
      </w:r>
    </w:p>
    <w:p w14:paraId="0C0303A7" w14:textId="77777777" w:rsidR="007609E7" w:rsidRPr="007609E7" w:rsidRDefault="007609E7" w:rsidP="007609E7">
      <w:pPr>
        <w:rPr>
          <w:b/>
          <w:bCs/>
          <w:lang w:val="en-GB"/>
        </w:rPr>
      </w:pPr>
      <w:r w:rsidRPr="007609E7">
        <w:rPr>
          <w:b/>
          <w:bCs/>
          <w:lang w:val="en-GB"/>
        </w:rPr>
        <w:t>4.4 Limitations of Treatment</w:t>
      </w:r>
    </w:p>
    <w:p w14:paraId="6AAFDB1B" w14:textId="77777777" w:rsidR="007609E7" w:rsidRPr="007609E7" w:rsidRDefault="007609E7" w:rsidP="007609E7">
      <w:pPr>
        <w:rPr>
          <w:lang w:val="en-GB"/>
        </w:rPr>
      </w:pPr>
      <w:r w:rsidRPr="007609E7">
        <w:rPr>
          <w:lang w:val="en-GB"/>
        </w:rPr>
        <w:t>Barriers include therapy dropout due to distress, cultural incongruence, clinician shortages, and limited access for marginalised populations. Complex PTSD and comorbidities reduce treatment efficacy and complicate clinical management (</w:t>
      </w:r>
      <w:proofErr w:type="spellStart"/>
      <w:r w:rsidRPr="007609E7">
        <w:rPr>
          <w:lang w:val="en-GB"/>
        </w:rPr>
        <w:t>Cloitre</w:t>
      </w:r>
      <w:proofErr w:type="spellEnd"/>
      <w:r w:rsidRPr="007609E7">
        <w:rPr>
          <w:lang w:val="en-GB"/>
        </w:rPr>
        <w:t xml:space="preserve"> et al., 2020).</w:t>
      </w:r>
    </w:p>
    <w:p w14:paraId="777598E9" w14:textId="66D3074F" w:rsidR="007609E7" w:rsidRPr="007609E7" w:rsidRDefault="007609E7" w:rsidP="007609E7">
      <w:pPr>
        <w:rPr>
          <w:lang w:val="en-GB"/>
        </w:rPr>
      </w:pPr>
    </w:p>
    <w:p w14:paraId="75781761" w14:textId="77777777" w:rsidR="007609E7" w:rsidRPr="007609E7" w:rsidRDefault="007609E7" w:rsidP="007609E7">
      <w:pPr>
        <w:rPr>
          <w:b/>
          <w:bCs/>
          <w:lang w:val="en-GB"/>
        </w:rPr>
      </w:pPr>
      <w:r w:rsidRPr="007609E7">
        <w:rPr>
          <w:b/>
          <w:bCs/>
          <w:lang w:val="en-GB"/>
        </w:rPr>
        <w:t>5. Current Debates and Emerging Issues</w:t>
      </w:r>
    </w:p>
    <w:p w14:paraId="1B25E471" w14:textId="77777777" w:rsidR="007609E7" w:rsidRPr="007609E7" w:rsidRDefault="007609E7" w:rsidP="007609E7">
      <w:pPr>
        <w:rPr>
          <w:b/>
          <w:bCs/>
          <w:lang w:val="en-GB"/>
        </w:rPr>
      </w:pPr>
      <w:r w:rsidRPr="007609E7">
        <w:rPr>
          <w:b/>
          <w:bCs/>
          <w:lang w:val="en-GB"/>
        </w:rPr>
        <w:t>5.1 PTSD vs. Complex PTSD</w:t>
      </w:r>
    </w:p>
    <w:p w14:paraId="17B994CD" w14:textId="77777777" w:rsidR="007609E7" w:rsidRPr="007609E7" w:rsidRDefault="007609E7" w:rsidP="007609E7">
      <w:pPr>
        <w:rPr>
          <w:lang w:val="en-GB"/>
        </w:rPr>
      </w:pPr>
      <w:r w:rsidRPr="007609E7">
        <w:rPr>
          <w:lang w:val="en-GB"/>
        </w:rPr>
        <w:t>ICD-11’s distinction between PTSD and C-PTSD is debated. Some scholars advocate for improved precision, while others note diagnostic overlap and clinical challenges (</w:t>
      </w:r>
      <w:proofErr w:type="spellStart"/>
      <w:r w:rsidRPr="007609E7">
        <w:rPr>
          <w:lang w:val="en-GB"/>
        </w:rPr>
        <w:t>Karatzias</w:t>
      </w:r>
      <w:proofErr w:type="spellEnd"/>
      <w:r w:rsidRPr="007609E7">
        <w:rPr>
          <w:lang w:val="en-GB"/>
        </w:rPr>
        <w:t xml:space="preserve"> et al., 2019).</w:t>
      </w:r>
    </w:p>
    <w:p w14:paraId="458E3678" w14:textId="77777777" w:rsidR="007609E7" w:rsidRPr="007609E7" w:rsidRDefault="007609E7" w:rsidP="007609E7">
      <w:pPr>
        <w:rPr>
          <w:b/>
          <w:bCs/>
          <w:lang w:val="en-GB"/>
        </w:rPr>
      </w:pPr>
      <w:r w:rsidRPr="007609E7">
        <w:rPr>
          <w:b/>
          <w:bCs/>
          <w:lang w:val="en-GB"/>
        </w:rPr>
        <w:t>5.2 Neurodivergence</w:t>
      </w:r>
    </w:p>
    <w:p w14:paraId="7BCC63B2" w14:textId="77777777" w:rsidR="007609E7" w:rsidRPr="007609E7" w:rsidRDefault="007609E7" w:rsidP="007609E7">
      <w:pPr>
        <w:rPr>
          <w:lang w:val="en-GB"/>
        </w:rPr>
      </w:pPr>
      <w:r w:rsidRPr="007609E7">
        <w:rPr>
          <w:lang w:val="en-GB"/>
        </w:rPr>
        <w:lastRenderedPageBreak/>
        <w:t>Neurodivergent individuals (e.g., autistic or ADHD populations) may present PTSD differently, with sensory sensitivities or behavioural manifestations affecting assessment and treatment (Stoddard et al., 2021).</w:t>
      </w:r>
    </w:p>
    <w:p w14:paraId="6B199627" w14:textId="77777777" w:rsidR="007609E7" w:rsidRPr="007609E7" w:rsidRDefault="007609E7" w:rsidP="007609E7">
      <w:pPr>
        <w:rPr>
          <w:b/>
          <w:bCs/>
          <w:lang w:val="en-GB"/>
        </w:rPr>
      </w:pPr>
      <w:r w:rsidRPr="007609E7">
        <w:rPr>
          <w:b/>
          <w:bCs/>
          <w:lang w:val="en-GB"/>
        </w:rPr>
        <w:t>5.3 Cultural Validity</w:t>
      </w:r>
    </w:p>
    <w:p w14:paraId="4FA244FC" w14:textId="77777777" w:rsidR="007609E7" w:rsidRPr="007609E7" w:rsidRDefault="007609E7" w:rsidP="007609E7">
      <w:pPr>
        <w:rPr>
          <w:lang w:val="en-GB"/>
        </w:rPr>
      </w:pPr>
      <w:r w:rsidRPr="007609E7">
        <w:rPr>
          <w:lang w:val="en-GB"/>
        </w:rPr>
        <w:t>PTSD conceptualisations are criticised as Western-centric. Symptoms may manifest differently across cultures, requiring culturally sensitive assessment and intervention approaches (Summerfield, 2019).</w:t>
      </w:r>
    </w:p>
    <w:p w14:paraId="1F3D6A44" w14:textId="77777777" w:rsidR="007609E7" w:rsidRPr="007609E7" w:rsidRDefault="007609E7" w:rsidP="007609E7">
      <w:pPr>
        <w:rPr>
          <w:b/>
          <w:bCs/>
          <w:lang w:val="en-GB"/>
        </w:rPr>
      </w:pPr>
      <w:r w:rsidRPr="007609E7">
        <w:rPr>
          <w:b/>
          <w:bCs/>
          <w:lang w:val="en-GB"/>
        </w:rPr>
        <w:t>5.4 Biomedical vs. Psychosocial Models</w:t>
      </w:r>
    </w:p>
    <w:p w14:paraId="122269B4" w14:textId="77777777" w:rsidR="007609E7" w:rsidRPr="007609E7" w:rsidRDefault="007609E7" w:rsidP="007609E7">
      <w:pPr>
        <w:rPr>
          <w:lang w:val="en-GB"/>
        </w:rPr>
      </w:pPr>
      <w:r w:rsidRPr="007609E7">
        <w:rPr>
          <w:lang w:val="en-GB"/>
        </w:rPr>
        <w:t xml:space="preserve">Ongoing debate exists between biological explanations (neurobiological dysregulation) and psychosocial frameworks (social determinants, </w:t>
      </w:r>
      <w:proofErr w:type="gramStart"/>
      <w:r w:rsidRPr="007609E7">
        <w:rPr>
          <w:lang w:val="en-GB"/>
        </w:rPr>
        <w:t>meaning-making</w:t>
      </w:r>
      <w:proofErr w:type="gramEnd"/>
      <w:r w:rsidRPr="007609E7">
        <w:rPr>
          <w:lang w:val="en-GB"/>
        </w:rPr>
        <w:t>) of PTSD, influencing service design and policy (Brewin, 2020).</w:t>
      </w:r>
    </w:p>
    <w:p w14:paraId="4D3DDE4E" w14:textId="48CC4175" w:rsidR="007609E7" w:rsidRPr="007609E7" w:rsidRDefault="007609E7" w:rsidP="007609E7">
      <w:pPr>
        <w:rPr>
          <w:lang w:val="en-GB"/>
        </w:rPr>
      </w:pPr>
    </w:p>
    <w:p w14:paraId="59862DDA" w14:textId="77777777" w:rsidR="007609E7" w:rsidRPr="007609E7" w:rsidRDefault="007609E7" w:rsidP="007609E7">
      <w:pPr>
        <w:rPr>
          <w:b/>
          <w:bCs/>
          <w:lang w:val="en-GB"/>
        </w:rPr>
      </w:pPr>
      <w:r w:rsidRPr="007609E7">
        <w:rPr>
          <w:b/>
          <w:bCs/>
          <w:lang w:val="en-GB"/>
        </w:rPr>
        <w:t>6. Recommendations</w:t>
      </w:r>
    </w:p>
    <w:p w14:paraId="0B99E408" w14:textId="77777777" w:rsidR="007609E7" w:rsidRPr="007609E7" w:rsidRDefault="007609E7" w:rsidP="007609E7">
      <w:pPr>
        <w:numPr>
          <w:ilvl w:val="0"/>
          <w:numId w:val="12"/>
        </w:numPr>
        <w:rPr>
          <w:lang w:val="en-GB"/>
        </w:rPr>
      </w:pPr>
      <w:r w:rsidRPr="007609E7">
        <w:rPr>
          <w:lang w:val="en-GB"/>
        </w:rPr>
        <w:t>Develop culturally sensitive and neurodiversity-informed diagnostic tools.</w:t>
      </w:r>
    </w:p>
    <w:p w14:paraId="29CDC699" w14:textId="77777777" w:rsidR="007609E7" w:rsidRPr="007609E7" w:rsidRDefault="007609E7" w:rsidP="007609E7">
      <w:pPr>
        <w:numPr>
          <w:ilvl w:val="0"/>
          <w:numId w:val="12"/>
        </w:numPr>
        <w:rPr>
          <w:lang w:val="en-GB"/>
        </w:rPr>
      </w:pPr>
      <w:r w:rsidRPr="007609E7">
        <w:rPr>
          <w:lang w:val="en-GB"/>
        </w:rPr>
        <w:t>Expand access to trauma-informed psychological therapies.</w:t>
      </w:r>
    </w:p>
    <w:p w14:paraId="56489E31" w14:textId="77777777" w:rsidR="007609E7" w:rsidRPr="007609E7" w:rsidRDefault="007609E7" w:rsidP="007609E7">
      <w:pPr>
        <w:numPr>
          <w:ilvl w:val="0"/>
          <w:numId w:val="12"/>
        </w:numPr>
        <w:rPr>
          <w:lang w:val="en-GB"/>
        </w:rPr>
      </w:pPr>
      <w:r w:rsidRPr="007609E7">
        <w:rPr>
          <w:lang w:val="en-GB"/>
        </w:rPr>
        <w:t>Strengthen rehabilitation pathways including social, occupational, and community support.</w:t>
      </w:r>
    </w:p>
    <w:p w14:paraId="3AE9A9FF" w14:textId="77777777" w:rsidR="007609E7" w:rsidRPr="007609E7" w:rsidRDefault="007609E7" w:rsidP="007609E7">
      <w:pPr>
        <w:numPr>
          <w:ilvl w:val="0"/>
          <w:numId w:val="12"/>
        </w:numPr>
        <w:rPr>
          <w:lang w:val="en-GB"/>
        </w:rPr>
      </w:pPr>
      <w:r w:rsidRPr="007609E7">
        <w:rPr>
          <w:lang w:val="en-GB"/>
        </w:rPr>
        <w:t>Increase research on neurodivergent populations and culturally diverse communities.</w:t>
      </w:r>
    </w:p>
    <w:p w14:paraId="312B8091" w14:textId="77777777" w:rsidR="007609E7" w:rsidRPr="007609E7" w:rsidRDefault="007609E7" w:rsidP="007609E7">
      <w:pPr>
        <w:numPr>
          <w:ilvl w:val="0"/>
          <w:numId w:val="12"/>
        </w:numPr>
        <w:rPr>
          <w:lang w:val="en-GB"/>
        </w:rPr>
      </w:pPr>
      <w:r w:rsidRPr="007609E7">
        <w:rPr>
          <w:lang w:val="en-GB"/>
        </w:rPr>
        <w:t>Implement trauma-informed policy across health and social care services.</w:t>
      </w:r>
    </w:p>
    <w:p w14:paraId="6CF007D9" w14:textId="5EF80496" w:rsidR="007609E7" w:rsidRPr="007609E7" w:rsidRDefault="007609E7" w:rsidP="007609E7">
      <w:pPr>
        <w:rPr>
          <w:lang w:val="en-GB"/>
        </w:rPr>
      </w:pPr>
    </w:p>
    <w:p w14:paraId="4F6A137B" w14:textId="77777777" w:rsidR="007609E7" w:rsidRPr="007609E7" w:rsidRDefault="007609E7" w:rsidP="007609E7">
      <w:pPr>
        <w:rPr>
          <w:b/>
          <w:bCs/>
          <w:lang w:val="en-GB"/>
        </w:rPr>
      </w:pPr>
      <w:r w:rsidRPr="007609E7">
        <w:rPr>
          <w:b/>
          <w:bCs/>
          <w:lang w:val="en-GB"/>
        </w:rPr>
        <w:t>7. Conclusion</w:t>
      </w:r>
    </w:p>
    <w:p w14:paraId="337A3512" w14:textId="77777777" w:rsidR="007609E7" w:rsidRPr="007609E7" w:rsidRDefault="007609E7" w:rsidP="007609E7">
      <w:pPr>
        <w:rPr>
          <w:lang w:val="en-GB"/>
        </w:rPr>
      </w:pPr>
      <w:r w:rsidRPr="007609E7">
        <w:rPr>
          <w:lang w:val="en-GB"/>
        </w:rPr>
        <w:t>PTSD is a significant, complex mental health disorder with extensive functional, social, and physical implications. ICD-11 provides a clinically useful framework, but challenges remain, particularly regarding C-PTSD, cultural applicability, and neurodivergence. Effective recovery requires evidence-based psychological therapies, trauma-informed rehabilitation, and policy support that addresses social determinants of health. Ongoing research and service improvements are essential to enhance outcomes for individuals living with PTSD.</w:t>
      </w:r>
    </w:p>
    <w:p w14:paraId="7252AFC7" w14:textId="6BD4DB96" w:rsidR="007609E7" w:rsidRPr="007609E7" w:rsidRDefault="007609E7" w:rsidP="007609E7">
      <w:pPr>
        <w:rPr>
          <w:lang w:val="en-GB"/>
        </w:rPr>
      </w:pPr>
    </w:p>
    <w:p w14:paraId="0884AEF8" w14:textId="65391298" w:rsidR="000B246B" w:rsidRDefault="007609E7" w:rsidP="007609E7">
      <w:pPr>
        <w:rPr>
          <w:b/>
          <w:bCs/>
          <w:lang w:val="en-GB"/>
        </w:rPr>
      </w:pPr>
      <w:r w:rsidRPr="007609E7">
        <w:rPr>
          <w:b/>
          <w:bCs/>
          <w:lang w:val="en-GB"/>
        </w:rPr>
        <w:t>References</w:t>
      </w:r>
    </w:p>
    <w:p w14:paraId="3432084C" w14:textId="1785F13F" w:rsidR="007609E7" w:rsidRPr="007609E7" w:rsidRDefault="007609E7" w:rsidP="007609E7">
      <w:pPr>
        <w:rPr>
          <w:lang w:val="en-GB"/>
        </w:rPr>
      </w:pPr>
      <w:r w:rsidRPr="007609E7">
        <w:rPr>
          <w:lang w:val="en-GB"/>
        </w:rPr>
        <w:t>Bisson, J.I., Cosgrove, S., Lewis, C. and Roberts, N.P. (2021) ‘</w:t>
      </w:r>
      <w:proofErr w:type="gramStart"/>
      <w:r w:rsidRPr="007609E7">
        <w:rPr>
          <w:lang w:val="en-GB"/>
        </w:rPr>
        <w:t>Post-traumatic</w:t>
      </w:r>
      <w:proofErr w:type="gramEnd"/>
      <w:r w:rsidRPr="007609E7">
        <w:rPr>
          <w:lang w:val="en-GB"/>
        </w:rPr>
        <w:t xml:space="preserve"> stress disorder’, </w:t>
      </w:r>
      <w:r w:rsidRPr="007609E7">
        <w:rPr>
          <w:i/>
          <w:iCs/>
          <w:lang w:val="en-GB"/>
        </w:rPr>
        <w:t>BMJ</w:t>
      </w:r>
      <w:r w:rsidRPr="007609E7">
        <w:rPr>
          <w:lang w:val="en-GB"/>
        </w:rPr>
        <w:t>, 372(94), pp. 1–10.</w:t>
      </w:r>
    </w:p>
    <w:p w14:paraId="7E752645" w14:textId="77777777" w:rsidR="007609E7" w:rsidRPr="007609E7" w:rsidRDefault="007609E7" w:rsidP="007609E7">
      <w:pPr>
        <w:rPr>
          <w:lang w:val="en-GB"/>
        </w:rPr>
      </w:pPr>
      <w:r w:rsidRPr="007609E7">
        <w:rPr>
          <w:lang w:val="en-GB"/>
        </w:rPr>
        <w:lastRenderedPageBreak/>
        <w:t xml:space="preserve">Brewin, C.R. (2020) ‘Theoretical foundations of post-traumatic stress disorder’, </w:t>
      </w:r>
      <w:r w:rsidRPr="007609E7">
        <w:rPr>
          <w:i/>
          <w:iCs/>
          <w:lang w:val="en-GB"/>
        </w:rPr>
        <w:t>Clinical Psychology Review</w:t>
      </w:r>
      <w:r w:rsidRPr="007609E7">
        <w:rPr>
          <w:lang w:val="en-GB"/>
        </w:rPr>
        <w:t>, 79, pp. 1–12.</w:t>
      </w:r>
    </w:p>
    <w:p w14:paraId="6F4A1D06" w14:textId="77777777" w:rsidR="007609E7" w:rsidRPr="007609E7" w:rsidRDefault="007609E7" w:rsidP="007609E7">
      <w:pPr>
        <w:rPr>
          <w:lang w:val="en-GB"/>
        </w:rPr>
      </w:pPr>
      <w:proofErr w:type="spellStart"/>
      <w:r w:rsidRPr="007609E7">
        <w:rPr>
          <w:lang w:val="en-GB"/>
        </w:rPr>
        <w:t>Cloitre</w:t>
      </w:r>
      <w:proofErr w:type="spellEnd"/>
      <w:r w:rsidRPr="007609E7">
        <w:rPr>
          <w:lang w:val="en-GB"/>
        </w:rPr>
        <w:t xml:space="preserve">, M., Brewin, C.R., Bisson, J.I., </w:t>
      </w:r>
      <w:proofErr w:type="spellStart"/>
      <w:r w:rsidRPr="007609E7">
        <w:rPr>
          <w:lang w:val="en-GB"/>
        </w:rPr>
        <w:t>Ruglass</w:t>
      </w:r>
      <w:proofErr w:type="spellEnd"/>
      <w:r w:rsidRPr="007609E7">
        <w:rPr>
          <w:lang w:val="en-GB"/>
        </w:rPr>
        <w:t xml:space="preserve">, L., Wijngaarden-Cremers, P.J.M. and </w:t>
      </w:r>
      <w:proofErr w:type="spellStart"/>
      <w:r w:rsidRPr="007609E7">
        <w:rPr>
          <w:lang w:val="en-GB"/>
        </w:rPr>
        <w:t>Maercker</w:t>
      </w:r>
      <w:proofErr w:type="spellEnd"/>
      <w:r w:rsidRPr="007609E7">
        <w:rPr>
          <w:lang w:val="en-GB"/>
        </w:rPr>
        <w:t xml:space="preserve">, A. (2020) ‘Evidence for the ICD-11 trauma-related disorders: PTSD and Complex PTSD’, </w:t>
      </w:r>
      <w:r w:rsidRPr="007609E7">
        <w:rPr>
          <w:i/>
          <w:iCs/>
          <w:lang w:val="en-GB"/>
        </w:rPr>
        <w:t>World Psychiatry</w:t>
      </w:r>
      <w:r w:rsidRPr="007609E7">
        <w:rPr>
          <w:lang w:val="en-GB"/>
        </w:rPr>
        <w:t>, 19(2), pp. 174–185.</w:t>
      </w:r>
    </w:p>
    <w:p w14:paraId="0948680B" w14:textId="77777777" w:rsidR="007609E7" w:rsidRPr="007609E7" w:rsidRDefault="007609E7" w:rsidP="007609E7">
      <w:pPr>
        <w:rPr>
          <w:lang w:val="en-GB"/>
        </w:rPr>
      </w:pPr>
      <w:r w:rsidRPr="007609E7">
        <w:rPr>
          <w:lang w:val="en-GB"/>
        </w:rPr>
        <w:t xml:space="preserve">Greenwald, R. and Shapiro, F. (2018) ‘Eye Movement Desensitisation and Reprocessing (EMDR) therapy’, </w:t>
      </w:r>
      <w:r w:rsidRPr="007609E7">
        <w:rPr>
          <w:i/>
          <w:iCs/>
          <w:lang w:val="en-GB"/>
        </w:rPr>
        <w:t>Journal of EMDR Practice and Research</w:t>
      </w:r>
      <w:r w:rsidRPr="007609E7">
        <w:rPr>
          <w:lang w:val="en-GB"/>
        </w:rPr>
        <w:t>, 12(1), pp. 1–10.</w:t>
      </w:r>
    </w:p>
    <w:p w14:paraId="39CC2106" w14:textId="77777777" w:rsidR="007609E7" w:rsidRPr="007609E7" w:rsidRDefault="007609E7" w:rsidP="007609E7">
      <w:pPr>
        <w:rPr>
          <w:lang w:val="en-GB"/>
        </w:rPr>
      </w:pPr>
      <w:r w:rsidRPr="007609E7">
        <w:rPr>
          <w:lang w:val="en-GB"/>
        </w:rPr>
        <w:t xml:space="preserve">Hoskins, M., Pearce, J., Bethell, A., </w:t>
      </w:r>
      <w:proofErr w:type="spellStart"/>
      <w:r w:rsidRPr="007609E7">
        <w:rPr>
          <w:lang w:val="en-GB"/>
        </w:rPr>
        <w:t>Dankova</w:t>
      </w:r>
      <w:proofErr w:type="spellEnd"/>
      <w:r w:rsidRPr="007609E7">
        <w:rPr>
          <w:lang w:val="en-GB"/>
        </w:rPr>
        <w:t xml:space="preserve">, L., </w:t>
      </w:r>
      <w:proofErr w:type="spellStart"/>
      <w:r w:rsidRPr="007609E7">
        <w:rPr>
          <w:lang w:val="en-GB"/>
        </w:rPr>
        <w:t>Barbui</w:t>
      </w:r>
      <w:proofErr w:type="spellEnd"/>
      <w:r w:rsidRPr="007609E7">
        <w:rPr>
          <w:lang w:val="en-GB"/>
        </w:rPr>
        <w:t xml:space="preserve">, C., Tol, W. and Bisson, J.I. (2021) ‘Pharmacotherapy for post-traumatic stress disorder’, </w:t>
      </w:r>
      <w:r w:rsidRPr="007609E7">
        <w:rPr>
          <w:i/>
          <w:iCs/>
          <w:lang w:val="en-GB"/>
        </w:rPr>
        <w:t>Cochrane Database of Systematic Reviews</w:t>
      </w:r>
      <w:r w:rsidRPr="007609E7">
        <w:rPr>
          <w:lang w:val="en-GB"/>
        </w:rPr>
        <w:t>, 2021(3), pp. 1–65.</w:t>
      </w:r>
    </w:p>
    <w:p w14:paraId="671BB167" w14:textId="77777777" w:rsidR="007609E7" w:rsidRPr="007609E7" w:rsidRDefault="007609E7" w:rsidP="007609E7">
      <w:pPr>
        <w:rPr>
          <w:lang w:val="en-GB"/>
        </w:rPr>
      </w:pPr>
      <w:proofErr w:type="spellStart"/>
      <w:r w:rsidRPr="007609E7">
        <w:rPr>
          <w:lang w:val="en-GB"/>
        </w:rPr>
        <w:t>Karatzias</w:t>
      </w:r>
      <w:proofErr w:type="spellEnd"/>
      <w:r w:rsidRPr="007609E7">
        <w:rPr>
          <w:lang w:val="en-GB"/>
        </w:rPr>
        <w:t xml:space="preserve">, T., </w:t>
      </w:r>
      <w:proofErr w:type="spellStart"/>
      <w:r w:rsidRPr="007609E7">
        <w:rPr>
          <w:lang w:val="en-GB"/>
        </w:rPr>
        <w:t>Cloitre</w:t>
      </w:r>
      <w:proofErr w:type="spellEnd"/>
      <w:r w:rsidRPr="007609E7">
        <w:rPr>
          <w:lang w:val="en-GB"/>
        </w:rPr>
        <w:t xml:space="preserve">, M., Hyland, P., Bradley, A., Roberts, N.P. and Shevlin, M. (2019) ‘Refining the diagnosis of Complex PTSD in ICD-11: A study of diagnostic structure’, </w:t>
      </w:r>
      <w:r w:rsidRPr="007609E7">
        <w:rPr>
          <w:i/>
          <w:iCs/>
          <w:lang w:val="en-GB"/>
        </w:rPr>
        <w:t xml:space="preserve">European Journal of </w:t>
      </w:r>
      <w:proofErr w:type="spellStart"/>
      <w:r w:rsidRPr="007609E7">
        <w:rPr>
          <w:i/>
          <w:iCs/>
          <w:lang w:val="en-GB"/>
        </w:rPr>
        <w:t>Psychotraumatology</w:t>
      </w:r>
      <w:proofErr w:type="spellEnd"/>
      <w:r w:rsidRPr="007609E7">
        <w:rPr>
          <w:lang w:val="en-GB"/>
        </w:rPr>
        <w:t>, 10(1), pp. 1–13.</w:t>
      </w:r>
    </w:p>
    <w:p w14:paraId="2C71AE89" w14:textId="77777777" w:rsidR="007609E7" w:rsidRPr="007609E7" w:rsidRDefault="007609E7" w:rsidP="007609E7">
      <w:pPr>
        <w:rPr>
          <w:lang w:val="en-GB"/>
        </w:rPr>
      </w:pPr>
      <w:proofErr w:type="spellStart"/>
      <w:r w:rsidRPr="007609E7">
        <w:rPr>
          <w:lang w:val="en-GB"/>
        </w:rPr>
        <w:t>Maercker</w:t>
      </w:r>
      <w:proofErr w:type="spellEnd"/>
      <w:r w:rsidRPr="007609E7">
        <w:rPr>
          <w:lang w:val="en-GB"/>
        </w:rPr>
        <w:t xml:space="preserve">, A., Hecker, T., Augsburger, M. and Kliem, S. (2022) ‘Classification developments in ICD-11 for post-traumatic stress disorder’, </w:t>
      </w:r>
      <w:r w:rsidRPr="007609E7">
        <w:rPr>
          <w:i/>
          <w:iCs/>
          <w:lang w:val="en-GB"/>
        </w:rPr>
        <w:t>International Review of Psychiatry</w:t>
      </w:r>
      <w:r w:rsidRPr="007609E7">
        <w:rPr>
          <w:lang w:val="en-GB"/>
        </w:rPr>
        <w:t>, 34(3), pp. 207–215.</w:t>
      </w:r>
    </w:p>
    <w:p w14:paraId="204189C0" w14:textId="77777777" w:rsidR="007609E7" w:rsidRPr="007609E7" w:rsidRDefault="007609E7" w:rsidP="007609E7">
      <w:pPr>
        <w:rPr>
          <w:lang w:val="en-GB"/>
        </w:rPr>
      </w:pPr>
      <w:r w:rsidRPr="007609E7">
        <w:rPr>
          <w:lang w:val="en-GB"/>
        </w:rPr>
        <w:t xml:space="preserve">NICE (National Institute for Health and Care Excellence) (2018) </w:t>
      </w:r>
      <w:proofErr w:type="gramStart"/>
      <w:r w:rsidRPr="007609E7">
        <w:rPr>
          <w:i/>
          <w:iCs/>
          <w:lang w:val="en-GB"/>
        </w:rPr>
        <w:t>Post-traumatic</w:t>
      </w:r>
      <w:proofErr w:type="gramEnd"/>
      <w:r w:rsidRPr="007609E7">
        <w:rPr>
          <w:i/>
          <w:iCs/>
          <w:lang w:val="en-GB"/>
        </w:rPr>
        <w:t xml:space="preserve"> stress disorder: Evidence-based recommendations (NG116)</w:t>
      </w:r>
      <w:r w:rsidRPr="007609E7">
        <w:rPr>
          <w:lang w:val="en-GB"/>
        </w:rPr>
        <w:t>. London: NICE.</w:t>
      </w:r>
    </w:p>
    <w:p w14:paraId="0D4E4546" w14:textId="77777777" w:rsidR="007609E7" w:rsidRPr="007609E7" w:rsidRDefault="007609E7" w:rsidP="007609E7">
      <w:pPr>
        <w:rPr>
          <w:lang w:val="en-GB"/>
        </w:rPr>
      </w:pPr>
      <w:proofErr w:type="spellStart"/>
      <w:r w:rsidRPr="007609E7">
        <w:rPr>
          <w:lang w:val="en-GB"/>
        </w:rPr>
        <w:t>Robjant</w:t>
      </w:r>
      <w:proofErr w:type="spellEnd"/>
      <w:r w:rsidRPr="007609E7">
        <w:rPr>
          <w:lang w:val="en-GB"/>
        </w:rPr>
        <w:t xml:space="preserve">, K. and Fazel, M. (2020) ‘Narrative exposure therapy for survivors of trauma’, </w:t>
      </w:r>
      <w:r w:rsidRPr="007609E7">
        <w:rPr>
          <w:i/>
          <w:iCs/>
          <w:lang w:val="en-GB"/>
        </w:rPr>
        <w:t>The Lancet Psychiatry</w:t>
      </w:r>
      <w:r w:rsidRPr="007609E7">
        <w:rPr>
          <w:lang w:val="en-GB"/>
        </w:rPr>
        <w:t>, 7(4), pp. 302–310.</w:t>
      </w:r>
    </w:p>
    <w:p w14:paraId="0EC43C97" w14:textId="77777777" w:rsidR="007609E7" w:rsidRPr="007609E7" w:rsidRDefault="007609E7" w:rsidP="007609E7">
      <w:pPr>
        <w:rPr>
          <w:lang w:val="en-GB"/>
        </w:rPr>
      </w:pPr>
      <w:r w:rsidRPr="007609E7">
        <w:rPr>
          <w:lang w:val="en-GB"/>
        </w:rPr>
        <w:t xml:space="preserve">Stoddard, J., MacNeil, S., Kim, H. and Jovanovic, T. (2021) ‘Trauma exposure and neurodiversity: Implications for diagnosis and treatment’, </w:t>
      </w:r>
      <w:r w:rsidRPr="007609E7">
        <w:rPr>
          <w:i/>
          <w:iCs/>
          <w:lang w:val="en-GB"/>
        </w:rPr>
        <w:t>Journal of Autism and Developmental Disorders</w:t>
      </w:r>
      <w:r w:rsidRPr="007609E7">
        <w:rPr>
          <w:lang w:val="en-GB"/>
        </w:rPr>
        <w:t>, 51(9), pp. 3302–3313.</w:t>
      </w:r>
    </w:p>
    <w:p w14:paraId="19551C23" w14:textId="77777777" w:rsidR="007609E7" w:rsidRPr="007609E7" w:rsidRDefault="007609E7" w:rsidP="007609E7">
      <w:pPr>
        <w:rPr>
          <w:lang w:val="en-GB"/>
        </w:rPr>
      </w:pPr>
      <w:r w:rsidRPr="007609E7">
        <w:rPr>
          <w:lang w:val="en-GB"/>
        </w:rPr>
        <w:t xml:space="preserve">Summerfield, D. (2019) ‘Critiquing the Westernisation of PTSD: Culturally informed perspectives’, </w:t>
      </w:r>
      <w:r w:rsidRPr="007609E7">
        <w:rPr>
          <w:i/>
          <w:iCs/>
          <w:lang w:val="en-GB"/>
        </w:rPr>
        <w:t>British Journal of Psychiatry</w:t>
      </w:r>
      <w:r w:rsidRPr="007609E7">
        <w:rPr>
          <w:lang w:val="en-GB"/>
        </w:rPr>
        <w:t>, 215(2), pp. 471–473.</w:t>
      </w:r>
    </w:p>
    <w:p w14:paraId="712535CA" w14:textId="77777777" w:rsidR="007609E7" w:rsidRPr="007609E7" w:rsidRDefault="007609E7" w:rsidP="007609E7">
      <w:pPr>
        <w:rPr>
          <w:lang w:val="en-GB"/>
        </w:rPr>
      </w:pPr>
      <w:r w:rsidRPr="007609E7">
        <w:rPr>
          <w:lang w:val="en-GB"/>
        </w:rPr>
        <w:t xml:space="preserve">World Health Organization (WHO) (2022) </w:t>
      </w:r>
      <w:r w:rsidRPr="007609E7">
        <w:rPr>
          <w:i/>
          <w:iCs/>
          <w:lang w:val="en-GB"/>
        </w:rPr>
        <w:t>International Classification of Diseases 11th Revision (ICD-11)</w:t>
      </w:r>
      <w:r w:rsidRPr="007609E7">
        <w:rPr>
          <w:lang w:val="en-GB"/>
        </w:rPr>
        <w:t>. Geneva: WHO.</w:t>
      </w:r>
    </w:p>
    <w:p w14:paraId="3B8D86BC" w14:textId="598B3B64" w:rsidR="007609E7" w:rsidRPr="007609E7" w:rsidRDefault="007609E7" w:rsidP="007609E7">
      <w:pPr>
        <w:rPr>
          <w:lang w:val="en-GB"/>
        </w:rPr>
      </w:pPr>
    </w:p>
    <w:p w14:paraId="27D84F5D" w14:textId="77777777" w:rsidR="007609E7" w:rsidRPr="007609E7" w:rsidRDefault="007609E7" w:rsidP="007609E7">
      <w:pPr>
        <w:rPr>
          <w:vanish/>
          <w:lang w:val="en-GB"/>
        </w:rPr>
      </w:pPr>
      <w:r w:rsidRPr="007609E7">
        <w:rPr>
          <w:vanish/>
          <w:lang w:val="en-GB"/>
        </w:rPr>
        <w:t>Top of Form</w:t>
      </w:r>
    </w:p>
    <w:p w14:paraId="30697B94" w14:textId="77777777" w:rsidR="007609E7" w:rsidRPr="007609E7" w:rsidRDefault="007609E7" w:rsidP="007609E7">
      <w:pPr>
        <w:rPr>
          <w:lang w:val="en-GB"/>
        </w:rPr>
      </w:pPr>
    </w:p>
    <w:p w14:paraId="59B6999B" w14:textId="77777777" w:rsidR="007609E7" w:rsidRPr="007609E7" w:rsidRDefault="007609E7" w:rsidP="007609E7">
      <w:pPr>
        <w:rPr>
          <w:vanish/>
          <w:lang w:val="en-GB"/>
        </w:rPr>
      </w:pPr>
      <w:r w:rsidRPr="007609E7">
        <w:rPr>
          <w:vanish/>
          <w:lang w:val="en-GB"/>
        </w:rPr>
        <w:t>Bottom of Form</w:t>
      </w:r>
    </w:p>
    <w:p w14:paraId="253193C7" w14:textId="77777777" w:rsidR="007609E7" w:rsidRPr="007609E7" w:rsidRDefault="007609E7" w:rsidP="007609E7">
      <w:pPr>
        <w:rPr>
          <w:lang w:val="en-GB"/>
        </w:rPr>
      </w:pPr>
    </w:p>
    <w:sectPr w:rsidR="007609E7" w:rsidRPr="007609E7" w:rsidSect="00034616">
      <w:pgSz w:w="12240" w:h="15840"/>
      <w:pgMar w:top="1440" w:right="1800" w:bottom="1440" w:left="180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MS Mincho">
    <w:altName w:val="ＭＳ 明朝"/>
    <w:panose1 w:val="02020609040205080304"/>
    <w:charset w:val="80"/>
    <w:family w:val="modern"/>
    <w:pitch w:val="fixed"/>
    <w:sig w:usb0="E00002FF" w:usb1="6AC7FDFB" w:usb2="08000012" w:usb3="00000000" w:csb0="0002009F" w:csb1="00000000"/>
  </w:font>
  <w:font w:name="Calibri">
    <w:panose1 w:val="020F0502020204030204"/>
    <w:charset w:val="00"/>
    <w:family w:val="swiss"/>
    <w:pitch w:val="variable"/>
    <w:sig w:usb0="E4002EFF" w:usb1="C200247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Courier">
    <w:panose1 w:val="02070409020205020404"/>
    <w:charset w:val="00"/>
    <w:family w:val="auto"/>
    <w:pitch w:val="variable"/>
    <w:sig w:usb0="00000003" w:usb1="00000000" w:usb2="00000000" w:usb3="00000000" w:csb0="00000001"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7C"/>
    <w:multiLevelType w:val="singleLevel"/>
    <w:tmpl w:val="C310EC42"/>
    <w:lvl w:ilvl="0">
      <w:start w:val="1"/>
      <w:numFmt w:val="decimal"/>
      <w:lvlText w:val="%1."/>
      <w:lvlJc w:val="left"/>
      <w:pPr>
        <w:tabs>
          <w:tab w:val="num" w:pos="1800"/>
        </w:tabs>
        <w:ind w:left="1800" w:hanging="360"/>
      </w:pPr>
    </w:lvl>
  </w:abstractNum>
  <w:abstractNum w:abstractNumId="1" w15:restartNumberingAfterBreak="0">
    <w:nsid w:val="FFFFFF7D"/>
    <w:multiLevelType w:val="singleLevel"/>
    <w:tmpl w:val="E4089024"/>
    <w:lvl w:ilvl="0">
      <w:start w:val="1"/>
      <w:numFmt w:val="decimal"/>
      <w:lvlText w:val="%1."/>
      <w:lvlJc w:val="left"/>
      <w:pPr>
        <w:tabs>
          <w:tab w:val="num" w:pos="1440"/>
        </w:tabs>
        <w:ind w:left="1440" w:hanging="360"/>
      </w:pPr>
    </w:lvl>
  </w:abstractNum>
  <w:abstractNum w:abstractNumId="2" w15:restartNumberingAfterBreak="0">
    <w:nsid w:val="FFFFFF7E"/>
    <w:multiLevelType w:val="singleLevel"/>
    <w:tmpl w:val="FB12693A"/>
    <w:lvl w:ilvl="0">
      <w:start w:val="1"/>
      <w:numFmt w:val="decimal"/>
      <w:pStyle w:val="ListNumber3"/>
      <w:lvlText w:val="%1."/>
      <w:lvlJc w:val="left"/>
      <w:pPr>
        <w:tabs>
          <w:tab w:val="num" w:pos="1080"/>
        </w:tabs>
        <w:ind w:left="1080" w:hanging="360"/>
      </w:pPr>
    </w:lvl>
  </w:abstractNum>
  <w:abstractNum w:abstractNumId="3" w15:restartNumberingAfterBreak="0">
    <w:nsid w:val="FFFFFF7F"/>
    <w:multiLevelType w:val="singleLevel"/>
    <w:tmpl w:val="38441652"/>
    <w:lvl w:ilvl="0">
      <w:start w:val="1"/>
      <w:numFmt w:val="decimal"/>
      <w:pStyle w:val="ListNumber2"/>
      <w:lvlText w:val="%1."/>
      <w:lvlJc w:val="left"/>
      <w:pPr>
        <w:tabs>
          <w:tab w:val="num" w:pos="720"/>
        </w:tabs>
        <w:ind w:left="720" w:hanging="360"/>
      </w:pPr>
    </w:lvl>
  </w:abstractNum>
  <w:abstractNum w:abstractNumId="4" w15:restartNumberingAfterBreak="0">
    <w:nsid w:val="FFFFFF81"/>
    <w:multiLevelType w:val="singleLevel"/>
    <w:tmpl w:val="171AC3A4"/>
    <w:lvl w:ilvl="0">
      <w:start w:val="1"/>
      <w:numFmt w:val="bullet"/>
      <w:lvlText w:val=""/>
      <w:lvlJc w:val="left"/>
      <w:pPr>
        <w:tabs>
          <w:tab w:val="num" w:pos="1440"/>
        </w:tabs>
        <w:ind w:left="1440" w:hanging="360"/>
      </w:pPr>
      <w:rPr>
        <w:rFonts w:ascii="Symbol" w:hAnsi="Symbol" w:hint="default"/>
      </w:rPr>
    </w:lvl>
  </w:abstractNum>
  <w:abstractNum w:abstractNumId="5" w15:restartNumberingAfterBreak="0">
    <w:nsid w:val="FFFFFF82"/>
    <w:multiLevelType w:val="singleLevel"/>
    <w:tmpl w:val="F3EAFDEC"/>
    <w:lvl w:ilvl="0">
      <w:start w:val="1"/>
      <w:numFmt w:val="bullet"/>
      <w:pStyle w:val="ListBullet3"/>
      <w:lvlText w:val=""/>
      <w:lvlJc w:val="left"/>
      <w:pPr>
        <w:tabs>
          <w:tab w:val="num" w:pos="1080"/>
        </w:tabs>
        <w:ind w:left="1080" w:hanging="360"/>
      </w:pPr>
      <w:rPr>
        <w:rFonts w:ascii="Symbol" w:hAnsi="Symbol" w:hint="default"/>
      </w:rPr>
    </w:lvl>
  </w:abstractNum>
  <w:abstractNum w:abstractNumId="6" w15:restartNumberingAfterBreak="0">
    <w:nsid w:val="FFFFFF83"/>
    <w:multiLevelType w:val="singleLevel"/>
    <w:tmpl w:val="3D1EFFD4"/>
    <w:lvl w:ilvl="0">
      <w:start w:val="1"/>
      <w:numFmt w:val="bullet"/>
      <w:pStyle w:val="ListBullet2"/>
      <w:lvlText w:val=""/>
      <w:lvlJc w:val="left"/>
      <w:pPr>
        <w:tabs>
          <w:tab w:val="num" w:pos="720"/>
        </w:tabs>
        <w:ind w:left="720" w:hanging="360"/>
      </w:pPr>
      <w:rPr>
        <w:rFonts w:ascii="Symbol" w:hAnsi="Symbol" w:hint="default"/>
      </w:rPr>
    </w:lvl>
  </w:abstractNum>
  <w:abstractNum w:abstractNumId="7" w15:restartNumberingAfterBreak="0">
    <w:nsid w:val="FFFFFF88"/>
    <w:multiLevelType w:val="singleLevel"/>
    <w:tmpl w:val="D0A62B40"/>
    <w:lvl w:ilvl="0">
      <w:start w:val="1"/>
      <w:numFmt w:val="decimal"/>
      <w:pStyle w:val="ListNumber"/>
      <w:lvlText w:val="%1."/>
      <w:lvlJc w:val="left"/>
      <w:pPr>
        <w:tabs>
          <w:tab w:val="num" w:pos="360"/>
        </w:tabs>
        <w:ind w:left="360" w:hanging="360"/>
      </w:pPr>
    </w:lvl>
  </w:abstractNum>
  <w:abstractNum w:abstractNumId="8" w15:restartNumberingAfterBreak="0">
    <w:nsid w:val="FFFFFF89"/>
    <w:multiLevelType w:val="singleLevel"/>
    <w:tmpl w:val="29761A62"/>
    <w:lvl w:ilvl="0">
      <w:start w:val="1"/>
      <w:numFmt w:val="bullet"/>
      <w:pStyle w:val="ListBullet"/>
      <w:lvlText w:val=""/>
      <w:lvlJc w:val="left"/>
      <w:pPr>
        <w:tabs>
          <w:tab w:val="num" w:pos="360"/>
        </w:tabs>
        <w:ind w:left="360" w:hanging="360"/>
      </w:pPr>
      <w:rPr>
        <w:rFonts w:ascii="Symbol" w:hAnsi="Symbol" w:hint="default"/>
      </w:rPr>
    </w:lvl>
  </w:abstractNum>
  <w:abstractNum w:abstractNumId="9" w15:restartNumberingAfterBreak="0">
    <w:nsid w:val="1C7A352C"/>
    <w:multiLevelType w:val="multilevel"/>
    <w:tmpl w:val="494EAC2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0" w15:restartNumberingAfterBreak="0">
    <w:nsid w:val="25450672"/>
    <w:multiLevelType w:val="multilevel"/>
    <w:tmpl w:val="F05E06A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1" w15:restartNumberingAfterBreak="0">
    <w:nsid w:val="2683283E"/>
    <w:multiLevelType w:val="multilevel"/>
    <w:tmpl w:val="3BBC126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5ACF78D6"/>
    <w:multiLevelType w:val="multilevel"/>
    <w:tmpl w:val="1558175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309402625">
    <w:abstractNumId w:val="8"/>
  </w:num>
  <w:num w:numId="2" w16cid:durableId="846675727">
    <w:abstractNumId w:val="6"/>
  </w:num>
  <w:num w:numId="3" w16cid:durableId="1210146350">
    <w:abstractNumId w:val="5"/>
  </w:num>
  <w:num w:numId="4" w16cid:durableId="1541279005">
    <w:abstractNumId w:val="4"/>
  </w:num>
  <w:num w:numId="5" w16cid:durableId="742605642">
    <w:abstractNumId w:val="7"/>
  </w:num>
  <w:num w:numId="6" w16cid:durableId="1736968626">
    <w:abstractNumId w:val="3"/>
  </w:num>
  <w:num w:numId="7" w16cid:durableId="1614676895">
    <w:abstractNumId w:val="2"/>
  </w:num>
  <w:num w:numId="8" w16cid:durableId="1054038250">
    <w:abstractNumId w:val="1"/>
  </w:num>
  <w:num w:numId="9" w16cid:durableId="1359741318">
    <w:abstractNumId w:val="0"/>
  </w:num>
  <w:num w:numId="10" w16cid:durableId="844977805">
    <w:abstractNumId w:val="10"/>
  </w:num>
  <w:num w:numId="11" w16cid:durableId="50079676">
    <w:abstractNumId w:val="11"/>
  </w:num>
  <w:num w:numId="12" w16cid:durableId="891040109">
    <w:abstractNumId w:val="9"/>
  </w:num>
  <w:num w:numId="13" w16cid:durableId="222958891">
    <w:abstractNumId w:val="1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B47730"/>
    <w:rsid w:val="00034616"/>
    <w:rsid w:val="0006063C"/>
    <w:rsid w:val="00063D08"/>
    <w:rsid w:val="000B246B"/>
    <w:rsid w:val="0015074B"/>
    <w:rsid w:val="0029639D"/>
    <w:rsid w:val="00326F90"/>
    <w:rsid w:val="00396B94"/>
    <w:rsid w:val="007609E7"/>
    <w:rsid w:val="00771941"/>
    <w:rsid w:val="00AA1D8D"/>
    <w:rsid w:val="00B47730"/>
    <w:rsid w:val="00CB0664"/>
    <w:rsid w:val="00D072CA"/>
    <w:rsid w:val="00FC693F"/>
  </w:rsids>
  <m:mathPr>
    <m:mathFont m:val="Cambria Math"/>
    <m:brkBin m:val="before"/>
    <m:brkBinSub m:val="--"/>
    <m:smallFrac m:val="0"/>
    <m:dispDef/>
    <m:lMargin m:val="0"/>
    <m:rMargin m:val="0"/>
    <m:defJc m:val="centerGroup"/>
    <m:wrapIndent m:val="1440"/>
    <m:intLim m:val="subSup"/>
    <m:naryLim m:val="undOvr"/>
  </m:mathPr>
  <w:themeFontLang w:val="en-US"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1026"/>
    <o:shapelayout v:ext="edit">
      <o:idmap v:ext="edit" data="1"/>
    </o:shapelayout>
  </w:shapeDefaults>
  <w:decimalSymbol w:val="."/>
  <w:listSeparator w:val=","/>
  <w14:docId w14:val="1CC20FD0"/>
  <w14:defaultImageDpi w14:val="300"/>
  <w15:docId w15:val="{6D1518D3-3451-43D0-BE12-92FC1484269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C693F"/>
  </w:style>
  <w:style w:type="paragraph" w:styleId="Heading1">
    <w:name w:val="heading 1"/>
    <w:basedOn w:val="Normal"/>
    <w:next w:val="Normal"/>
    <w:link w:val="Heading1Char"/>
    <w:uiPriority w:val="9"/>
    <w:qFormat/>
    <w:rsid w:val="00FC693F"/>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FC693F"/>
    <w:pPr>
      <w:keepNext/>
      <w:keepLines/>
      <w:spacing w:before="200" w:after="0"/>
      <w:outlineLvl w:val="1"/>
    </w:pPr>
    <w:rPr>
      <w:rFonts w:asciiTheme="majorHAnsi" w:eastAsiaTheme="majorEastAsia" w:hAnsiTheme="majorHAnsi" w:cstheme="majorBidi"/>
      <w:b/>
      <w:bCs/>
      <w:color w:val="4F81BD" w:themeColor="accent1"/>
      <w:sz w:val="26"/>
      <w:szCs w:val="26"/>
    </w:rPr>
  </w:style>
  <w:style w:type="paragraph" w:styleId="Heading3">
    <w:name w:val="heading 3"/>
    <w:basedOn w:val="Normal"/>
    <w:next w:val="Normal"/>
    <w:link w:val="Heading3Char"/>
    <w:uiPriority w:val="9"/>
    <w:unhideWhenUsed/>
    <w:qFormat/>
    <w:rsid w:val="00FC693F"/>
    <w:pPr>
      <w:keepNext/>
      <w:keepLines/>
      <w:spacing w:before="200" w:after="0"/>
      <w:outlineLvl w:val="2"/>
    </w:pPr>
    <w:rPr>
      <w:rFonts w:asciiTheme="majorHAnsi" w:eastAsiaTheme="majorEastAsia" w:hAnsiTheme="majorHAnsi" w:cstheme="majorBidi"/>
      <w:b/>
      <w:bCs/>
      <w:color w:val="4F81BD" w:themeColor="accent1"/>
    </w:rPr>
  </w:style>
  <w:style w:type="paragraph" w:styleId="Heading4">
    <w:name w:val="heading 4"/>
    <w:basedOn w:val="Normal"/>
    <w:next w:val="Normal"/>
    <w:link w:val="Heading4Char"/>
    <w:uiPriority w:val="9"/>
    <w:semiHidden/>
    <w:unhideWhenUsed/>
    <w:qFormat/>
    <w:rsid w:val="00FC693F"/>
    <w:pPr>
      <w:keepNext/>
      <w:keepLines/>
      <w:spacing w:before="200" w:after="0"/>
      <w:outlineLvl w:val="3"/>
    </w:pPr>
    <w:rPr>
      <w:rFonts w:asciiTheme="majorHAnsi" w:eastAsiaTheme="majorEastAsia" w:hAnsiTheme="majorHAnsi" w:cstheme="majorBidi"/>
      <w:b/>
      <w:bCs/>
      <w:i/>
      <w:iCs/>
      <w:color w:val="4F81BD" w:themeColor="accent1"/>
    </w:rPr>
  </w:style>
  <w:style w:type="paragraph" w:styleId="Heading5">
    <w:name w:val="heading 5"/>
    <w:basedOn w:val="Normal"/>
    <w:next w:val="Normal"/>
    <w:link w:val="Heading5Char"/>
    <w:uiPriority w:val="9"/>
    <w:semiHidden/>
    <w:unhideWhenUsed/>
    <w:qFormat/>
    <w:rsid w:val="00FC693F"/>
    <w:pPr>
      <w:keepNext/>
      <w:keepLines/>
      <w:spacing w:before="200" w:after="0"/>
      <w:outlineLvl w:val="4"/>
    </w:pPr>
    <w:rPr>
      <w:rFonts w:asciiTheme="majorHAnsi" w:eastAsiaTheme="majorEastAsia" w:hAnsiTheme="majorHAnsi" w:cstheme="majorBidi"/>
      <w:color w:val="243F60" w:themeColor="accent1" w:themeShade="7F"/>
    </w:rPr>
  </w:style>
  <w:style w:type="paragraph" w:styleId="Heading6">
    <w:name w:val="heading 6"/>
    <w:basedOn w:val="Normal"/>
    <w:next w:val="Normal"/>
    <w:link w:val="Heading6Char"/>
    <w:uiPriority w:val="9"/>
    <w:semiHidden/>
    <w:unhideWhenUsed/>
    <w:qFormat/>
    <w:rsid w:val="00FC693F"/>
    <w:pPr>
      <w:keepNext/>
      <w:keepLines/>
      <w:spacing w:before="200" w:after="0"/>
      <w:outlineLvl w:val="5"/>
    </w:pPr>
    <w:rPr>
      <w:rFonts w:asciiTheme="majorHAnsi" w:eastAsiaTheme="majorEastAsia" w:hAnsiTheme="majorHAnsi" w:cstheme="majorBidi"/>
      <w:i/>
      <w:iCs/>
      <w:color w:val="243F60" w:themeColor="accent1" w:themeShade="7F"/>
    </w:rPr>
  </w:style>
  <w:style w:type="paragraph" w:styleId="Heading7">
    <w:name w:val="heading 7"/>
    <w:basedOn w:val="Normal"/>
    <w:next w:val="Normal"/>
    <w:link w:val="Heading7Char"/>
    <w:uiPriority w:val="9"/>
    <w:semiHidden/>
    <w:unhideWhenUsed/>
    <w:qFormat/>
    <w:rsid w:val="00FC693F"/>
    <w:pPr>
      <w:keepNext/>
      <w:keepLines/>
      <w:spacing w:before="200" w:after="0"/>
      <w:outlineLvl w:val="6"/>
    </w:pPr>
    <w:rPr>
      <w:rFonts w:asciiTheme="majorHAnsi" w:eastAsiaTheme="majorEastAsia" w:hAnsiTheme="majorHAnsi" w:cstheme="majorBidi"/>
      <w:i/>
      <w:iCs/>
      <w:color w:val="404040" w:themeColor="text1" w:themeTint="BF"/>
    </w:rPr>
  </w:style>
  <w:style w:type="paragraph" w:styleId="Heading8">
    <w:name w:val="heading 8"/>
    <w:basedOn w:val="Normal"/>
    <w:next w:val="Normal"/>
    <w:link w:val="Heading8Char"/>
    <w:uiPriority w:val="9"/>
    <w:semiHidden/>
    <w:unhideWhenUsed/>
    <w:qFormat/>
    <w:rsid w:val="00FC693F"/>
    <w:pPr>
      <w:keepNext/>
      <w:keepLines/>
      <w:spacing w:before="200" w:after="0"/>
      <w:outlineLvl w:val="7"/>
    </w:pPr>
    <w:rPr>
      <w:rFonts w:asciiTheme="majorHAnsi" w:eastAsiaTheme="majorEastAsia" w:hAnsiTheme="majorHAnsi" w:cstheme="majorBidi"/>
      <w:color w:val="4F81BD" w:themeColor="accent1"/>
      <w:sz w:val="20"/>
      <w:szCs w:val="20"/>
    </w:rPr>
  </w:style>
  <w:style w:type="paragraph" w:styleId="Heading9">
    <w:name w:val="heading 9"/>
    <w:basedOn w:val="Normal"/>
    <w:next w:val="Normal"/>
    <w:link w:val="Heading9Char"/>
    <w:uiPriority w:val="9"/>
    <w:semiHidden/>
    <w:unhideWhenUsed/>
    <w:qFormat/>
    <w:rsid w:val="00FC693F"/>
    <w:pPr>
      <w:keepNext/>
      <w:keepLines/>
      <w:spacing w:before="200" w:after="0"/>
      <w:outlineLvl w:val="8"/>
    </w:pPr>
    <w:rPr>
      <w:rFonts w:asciiTheme="majorHAnsi" w:eastAsiaTheme="majorEastAsia" w:hAnsiTheme="majorHAnsi" w:cstheme="majorBidi"/>
      <w:i/>
      <w:iCs/>
      <w:color w:val="404040" w:themeColor="text1" w:themeTint="BF"/>
      <w:sz w:val="20"/>
      <w:szCs w:val="20"/>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E618BF"/>
    <w:pPr>
      <w:tabs>
        <w:tab w:val="center" w:pos="4680"/>
        <w:tab w:val="right" w:pos="9360"/>
      </w:tabs>
      <w:spacing w:after="0" w:line="240" w:lineRule="auto"/>
    </w:pPr>
  </w:style>
  <w:style w:type="character" w:customStyle="1" w:styleId="HeaderChar">
    <w:name w:val="Header Char"/>
    <w:basedOn w:val="DefaultParagraphFont"/>
    <w:link w:val="Header"/>
    <w:uiPriority w:val="99"/>
    <w:rsid w:val="00E618BF"/>
  </w:style>
  <w:style w:type="paragraph" w:styleId="Footer">
    <w:name w:val="footer"/>
    <w:basedOn w:val="Normal"/>
    <w:link w:val="FooterChar"/>
    <w:uiPriority w:val="99"/>
    <w:unhideWhenUsed/>
    <w:rsid w:val="00E618BF"/>
    <w:pPr>
      <w:tabs>
        <w:tab w:val="center" w:pos="4680"/>
        <w:tab w:val="right" w:pos="9360"/>
      </w:tabs>
      <w:spacing w:after="0" w:line="240" w:lineRule="auto"/>
    </w:pPr>
  </w:style>
  <w:style w:type="character" w:customStyle="1" w:styleId="FooterChar">
    <w:name w:val="Footer Char"/>
    <w:basedOn w:val="DefaultParagraphFont"/>
    <w:link w:val="Footer"/>
    <w:uiPriority w:val="99"/>
    <w:rsid w:val="00E618BF"/>
  </w:style>
  <w:style w:type="paragraph" w:styleId="NoSpacing">
    <w:name w:val="No Spacing"/>
    <w:uiPriority w:val="1"/>
    <w:qFormat/>
    <w:rsid w:val="00FC693F"/>
    <w:pPr>
      <w:spacing w:after="0" w:line="240" w:lineRule="auto"/>
    </w:pPr>
  </w:style>
  <w:style w:type="character" w:customStyle="1" w:styleId="Heading1Char">
    <w:name w:val="Heading 1 Char"/>
    <w:basedOn w:val="DefaultParagraphFont"/>
    <w:link w:val="Heading1"/>
    <w:uiPriority w:val="9"/>
    <w:rsid w:val="00FC693F"/>
    <w:rPr>
      <w:rFonts w:asciiTheme="majorHAnsi" w:eastAsiaTheme="majorEastAsia" w:hAnsiTheme="majorHAnsi" w:cstheme="majorBidi"/>
      <w:b/>
      <w:bCs/>
      <w:color w:val="365F91" w:themeColor="accent1" w:themeShade="BF"/>
      <w:sz w:val="28"/>
      <w:szCs w:val="28"/>
    </w:rPr>
  </w:style>
  <w:style w:type="character" w:customStyle="1" w:styleId="Heading2Char">
    <w:name w:val="Heading 2 Char"/>
    <w:basedOn w:val="DefaultParagraphFont"/>
    <w:link w:val="Heading2"/>
    <w:uiPriority w:val="9"/>
    <w:rsid w:val="00FC693F"/>
    <w:rPr>
      <w:rFonts w:asciiTheme="majorHAnsi" w:eastAsiaTheme="majorEastAsia" w:hAnsiTheme="majorHAnsi" w:cstheme="majorBidi"/>
      <w:b/>
      <w:bCs/>
      <w:color w:val="4F81BD" w:themeColor="accent1"/>
      <w:sz w:val="26"/>
      <w:szCs w:val="26"/>
    </w:rPr>
  </w:style>
  <w:style w:type="character" w:customStyle="1" w:styleId="Heading3Char">
    <w:name w:val="Heading 3 Char"/>
    <w:basedOn w:val="DefaultParagraphFont"/>
    <w:link w:val="Heading3"/>
    <w:uiPriority w:val="9"/>
    <w:rsid w:val="00FC693F"/>
    <w:rPr>
      <w:rFonts w:asciiTheme="majorHAnsi" w:eastAsiaTheme="majorEastAsia" w:hAnsiTheme="majorHAnsi" w:cstheme="majorBidi"/>
      <w:b/>
      <w:bCs/>
      <w:color w:val="4F81BD" w:themeColor="accent1"/>
    </w:rPr>
  </w:style>
  <w:style w:type="paragraph" w:styleId="Title">
    <w:name w:val="Title"/>
    <w:basedOn w:val="Normal"/>
    <w:next w:val="Normal"/>
    <w:link w:val="TitleChar"/>
    <w:uiPriority w:val="10"/>
    <w:qFormat/>
    <w:rsid w:val="00FC693F"/>
    <w:pPr>
      <w:pBdr>
        <w:bottom w:val="single" w:sz="8" w:space="4" w:color="4F81BD" w:themeColor="accent1"/>
      </w:pBdr>
      <w:spacing w:after="300" w:line="240" w:lineRule="auto"/>
      <w:contextualSpacing/>
    </w:pPr>
    <w:rPr>
      <w:rFonts w:asciiTheme="majorHAnsi" w:eastAsiaTheme="majorEastAsia" w:hAnsiTheme="majorHAnsi" w:cstheme="majorBidi"/>
      <w:color w:val="17365D" w:themeColor="text2" w:themeShade="BF"/>
      <w:spacing w:val="5"/>
      <w:kern w:val="28"/>
      <w:sz w:val="52"/>
      <w:szCs w:val="52"/>
    </w:rPr>
  </w:style>
  <w:style w:type="character" w:customStyle="1" w:styleId="TitleChar">
    <w:name w:val="Title Char"/>
    <w:basedOn w:val="DefaultParagraphFont"/>
    <w:link w:val="Title"/>
    <w:uiPriority w:val="10"/>
    <w:rsid w:val="00FC693F"/>
    <w:rPr>
      <w:rFonts w:asciiTheme="majorHAnsi" w:eastAsiaTheme="majorEastAsia" w:hAnsiTheme="majorHAnsi" w:cstheme="majorBidi"/>
      <w:color w:val="17365D" w:themeColor="text2" w:themeShade="BF"/>
      <w:spacing w:val="5"/>
      <w:kern w:val="28"/>
      <w:sz w:val="52"/>
      <w:szCs w:val="52"/>
    </w:rPr>
  </w:style>
  <w:style w:type="paragraph" w:styleId="Subtitle">
    <w:name w:val="Subtitle"/>
    <w:basedOn w:val="Normal"/>
    <w:next w:val="Normal"/>
    <w:link w:val="SubtitleChar"/>
    <w:uiPriority w:val="11"/>
    <w:qFormat/>
    <w:rsid w:val="00FC693F"/>
    <w:pPr>
      <w:numPr>
        <w:ilvl w:val="1"/>
      </w:numPr>
    </w:pPr>
    <w:rPr>
      <w:rFonts w:asciiTheme="majorHAnsi" w:eastAsiaTheme="majorEastAsia" w:hAnsiTheme="majorHAnsi" w:cstheme="majorBidi"/>
      <w:i/>
      <w:iCs/>
      <w:color w:val="4F81BD" w:themeColor="accent1"/>
      <w:spacing w:val="15"/>
      <w:sz w:val="24"/>
      <w:szCs w:val="24"/>
    </w:rPr>
  </w:style>
  <w:style w:type="character" w:customStyle="1" w:styleId="SubtitleChar">
    <w:name w:val="Subtitle Char"/>
    <w:basedOn w:val="DefaultParagraphFont"/>
    <w:link w:val="Subtitle"/>
    <w:uiPriority w:val="11"/>
    <w:rsid w:val="00FC693F"/>
    <w:rPr>
      <w:rFonts w:asciiTheme="majorHAnsi" w:eastAsiaTheme="majorEastAsia" w:hAnsiTheme="majorHAnsi" w:cstheme="majorBidi"/>
      <w:i/>
      <w:iCs/>
      <w:color w:val="4F81BD" w:themeColor="accent1"/>
      <w:spacing w:val="15"/>
      <w:sz w:val="24"/>
      <w:szCs w:val="24"/>
    </w:rPr>
  </w:style>
  <w:style w:type="paragraph" w:styleId="ListParagraph">
    <w:name w:val="List Paragraph"/>
    <w:basedOn w:val="Normal"/>
    <w:uiPriority w:val="34"/>
    <w:qFormat/>
    <w:rsid w:val="00FC693F"/>
    <w:pPr>
      <w:ind w:left="720"/>
      <w:contextualSpacing/>
    </w:pPr>
  </w:style>
  <w:style w:type="paragraph" w:styleId="BodyText">
    <w:name w:val="Body Text"/>
    <w:basedOn w:val="Normal"/>
    <w:link w:val="BodyTextChar"/>
    <w:uiPriority w:val="99"/>
    <w:unhideWhenUsed/>
    <w:rsid w:val="00AA1D8D"/>
    <w:pPr>
      <w:spacing w:after="120"/>
    </w:pPr>
  </w:style>
  <w:style w:type="character" w:customStyle="1" w:styleId="BodyTextChar">
    <w:name w:val="Body Text Char"/>
    <w:basedOn w:val="DefaultParagraphFont"/>
    <w:link w:val="BodyText"/>
    <w:uiPriority w:val="99"/>
    <w:rsid w:val="00AA1D8D"/>
  </w:style>
  <w:style w:type="paragraph" w:styleId="BodyText2">
    <w:name w:val="Body Text 2"/>
    <w:basedOn w:val="Normal"/>
    <w:link w:val="BodyText2Char"/>
    <w:uiPriority w:val="99"/>
    <w:unhideWhenUsed/>
    <w:rsid w:val="00AA1D8D"/>
    <w:pPr>
      <w:spacing w:after="120" w:line="480" w:lineRule="auto"/>
    </w:pPr>
  </w:style>
  <w:style w:type="character" w:customStyle="1" w:styleId="BodyText2Char">
    <w:name w:val="Body Text 2 Char"/>
    <w:basedOn w:val="DefaultParagraphFont"/>
    <w:link w:val="BodyText2"/>
    <w:uiPriority w:val="99"/>
    <w:rsid w:val="00AA1D8D"/>
  </w:style>
  <w:style w:type="paragraph" w:styleId="BodyText3">
    <w:name w:val="Body Text 3"/>
    <w:basedOn w:val="Normal"/>
    <w:link w:val="BodyText3Char"/>
    <w:uiPriority w:val="99"/>
    <w:unhideWhenUsed/>
    <w:rsid w:val="00AA1D8D"/>
    <w:pPr>
      <w:spacing w:after="120"/>
    </w:pPr>
    <w:rPr>
      <w:sz w:val="16"/>
      <w:szCs w:val="16"/>
    </w:rPr>
  </w:style>
  <w:style w:type="character" w:customStyle="1" w:styleId="BodyText3Char">
    <w:name w:val="Body Text 3 Char"/>
    <w:basedOn w:val="DefaultParagraphFont"/>
    <w:link w:val="BodyText3"/>
    <w:uiPriority w:val="99"/>
    <w:rsid w:val="00AA1D8D"/>
    <w:rPr>
      <w:sz w:val="16"/>
      <w:szCs w:val="16"/>
    </w:rPr>
  </w:style>
  <w:style w:type="paragraph" w:styleId="List">
    <w:name w:val="List"/>
    <w:basedOn w:val="Normal"/>
    <w:uiPriority w:val="99"/>
    <w:unhideWhenUsed/>
    <w:rsid w:val="00AA1D8D"/>
    <w:pPr>
      <w:ind w:left="360" w:hanging="360"/>
      <w:contextualSpacing/>
    </w:pPr>
  </w:style>
  <w:style w:type="paragraph" w:styleId="List2">
    <w:name w:val="List 2"/>
    <w:basedOn w:val="Normal"/>
    <w:uiPriority w:val="99"/>
    <w:unhideWhenUsed/>
    <w:rsid w:val="00326F90"/>
    <w:pPr>
      <w:ind w:left="720" w:hanging="360"/>
      <w:contextualSpacing/>
    </w:pPr>
  </w:style>
  <w:style w:type="paragraph" w:styleId="List3">
    <w:name w:val="List 3"/>
    <w:basedOn w:val="Normal"/>
    <w:uiPriority w:val="99"/>
    <w:unhideWhenUsed/>
    <w:rsid w:val="00326F90"/>
    <w:pPr>
      <w:ind w:left="1080" w:hanging="360"/>
      <w:contextualSpacing/>
    </w:pPr>
  </w:style>
  <w:style w:type="paragraph" w:styleId="ListBullet">
    <w:name w:val="List Bullet"/>
    <w:basedOn w:val="Normal"/>
    <w:uiPriority w:val="99"/>
    <w:unhideWhenUsed/>
    <w:rsid w:val="00326F90"/>
    <w:pPr>
      <w:numPr>
        <w:numId w:val="1"/>
      </w:numPr>
      <w:contextualSpacing/>
    </w:pPr>
  </w:style>
  <w:style w:type="paragraph" w:styleId="ListBullet2">
    <w:name w:val="List Bullet 2"/>
    <w:basedOn w:val="Normal"/>
    <w:uiPriority w:val="99"/>
    <w:unhideWhenUsed/>
    <w:rsid w:val="00326F90"/>
    <w:pPr>
      <w:numPr>
        <w:numId w:val="2"/>
      </w:numPr>
      <w:contextualSpacing/>
    </w:pPr>
  </w:style>
  <w:style w:type="paragraph" w:styleId="ListBullet3">
    <w:name w:val="List Bullet 3"/>
    <w:basedOn w:val="Normal"/>
    <w:uiPriority w:val="99"/>
    <w:unhideWhenUsed/>
    <w:rsid w:val="00326F90"/>
    <w:pPr>
      <w:numPr>
        <w:numId w:val="3"/>
      </w:numPr>
      <w:contextualSpacing/>
    </w:pPr>
  </w:style>
  <w:style w:type="paragraph" w:styleId="ListNumber">
    <w:name w:val="List Number"/>
    <w:basedOn w:val="Normal"/>
    <w:uiPriority w:val="99"/>
    <w:unhideWhenUsed/>
    <w:rsid w:val="00326F90"/>
    <w:pPr>
      <w:numPr>
        <w:numId w:val="5"/>
      </w:numPr>
      <w:contextualSpacing/>
    </w:pPr>
  </w:style>
  <w:style w:type="paragraph" w:styleId="ListNumber2">
    <w:name w:val="List Number 2"/>
    <w:basedOn w:val="Normal"/>
    <w:uiPriority w:val="99"/>
    <w:unhideWhenUsed/>
    <w:rsid w:val="0029639D"/>
    <w:pPr>
      <w:numPr>
        <w:numId w:val="6"/>
      </w:numPr>
      <w:contextualSpacing/>
    </w:pPr>
  </w:style>
  <w:style w:type="paragraph" w:styleId="ListNumber3">
    <w:name w:val="List Number 3"/>
    <w:basedOn w:val="Normal"/>
    <w:uiPriority w:val="99"/>
    <w:unhideWhenUsed/>
    <w:rsid w:val="0029639D"/>
    <w:pPr>
      <w:numPr>
        <w:numId w:val="7"/>
      </w:numPr>
      <w:contextualSpacing/>
    </w:pPr>
  </w:style>
  <w:style w:type="paragraph" w:styleId="ListContinue">
    <w:name w:val="List Continue"/>
    <w:basedOn w:val="Normal"/>
    <w:uiPriority w:val="99"/>
    <w:unhideWhenUsed/>
    <w:rsid w:val="0029639D"/>
    <w:pPr>
      <w:spacing w:after="120"/>
      <w:ind w:left="360"/>
      <w:contextualSpacing/>
    </w:pPr>
  </w:style>
  <w:style w:type="paragraph" w:styleId="ListContinue2">
    <w:name w:val="List Continue 2"/>
    <w:basedOn w:val="Normal"/>
    <w:uiPriority w:val="99"/>
    <w:unhideWhenUsed/>
    <w:rsid w:val="0029639D"/>
    <w:pPr>
      <w:spacing w:after="120"/>
      <w:ind w:left="720"/>
      <w:contextualSpacing/>
    </w:pPr>
  </w:style>
  <w:style w:type="paragraph" w:styleId="ListContinue3">
    <w:name w:val="List Continue 3"/>
    <w:basedOn w:val="Normal"/>
    <w:uiPriority w:val="99"/>
    <w:unhideWhenUsed/>
    <w:rsid w:val="0029639D"/>
    <w:pPr>
      <w:spacing w:after="120"/>
      <w:ind w:left="1080"/>
      <w:contextualSpacing/>
    </w:pPr>
  </w:style>
  <w:style w:type="paragraph" w:styleId="MacroText">
    <w:name w:val="macro"/>
    <w:link w:val="MacroTextChar"/>
    <w:uiPriority w:val="99"/>
    <w:unhideWhenUsed/>
    <w:rsid w:val="0029639D"/>
    <w:pPr>
      <w:tabs>
        <w:tab w:val="left" w:pos="576"/>
        <w:tab w:val="left" w:pos="1152"/>
        <w:tab w:val="left" w:pos="1728"/>
        <w:tab w:val="left" w:pos="2304"/>
        <w:tab w:val="left" w:pos="2880"/>
        <w:tab w:val="left" w:pos="3456"/>
        <w:tab w:val="left" w:pos="4032"/>
      </w:tabs>
    </w:pPr>
    <w:rPr>
      <w:rFonts w:ascii="Courier" w:hAnsi="Courier"/>
      <w:sz w:val="20"/>
      <w:szCs w:val="20"/>
    </w:rPr>
  </w:style>
  <w:style w:type="character" w:customStyle="1" w:styleId="MacroTextChar">
    <w:name w:val="Macro Text Char"/>
    <w:basedOn w:val="DefaultParagraphFont"/>
    <w:link w:val="MacroText"/>
    <w:uiPriority w:val="99"/>
    <w:rsid w:val="0029639D"/>
    <w:rPr>
      <w:rFonts w:ascii="Courier" w:hAnsi="Courier"/>
      <w:sz w:val="20"/>
      <w:szCs w:val="20"/>
    </w:rPr>
  </w:style>
  <w:style w:type="paragraph" w:styleId="Quote">
    <w:name w:val="Quote"/>
    <w:basedOn w:val="Normal"/>
    <w:next w:val="Normal"/>
    <w:link w:val="QuoteChar"/>
    <w:uiPriority w:val="29"/>
    <w:qFormat/>
    <w:rsid w:val="00FC693F"/>
    <w:rPr>
      <w:i/>
      <w:iCs/>
      <w:color w:val="000000" w:themeColor="text1"/>
    </w:rPr>
  </w:style>
  <w:style w:type="character" w:customStyle="1" w:styleId="QuoteChar">
    <w:name w:val="Quote Char"/>
    <w:basedOn w:val="DefaultParagraphFont"/>
    <w:link w:val="Quote"/>
    <w:uiPriority w:val="29"/>
    <w:rsid w:val="00FC693F"/>
    <w:rPr>
      <w:i/>
      <w:iCs/>
      <w:color w:val="000000" w:themeColor="text1"/>
    </w:rPr>
  </w:style>
  <w:style w:type="character" w:customStyle="1" w:styleId="Heading4Char">
    <w:name w:val="Heading 4 Char"/>
    <w:basedOn w:val="DefaultParagraphFont"/>
    <w:link w:val="Heading4"/>
    <w:uiPriority w:val="9"/>
    <w:semiHidden/>
    <w:rsid w:val="00FC693F"/>
    <w:rPr>
      <w:rFonts w:asciiTheme="majorHAnsi" w:eastAsiaTheme="majorEastAsia" w:hAnsiTheme="majorHAnsi" w:cstheme="majorBidi"/>
      <w:b/>
      <w:bCs/>
      <w:i/>
      <w:iCs/>
      <w:color w:val="4F81BD" w:themeColor="accent1"/>
    </w:rPr>
  </w:style>
  <w:style w:type="character" w:customStyle="1" w:styleId="Heading5Char">
    <w:name w:val="Heading 5 Char"/>
    <w:basedOn w:val="DefaultParagraphFont"/>
    <w:link w:val="Heading5"/>
    <w:uiPriority w:val="9"/>
    <w:semiHidden/>
    <w:rsid w:val="00FC693F"/>
    <w:rPr>
      <w:rFonts w:asciiTheme="majorHAnsi" w:eastAsiaTheme="majorEastAsia" w:hAnsiTheme="majorHAnsi" w:cstheme="majorBidi"/>
      <w:color w:val="243F60" w:themeColor="accent1" w:themeShade="7F"/>
    </w:rPr>
  </w:style>
  <w:style w:type="character" w:customStyle="1" w:styleId="Heading6Char">
    <w:name w:val="Heading 6 Char"/>
    <w:basedOn w:val="DefaultParagraphFont"/>
    <w:link w:val="Heading6"/>
    <w:uiPriority w:val="9"/>
    <w:semiHidden/>
    <w:rsid w:val="00FC693F"/>
    <w:rPr>
      <w:rFonts w:asciiTheme="majorHAnsi" w:eastAsiaTheme="majorEastAsia" w:hAnsiTheme="majorHAnsi" w:cstheme="majorBidi"/>
      <w:i/>
      <w:iCs/>
      <w:color w:val="243F60" w:themeColor="accent1" w:themeShade="7F"/>
    </w:rPr>
  </w:style>
  <w:style w:type="character" w:customStyle="1" w:styleId="Heading7Char">
    <w:name w:val="Heading 7 Char"/>
    <w:basedOn w:val="DefaultParagraphFont"/>
    <w:link w:val="Heading7"/>
    <w:uiPriority w:val="9"/>
    <w:semiHidden/>
    <w:rsid w:val="00FC693F"/>
    <w:rPr>
      <w:rFonts w:asciiTheme="majorHAnsi" w:eastAsiaTheme="majorEastAsia" w:hAnsiTheme="majorHAnsi" w:cstheme="majorBidi"/>
      <w:i/>
      <w:iCs/>
      <w:color w:val="404040" w:themeColor="text1" w:themeTint="BF"/>
    </w:rPr>
  </w:style>
  <w:style w:type="character" w:customStyle="1" w:styleId="Heading8Char">
    <w:name w:val="Heading 8 Char"/>
    <w:basedOn w:val="DefaultParagraphFont"/>
    <w:link w:val="Heading8"/>
    <w:uiPriority w:val="9"/>
    <w:semiHidden/>
    <w:rsid w:val="00FC693F"/>
    <w:rPr>
      <w:rFonts w:asciiTheme="majorHAnsi" w:eastAsiaTheme="majorEastAsia" w:hAnsiTheme="majorHAnsi" w:cstheme="majorBidi"/>
      <w:color w:val="4F81BD" w:themeColor="accent1"/>
      <w:sz w:val="20"/>
      <w:szCs w:val="20"/>
    </w:rPr>
  </w:style>
  <w:style w:type="character" w:customStyle="1" w:styleId="Heading9Char">
    <w:name w:val="Heading 9 Char"/>
    <w:basedOn w:val="DefaultParagraphFont"/>
    <w:link w:val="Heading9"/>
    <w:uiPriority w:val="9"/>
    <w:semiHidden/>
    <w:rsid w:val="00FC693F"/>
    <w:rPr>
      <w:rFonts w:asciiTheme="majorHAnsi" w:eastAsiaTheme="majorEastAsia" w:hAnsiTheme="majorHAnsi" w:cstheme="majorBidi"/>
      <w:i/>
      <w:iCs/>
      <w:color w:val="404040" w:themeColor="text1" w:themeTint="BF"/>
      <w:sz w:val="20"/>
      <w:szCs w:val="20"/>
    </w:rPr>
  </w:style>
  <w:style w:type="paragraph" w:styleId="Caption">
    <w:name w:val="caption"/>
    <w:basedOn w:val="Normal"/>
    <w:next w:val="Normal"/>
    <w:uiPriority w:val="35"/>
    <w:semiHidden/>
    <w:unhideWhenUsed/>
    <w:qFormat/>
    <w:rsid w:val="00FC693F"/>
    <w:pPr>
      <w:spacing w:line="240" w:lineRule="auto"/>
    </w:pPr>
    <w:rPr>
      <w:b/>
      <w:bCs/>
      <w:color w:val="4F81BD" w:themeColor="accent1"/>
      <w:sz w:val="18"/>
      <w:szCs w:val="18"/>
    </w:rPr>
  </w:style>
  <w:style w:type="character" w:styleId="Strong">
    <w:name w:val="Strong"/>
    <w:basedOn w:val="DefaultParagraphFont"/>
    <w:uiPriority w:val="22"/>
    <w:qFormat/>
    <w:rsid w:val="00FC693F"/>
    <w:rPr>
      <w:b/>
      <w:bCs/>
    </w:rPr>
  </w:style>
  <w:style w:type="character" w:styleId="Emphasis">
    <w:name w:val="Emphasis"/>
    <w:basedOn w:val="DefaultParagraphFont"/>
    <w:uiPriority w:val="20"/>
    <w:qFormat/>
    <w:rsid w:val="00FC693F"/>
    <w:rPr>
      <w:i/>
      <w:iCs/>
    </w:rPr>
  </w:style>
  <w:style w:type="paragraph" w:styleId="IntenseQuote">
    <w:name w:val="Intense Quote"/>
    <w:basedOn w:val="Normal"/>
    <w:next w:val="Normal"/>
    <w:link w:val="IntenseQuoteChar"/>
    <w:uiPriority w:val="30"/>
    <w:qFormat/>
    <w:rsid w:val="00FC693F"/>
    <w:pPr>
      <w:pBdr>
        <w:bottom w:val="single" w:sz="4" w:space="4" w:color="4F81BD" w:themeColor="accent1"/>
      </w:pBdr>
      <w:spacing w:before="200" w:after="280"/>
      <w:ind w:left="936" w:right="936"/>
    </w:pPr>
    <w:rPr>
      <w:b/>
      <w:bCs/>
      <w:i/>
      <w:iCs/>
      <w:color w:val="4F81BD" w:themeColor="accent1"/>
    </w:rPr>
  </w:style>
  <w:style w:type="character" w:customStyle="1" w:styleId="IntenseQuoteChar">
    <w:name w:val="Intense Quote Char"/>
    <w:basedOn w:val="DefaultParagraphFont"/>
    <w:link w:val="IntenseQuote"/>
    <w:uiPriority w:val="30"/>
    <w:rsid w:val="00FC693F"/>
    <w:rPr>
      <w:b/>
      <w:bCs/>
      <w:i/>
      <w:iCs/>
      <w:color w:val="4F81BD" w:themeColor="accent1"/>
    </w:rPr>
  </w:style>
  <w:style w:type="character" w:styleId="SubtleEmphasis">
    <w:name w:val="Subtle Emphasis"/>
    <w:basedOn w:val="DefaultParagraphFont"/>
    <w:uiPriority w:val="19"/>
    <w:qFormat/>
    <w:rsid w:val="00FC693F"/>
    <w:rPr>
      <w:i/>
      <w:iCs/>
      <w:color w:val="808080" w:themeColor="text1" w:themeTint="7F"/>
    </w:rPr>
  </w:style>
  <w:style w:type="character" w:styleId="IntenseEmphasis">
    <w:name w:val="Intense Emphasis"/>
    <w:basedOn w:val="DefaultParagraphFont"/>
    <w:uiPriority w:val="21"/>
    <w:qFormat/>
    <w:rsid w:val="00FC693F"/>
    <w:rPr>
      <w:b/>
      <w:bCs/>
      <w:i/>
      <w:iCs/>
      <w:color w:val="4F81BD" w:themeColor="accent1"/>
    </w:rPr>
  </w:style>
  <w:style w:type="character" w:styleId="SubtleReference">
    <w:name w:val="Subtle Reference"/>
    <w:basedOn w:val="DefaultParagraphFont"/>
    <w:uiPriority w:val="31"/>
    <w:qFormat/>
    <w:rsid w:val="00FC693F"/>
    <w:rPr>
      <w:smallCaps/>
      <w:color w:val="C0504D" w:themeColor="accent2"/>
      <w:u w:val="single"/>
    </w:rPr>
  </w:style>
  <w:style w:type="character" w:styleId="IntenseReference">
    <w:name w:val="Intense Reference"/>
    <w:basedOn w:val="DefaultParagraphFont"/>
    <w:uiPriority w:val="32"/>
    <w:qFormat/>
    <w:rsid w:val="00FC693F"/>
    <w:rPr>
      <w:b/>
      <w:bCs/>
      <w:smallCaps/>
      <w:color w:val="C0504D" w:themeColor="accent2"/>
      <w:spacing w:val="5"/>
      <w:u w:val="single"/>
    </w:rPr>
  </w:style>
  <w:style w:type="character" w:styleId="BookTitle">
    <w:name w:val="Book Title"/>
    <w:basedOn w:val="DefaultParagraphFont"/>
    <w:uiPriority w:val="33"/>
    <w:qFormat/>
    <w:rsid w:val="00FC693F"/>
    <w:rPr>
      <w:b/>
      <w:bCs/>
      <w:smallCaps/>
      <w:spacing w:val="5"/>
    </w:rPr>
  </w:style>
  <w:style w:type="paragraph" w:styleId="TOCHeading">
    <w:name w:val="TOC Heading"/>
    <w:basedOn w:val="Heading1"/>
    <w:next w:val="Normal"/>
    <w:uiPriority w:val="39"/>
    <w:semiHidden/>
    <w:unhideWhenUsed/>
    <w:qFormat/>
    <w:rsid w:val="00FC693F"/>
    <w:pPr>
      <w:outlineLvl w:val="9"/>
    </w:pPr>
  </w:style>
  <w:style w:type="table" w:styleId="TableGrid">
    <w:name w:val="Table Grid"/>
    <w:basedOn w:val="TableNormal"/>
    <w:uiPriority w:val="59"/>
    <w:rsid w:val="00FC693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LightShading">
    <w:name w:val="Light Shading"/>
    <w:basedOn w:val="TableNormal"/>
    <w:uiPriority w:val="60"/>
    <w:rsid w:val="00FC693F"/>
    <w:pPr>
      <w:spacing w:after="0" w:line="240" w:lineRule="auto"/>
    </w:pPr>
    <w:rPr>
      <w:color w:val="000000" w:themeColor="text1" w:themeShade="BF"/>
    </w:rPr>
    <w:tblPr>
      <w:tblStyleRowBandSize w:val="1"/>
      <w:tblStyleColBandSize w:val="1"/>
      <w:tblBorders>
        <w:top w:val="single" w:sz="8" w:space="0" w:color="000000" w:themeColor="text1"/>
        <w:bottom w:val="single" w:sz="8" w:space="0" w:color="000000" w:themeColor="text1"/>
      </w:tblBorders>
    </w:tblPr>
    <w:tblStylePr w:type="fir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la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left w:val="nil"/>
          <w:right w:val="nil"/>
          <w:insideH w:val="nil"/>
          <w:insideV w:val="nil"/>
        </w:tcBorders>
        <w:shd w:val="clear" w:color="auto" w:fill="C0C0C0" w:themeFill="text1" w:themeFillTint="3F"/>
      </w:tcPr>
    </w:tblStylePr>
  </w:style>
  <w:style w:type="table" w:styleId="LightShading-Accent1">
    <w:name w:val="Light Shading Accent 1"/>
    <w:basedOn w:val="TableNormal"/>
    <w:uiPriority w:val="60"/>
    <w:rsid w:val="00FC693F"/>
    <w:pPr>
      <w:spacing w:after="0" w:line="240" w:lineRule="auto"/>
    </w:pPr>
    <w:rPr>
      <w:color w:val="365F91" w:themeColor="accent1" w:themeShade="BF"/>
    </w:rPr>
    <w:tblPr>
      <w:tblStyleRowBandSize w:val="1"/>
      <w:tblStyleColBandSize w:val="1"/>
      <w:tblBorders>
        <w:top w:val="single" w:sz="8" w:space="0" w:color="4F81BD" w:themeColor="accent1"/>
        <w:bottom w:val="single" w:sz="8" w:space="0" w:color="4F81BD" w:themeColor="accent1"/>
      </w:tblBorders>
    </w:tblPr>
    <w:tblStylePr w:type="fir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la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left w:val="nil"/>
          <w:right w:val="nil"/>
          <w:insideH w:val="nil"/>
          <w:insideV w:val="nil"/>
        </w:tcBorders>
        <w:shd w:val="clear" w:color="auto" w:fill="D3DFEE" w:themeFill="accent1" w:themeFillTint="3F"/>
      </w:tcPr>
    </w:tblStylePr>
  </w:style>
  <w:style w:type="table" w:styleId="LightShading-Accent2">
    <w:name w:val="Light Shading Accent 2"/>
    <w:basedOn w:val="TableNormal"/>
    <w:uiPriority w:val="60"/>
    <w:rsid w:val="00FC693F"/>
    <w:pPr>
      <w:spacing w:after="0" w:line="240" w:lineRule="auto"/>
    </w:pPr>
    <w:rPr>
      <w:color w:val="943634" w:themeColor="accent2" w:themeShade="BF"/>
    </w:rPr>
    <w:tblPr>
      <w:tblStyleRowBandSize w:val="1"/>
      <w:tblStyleColBandSize w:val="1"/>
      <w:tblBorders>
        <w:top w:val="single" w:sz="8" w:space="0" w:color="C0504D" w:themeColor="accent2"/>
        <w:bottom w:val="single" w:sz="8" w:space="0" w:color="C0504D" w:themeColor="accent2"/>
      </w:tblBorders>
    </w:tblPr>
    <w:tblStylePr w:type="fir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la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left w:val="nil"/>
          <w:right w:val="nil"/>
          <w:insideH w:val="nil"/>
          <w:insideV w:val="nil"/>
        </w:tcBorders>
        <w:shd w:val="clear" w:color="auto" w:fill="EFD3D2" w:themeFill="accent2" w:themeFillTint="3F"/>
      </w:tcPr>
    </w:tblStylePr>
  </w:style>
  <w:style w:type="table" w:styleId="LightShading-Accent3">
    <w:name w:val="Light Shading Accent 3"/>
    <w:basedOn w:val="TableNormal"/>
    <w:uiPriority w:val="60"/>
    <w:rsid w:val="00FC693F"/>
    <w:pPr>
      <w:spacing w:after="0" w:line="240" w:lineRule="auto"/>
    </w:pPr>
    <w:rPr>
      <w:color w:val="76923C" w:themeColor="accent3" w:themeShade="BF"/>
    </w:rPr>
    <w:tblPr>
      <w:tblStyleRowBandSize w:val="1"/>
      <w:tblStyleColBandSize w:val="1"/>
      <w:tblBorders>
        <w:top w:val="single" w:sz="8" w:space="0" w:color="9BBB59" w:themeColor="accent3"/>
        <w:bottom w:val="single" w:sz="8" w:space="0" w:color="9BBB59" w:themeColor="accent3"/>
      </w:tblBorders>
    </w:tblPr>
    <w:tblStylePr w:type="fir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la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left w:val="nil"/>
          <w:right w:val="nil"/>
          <w:insideH w:val="nil"/>
          <w:insideV w:val="nil"/>
        </w:tcBorders>
        <w:shd w:val="clear" w:color="auto" w:fill="E6EED5" w:themeFill="accent3" w:themeFillTint="3F"/>
      </w:tcPr>
    </w:tblStylePr>
  </w:style>
  <w:style w:type="table" w:styleId="LightShading-Accent4">
    <w:name w:val="Light Shading Accent 4"/>
    <w:basedOn w:val="TableNormal"/>
    <w:uiPriority w:val="60"/>
    <w:rsid w:val="00FC693F"/>
    <w:pPr>
      <w:spacing w:after="0" w:line="240" w:lineRule="auto"/>
    </w:pPr>
    <w:rPr>
      <w:color w:val="5F497A" w:themeColor="accent4" w:themeShade="BF"/>
    </w:rPr>
    <w:tblPr>
      <w:tblStyleRowBandSize w:val="1"/>
      <w:tblStyleColBandSize w:val="1"/>
      <w:tblBorders>
        <w:top w:val="single" w:sz="8" w:space="0" w:color="8064A2" w:themeColor="accent4"/>
        <w:bottom w:val="single" w:sz="8" w:space="0" w:color="8064A2" w:themeColor="accent4"/>
      </w:tblBorders>
    </w:tblPr>
    <w:tblStylePr w:type="fir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la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left w:val="nil"/>
          <w:right w:val="nil"/>
          <w:insideH w:val="nil"/>
          <w:insideV w:val="nil"/>
        </w:tcBorders>
        <w:shd w:val="clear" w:color="auto" w:fill="DFD8E8" w:themeFill="accent4" w:themeFillTint="3F"/>
      </w:tcPr>
    </w:tblStylePr>
  </w:style>
  <w:style w:type="table" w:styleId="LightShading-Accent5">
    <w:name w:val="Light Shading Accent 5"/>
    <w:basedOn w:val="TableNormal"/>
    <w:uiPriority w:val="60"/>
    <w:rsid w:val="00FC693F"/>
    <w:pPr>
      <w:spacing w:after="0" w:line="240" w:lineRule="auto"/>
    </w:pPr>
    <w:rPr>
      <w:color w:val="31849B" w:themeColor="accent5" w:themeShade="BF"/>
    </w:rPr>
    <w:tblPr>
      <w:tblStyleRowBandSize w:val="1"/>
      <w:tblStyleColBandSize w:val="1"/>
      <w:tblBorders>
        <w:top w:val="single" w:sz="8" w:space="0" w:color="4BACC6" w:themeColor="accent5"/>
        <w:bottom w:val="single" w:sz="8" w:space="0" w:color="4BACC6" w:themeColor="accent5"/>
      </w:tblBorders>
    </w:tblPr>
    <w:tblStylePr w:type="fir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la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left w:val="nil"/>
          <w:right w:val="nil"/>
          <w:insideH w:val="nil"/>
          <w:insideV w:val="nil"/>
        </w:tcBorders>
        <w:shd w:val="clear" w:color="auto" w:fill="D2EAF1" w:themeFill="accent5" w:themeFillTint="3F"/>
      </w:tcPr>
    </w:tblStylePr>
  </w:style>
  <w:style w:type="table" w:styleId="LightShading-Accent6">
    <w:name w:val="Light Shading Accent 6"/>
    <w:basedOn w:val="TableNormal"/>
    <w:uiPriority w:val="60"/>
    <w:rsid w:val="00FC693F"/>
    <w:pPr>
      <w:spacing w:after="0" w:line="240" w:lineRule="auto"/>
    </w:pPr>
    <w:rPr>
      <w:color w:val="E36C0A" w:themeColor="accent6" w:themeShade="BF"/>
    </w:rPr>
    <w:tblPr>
      <w:tblStyleRowBandSize w:val="1"/>
      <w:tblStyleColBandSize w:val="1"/>
      <w:tblBorders>
        <w:top w:val="single" w:sz="8" w:space="0" w:color="F79646" w:themeColor="accent6"/>
        <w:bottom w:val="single" w:sz="8" w:space="0" w:color="F79646" w:themeColor="accent6"/>
      </w:tblBorders>
    </w:tblPr>
    <w:tblStylePr w:type="fir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la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left w:val="nil"/>
          <w:right w:val="nil"/>
          <w:insideH w:val="nil"/>
          <w:insideV w:val="nil"/>
        </w:tcBorders>
        <w:shd w:val="clear" w:color="auto" w:fill="FDE4D0" w:themeFill="accent6" w:themeFillTint="3F"/>
      </w:tcPr>
    </w:tblStylePr>
  </w:style>
  <w:style w:type="table" w:styleId="LightList">
    <w:name w:val="Light List"/>
    <w:basedOn w:val="TableNormal"/>
    <w:uiPriority w:val="61"/>
    <w:rsid w:val="00FC693F"/>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pPr>
        <w:spacing w:before="0" w:after="0" w:line="240" w:lineRule="auto"/>
      </w:pPr>
      <w:rPr>
        <w:b/>
        <w:bCs/>
        <w:color w:val="FFFFFF" w:themeColor="background1"/>
      </w:rPr>
      <w:tblPr/>
      <w:tcPr>
        <w:shd w:val="clear" w:color="auto" w:fill="000000" w:themeFill="text1"/>
      </w:tcPr>
    </w:tblStylePr>
    <w:tblStylePr w:type="lastRow">
      <w:pPr>
        <w:spacing w:before="0" w:after="0" w:line="240" w:lineRule="auto"/>
      </w:pPr>
      <w:rPr>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tcBorders>
      </w:tcPr>
    </w:tblStylePr>
    <w:tblStylePr w:type="firstCol">
      <w:rPr>
        <w:b/>
        <w:bCs/>
      </w:rPr>
    </w:tblStylePr>
    <w:tblStylePr w:type="lastCol">
      <w:rPr>
        <w:b/>
        <w:bCs/>
      </w:r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style>
  <w:style w:type="table" w:styleId="LightList-Accent1">
    <w:name w:val="Light List Accent 1"/>
    <w:basedOn w:val="TableNormal"/>
    <w:uiPriority w:val="61"/>
    <w:rsid w:val="00FC693F"/>
    <w:pPr>
      <w:spacing w:after="0" w:line="240" w:lineRule="auto"/>
    </w:p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tblBorders>
    </w:tblPr>
    <w:tblStylePr w:type="firstRow">
      <w:pPr>
        <w:spacing w:before="0" w:after="0" w:line="240" w:lineRule="auto"/>
      </w:pPr>
      <w:rPr>
        <w:b/>
        <w:bCs/>
        <w:color w:val="FFFFFF" w:themeColor="background1"/>
      </w:rPr>
      <w:tblPr/>
      <w:tcPr>
        <w:shd w:val="clear" w:color="auto" w:fill="4F81BD" w:themeFill="accent1"/>
      </w:tcPr>
    </w:tblStylePr>
    <w:tblStylePr w:type="lastRow">
      <w:pPr>
        <w:spacing w:before="0" w:after="0" w:line="240" w:lineRule="auto"/>
      </w:pPr>
      <w:rPr>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tcBorders>
      </w:tcPr>
    </w:tblStylePr>
    <w:tblStylePr w:type="firstCol">
      <w:rPr>
        <w:b/>
        <w:bCs/>
      </w:rPr>
    </w:tblStylePr>
    <w:tblStylePr w:type="lastCol">
      <w:rPr>
        <w:b/>
        <w:bCs/>
      </w:r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style>
  <w:style w:type="table" w:styleId="LightList-Accent2">
    <w:name w:val="Light List Accent 2"/>
    <w:basedOn w:val="TableNormal"/>
    <w:uiPriority w:val="61"/>
    <w:rsid w:val="00CB0664"/>
    <w:pPr>
      <w:spacing w:after="0" w:line="240" w:lineRule="auto"/>
    </w:p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tblBorders>
    </w:tblPr>
    <w:tblStylePr w:type="firstRow">
      <w:pPr>
        <w:spacing w:before="0" w:after="0" w:line="240" w:lineRule="auto"/>
      </w:pPr>
      <w:rPr>
        <w:b/>
        <w:bCs/>
        <w:color w:val="FFFFFF" w:themeColor="background1"/>
      </w:rPr>
      <w:tblPr/>
      <w:tcPr>
        <w:shd w:val="clear" w:color="auto" w:fill="C0504D" w:themeFill="accent2"/>
      </w:tcPr>
    </w:tblStylePr>
    <w:tblStylePr w:type="lastRow">
      <w:pPr>
        <w:spacing w:before="0" w:after="0" w:line="240" w:lineRule="auto"/>
      </w:pPr>
      <w:rPr>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tcBorders>
      </w:tcPr>
    </w:tblStylePr>
    <w:tblStylePr w:type="firstCol">
      <w:rPr>
        <w:b/>
        <w:bCs/>
      </w:rPr>
    </w:tblStylePr>
    <w:tblStylePr w:type="lastCol">
      <w:rPr>
        <w:b/>
        <w:bCs/>
      </w:r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style>
  <w:style w:type="table" w:styleId="LightList-Accent3">
    <w:name w:val="Light List Accent 3"/>
    <w:basedOn w:val="TableNormal"/>
    <w:uiPriority w:val="61"/>
    <w:rsid w:val="00CB0664"/>
    <w:pPr>
      <w:spacing w:after="0" w:line="240" w:lineRule="auto"/>
    </w:p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tblBorders>
    </w:tblPr>
    <w:tblStylePr w:type="firstRow">
      <w:pPr>
        <w:spacing w:before="0" w:after="0" w:line="240" w:lineRule="auto"/>
      </w:pPr>
      <w:rPr>
        <w:b/>
        <w:bCs/>
        <w:color w:val="FFFFFF" w:themeColor="background1"/>
      </w:rPr>
      <w:tblPr/>
      <w:tcPr>
        <w:shd w:val="clear" w:color="auto" w:fill="9BBB59" w:themeFill="accent3"/>
      </w:tcPr>
    </w:tblStylePr>
    <w:tblStylePr w:type="lastRow">
      <w:pPr>
        <w:spacing w:before="0" w:after="0" w:line="240" w:lineRule="auto"/>
      </w:pPr>
      <w:rPr>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tcBorders>
      </w:tcPr>
    </w:tblStylePr>
    <w:tblStylePr w:type="firstCol">
      <w:rPr>
        <w:b/>
        <w:bCs/>
      </w:rPr>
    </w:tblStylePr>
    <w:tblStylePr w:type="lastCol">
      <w:rPr>
        <w:b/>
        <w:bCs/>
      </w:r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style>
  <w:style w:type="table" w:styleId="LightList-Accent4">
    <w:name w:val="Light List Accent 4"/>
    <w:basedOn w:val="TableNormal"/>
    <w:uiPriority w:val="61"/>
    <w:rsid w:val="00CB0664"/>
    <w:pPr>
      <w:spacing w:after="0" w:line="240" w:lineRule="auto"/>
    </w:p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tblBorders>
    </w:tblPr>
    <w:tblStylePr w:type="firstRow">
      <w:pPr>
        <w:spacing w:before="0" w:after="0" w:line="240" w:lineRule="auto"/>
      </w:pPr>
      <w:rPr>
        <w:b/>
        <w:bCs/>
        <w:color w:val="FFFFFF" w:themeColor="background1"/>
      </w:rPr>
      <w:tblPr/>
      <w:tcPr>
        <w:shd w:val="clear" w:color="auto" w:fill="8064A2" w:themeFill="accent4"/>
      </w:tcPr>
    </w:tblStylePr>
    <w:tblStylePr w:type="lastRow">
      <w:pPr>
        <w:spacing w:before="0" w:after="0" w:line="240" w:lineRule="auto"/>
      </w:pPr>
      <w:rPr>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tcBorders>
      </w:tcPr>
    </w:tblStylePr>
    <w:tblStylePr w:type="firstCol">
      <w:rPr>
        <w:b/>
        <w:bCs/>
      </w:rPr>
    </w:tblStylePr>
    <w:tblStylePr w:type="lastCol">
      <w:rPr>
        <w:b/>
        <w:bCs/>
      </w:r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style>
  <w:style w:type="table" w:styleId="LightList-Accent5">
    <w:name w:val="Light List Accent 5"/>
    <w:basedOn w:val="TableNormal"/>
    <w:uiPriority w:val="61"/>
    <w:rsid w:val="00CB0664"/>
    <w:pPr>
      <w:spacing w:after="0" w:line="240" w:lineRule="auto"/>
    </w:p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tblBorders>
    </w:tblPr>
    <w:tblStylePr w:type="firstRow">
      <w:pPr>
        <w:spacing w:before="0" w:after="0" w:line="240" w:lineRule="auto"/>
      </w:pPr>
      <w:rPr>
        <w:b/>
        <w:bCs/>
        <w:color w:val="FFFFFF" w:themeColor="background1"/>
      </w:rPr>
      <w:tblPr/>
      <w:tcPr>
        <w:shd w:val="clear" w:color="auto" w:fill="4BACC6" w:themeFill="accent5"/>
      </w:tcPr>
    </w:tblStylePr>
    <w:tblStylePr w:type="lastRow">
      <w:pPr>
        <w:spacing w:before="0" w:after="0" w:line="240" w:lineRule="auto"/>
      </w:pPr>
      <w:rPr>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tcBorders>
      </w:tcPr>
    </w:tblStylePr>
    <w:tblStylePr w:type="firstCol">
      <w:rPr>
        <w:b/>
        <w:bCs/>
      </w:rPr>
    </w:tblStylePr>
    <w:tblStylePr w:type="lastCol">
      <w:rPr>
        <w:b/>
        <w:bCs/>
      </w:r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style>
  <w:style w:type="table" w:styleId="LightList-Accent6">
    <w:name w:val="Light List Accent 6"/>
    <w:basedOn w:val="TableNormal"/>
    <w:uiPriority w:val="61"/>
    <w:rsid w:val="00CB0664"/>
    <w:pPr>
      <w:spacing w:after="0" w:line="240" w:lineRule="auto"/>
    </w:p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tblBorders>
    </w:tblPr>
    <w:tblStylePr w:type="firstRow">
      <w:pPr>
        <w:spacing w:before="0" w:after="0" w:line="240" w:lineRule="auto"/>
      </w:pPr>
      <w:rPr>
        <w:b/>
        <w:bCs/>
        <w:color w:val="FFFFFF" w:themeColor="background1"/>
      </w:rPr>
      <w:tblPr/>
      <w:tcPr>
        <w:shd w:val="clear" w:color="auto" w:fill="F79646" w:themeFill="accent6"/>
      </w:tcPr>
    </w:tblStylePr>
    <w:tblStylePr w:type="lastRow">
      <w:pPr>
        <w:spacing w:before="0" w:after="0" w:line="240" w:lineRule="auto"/>
      </w:pPr>
      <w:rPr>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tcBorders>
      </w:tcPr>
    </w:tblStylePr>
    <w:tblStylePr w:type="firstCol">
      <w:rPr>
        <w:b/>
        <w:bCs/>
      </w:rPr>
    </w:tblStylePr>
    <w:tblStylePr w:type="lastCol">
      <w:rPr>
        <w:b/>
        <w:bCs/>
      </w:r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style>
  <w:style w:type="table" w:styleId="LightGrid">
    <w:name w:val="Light Grid"/>
    <w:basedOn w:val="TableNormal"/>
    <w:uiPriority w:val="62"/>
    <w:rsid w:val="00CB0664"/>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18" w:space="0" w:color="000000" w:themeColor="text1"/>
          <w:right w:val="single" w:sz="8" w:space="0" w:color="000000" w:themeColor="text1"/>
          <w:insideH w:val="nil"/>
          <w:insideV w:val="single" w:sz="8" w:space="0" w:color="000000" w:themeColor="tex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insideH w:val="nil"/>
          <w:insideV w:val="single" w:sz="8" w:space="0" w:color="000000" w:themeColor="tex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shd w:val="clear" w:color="auto" w:fill="C0C0C0" w:themeFill="text1" w:themeFillTint="3F"/>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shd w:val="clear" w:color="auto" w:fill="C0C0C0" w:themeFill="text1" w:themeFillTint="3F"/>
      </w:tcPr>
    </w:tblStylePr>
    <w:tblStylePr w:type="band2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tcPr>
    </w:tblStylePr>
  </w:style>
  <w:style w:type="table" w:styleId="LightGrid-Accent1">
    <w:name w:val="Light Grid Accent 1"/>
    <w:basedOn w:val="TableNormal"/>
    <w:uiPriority w:val="62"/>
    <w:rsid w:val="00CB0664"/>
    <w:pPr>
      <w:spacing w:after="0" w:line="240" w:lineRule="auto"/>
    </w:p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18" w:space="0" w:color="4F81BD" w:themeColor="accent1"/>
          <w:right w:val="single" w:sz="8" w:space="0" w:color="4F81BD" w:themeColor="accent1"/>
          <w:insideH w:val="nil"/>
          <w:insideV w:val="single" w:sz="8" w:space="0" w:color="4F81BD" w:themeColor="accen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insideH w:val="nil"/>
          <w:insideV w:val="single" w:sz="8" w:space="0" w:color="4F81BD" w:themeColor="accen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shd w:val="clear" w:color="auto" w:fill="D3DFEE" w:themeFill="accent1" w:themeFillTint="3F"/>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shd w:val="clear" w:color="auto" w:fill="D3DFEE" w:themeFill="accent1" w:themeFillTint="3F"/>
      </w:tcPr>
    </w:tblStylePr>
    <w:tblStylePr w:type="band2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tcPr>
    </w:tblStylePr>
  </w:style>
  <w:style w:type="table" w:styleId="LightGrid-Accent2">
    <w:name w:val="Light Grid Accent 2"/>
    <w:basedOn w:val="TableNormal"/>
    <w:uiPriority w:val="62"/>
    <w:rsid w:val="00CB0664"/>
    <w:pPr>
      <w:spacing w:after="0" w:line="240" w:lineRule="auto"/>
    </w:p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18" w:space="0" w:color="C0504D" w:themeColor="accent2"/>
          <w:right w:val="single" w:sz="8" w:space="0" w:color="C0504D" w:themeColor="accent2"/>
          <w:insideH w:val="nil"/>
          <w:insideV w:val="single" w:sz="8" w:space="0" w:color="C0504D" w:themeColor="accent2"/>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insideH w:val="nil"/>
          <w:insideV w:val="single" w:sz="8" w:space="0" w:color="C0504D" w:themeColor="accent2"/>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shd w:val="clear" w:color="auto" w:fill="EFD3D2" w:themeFill="accent2" w:themeFillTint="3F"/>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shd w:val="clear" w:color="auto" w:fill="EFD3D2" w:themeFill="accent2" w:themeFillTint="3F"/>
      </w:tcPr>
    </w:tblStylePr>
    <w:tblStylePr w:type="band2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tcPr>
    </w:tblStylePr>
  </w:style>
  <w:style w:type="table" w:styleId="LightGrid-Accent3">
    <w:name w:val="Light Grid Accent 3"/>
    <w:basedOn w:val="TableNormal"/>
    <w:uiPriority w:val="62"/>
    <w:rsid w:val="00CB0664"/>
    <w:pPr>
      <w:spacing w:after="0" w:line="240" w:lineRule="auto"/>
    </w:p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18" w:space="0" w:color="9BBB59" w:themeColor="accent3"/>
          <w:right w:val="single" w:sz="8" w:space="0" w:color="9BBB59" w:themeColor="accent3"/>
          <w:insideH w:val="nil"/>
          <w:insideV w:val="single" w:sz="8" w:space="0" w:color="9BBB59" w:themeColor="accent3"/>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insideH w:val="nil"/>
          <w:insideV w:val="single" w:sz="8" w:space="0" w:color="9BBB59" w:themeColor="accent3"/>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shd w:val="clear" w:color="auto" w:fill="E6EED5" w:themeFill="accent3" w:themeFillTint="3F"/>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shd w:val="clear" w:color="auto" w:fill="E6EED5" w:themeFill="accent3" w:themeFillTint="3F"/>
      </w:tcPr>
    </w:tblStylePr>
    <w:tblStylePr w:type="band2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tcPr>
    </w:tblStylePr>
  </w:style>
  <w:style w:type="table" w:styleId="LightGrid-Accent4">
    <w:name w:val="Light Grid Accent 4"/>
    <w:basedOn w:val="TableNormal"/>
    <w:uiPriority w:val="62"/>
    <w:rsid w:val="00CB0664"/>
    <w:pPr>
      <w:spacing w:after="0" w:line="240" w:lineRule="auto"/>
    </w:p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18" w:space="0" w:color="8064A2" w:themeColor="accent4"/>
          <w:right w:val="single" w:sz="8" w:space="0" w:color="8064A2" w:themeColor="accent4"/>
          <w:insideH w:val="nil"/>
          <w:insideV w:val="single" w:sz="8" w:space="0" w:color="8064A2" w:themeColor="accent4"/>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insideH w:val="nil"/>
          <w:insideV w:val="single" w:sz="8" w:space="0" w:color="8064A2" w:themeColor="accent4"/>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shd w:val="clear" w:color="auto" w:fill="DFD8E8" w:themeFill="accent4" w:themeFillTint="3F"/>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shd w:val="clear" w:color="auto" w:fill="DFD8E8" w:themeFill="accent4" w:themeFillTint="3F"/>
      </w:tcPr>
    </w:tblStylePr>
    <w:tblStylePr w:type="band2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tcPr>
    </w:tblStylePr>
  </w:style>
  <w:style w:type="table" w:styleId="LightGrid-Accent5">
    <w:name w:val="Light Grid Accent 5"/>
    <w:basedOn w:val="TableNormal"/>
    <w:uiPriority w:val="62"/>
    <w:rsid w:val="00CB0664"/>
    <w:pPr>
      <w:spacing w:after="0" w:line="240" w:lineRule="auto"/>
    </w:p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18" w:space="0" w:color="4BACC6" w:themeColor="accent5"/>
          <w:right w:val="single" w:sz="8" w:space="0" w:color="4BACC6" w:themeColor="accent5"/>
          <w:insideH w:val="nil"/>
          <w:insideV w:val="single" w:sz="8" w:space="0" w:color="4BACC6" w:themeColor="accent5"/>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insideH w:val="nil"/>
          <w:insideV w:val="single" w:sz="8" w:space="0" w:color="4BACC6" w:themeColor="accent5"/>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shd w:val="clear" w:color="auto" w:fill="D2EAF1" w:themeFill="accent5" w:themeFillTint="3F"/>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shd w:val="clear" w:color="auto" w:fill="D2EAF1" w:themeFill="accent5" w:themeFillTint="3F"/>
      </w:tcPr>
    </w:tblStylePr>
    <w:tblStylePr w:type="band2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tcPr>
    </w:tblStylePr>
  </w:style>
  <w:style w:type="table" w:styleId="LightGrid-Accent6">
    <w:name w:val="Light Grid Accent 6"/>
    <w:basedOn w:val="TableNormal"/>
    <w:uiPriority w:val="62"/>
    <w:rsid w:val="00CB0664"/>
    <w:pPr>
      <w:spacing w:after="0" w:line="240" w:lineRule="auto"/>
    </w:p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18" w:space="0" w:color="F79646" w:themeColor="accent6"/>
          <w:right w:val="single" w:sz="8" w:space="0" w:color="F79646" w:themeColor="accent6"/>
          <w:insideH w:val="nil"/>
          <w:insideV w:val="single" w:sz="8" w:space="0" w:color="F79646" w:themeColor="accent6"/>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insideH w:val="nil"/>
          <w:insideV w:val="single" w:sz="8" w:space="0" w:color="F79646" w:themeColor="accent6"/>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shd w:val="clear" w:color="auto" w:fill="FDE4D0" w:themeFill="accent6" w:themeFillTint="3F"/>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shd w:val="clear" w:color="auto" w:fill="FDE4D0" w:themeFill="accent6" w:themeFillTint="3F"/>
      </w:tcPr>
    </w:tblStylePr>
    <w:tblStylePr w:type="band2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tcPr>
    </w:tblStylePr>
  </w:style>
  <w:style w:type="table" w:styleId="MediumShading1">
    <w:name w:val="Medium Shading 1"/>
    <w:basedOn w:val="TableNormal"/>
    <w:uiPriority w:val="63"/>
    <w:rsid w:val="00CB0664"/>
    <w:pPr>
      <w:spacing w:after="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tblBorders>
    </w:tblPr>
    <w:tblStylePr w:type="firstRow">
      <w:pPr>
        <w:spacing w:before="0" w:after="0" w:line="240" w:lineRule="auto"/>
      </w:pPr>
      <w:rPr>
        <w:b/>
        <w:bCs/>
        <w:color w:val="FFFFFF" w:themeColor="background1"/>
      </w:rPr>
      <w:tblPr/>
      <w:tcPr>
        <w:tc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shd w:val="clear" w:color="auto" w:fill="000000" w:themeFill="text1"/>
      </w:tcPr>
    </w:tblStylePr>
    <w:tblStylePr w:type="lastRow">
      <w:pPr>
        <w:spacing w:before="0" w:after="0" w:line="240" w:lineRule="auto"/>
      </w:pPr>
      <w:rPr>
        <w:b/>
        <w:bCs/>
      </w:rPr>
      <w:tblPr/>
      <w:tcPr>
        <w:tcBorders>
          <w:top w:val="double" w:sz="6"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tcPr>
    </w:tblStylePr>
    <w:tblStylePr w:type="firstCol">
      <w:rPr>
        <w:b/>
        <w:bCs/>
      </w:rPr>
    </w:tblStylePr>
    <w:tblStylePr w:type="lastCol">
      <w:rPr>
        <w:b/>
        <w:bCs/>
      </w:rPr>
    </w:tblStylePr>
    <w:tblStylePr w:type="band1Vert">
      <w:tblPr/>
      <w:tcPr>
        <w:shd w:val="clear" w:color="auto" w:fill="C0C0C0" w:themeFill="text1" w:themeFillTint="3F"/>
      </w:tcPr>
    </w:tblStylePr>
    <w:tblStylePr w:type="band1Horz">
      <w:tblPr/>
      <w:tcPr>
        <w:tcBorders>
          <w:insideH w:val="nil"/>
          <w:insideV w:val="nil"/>
        </w:tcBorders>
        <w:shd w:val="clear" w:color="auto" w:fill="C0C0C0" w:themeFill="text1" w:themeFillTint="3F"/>
      </w:tcPr>
    </w:tblStylePr>
    <w:tblStylePr w:type="band2Horz">
      <w:tblPr/>
      <w:tcPr>
        <w:tcBorders>
          <w:insideH w:val="nil"/>
          <w:insideV w:val="nil"/>
        </w:tcBorders>
      </w:tcPr>
    </w:tblStylePr>
  </w:style>
  <w:style w:type="table" w:styleId="MediumShading1-Accent1">
    <w:name w:val="Medium Shading 1 Accent 1"/>
    <w:basedOn w:val="TableNormal"/>
    <w:uiPriority w:val="63"/>
    <w:rsid w:val="00CB0664"/>
    <w:pPr>
      <w:spacing w:after="0" w:line="240" w:lineRule="auto"/>
    </w:pPr>
    <w:tblPr>
      <w:tblStyleRowBandSize w:val="1"/>
      <w:tblStyleColBandSize w:val="1"/>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tblBorders>
    </w:tblPr>
    <w:tblStylePr w:type="firstRow">
      <w:pPr>
        <w:spacing w:before="0" w:after="0" w:line="240" w:lineRule="auto"/>
      </w:pPr>
      <w:rPr>
        <w:b/>
        <w:bCs/>
        <w:color w:val="FFFFFF" w:themeColor="background1"/>
      </w:rPr>
      <w:tblPr/>
      <w:tcPr>
        <w:tc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shd w:val="clear" w:color="auto" w:fill="4F81BD" w:themeFill="accent1"/>
      </w:tcPr>
    </w:tblStylePr>
    <w:tblStylePr w:type="lastRow">
      <w:pPr>
        <w:spacing w:before="0" w:after="0" w:line="240" w:lineRule="auto"/>
      </w:pPr>
      <w:rPr>
        <w:b/>
        <w:bCs/>
      </w:rPr>
      <w:tblPr/>
      <w:tcPr>
        <w:tcBorders>
          <w:top w:val="double" w:sz="6"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tcPr>
    </w:tblStylePr>
    <w:tblStylePr w:type="firstCol">
      <w:rPr>
        <w:b/>
        <w:bCs/>
      </w:rPr>
    </w:tblStylePr>
    <w:tblStylePr w:type="lastCol">
      <w:rPr>
        <w:b/>
        <w:bCs/>
      </w:rPr>
    </w:tblStylePr>
    <w:tblStylePr w:type="band1Vert">
      <w:tblPr/>
      <w:tcPr>
        <w:shd w:val="clear" w:color="auto" w:fill="D3DFEE" w:themeFill="accent1" w:themeFillTint="3F"/>
      </w:tcPr>
    </w:tblStylePr>
    <w:tblStylePr w:type="band1Horz">
      <w:tblPr/>
      <w:tcPr>
        <w:tcBorders>
          <w:insideH w:val="nil"/>
          <w:insideV w:val="nil"/>
        </w:tcBorders>
        <w:shd w:val="clear" w:color="auto" w:fill="D3DFEE" w:themeFill="accent1" w:themeFillTint="3F"/>
      </w:tcPr>
    </w:tblStylePr>
    <w:tblStylePr w:type="band2Horz">
      <w:tblPr/>
      <w:tcPr>
        <w:tcBorders>
          <w:insideH w:val="nil"/>
          <w:insideV w:val="nil"/>
        </w:tcBorders>
      </w:tcPr>
    </w:tblStylePr>
  </w:style>
  <w:style w:type="table" w:styleId="MediumShading1-Accent2">
    <w:name w:val="Medium Shading 1 Accent 2"/>
    <w:basedOn w:val="TableNormal"/>
    <w:uiPriority w:val="63"/>
    <w:rsid w:val="00CB0664"/>
    <w:pPr>
      <w:spacing w:after="0" w:line="240" w:lineRule="auto"/>
    </w:pPr>
    <w:tblPr>
      <w:tblStyleRowBandSize w:val="1"/>
      <w:tblStyleColBandSize w:val="1"/>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tblBorders>
    </w:tblPr>
    <w:tblStylePr w:type="firstRow">
      <w:pPr>
        <w:spacing w:before="0" w:after="0" w:line="240" w:lineRule="auto"/>
      </w:pPr>
      <w:rPr>
        <w:b/>
        <w:bCs/>
        <w:color w:val="FFFFFF" w:themeColor="background1"/>
      </w:rPr>
      <w:tblPr/>
      <w:tcPr>
        <w:tc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shd w:val="clear" w:color="auto" w:fill="C0504D" w:themeFill="accent2"/>
      </w:tcPr>
    </w:tblStylePr>
    <w:tblStylePr w:type="lastRow">
      <w:pPr>
        <w:spacing w:before="0" w:after="0" w:line="240" w:lineRule="auto"/>
      </w:pPr>
      <w:rPr>
        <w:b/>
        <w:bCs/>
      </w:rPr>
      <w:tblPr/>
      <w:tcPr>
        <w:tcBorders>
          <w:top w:val="double" w:sz="6"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tcPr>
    </w:tblStylePr>
    <w:tblStylePr w:type="firstCol">
      <w:rPr>
        <w:b/>
        <w:bCs/>
      </w:rPr>
    </w:tblStylePr>
    <w:tblStylePr w:type="lastCol">
      <w:rPr>
        <w:b/>
        <w:bCs/>
      </w:rPr>
    </w:tblStylePr>
    <w:tblStylePr w:type="band1Vert">
      <w:tblPr/>
      <w:tcPr>
        <w:shd w:val="clear" w:color="auto" w:fill="EFD3D2" w:themeFill="accent2" w:themeFillTint="3F"/>
      </w:tcPr>
    </w:tblStylePr>
    <w:tblStylePr w:type="band1Horz">
      <w:tblPr/>
      <w:tcPr>
        <w:tcBorders>
          <w:insideH w:val="nil"/>
          <w:insideV w:val="nil"/>
        </w:tcBorders>
        <w:shd w:val="clear" w:color="auto" w:fill="EFD3D2" w:themeFill="accent2" w:themeFillTint="3F"/>
      </w:tcPr>
    </w:tblStylePr>
    <w:tblStylePr w:type="band2Horz">
      <w:tblPr/>
      <w:tcPr>
        <w:tcBorders>
          <w:insideH w:val="nil"/>
          <w:insideV w:val="nil"/>
        </w:tcBorders>
      </w:tcPr>
    </w:tblStylePr>
  </w:style>
  <w:style w:type="table" w:styleId="MediumShading1-Accent3">
    <w:name w:val="Medium Shading 1 Accent 3"/>
    <w:basedOn w:val="TableNormal"/>
    <w:uiPriority w:val="63"/>
    <w:rsid w:val="00CB0664"/>
    <w:pPr>
      <w:spacing w:after="0" w:line="240" w:lineRule="auto"/>
    </w:pPr>
    <w:tblPr>
      <w:tblStyleRowBandSize w:val="1"/>
      <w:tblStyleColBandSize w:val="1"/>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tblBorders>
    </w:tblPr>
    <w:tblStylePr w:type="firstRow">
      <w:pPr>
        <w:spacing w:before="0" w:after="0" w:line="240" w:lineRule="auto"/>
      </w:pPr>
      <w:rPr>
        <w:b/>
        <w:bCs/>
        <w:color w:val="FFFFFF" w:themeColor="background1"/>
      </w:rPr>
      <w:tblPr/>
      <w:tcPr>
        <w:tc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shd w:val="clear" w:color="auto" w:fill="9BBB59" w:themeFill="accent3"/>
      </w:tcPr>
    </w:tblStylePr>
    <w:tblStylePr w:type="lastRow">
      <w:pPr>
        <w:spacing w:before="0" w:after="0" w:line="240" w:lineRule="auto"/>
      </w:pPr>
      <w:rPr>
        <w:b/>
        <w:bCs/>
      </w:rPr>
      <w:tblPr/>
      <w:tcPr>
        <w:tcBorders>
          <w:top w:val="double" w:sz="6"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tcPr>
    </w:tblStylePr>
    <w:tblStylePr w:type="firstCol">
      <w:rPr>
        <w:b/>
        <w:bCs/>
      </w:rPr>
    </w:tblStylePr>
    <w:tblStylePr w:type="lastCol">
      <w:rPr>
        <w:b/>
        <w:bCs/>
      </w:rPr>
    </w:tblStylePr>
    <w:tblStylePr w:type="band1Vert">
      <w:tblPr/>
      <w:tcPr>
        <w:shd w:val="clear" w:color="auto" w:fill="E6EED5" w:themeFill="accent3" w:themeFillTint="3F"/>
      </w:tcPr>
    </w:tblStylePr>
    <w:tblStylePr w:type="band1Horz">
      <w:tblPr/>
      <w:tcPr>
        <w:tcBorders>
          <w:insideH w:val="nil"/>
          <w:insideV w:val="nil"/>
        </w:tcBorders>
        <w:shd w:val="clear" w:color="auto" w:fill="E6EED5" w:themeFill="accent3" w:themeFillTint="3F"/>
      </w:tcPr>
    </w:tblStylePr>
    <w:tblStylePr w:type="band2Horz">
      <w:tblPr/>
      <w:tcPr>
        <w:tcBorders>
          <w:insideH w:val="nil"/>
          <w:insideV w:val="nil"/>
        </w:tcBorders>
      </w:tcPr>
    </w:tblStylePr>
  </w:style>
  <w:style w:type="table" w:styleId="MediumShading1-Accent4">
    <w:name w:val="Medium Shading 1 Accent 4"/>
    <w:basedOn w:val="TableNormal"/>
    <w:uiPriority w:val="63"/>
    <w:rsid w:val="00CB0664"/>
    <w:pPr>
      <w:spacing w:after="0" w:line="240" w:lineRule="auto"/>
    </w:pPr>
    <w:tblPr>
      <w:tblStyleRowBandSize w:val="1"/>
      <w:tblStyleColBandSize w:val="1"/>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tblBorders>
    </w:tblPr>
    <w:tblStylePr w:type="firstRow">
      <w:pPr>
        <w:spacing w:before="0" w:after="0" w:line="240" w:lineRule="auto"/>
      </w:pPr>
      <w:rPr>
        <w:b/>
        <w:bCs/>
        <w:color w:val="FFFFFF" w:themeColor="background1"/>
      </w:rPr>
      <w:tblPr/>
      <w:tcPr>
        <w:tc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shd w:val="clear" w:color="auto" w:fill="8064A2" w:themeFill="accent4"/>
      </w:tcPr>
    </w:tblStylePr>
    <w:tblStylePr w:type="lastRow">
      <w:pPr>
        <w:spacing w:before="0" w:after="0" w:line="240" w:lineRule="auto"/>
      </w:pPr>
      <w:rPr>
        <w:b/>
        <w:bCs/>
      </w:rPr>
      <w:tblPr/>
      <w:tcPr>
        <w:tcBorders>
          <w:top w:val="double" w:sz="6"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tcPr>
    </w:tblStylePr>
    <w:tblStylePr w:type="firstCol">
      <w:rPr>
        <w:b/>
        <w:bCs/>
      </w:rPr>
    </w:tblStylePr>
    <w:tblStylePr w:type="lastCol">
      <w:rPr>
        <w:b/>
        <w:bCs/>
      </w:rPr>
    </w:tblStylePr>
    <w:tblStylePr w:type="band1Vert">
      <w:tblPr/>
      <w:tcPr>
        <w:shd w:val="clear" w:color="auto" w:fill="DFD8E8" w:themeFill="accent4" w:themeFillTint="3F"/>
      </w:tcPr>
    </w:tblStylePr>
    <w:tblStylePr w:type="band1Horz">
      <w:tblPr/>
      <w:tcPr>
        <w:tcBorders>
          <w:insideH w:val="nil"/>
          <w:insideV w:val="nil"/>
        </w:tcBorders>
        <w:shd w:val="clear" w:color="auto" w:fill="DFD8E8" w:themeFill="accent4" w:themeFillTint="3F"/>
      </w:tcPr>
    </w:tblStylePr>
    <w:tblStylePr w:type="band2Horz">
      <w:tblPr/>
      <w:tcPr>
        <w:tcBorders>
          <w:insideH w:val="nil"/>
          <w:insideV w:val="nil"/>
        </w:tcBorders>
      </w:tcPr>
    </w:tblStylePr>
  </w:style>
  <w:style w:type="table" w:styleId="MediumShading1-Accent5">
    <w:name w:val="Medium Shading 1 Accent 5"/>
    <w:basedOn w:val="TableNormal"/>
    <w:uiPriority w:val="63"/>
    <w:rsid w:val="00CB0664"/>
    <w:pPr>
      <w:spacing w:after="0" w:line="240" w:lineRule="auto"/>
    </w:pPr>
    <w:tblPr>
      <w:tblStyleRowBandSize w:val="1"/>
      <w:tblStyleColBandSize w:val="1"/>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tblBorders>
    </w:tblPr>
    <w:tblStylePr w:type="firstRow">
      <w:pPr>
        <w:spacing w:before="0" w:after="0" w:line="240" w:lineRule="auto"/>
      </w:pPr>
      <w:rPr>
        <w:b/>
        <w:bCs/>
        <w:color w:val="FFFFFF" w:themeColor="background1"/>
      </w:rPr>
      <w:tblPr/>
      <w:tcPr>
        <w:tc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shd w:val="clear" w:color="auto" w:fill="4BACC6" w:themeFill="accent5"/>
      </w:tcPr>
    </w:tblStylePr>
    <w:tblStylePr w:type="lastRow">
      <w:pPr>
        <w:spacing w:before="0" w:after="0" w:line="240" w:lineRule="auto"/>
      </w:pPr>
      <w:rPr>
        <w:b/>
        <w:bCs/>
      </w:rPr>
      <w:tblPr/>
      <w:tcPr>
        <w:tcBorders>
          <w:top w:val="double" w:sz="6"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tcPr>
    </w:tblStylePr>
    <w:tblStylePr w:type="firstCol">
      <w:rPr>
        <w:b/>
        <w:bCs/>
      </w:rPr>
    </w:tblStylePr>
    <w:tblStylePr w:type="lastCol">
      <w:rPr>
        <w:b/>
        <w:bCs/>
      </w:rPr>
    </w:tblStylePr>
    <w:tblStylePr w:type="band1Vert">
      <w:tblPr/>
      <w:tcPr>
        <w:shd w:val="clear" w:color="auto" w:fill="D2EAF1" w:themeFill="accent5" w:themeFillTint="3F"/>
      </w:tcPr>
    </w:tblStylePr>
    <w:tblStylePr w:type="band1Horz">
      <w:tblPr/>
      <w:tcPr>
        <w:tcBorders>
          <w:insideH w:val="nil"/>
          <w:insideV w:val="nil"/>
        </w:tcBorders>
        <w:shd w:val="clear" w:color="auto" w:fill="D2EAF1" w:themeFill="accent5" w:themeFillTint="3F"/>
      </w:tcPr>
    </w:tblStylePr>
    <w:tblStylePr w:type="band2Horz">
      <w:tblPr/>
      <w:tcPr>
        <w:tcBorders>
          <w:insideH w:val="nil"/>
          <w:insideV w:val="nil"/>
        </w:tcBorders>
      </w:tcPr>
    </w:tblStylePr>
  </w:style>
  <w:style w:type="table" w:styleId="MediumShading1-Accent6">
    <w:name w:val="Medium Shading 1 Accent 6"/>
    <w:basedOn w:val="TableNormal"/>
    <w:uiPriority w:val="63"/>
    <w:rsid w:val="00CB0664"/>
    <w:pPr>
      <w:spacing w:after="0" w:line="240" w:lineRule="auto"/>
    </w:pPr>
    <w:tblPr>
      <w:tblStyleRowBandSize w:val="1"/>
      <w:tblStyleColBandSize w:val="1"/>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tblBorders>
    </w:tblPr>
    <w:tblStylePr w:type="firstRow">
      <w:pPr>
        <w:spacing w:before="0" w:after="0" w:line="240" w:lineRule="auto"/>
      </w:pPr>
      <w:rPr>
        <w:b/>
        <w:bCs/>
        <w:color w:val="FFFFFF" w:themeColor="background1"/>
      </w:rPr>
      <w:tblPr/>
      <w:tcPr>
        <w:tc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shd w:val="clear" w:color="auto" w:fill="F79646" w:themeFill="accent6"/>
      </w:tcPr>
    </w:tblStylePr>
    <w:tblStylePr w:type="lastRow">
      <w:pPr>
        <w:spacing w:before="0" w:after="0" w:line="240" w:lineRule="auto"/>
      </w:pPr>
      <w:rPr>
        <w:b/>
        <w:bCs/>
      </w:rPr>
      <w:tblPr/>
      <w:tcPr>
        <w:tcBorders>
          <w:top w:val="double" w:sz="6"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tcPr>
    </w:tblStylePr>
    <w:tblStylePr w:type="firstCol">
      <w:rPr>
        <w:b/>
        <w:bCs/>
      </w:rPr>
    </w:tblStylePr>
    <w:tblStylePr w:type="lastCol">
      <w:rPr>
        <w:b/>
        <w:bCs/>
      </w:rPr>
    </w:tblStylePr>
    <w:tblStylePr w:type="band1Vert">
      <w:tblPr/>
      <w:tcPr>
        <w:shd w:val="clear" w:color="auto" w:fill="FDE4D0" w:themeFill="accent6" w:themeFillTint="3F"/>
      </w:tcPr>
    </w:tblStylePr>
    <w:tblStylePr w:type="band1Horz">
      <w:tblPr/>
      <w:tcPr>
        <w:tcBorders>
          <w:insideH w:val="nil"/>
          <w:insideV w:val="nil"/>
        </w:tcBorders>
        <w:shd w:val="clear" w:color="auto" w:fill="FDE4D0" w:themeFill="accent6" w:themeFillTint="3F"/>
      </w:tcPr>
    </w:tblStylePr>
    <w:tblStylePr w:type="band2Horz">
      <w:tblPr/>
      <w:tcPr>
        <w:tcBorders>
          <w:insideH w:val="nil"/>
          <w:insideV w:val="nil"/>
        </w:tcBorders>
      </w:tcPr>
    </w:tblStylePr>
  </w:style>
  <w:style w:type="table" w:styleId="MediumShading2">
    <w:name w:val="Medium Shading 2"/>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000000" w:themeFill="tex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000000" w:themeFill="text1"/>
      </w:tcPr>
    </w:tblStylePr>
    <w:tblStylePr w:type="lastCol">
      <w:rPr>
        <w:b/>
        <w:bCs/>
        <w:color w:val="FFFFFF" w:themeColor="background1"/>
      </w:rPr>
      <w:tblPr/>
      <w:tcPr>
        <w:tcBorders>
          <w:left w:val="nil"/>
          <w:right w:val="nil"/>
          <w:insideH w:val="nil"/>
          <w:insideV w:val="nil"/>
        </w:tcBorders>
        <w:shd w:val="clear" w:color="auto" w:fill="000000" w:themeFill="tex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1">
    <w:name w:val="Medium Shading 2 Accent 1"/>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F81BD" w:themeFill="accen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F81BD" w:themeFill="accent1"/>
      </w:tcPr>
    </w:tblStylePr>
    <w:tblStylePr w:type="lastCol">
      <w:rPr>
        <w:b/>
        <w:bCs/>
        <w:color w:val="FFFFFF" w:themeColor="background1"/>
      </w:rPr>
      <w:tblPr/>
      <w:tcPr>
        <w:tcBorders>
          <w:left w:val="nil"/>
          <w:right w:val="nil"/>
          <w:insideH w:val="nil"/>
          <w:insideV w:val="nil"/>
        </w:tcBorders>
        <w:shd w:val="clear" w:color="auto" w:fill="4F81BD" w:themeFill="accen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2">
    <w:name w:val="Medium Shading 2 Accent 2"/>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C0504D" w:themeFill="accent2"/>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C0504D" w:themeFill="accent2"/>
      </w:tcPr>
    </w:tblStylePr>
    <w:tblStylePr w:type="lastCol">
      <w:rPr>
        <w:b/>
        <w:bCs/>
        <w:color w:val="FFFFFF" w:themeColor="background1"/>
      </w:rPr>
      <w:tblPr/>
      <w:tcPr>
        <w:tcBorders>
          <w:left w:val="nil"/>
          <w:right w:val="nil"/>
          <w:insideH w:val="nil"/>
          <w:insideV w:val="nil"/>
        </w:tcBorders>
        <w:shd w:val="clear" w:color="auto" w:fill="C0504D" w:themeFill="accent2"/>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3">
    <w:name w:val="Medium Shading 2 Accent 3"/>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9BBB59" w:themeFill="accent3"/>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9BBB59" w:themeFill="accent3"/>
      </w:tcPr>
    </w:tblStylePr>
    <w:tblStylePr w:type="lastCol">
      <w:rPr>
        <w:b/>
        <w:bCs/>
        <w:color w:val="FFFFFF" w:themeColor="background1"/>
      </w:rPr>
      <w:tblPr/>
      <w:tcPr>
        <w:tcBorders>
          <w:left w:val="nil"/>
          <w:right w:val="nil"/>
          <w:insideH w:val="nil"/>
          <w:insideV w:val="nil"/>
        </w:tcBorders>
        <w:shd w:val="clear" w:color="auto" w:fill="9BBB59" w:themeFill="accent3"/>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4">
    <w:name w:val="Medium Shading 2 Accent 4"/>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8064A2" w:themeFill="accent4"/>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8064A2" w:themeFill="accent4"/>
      </w:tcPr>
    </w:tblStylePr>
    <w:tblStylePr w:type="lastCol">
      <w:rPr>
        <w:b/>
        <w:bCs/>
        <w:color w:val="FFFFFF" w:themeColor="background1"/>
      </w:rPr>
      <w:tblPr/>
      <w:tcPr>
        <w:tcBorders>
          <w:left w:val="nil"/>
          <w:right w:val="nil"/>
          <w:insideH w:val="nil"/>
          <w:insideV w:val="nil"/>
        </w:tcBorders>
        <w:shd w:val="clear" w:color="auto" w:fill="8064A2" w:themeFill="accent4"/>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5">
    <w:name w:val="Medium Shading 2 Accent 5"/>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BACC6" w:themeFill="accent5"/>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BACC6" w:themeFill="accent5"/>
      </w:tcPr>
    </w:tblStylePr>
    <w:tblStylePr w:type="lastCol">
      <w:rPr>
        <w:b/>
        <w:bCs/>
        <w:color w:val="FFFFFF" w:themeColor="background1"/>
      </w:rPr>
      <w:tblPr/>
      <w:tcPr>
        <w:tcBorders>
          <w:left w:val="nil"/>
          <w:right w:val="nil"/>
          <w:insideH w:val="nil"/>
          <w:insideV w:val="nil"/>
        </w:tcBorders>
        <w:shd w:val="clear" w:color="auto" w:fill="4BACC6" w:themeFill="accent5"/>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6">
    <w:name w:val="Medium Shading 2 Accent 6"/>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F79646" w:themeFill="accent6"/>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F79646" w:themeFill="accent6"/>
      </w:tcPr>
    </w:tblStylePr>
    <w:tblStylePr w:type="lastCol">
      <w:rPr>
        <w:b/>
        <w:bCs/>
        <w:color w:val="FFFFFF" w:themeColor="background1"/>
      </w:rPr>
      <w:tblPr/>
      <w:tcPr>
        <w:tcBorders>
          <w:left w:val="nil"/>
          <w:right w:val="nil"/>
          <w:insideH w:val="nil"/>
          <w:insideV w:val="nil"/>
        </w:tcBorders>
        <w:shd w:val="clear" w:color="auto" w:fill="F79646" w:themeFill="accent6"/>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List1">
    <w:name w:val="Medium List 1"/>
    <w:basedOn w:val="TableNormal"/>
    <w:uiPriority w:val="65"/>
    <w:rsid w:val="00CB0664"/>
    <w:pPr>
      <w:spacing w:after="0" w:line="240" w:lineRule="auto"/>
    </w:pPr>
    <w:rPr>
      <w:color w:val="000000" w:themeColor="text1"/>
    </w:rPr>
    <w:tblPr>
      <w:tblStyleRowBandSize w:val="1"/>
      <w:tblStyleColBandSize w:val="1"/>
      <w:tblBorders>
        <w:top w:val="single" w:sz="8" w:space="0" w:color="000000" w:themeColor="text1"/>
        <w:bottom w:val="single" w:sz="8" w:space="0" w:color="000000" w:themeColor="text1"/>
      </w:tblBorders>
    </w:tblPr>
    <w:tblStylePr w:type="firstRow">
      <w:rPr>
        <w:rFonts w:asciiTheme="majorHAnsi" w:eastAsiaTheme="majorEastAsia" w:hAnsiTheme="majorHAnsi" w:cstheme="majorBidi"/>
      </w:rPr>
      <w:tblPr/>
      <w:tcPr>
        <w:tcBorders>
          <w:top w:val="nil"/>
          <w:bottom w:val="single" w:sz="8" w:space="0" w:color="000000" w:themeColor="text1"/>
        </w:tcBorders>
      </w:tcPr>
    </w:tblStylePr>
    <w:tblStylePr w:type="lastRow">
      <w:rPr>
        <w:b/>
        <w:bCs/>
        <w:color w:val="1F497D" w:themeColor="text2"/>
      </w:rPr>
      <w:tblPr/>
      <w:tcPr>
        <w:tcBorders>
          <w:top w:val="single" w:sz="8" w:space="0" w:color="000000" w:themeColor="text1"/>
          <w:bottom w:val="single" w:sz="8" w:space="0" w:color="000000" w:themeColor="text1"/>
        </w:tcBorders>
      </w:tcPr>
    </w:tblStylePr>
    <w:tblStylePr w:type="firstCol">
      <w:rPr>
        <w:b/>
        <w:bCs/>
      </w:rPr>
    </w:tblStylePr>
    <w:tblStylePr w:type="lastCol">
      <w:rPr>
        <w:b/>
        <w:bCs/>
      </w:rPr>
      <w:tblPr/>
      <w:tcPr>
        <w:tcBorders>
          <w:top w:val="single" w:sz="8" w:space="0" w:color="000000" w:themeColor="text1"/>
          <w:bottom w:val="single" w:sz="8" w:space="0" w:color="000000" w:themeColor="text1"/>
        </w:tcBorders>
      </w:tcPr>
    </w:tblStylePr>
    <w:tblStylePr w:type="band1Vert">
      <w:tblPr/>
      <w:tcPr>
        <w:shd w:val="clear" w:color="auto" w:fill="C0C0C0" w:themeFill="text1" w:themeFillTint="3F"/>
      </w:tcPr>
    </w:tblStylePr>
    <w:tblStylePr w:type="band1Horz">
      <w:tblPr/>
      <w:tcPr>
        <w:shd w:val="clear" w:color="auto" w:fill="C0C0C0" w:themeFill="text1" w:themeFillTint="3F"/>
      </w:tcPr>
    </w:tblStylePr>
  </w:style>
  <w:style w:type="table" w:styleId="MediumList1-Accent1">
    <w:name w:val="Medium List 1 Accent 1"/>
    <w:basedOn w:val="TableNormal"/>
    <w:uiPriority w:val="65"/>
    <w:rsid w:val="00CB0664"/>
    <w:pPr>
      <w:spacing w:after="0" w:line="240" w:lineRule="auto"/>
    </w:pPr>
    <w:rPr>
      <w:color w:val="000000" w:themeColor="text1"/>
    </w:rPr>
    <w:tblPr>
      <w:tblStyleRowBandSize w:val="1"/>
      <w:tblStyleColBandSize w:val="1"/>
      <w:tblBorders>
        <w:top w:val="single" w:sz="8" w:space="0" w:color="4F81BD" w:themeColor="accent1"/>
        <w:bottom w:val="single" w:sz="8" w:space="0" w:color="4F81BD" w:themeColor="accent1"/>
      </w:tblBorders>
    </w:tblPr>
    <w:tblStylePr w:type="firstRow">
      <w:rPr>
        <w:rFonts w:asciiTheme="majorHAnsi" w:eastAsiaTheme="majorEastAsia" w:hAnsiTheme="majorHAnsi" w:cstheme="majorBidi"/>
      </w:rPr>
      <w:tblPr/>
      <w:tcPr>
        <w:tcBorders>
          <w:top w:val="nil"/>
          <w:bottom w:val="single" w:sz="8" w:space="0" w:color="4F81BD" w:themeColor="accent1"/>
        </w:tcBorders>
      </w:tcPr>
    </w:tblStylePr>
    <w:tblStylePr w:type="lastRow">
      <w:rPr>
        <w:b/>
        <w:bCs/>
        <w:color w:val="1F497D" w:themeColor="text2"/>
      </w:rPr>
      <w:tblPr/>
      <w:tcPr>
        <w:tcBorders>
          <w:top w:val="single" w:sz="8" w:space="0" w:color="4F81BD" w:themeColor="accent1"/>
          <w:bottom w:val="single" w:sz="8" w:space="0" w:color="4F81BD" w:themeColor="accent1"/>
        </w:tcBorders>
      </w:tcPr>
    </w:tblStylePr>
    <w:tblStylePr w:type="firstCol">
      <w:rPr>
        <w:b/>
        <w:bCs/>
      </w:rPr>
    </w:tblStylePr>
    <w:tblStylePr w:type="lastCol">
      <w:rPr>
        <w:b/>
        <w:bCs/>
      </w:rPr>
      <w:tblPr/>
      <w:tcPr>
        <w:tcBorders>
          <w:top w:val="single" w:sz="8" w:space="0" w:color="4F81BD" w:themeColor="accent1"/>
          <w:bottom w:val="single" w:sz="8" w:space="0" w:color="4F81BD" w:themeColor="accent1"/>
        </w:tcBorders>
      </w:tcPr>
    </w:tblStylePr>
    <w:tblStylePr w:type="band1Vert">
      <w:tblPr/>
      <w:tcPr>
        <w:shd w:val="clear" w:color="auto" w:fill="D3DFEE" w:themeFill="accent1" w:themeFillTint="3F"/>
      </w:tcPr>
    </w:tblStylePr>
    <w:tblStylePr w:type="band1Horz">
      <w:tblPr/>
      <w:tcPr>
        <w:shd w:val="clear" w:color="auto" w:fill="D3DFEE" w:themeFill="accent1" w:themeFillTint="3F"/>
      </w:tcPr>
    </w:tblStylePr>
  </w:style>
  <w:style w:type="table" w:styleId="MediumList1-Accent2">
    <w:name w:val="Medium List 1 Accent 2"/>
    <w:basedOn w:val="TableNormal"/>
    <w:uiPriority w:val="65"/>
    <w:rsid w:val="00CB0664"/>
    <w:pPr>
      <w:spacing w:after="0" w:line="240" w:lineRule="auto"/>
    </w:pPr>
    <w:rPr>
      <w:color w:val="000000" w:themeColor="text1"/>
    </w:rPr>
    <w:tblPr>
      <w:tblStyleRowBandSize w:val="1"/>
      <w:tblStyleColBandSize w:val="1"/>
      <w:tblBorders>
        <w:top w:val="single" w:sz="8" w:space="0" w:color="C0504D" w:themeColor="accent2"/>
        <w:bottom w:val="single" w:sz="8" w:space="0" w:color="C0504D" w:themeColor="accent2"/>
      </w:tblBorders>
    </w:tblPr>
    <w:tblStylePr w:type="firstRow">
      <w:rPr>
        <w:rFonts w:asciiTheme="majorHAnsi" w:eastAsiaTheme="majorEastAsia" w:hAnsiTheme="majorHAnsi" w:cstheme="majorBidi"/>
      </w:rPr>
      <w:tblPr/>
      <w:tcPr>
        <w:tcBorders>
          <w:top w:val="nil"/>
          <w:bottom w:val="single" w:sz="8" w:space="0" w:color="C0504D" w:themeColor="accent2"/>
        </w:tcBorders>
      </w:tcPr>
    </w:tblStylePr>
    <w:tblStylePr w:type="lastRow">
      <w:rPr>
        <w:b/>
        <w:bCs/>
        <w:color w:val="1F497D" w:themeColor="text2"/>
      </w:rPr>
      <w:tblPr/>
      <w:tcPr>
        <w:tcBorders>
          <w:top w:val="single" w:sz="8" w:space="0" w:color="C0504D" w:themeColor="accent2"/>
          <w:bottom w:val="single" w:sz="8" w:space="0" w:color="C0504D" w:themeColor="accent2"/>
        </w:tcBorders>
      </w:tcPr>
    </w:tblStylePr>
    <w:tblStylePr w:type="firstCol">
      <w:rPr>
        <w:b/>
        <w:bCs/>
      </w:rPr>
    </w:tblStylePr>
    <w:tblStylePr w:type="lastCol">
      <w:rPr>
        <w:b/>
        <w:bCs/>
      </w:rPr>
      <w:tblPr/>
      <w:tcPr>
        <w:tcBorders>
          <w:top w:val="single" w:sz="8" w:space="0" w:color="C0504D" w:themeColor="accent2"/>
          <w:bottom w:val="single" w:sz="8" w:space="0" w:color="C0504D" w:themeColor="accent2"/>
        </w:tcBorders>
      </w:tcPr>
    </w:tblStylePr>
    <w:tblStylePr w:type="band1Vert">
      <w:tblPr/>
      <w:tcPr>
        <w:shd w:val="clear" w:color="auto" w:fill="EFD3D2" w:themeFill="accent2" w:themeFillTint="3F"/>
      </w:tcPr>
    </w:tblStylePr>
    <w:tblStylePr w:type="band1Horz">
      <w:tblPr/>
      <w:tcPr>
        <w:shd w:val="clear" w:color="auto" w:fill="EFD3D2" w:themeFill="accent2" w:themeFillTint="3F"/>
      </w:tcPr>
    </w:tblStylePr>
  </w:style>
  <w:style w:type="table" w:styleId="MediumList1-Accent3">
    <w:name w:val="Medium List 1 Accent 3"/>
    <w:basedOn w:val="TableNormal"/>
    <w:uiPriority w:val="65"/>
    <w:rsid w:val="00CB0664"/>
    <w:pPr>
      <w:spacing w:after="0" w:line="240" w:lineRule="auto"/>
    </w:pPr>
    <w:rPr>
      <w:color w:val="000000" w:themeColor="text1"/>
    </w:rPr>
    <w:tblPr>
      <w:tblStyleRowBandSize w:val="1"/>
      <w:tblStyleColBandSize w:val="1"/>
      <w:tblBorders>
        <w:top w:val="single" w:sz="8" w:space="0" w:color="9BBB59" w:themeColor="accent3"/>
        <w:bottom w:val="single" w:sz="8" w:space="0" w:color="9BBB59" w:themeColor="accent3"/>
      </w:tblBorders>
    </w:tblPr>
    <w:tblStylePr w:type="firstRow">
      <w:rPr>
        <w:rFonts w:asciiTheme="majorHAnsi" w:eastAsiaTheme="majorEastAsia" w:hAnsiTheme="majorHAnsi" w:cstheme="majorBidi"/>
      </w:rPr>
      <w:tblPr/>
      <w:tcPr>
        <w:tcBorders>
          <w:top w:val="nil"/>
          <w:bottom w:val="single" w:sz="8" w:space="0" w:color="9BBB59" w:themeColor="accent3"/>
        </w:tcBorders>
      </w:tcPr>
    </w:tblStylePr>
    <w:tblStylePr w:type="lastRow">
      <w:rPr>
        <w:b/>
        <w:bCs/>
        <w:color w:val="1F497D" w:themeColor="text2"/>
      </w:rPr>
      <w:tblPr/>
      <w:tcPr>
        <w:tcBorders>
          <w:top w:val="single" w:sz="8" w:space="0" w:color="9BBB59" w:themeColor="accent3"/>
          <w:bottom w:val="single" w:sz="8" w:space="0" w:color="9BBB59" w:themeColor="accent3"/>
        </w:tcBorders>
      </w:tcPr>
    </w:tblStylePr>
    <w:tblStylePr w:type="firstCol">
      <w:rPr>
        <w:b/>
        <w:bCs/>
      </w:rPr>
    </w:tblStylePr>
    <w:tblStylePr w:type="lastCol">
      <w:rPr>
        <w:b/>
        <w:bCs/>
      </w:rPr>
      <w:tblPr/>
      <w:tcPr>
        <w:tcBorders>
          <w:top w:val="single" w:sz="8" w:space="0" w:color="9BBB59" w:themeColor="accent3"/>
          <w:bottom w:val="single" w:sz="8" w:space="0" w:color="9BBB59" w:themeColor="accent3"/>
        </w:tcBorders>
      </w:tcPr>
    </w:tblStylePr>
    <w:tblStylePr w:type="band1Vert">
      <w:tblPr/>
      <w:tcPr>
        <w:shd w:val="clear" w:color="auto" w:fill="E6EED5" w:themeFill="accent3" w:themeFillTint="3F"/>
      </w:tcPr>
    </w:tblStylePr>
    <w:tblStylePr w:type="band1Horz">
      <w:tblPr/>
      <w:tcPr>
        <w:shd w:val="clear" w:color="auto" w:fill="E6EED5" w:themeFill="accent3" w:themeFillTint="3F"/>
      </w:tcPr>
    </w:tblStylePr>
  </w:style>
  <w:style w:type="table" w:styleId="MediumList1-Accent4">
    <w:name w:val="Medium List 1 Accent 4"/>
    <w:basedOn w:val="TableNormal"/>
    <w:uiPriority w:val="65"/>
    <w:rsid w:val="00CB0664"/>
    <w:pPr>
      <w:spacing w:after="0" w:line="240" w:lineRule="auto"/>
    </w:pPr>
    <w:rPr>
      <w:color w:val="000000" w:themeColor="text1"/>
    </w:rPr>
    <w:tblPr>
      <w:tblStyleRowBandSize w:val="1"/>
      <w:tblStyleColBandSize w:val="1"/>
      <w:tblBorders>
        <w:top w:val="single" w:sz="8" w:space="0" w:color="8064A2" w:themeColor="accent4"/>
        <w:bottom w:val="single" w:sz="8" w:space="0" w:color="8064A2" w:themeColor="accent4"/>
      </w:tblBorders>
    </w:tblPr>
    <w:tblStylePr w:type="firstRow">
      <w:rPr>
        <w:rFonts w:asciiTheme="majorHAnsi" w:eastAsiaTheme="majorEastAsia" w:hAnsiTheme="majorHAnsi" w:cstheme="majorBidi"/>
      </w:rPr>
      <w:tblPr/>
      <w:tcPr>
        <w:tcBorders>
          <w:top w:val="nil"/>
          <w:bottom w:val="single" w:sz="8" w:space="0" w:color="8064A2" w:themeColor="accent4"/>
        </w:tcBorders>
      </w:tcPr>
    </w:tblStylePr>
    <w:tblStylePr w:type="lastRow">
      <w:rPr>
        <w:b/>
        <w:bCs/>
        <w:color w:val="1F497D" w:themeColor="text2"/>
      </w:rPr>
      <w:tblPr/>
      <w:tcPr>
        <w:tcBorders>
          <w:top w:val="single" w:sz="8" w:space="0" w:color="8064A2" w:themeColor="accent4"/>
          <w:bottom w:val="single" w:sz="8" w:space="0" w:color="8064A2" w:themeColor="accent4"/>
        </w:tcBorders>
      </w:tcPr>
    </w:tblStylePr>
    <w:tblStylePr w:type="firstCol">
      <w:rPr>
        <w:b/>
        <w:bCs/>
      </w:rPr>
    </w:tblStylePr>
    <w:tblStylePr w:type="lastCol">
      <w:rPr>
        <w:b/>
        <w:bCs/>
      </w:rPr>
      <w:tblPr/>
      <w:tcPr>
        <w:tcBorders>
          <w:top w:val="single" w:sz="8" w:space="0" w:color="8064A2" w:themeColor="accent4"/>
          <w:bottom w:val="single" w:sz="8" w:space="0" w:color="8064A2" w:themeColor="accent4"/>
        </w:tcBorders>
      </w:tcPr>
    </w:tblStylePr>
    <w:tblStylePr w:type="band1Vert">
      <w:tblPr/>
      <w:tcPr>
        <w:shd w:val="clear" w:color="auto" w:fill="DFD8E8" w:themeFill="accent4" w:themeFillTint="3F"/>
      </w:tcPr>
    </w:tblStylePr>
    <w:tblStylePr w:type="band1Horz">
      <w:tblPr/>
      <w:tcPr>
        <w:shd w:val="clear" w:color="auto" w:fill="DFD8E8" w:themeFill="accent4" w:themeFillTint="3F"/>
      </w:tcPr>
    </w:tblStylePr>
  </w:style>
  <w:style w:type="table" w:styleId="MediumList1-Accent5">
    <w:name w:val="Medium List 1 Accent 5"/>
    <w:basedOn w:val="TableNormal"/>
    <w:uiPriority w:val="65"/>
    <w:rsid w:val="00CB0664"/>
    <w:pPr>
      <w:spacing w:after="0" w:line="240" w:lineRule="auto"/>
    </w:pPr>
    <w:rPr>
      <w:color w:val="000000" w:themeColor="text1"/>
    </w:rPr>
    <w:tblPr>
      <w:tblStyleRowBandSize w:val="1"/>
      <w:tblStyleColBandSize w:val="1"/>
      <w:tblBorders>
        <w:top w:val="single" w:sz="8" w:space="0" w:color="4BACC6" w:themeColor="accent5"/>
        <w:bottom w:val="single" w:sz="8" w:space="0" w:color="4BACC6" w:themeColor="accent5"/>
      </w:tblBorders>
    </w:tblPr>
    <w:tblStylePr w:type="firstRow">
      <w:rPr>
        <w:rFonts w:asciiTheme="majorHAnsi" w:eastAsiaTheme="majorEastAsia" w:hAnsiTheme="majorHAnsi" w:cstheme="majorBidi"/>
      </w:rPr>
      <w:tblPr/>
      <w:tcPr>
        <w:tcBorders>
          <w:top w:val="nil"/>
          <w:bottom w:val="single" w:sz="8" w:space="0" w:color="4BACC6" w:themeColor="accent5"/>
        </w:tcBorders>
      </w:tcPr>
    </w:tblStylePr>
    <w:tblStylePr w:type="lastRow">
      <w:rPr>
        <w:b/>
        <w:bCs/>
        <w:color w:val="1F497D" w:themeColor="text2"/>
      </w:rPr>
      <w:tblPr/>
      <w:tcPr>
        <w:tcBorders>
          <w:top w:val="single" w:sz="8" w:space="0" w:color="4BACC6" w:themeColor="accent5"/>
          <w:bottom w:val="single" w:sz="8" w:space="0" w:color="4BACC6" w:themeColor="accent5"/>
        </w:tcBorders>
      </w:tcPr>
    </w:tblStylePr>
    <w:tblStylePr w:type="firstCol">
      <w:rPr>
        <w:b/>
        <w:bCs/>
      </w:rPr>
    </w:tblStylePr>
    <w:tblStylePr w:type="lastCol">
      <w:rPr>
        <w:b/>
        <w:bCs/>
      </w:rPr>
      <w:tblPr/>
      <w:tcPr>
        <w:tcBorders>
          <w:top w:val="single" w:sz="8" w:space="0" w:color="4BACC6" w:themeColor="accent5"/>
          <w:bottom w:val="single" w:sz="8" w:space="0" w:color="4BACC6" w:themeColor="accent5"/>
        </w:tcBorders>
      </w:tcPr>
    </w:tblStylePr>
    <w:tblStylePr w:type="band1Vert">
      <w:tblPr/>
      <w:tcPr>
        <w:shd w:val="clear" w:color="auto" w:fill="D2EAF1" w:themeFill="accent5" w:themeFillTint="3F"/>
      </w:tcPr>
    </w:tblStylePr>
    <w:tblStylePr w:type="band1Horz">
      <w:tblPr/>
      <w:tcPr>
        <w:shd w:val="clear" w:color="auto" w:fill="D2EAF1" w:themeFill="accent5" w:themeFillTint="3F"/>
      </w:tcPr>
    </w:tblStylePr>
  </w:style>
  <w:style w:type="table" w:styleId="MediumList1-Accent6">
    <w:name w:val="Medium List 1 Accent 6"/>
    <w:basedOn w:val="TableNormal"/>
    <w:uiPriority w:val="65"/>
    <w:rsid w:val="00CB0664"/>
    <w:pPr>
      <w:spacing w:after="0" w:line="240" w:lineRule="auto"/>
    </w:pPr>
    <w:rPr>
      <w:color w:val="000000" w:themeColor="text1"/>
    </w:rPr>
    <w:tblPr>
      <w:tblStyleRowBandSize w:val="1"/>
      <w:tblStyleColBandSize w:val="1"/>
      <w:tblBorders>
        <w:top w:val="single" w:sz="8" w:space="0" w:color="F79646" w:themeColor="accent6"/>
        <w:bottom w:val="single" w:sz="8" w:space="0" w:color="F79646" w:themeColor="accent6"/>
      </w:tblBorders>
    </w:tblPr>
    <w:tblStylePr w:type="firstRow">
      <w:rPr>
        <w:rFonts w:asciiTheme="majorHAnsi" w:eastAsiaTheme="majorEastAsia" w:hAnsiTheme="majorHAnsi" w:cstheme="majorBidi"/>
      </w:rPr>
      <w:tblPr/>
      <w:tcPr>
        <w:tcBorders>
          <w:top w:val="nil"/>
          <w:bottom w:val="single" w:sz="8" w:space="0" w:color="F79646" w:themeColor="accent6"/>
        </w:tcBorders>
      </w:tcPr>
    </w:tblStylePr>
    <w:tblStylePr w:type="lastRow">
      <w:rPr>
        <w:b/>
        <w:bCs/>
        <w:color w:val="1F497D" w:themeColor="text2"/>
      </w:rPr>
      <w:tblPr/>
      <w:tcPr>
        <w:tcBorders>
          <w:top w:val="single" w:sz="8" w:space="0" w:color="F79646" w:themeColor="accent6"/>
          <w:bottom w:val="single" w:sz="8" w:space="0" w:color="F79646" w:themeColor="accent6"/>
        </w:tcBorders>
      </w:tcPr>
    </w:tblStylePr>
    <w:tblStylePr w:type="firstCol">
      <w:rPr>
        <w:b/>
        <w:bCs/>
      </w:rPr>
    </w:tblStylePr>
    <w:tblStylePr w:type="lastCol">
      <w:rPr>
        <w:b/>
        <w:bCs/>
      </w:rPr>
      <w:tblPr/>
      <w:tcPr>
        <w:tcBorders>
          <w:top w:val="single" w:sz="8" w:space="0" w:color="F79646" w:themeColor="accent6"/>
          <w:bottom w:val="single" w:sz="8" w:space="0" w:color="F79646" w:themeColor="accent6"/>
        </w:tcBorders>
      </w:tcPr>
    </w:tblStylePr>
    <w:tblStylePr w:type="band1Vert">
      <w:tblPr/>
      <w:tcPr>
        <w:shd w:val="clear" w:color="auto" w:fill="FDE4D0" w:themeFill="accent6" w:themeFillTint="3F"/>
      </w:tcPr>
    </w:tblStylePr>
    <w:tblStylePr w:type="band1Horz">
      <w:tblPr/>
      <w:tcPr>
        <w:shd w:val="clear" w:color="auto" w:fill="FDE4D0" w:themeFill="accent6" w:themeFillTint="3F"/>
      </w:tcPr>
    </w:tblStylePr>
  </w:style>
  <w:style w:type="table" w:styleId="MediumList2">
    <w:name w:val="Medium Lis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rPr>
        <w:sz w:val="24"/>
        <w:szCs w:val="24"/>
      </w:rPr>
      <w:tblPr/>
      <w:tcPr>
        <w:tcBorders>
          <w:top w:val="nil"/>
          <w:left w:val="nil"/>
          <w:bottom w:val="single" w:sz="24" w:space="0" w:color="000000" w:themeColor="text1"/>
          <w:right w:val="nil"/>
          <w:insideH w:val="nil"/>
          <w:insideV w:val="nil"/>
        </w:tcBorders>
        <w:shd w:val="clear" w:color="auto" w:fill="FFFFFF" w:themeFill="background1"/>
      </w:tcPr>
    </w:tblStylePr>
    <w:tblStylePr w:type="lastRow">
      <w:tblPr/>
      <w:tcPr>
        <w:tcBorders>
          <w:top w:val="single" w:sz="8" w:space="0" w:color="000000" w:themeColor="tex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000000" w:themeColor="text1"/>
          <w:insideH w:val="nil"/>
          <w:insideV w:val="nil"/>
        </w:tcBorders>
        <w:shd w:val="clear" w:color="auto" w:fill="FFFFFF" w:themeFill="background1"/>
      </w:tcPr>
    </w:tblStylePr>
    <w:tblStylePr w:type="lastCol">
      <w:tblPr/>
      <w:tcPr>
        <w:tcBorders>
          <w:top w:val="nil"/>
          <w:left w:val="single" w:sz="8" w:space="0" w:color="000000" w:themeColor="tex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top w:val="nil"/>
          <w:bottom w:val="nil"/>
          <w:insideH w:val="nil"/>
          <w:insideV w:val="nil"/>
        </w:tcBorders>
        <w:shd w:val="clear" w:color="auto" w:fill="C0C0C0" w:themeFill="tex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1">
    <w:name w:val="Medium List 2 Accent 1"/>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tblBorders>
    </w:tblPr>
    <w:tblStylePr w:type="firstRow">
      <w:rPr>
        <w:sz w:val="24"/>
        <w:szCs w:val="24"/>
      </w:rPr>
      <w:tblPr/>
      <w:tcPr>
        <w:tcBorders>
          <w:top w:val="nil"/>
          <w:left w:val="nil"/>
          <w:bottom w:val="single" w:sz="24" w:space="0" w:color="4F81BD" w:themeColor="accent1"/>
          <w:right w:val="nil"/>
          <w:insideH w:val="nil"/>
          <w:insideV w:val="nil"/>
        </w:tcBorders>
        <w:shd w:val="clear" w:color="auto" w:fill="FFFFFF" w:themeFill="background1"/>
      </w:tcPr>
    </w:tblStylePr>
    <w:tblStylePr w:type="lastRow">
      <w:tblPr/>
      <w:tcPr>
        <w:tcBorders>
          <w:top w:val="single" w:sz="8" w:space="0" w:color="4F81BD" w:themeColor="accen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F81BD" w:themeColor="accent1"/>
          <w:insideH w:val="nil"/>
          <w:insideV w:val="nil"/>
        </w:tcBorders>
        <w:shd w:val="clear" w:color="auto" w:fill="FFFFFF" w:themeFill="background1"/>
      </w:tcPr>
    </w:tblStylePr>
    <w:tblStylePr w:type="lastCol">
      <w:tblPr/>
      <w:tcPr>
        <w:tcBorders>
          <w:top w:val="nil"/>
          <w:left w:val="single" w:sz="8" w:space="0" w:color="4F81BD" w:themeColor="accen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top w:val="nil"/>
          <w:bottom w:val="nil"/>
          <w:insideH w:val="nil"/>
          <w:insideV w:val="nil"/>
        </w:tcBorders>
        <w:shd w:val="clear" w:color="auto" w:fill="D3DFEE" w:themeFill="accen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2">
    <w:name w:val="Medium List 2 Accen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tblBorders>
    </w:tblPr>
    <w:tblStylePr w:type="firstRow">
      <w:rPr>
        <w:sz w:val="24"/>
        <w:szCs w:val="24"/>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tblPr/>
      <w:tcPr>
        <w:tcBorders>
          <w:top w:val="single" w:sz="8" w:space="0" w:color="C0504D" w:themeColor="accent2"/>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C0504D" w:themeColor="accent2"/>
          <w:insideH w:val="nil"/>
          <w:insideV w:val="nil"/>
        </w:tcBorders>
        <w:shd w:val="clear" w:color="auto" w:fill="FFFFFF" w:themeFill="background1"/>
      </w:tcPr>
    </w:tblStylePr>
    <w:tblStylePr w:type="lastCol">
      <w:tblPr/>
      <w:tcPr>
        <w:tcBorders>
          <w:top w:val="nil"/>
          <w:left w:val="single" w:sz="8" w:space="0" w:color="C0504D" w:themeColor="accent2"/>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top w:val="nil"/>
          <w:bottom w:val="nil"/>
          <w:insideH w:val="nil"/>
          <w:insideV w:val="nil"/>
        </w:tcBorders>
        <w:shd w:val="clear" w:color="auto" w:fill="EFD3D2" w:themeFill="accent2"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3">
    <w:name w:val="Medium List 2 Accent 3"/>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tblBorders>
    </w:tblPr>
    <w:tblStylePr w:type="firstRow">
      <w:rPr>
        <w:sz w:val="24"/>
        <w:szCs w:val="24"/>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tblPr/>
      <w:tcPr>
        <w:tcBorders>
          <w:top w:val="single" w:sz="8" w:space="0" w:color="9BBB59" w:themeColor="accent3"/>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9BBB59" w:themeColor="accent3"/>
          <w:insideH w:val="nil"/>
          <w:insideV w:val="nil"/>
        </w:tcBorders>
        <w:shd w:val="clear" w:color="auto" w:fill="FFFFFF" w:themeFill="background1"/>
      </w:tcPr>
    </w:tblStylePr>
    <w:tblStylePr w:type="lastCol">
      <w:tblPr/>
      <w:tcPr>
        <w:tcBorders>
          <w:top w:val="nil"/>
          <w:left w:val="single" w:sz="8" w:space="0" w:color="9BBB59" w:themeColor="accent3"/>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top w:val="nil"/>
          <w:bottom w:val="nil"/>
          <w:insideH w:val="nil"/>
          <w:insideV w:val="nil"/>
        </w:tcBorders>
        <w:shd w:val="clear" w:color="auto" w:fill="E6EED5" w:themeFill="accent3"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4">
    <w:name w:val="Medium List 2 Accent 4"/>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tblBorders>
    </w:tblPr>
    <w:tblStylePr w:type="firstRow">
      <w:rPr>
        <w:sz w:val="24"/>
        <w:szCs w:val="24"/>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tblPr/>
      <w:tcPr>
        <w:tcBorders>
          <w:top w:val="single" w:sz="8" w:space="0" w:color="8064A2" w:themeColor="accent4"/>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8064A2" w:themeColor="accent4"/>
          <w:insideH w:val="nil"/>
          <w:insideV w:val="nil"/>
        </w:tcBorders>
        <w:shd w:val="clear" w:color="auto" w:fill="FFFFFF" w:themeFill="background1"/>
      </w:tcPr>
    </w:tblStylePr>
    <w:tblStylePr w:type="lastCol">
      <w:tblPr/>
      <w:tcPr>
        <w:tcBorders>
          <w:top w:val="nil"/>
          <w:left w:val="single" w:sz="8" w:space="0" w:color="8064A2" w:themeColor="accent4"/>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top w:val="nil"/>
          <w:bottom w:val="nil"/>
          <w:insideH w:val="nil"/>
          <w:insideV w:val="nil"/>
        </w:tcBorders>
        <w:shd w:val="clear" w:color="auto" w:fill="DFD8E8" w:themeFill="accent4"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5">
    <w:name w:val="Medium List 2 Accent 5"/>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tblBorders>
    </w:tblPr>
    <w:tblStylePr w:type="firstRow">
      <w:rPr>
        <w:sz w:val="24"/>
        <w:szCs w:val="24"/>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tblPr/>
      <w:tcPr>
        <w:tcBorders>
          <w:top w:val="single" w:sz="8" w:space="0" w:color="4BACC6" w:themeColor="accent5"/>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BACC6" w:themeColor="accent5"/>
          <w:insideH w:val="nil"/>
          <w:insideV w:val="nil"/>
        </w:tcBorders>
        <w:shd w:val="clear" w:color="auto" w:fill="FFFFFF" w:themeFill="background1"/>
      </w:tcPr>
    </w:tblStylePr>
    <w:tblStylePr w:type="lastCol">
      <w:tblPr/>
      <w:tcPr>
        <w:tcBorders>
          <w:top w:val="nil"/>
          <w:left w:val="single" w:sz="8" w:space="0" w:color="4BACC6" w:themeColor="accent5"/>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top w:val="nil"/>
          <w:bottom w:val="nil"/>
          <w:insideH w:val="nil"/>
          <w:insideV w:val="nil"/>
        </w:tcBorders>
        <w:shd w:val="clear" w:color="auto" w:fill="D2EAF1" w:themeFill="accent5"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6">
    <w:name w:val="Medium List 2 Accent 6"/>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tblBorders>
    </w:tblPr>
    <w:tblStylePr w:type="firstRow">
      <w:rPr>
        <w:sz w:val="24"/>
        <w:szCs w:val="24"/>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tblPr/>
      <w:tcPr>
        <w:tcBorders>
          <w:top w:val="single" w:sz="8" w:space="0" w:color="F79646" w:themeColor="accent6"/>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F79646" w:themeColor="accent6"/>
          <w:insideH w:val="nil"/>
          <w:insideV w:val="nil"/>
        </w:tcBorders>
        <w:shd w:val="clear" w:color="auto" w:fill="FFFFFF" w:themeFill="background1"/>
      </w:tcPr>
    </w:tblStylePr>
    <w:tblStylePr w:type="lastCol">
      <w:tblPr/>
      <w:tcPr>
        <w:tcBorders>
          <w:top w:val="nil"/>
          <w:left w:val="single" w:sz="8" w:space="0" w:color="F79646" w:themeColor="accent6"/>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top w:val="nil"/>
          <w:bottom w:val="nil"/>
          <w:insideH w:val="nil"/>
          <w:insideV w:val="nil"/>
        </w:tcBorders>
        <w:shd w:val="clear" w:color="auto" w:fill="FDE4D0" w:themeFill="accent6"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Grid1">
    <w:name w:val="Medium Grid 1"/>
    <w:basedOn w:val="TableNormal"/>
    <w:uiPriority w:val="67"/>
    <w:rsid w:val="00CB0664"/>
    <w:pPr>
      <w:spacing w:after="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insideV w:val="single" w:sz="8" w:space="0" w:color="404040" w:themeColor="text1" w:themeTint="BF"/>
      </w:tblBorders>
    </w:tblPr>
    <w:tcPr>
      <w:shd w:val="clear" w:color="auto" w:fill="C0C0C0" w:themeFill="text1" w:themeFillTint="3F"/>
    </w:tcPr>
    <w:tblStylePr w:type="firstRow">
      <w:rPr>
        <w:b/>
        <w:bCs/>
      </w:rPr>
    </w:tblStylePr>
    <w:tblStylePr w:type="lastRow">
      <w:rPr>
        <w:b/>
        <w:bCs/>
      </w:rPr>
      <w:tblPr/>
      <w:tcPr>
        <w:tcBorders>
          <w:top w:val="single" w:sz="18" w:space="0" w:color="404040" w:themeColor="text1" w:themeTint="BF"/>
        </w:tcBorders>
      </w:tcPr>
    </w:tblStylePr>
    <w:tblStylePr w:type="firstCol">
      <w:rPr>
        <w:b/>
        <w:bCs/>
      </w:rPr>
    </w:tblStylePr>
    <w:tblStylePr w:type="lastCol">
      <w:rPr>
        <w:b/>
        <w:bCs/>
      </w:r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MediumGrid1-Accent1">
    <w:name w:val="Medium Grid 1 Accent 1"/>
    <w:basedOn w:val="TableNormal"/>
    <w:uiPriority w:val="67"/>
    <w:rsid w:val="00CB0664"/>
    <w:pPr>
      <w:spacing w:after="0" w:line="240" w:lineRule="auto"/>
    </w:pPr>
    <w:tblPr>
      <w:tblStyleRowBandSize w:val="1"/>
      <w:tblStyleColBandSize w:val="1"/>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insideV w:val="single" w:sz="8" w:space="0" w:color="7BA0CD" w:themeColor="accent1" w:themeTint="BF"/>
      </w:tblBorders>
    </w:tblPr>
    <w:tcPr>
      <w:shd w:val="clear" w:color="auto" w:fill="D3DFEE" w:themeFill="accent1" w:themeFillTint="3F"/>
    </w:tcPr>
    <w:tblStylePr w:type="firstRow">
      <w:rPr>
        <w:b/>
        <w:bCs/>
      </w:rPr>
    </w:tblStylePr>
    <w:tblStylePr w:type="lastRow">
      <w:rPr>
        <w:b/>
        <w:bCs/>
      </w:rPr>
      <w:tblPr/>
      <w:tcPr>
        <w:tcBorders>
          <w:top w:val="single" w:sz="18" w:space="0" w:color="7BA0CD" w:themeColor="accent1" w:themeTint="BF"/>
        </w:tcBorders>
      </w:tcPr>
    </w:tblStylePr>
    <w:tblStylePr w:type="firstCol">
      <w:rPr>
        <w:b/>
        <w:bCs/>
      </w:rPr>
    </w:tblStylePr>
    <w:tblStylePr w:type="lastCol">
      <w:rPr>
        <w:b/>
        <w:bCs/>
      </w:r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MediumGrid1-Accent2">
    <w:name w:val="Medium Grid 1 Accent 2"/>
    <w:basedOn w:val="TableNormal"/>
    <w:uiPriority w:val="67"/>
    <w:rsid w:val="00CB0664"/>
    <w:pPr>
      <w:spacing w:after="0" w:line="240" w:lineRule="auto"/>
    </w:pPr>
    <w:tblPr>
      <w:tblStyleRowBandSize w:val="1"/>
      <w:tblStyleColBandSize w:val="1"/>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insideV w:val="single" w:sz="8" w:space="0" w:color="CF7B79" w:themeColor="accent2" w:themeTint="BF"/>
      </w:tblBorders>
    </w:tblPr>
    <w:tcPr>
      <w:shd w:val="clear" w:color="auto" w:fill="EFD3D2" w:themeFill="accent2" w:themeFillTint="3F"/>
    </w:tcPr>
    <w:tblStylePr w:type="firstRow">
      <w:rPr>
        <w:b/>
        <w:bCs/>
      </w:rPr>
    </w:tblStylePr>
    <w:tblStylePr w:type="lastRow">
      <w:rPr>
        <w:b/>
        <w:bCs/>
      </w:rPr>
      <w:tblPr/>
      <w:tcPr>
        <w:tcBorders>
          <w:top w:val="single" w:sz="18" w:space="0" w:color="CF7B79" w:themeColor="accent2" w:themeTint="BF"/>
        </w:tcBorders>
      </w:tcPr>
    </w:tblStylePr>
    <w:tblStylePr w:type="firstCol">
      <w:rPr>
        <w:b/>
        <w:bCs/>
      </w:rPr>
    </w:tblStylePr>
    <w:tblStylePr w:type="lastCol">
      <w:rPr>
        <w:b/>
        <w:bCs/>
      </w:r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MediumGrid1-Accent3">
    <w:name w:val="Medium Grid 1 Accent 3"/>
    <w:basedOn w:val="TableNormal"/>
    <w:uiPriority w:val="67"/>
    <w:rsid w:val="00CB0664"/>
    <w:pPr>
      <w:spacing w:after="0" w:line="240" w:lineRule="auto"/>
    </w:pPr>
    <w:tblPr>
      <w:tblStyleRowBandSize w:val="1"/>
      <w:tblStyleColBandSize w:val="1"/>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insideV w:val="single" w:sz="8" w:space="0" w:color="B3CC82" w:themeColor="accent3" w:themeTint="BF"/>
      </w:tblBorders>
    </w:tblPr>
    <w:tcPr>
      <w:shd w:val="clear" w:color="auto" w:fill="E6EED5" w:themeFill="accent3" w:themeFillTint="3F"/>
    </w:tcPr>
    <w:tblStylePr w:type="firstRow">
      <w:rPr>
        <w:b/>
        <w:bCs/>
      </w:rPr>
    </w:tblStylePr>
    <w:tblStylePr w:type="lastRow">
      <w:rPr>
        <w:b/>
        <w:bCs/>
      </w:rPr>
      <w:tblPr/>
      <w:tcPr>
        <w:tcBorders>
          <w:top w:val="single" w:sz="18" w:space="0" w:color="B3CC82" w:themeColor="accent3" w:themeTint="BF"/>
        </w:tcBorders>
      </w:tcPr>
    </w:tblStylePr>
    <w:tblStylePr w:type="firstCol">
      <w:rPr>
        <w:b/>
        <w:bCs/>
      </w:rPr>
    </w:tblStylePr>
    <w:tblStylePr w:type="lastCol">
      <w:rPr>
        <w:b/>
        <w:bCs/>
      </w:r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MediumGrid1-Accent4">
    <w:name w:val="Medium Grid 1 Accent 4"/>
    <w:basedOn w:val="TableNormal"/>
    <w:uiPriority w:val="67"/>
    <w:rsid w:val="00CB0664"/>
    <w:pPr>
      <w:spacing w:after="0" w:line="240" w:lineRule="auto"/>
    </w:pPr>
    <w:tblPr>
      <w:tblStyleRowBandSize w:val="1"/>
      <w:tblStyleColBandSize w:val="1"/>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insideV w:val="single" w:sz="8" w:space="0" w:color="9F8AB9" w:themeColor="accent4" w:themeTint="BF"/>
      </w:tblBorders>
    </w:tblPr>
    <w:tcPr>
      <w:shd w:val="clear" w:color="auto" w:fill="DFD8E8" w:themeFill="accent4" w:themeFillTint="3F"/>
    </w:tcPr>
    <w:tblStylePr w:type="firstRow">
      <w:rPr>
        <w:b/>
        <w:bCs/>
      </w:rPr>
    </w:tblStylePr>
    <w:tblStylePr w:type="lastRow">
      <w:rPr>
        <w:b/>
        <w:bCs/>
      </w:rPr>
      <w:tblPr/>
      <w:tcPr>
        <w:tcBorders>
          <w:top w:val="single" w:sz="18" w:space="0" w:color="9F8AB9" w:themeColor="accent4" w:themeTint="BF"/>
        </w:tcBorders>
      </w:tcPr>
    </w:tblStylePr>
    <w:tblStylePr w:type="firstCol">
      <w:rPr>
        <w:b/>
        <w:bCs/>
      </w:rPr>
    </w:tblStylePr>
    <w:tblStylePr w:type="lastCol">
      <w:rPr>
        <w:b/>
        <w:bCs/>
      </w:r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MediumGrid1-Accent5">
    <w:name w:val="Medium Grid 1 Accent 5"/>
    <w:basedOn w:val="TableNormal"/>
    <w:uiPriority w:val="67"/>
    <w:rsid w:val="00CB0664"/>
    <w:pPr>
      <w:spacing w:after="0" w:line="240" w:lineRule="auto"/>
    </w:pPr>
    <w:tblPr>
      <w:tblStyleRowBandSize w:val="1"/>
      <w:tblStyleColBandSize w:val="1"/>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insideV w:val="single" w:sz="8" w:space="0" w:color="78C0D4" w:themeColor="accent5" w:themeTint="BF"/>
      </w:tblBorders>
    </w:tblPr>
    <w:tcPr>
      <w:shd w:val="clear" w:color="auto" w:fill="D2EAF1" w:themeFill="accent5" w:themeFillTint="3F"/>
    </w:tcPr>
    <w:tblStylePr w:type="firstRow">
      <w:rPr>
        <w:b/>
        <w:bCs/>
      </w:rPr>
    </w:tblStylePr>
    <w:tblStylePr w:type="lastRow">
      <w:rPr>
        <w:b/>
        <w:bCs/>
      </w:rPr>
      <w:tblPr/>
      <w:tcPr>
        <w:tcBorders>
          <w:top w:val="single" w:sz="18" w:space="0" w:color="78C0D4" w:themeColor="accent5" w:themeTint="BF"/>
        </w:tcBorders>
      </w:tcPr>
    </w:tblStylePr>
    <w:tblStylePr w:type="firstCol">
      <w:rPr>
        <w:b/>
        <w:bCs/>
      </w:rPr>
    </w:tblStylePr>
    <w:tblStylePr w:type="lastCol">
      <w:rPr>
        <w:b/>
        <w:bCs/>
      </w:r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MediumGrid1-Accent6">
    <w:name w:val="Medium Grid 1 Accent 6"/>
    <w:basedOn w:val="TableNormal"/>
    <w:uiPriority w:val="67"/>
    <w:rsid w:val="00CB0664"/>
    <w:pPr>
      <w:spacing w:after="0" w:line="240" w:lineRule="auto"/>
    </w:pPr>
    <w:tblPr>
      <w:tblStyleRowBandSize w:val="1"/>
      <w:tblStyleColBandSize w:val="1"/>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insideV w:val="single" w:sz="8" w:space="0" w:color="F9B074" w:themeColor="accent6" w:themeTint="BF"/>
      </w:tblBorders>
    </w:tblPr>
    <w:tcPr>
      <w:shd w:val="clear" w:color="auto" w:fill="FDE4D0" w:themeFill="accent6" w:themeFillTint="3F"/>
    </w:tcPr>
    <w:tblStylePr w:type="firstRow">
      <w:rPr>
        <w:b/>
        <w:bCs/>
      </w:rPr>
    </w:tblStylePr>
    <w:tblStylePr w:type="lastRow">
      <w:rPr>
        <w:b/>
        <w:bCs/>
      </w:rPr>
      <w:tblPr/>
      <w:tcPr>
        <w:tcBorders>
          <w:top w:val="single" w:sz="18" w:space="0" w:color="F9B074" w:themeColor="accent6" w:themeTint="BF"/>
        </w:tcBorders>
      </w:tcPr>
    </w:tblStylePr>
    <w:tblStylePr w:type="firstCol">
      <w:rPr>
        <w:b/>
        <w:bCs/>
      </w:rPr>
    </w:tblStylePr>
    <w:tblStylePr w:type="lastCol">
      <w:rPr>
        <w:b/>
        <w:bCs/>
      </w:r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 w:type="table" w:styleId="MediumGrid2">
    <w:name w:val="Medium Grid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cPr>
      <w:shd w:val="clear" w:color="auto" w:fill="C0C0C0" w:themeFill="text1" w:themeFillTint="3F"/>
    </w:tcPr>
    <w:tblStylePr w:type="firstRow">
      <w:rPr>
        <w:b/>
        <w:bCs/>
        <w:color w:val="000000" w:themeColor="text1"/>
      </w:rPr>
      <w:tblPr/>
      <w:tcPr>
        <w:shd w:val="clear" w:color="auto" w:fill="E6E6E6" w:themeFill="tex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CCCCCC" w:themeFill="text1" w:themeFillTint="33"/>
      </w:tcPr>
    </w:tblStylePr>
    <w:tblStylePr w:type="band1Vert">
      <w:tblPr/>
      <w:tcPr>
        <w:shd w:val="clear" w:color="auto" w:fill="808080" w:themeFill="text1" w:themeFillTint="7F"/>
      </w:tcPr>
    </w:tblStylePr>
    <w:tblStylePr w:type="band1Horz">
      <w:tblPr/>
      <w:tcPr>
        <w:tcBorders>
          <w:insideH w:val="single" w:sz="6" w:space="0" w:color="000000" w:themeColor="text1"/>
          <w:insideV w:val="single" w:sz="6" w:space="0" w:color="000000" w:themeColor="text1"/>
        </w:tcBorders>
        <w:shd w:val="clear" w:color="auto" w:fill="808080" w:themeFill="text1" w:themeFillTint="7F"/>
      </w:tcPr>
    </w:tblStylePr>
    <w:tblStylePr w:type="nwCell">
      <w:tblPr/>
      <w:tcPr>
        <w:shd w:val="clear" w:color="auto" w:fill="FFFFFF" w:themeFill="background1"/>
      </w:tcPr>
    </w:tblStylePr>
  </w:style>
  <w:style w:type="table" w:styleId="MediumGrid2-Accent1">
    <w:name w:val="Medium Grid 2 Accent 1"/>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Pr>
    <w:tcPr>
      <w:shd w:val="clear" w:color="auto" w:fill="D3DFEE" w:themeFill="accent1" w:themeFillTint="3F"/>
    </w:tcPr>
    <w:tblStylePr w:type="firstRow">
      <w:rPr>
        <w:b/>
        <w:bCs/>
        <w:color w:val="000000" w:themeColor="text1"/>
      </w:rPr>
      <w:tblPr/>
      <w:tcPr>
        <w:shd w:val="clear" w:color="auto" w:fill="EDF2F8" w:themeFill="accen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BE5F1" w:themeFill="accent1" w:themeFillTint="33"/>
      </w:tcPr>
    </w:tblStylePr>
    <w:tblStylePr w:type="band1Vert">
      <w:tblPr/>
      <w:tcPr>
        <w:shd w:val="clear" w:color="auto" w:fill="A7BFDE" w:themeFill="accent1" w:themeFillTint="7F"/>
      </w:tcPr>
    </w:tblStylePr>
    <w:tblStylePr w:type="band1Horz">
      <w:tblPr/>
      <w:tcPr>
        <w:tcBorders>
          <w:insideH w:val="single" w:sz="6" w:space="0" w:color="4F81BD" w:themeColor="accent1"/>
          <w:insideV w:val="single" w:sz="6" w:space="0" w:color="4F81BD" w:themeColor="accent1"/>
        </w:tcBorders>
        <w:shd w:val="clear" w:color="auto" w:fill="A7BFDE" w:themeFill="accent1" w:themeFillTint="7F"/>
      </w:tcPr>
    </w:tblStylePr>
    <w:tblStylePr w:type="nwCell">
      <w:tblPr/>
      <w:tcPr>
        <w:shd w:val="clear" w:color="auto" w:fill="FFFFFF" w:themeFill="background1"/>
      </w:tcPr>
    </w:tblStylePr>
  </w:style>
  <w:style w:type="table" w:styleId="MediumGrid2-Accent2">
    <w:name w:val="Medium Grid 2 Accent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Pr>
    <w:tcPr>
      <w:shd w:val="clear" w:color="auto" w:fill="EFD3D2" w:themeFill="accent2" w:themeFillTint="3F"/>
    </w:tcPr>
    <w:tblStylePr w:type="firstRow">
      <w:rPr>
        <w:b/>
        <w:bCs/>
        <w:color w:val="000000" w:themeColor="text1"/>
      </w:rPr>
      <w:tblPr/>
      <w:tcPr>
        <w:shd w:val="clear" w:color="auto" w:fill="F8EDED" w:themeFill="accent2"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2DBDB" w:themeFill="accent2" w:themeFillTint="33"/>
      </w:tcPr>
    </w:tblStylePr>
    <w:tblStylePr w:type="band1Vert">
      <w:tblPr/>
      <w:tcPr>
        <w:shd w:val="clear" w:color="auto" w:fill="DFA7A6" w:themeFill="accent2" w:themeFillTint="7F"/>
      </w:tcPr>
    </w:tblStylePr>
    <w:tblStylePr w:type="band1Horz">
      <w:tblPr/>
      <w:tcPr>
        <w:tcBorders>
          <w:insideH w:val="single" w:sz="6" w:space="0" w:color="C0504D" w:themeColor="accent2"/>
          <w:insideV w:val="single" w:sz="6" w:space="0" w:color="C0504D" w:themeColor="accent2"/>
        </w:tcBorders>
        <w:shd w:val="clear" w:color="auto" w:fill="DFA7A6" w:themeFill="accent2" w:themeFillTint="7F"/>
      </w:tcPr>
    </w:tblStylePr>
    <w:tblStylePr w:type="nwCell">
      <w:tblPr/>
      <w:tcPr>
        <w:shd w:val="clear" w:color="auto" w:fill="FFFFFF" w:themeFill="background1"/>
      </w:tcPr>
    </w:tblStylePr>
  </w:style>
  <w:style w:type="table" w:styleId="MediumGrid2-Accent3">
    <w:name w:val="Medium Grid 2 Accent 3"/>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Pr>
    <w:tcPr>
      <w:shd w:val="clear" w:color="auto" w:fill="E6EED5" w:themeFill="accent3" w:themeFillTint="3F"/>
    </w:tcPr>
    <w:tblStylePr w:type="firstRow">
      <w:rPr>
        <w:b/>
        <w:bCs/>
        <w:color w:val="000000" w:themeColor="text1"/>
      </w:rPr>
      <w:tblPr/>
      <w:tcPr>
        <w:shd w:val="clear" w:color="auto" w:fill="F5F8EE" w:themeFill="accent3"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AF1DD" w:themeFill="accent3" w:themeFillTint="33"/>
      </w:tcPr>
    </w:tblStylePr>
    <w:tblStylePr w:type="band1Vert">
      <w:tblPr/>
      <w:tcPr>
        <w:shd w:val="clear" w:color="auto" w:fill="CDDDAC" w:themeFill="accent3" w:themeFillTint="7F"/>
      </w:tcPr>
    </w:tblStylePr>
    <w:tblStylePr w:type="band1Horz">
      <w:tblPr/>
      <w:tcPr>
        <w:tcBorders>
          <w:insideH w:val="single" w:sz="6" w:space="0" w:color="9BBB59" w:themeColor="accent3"/>
          <w:insideV w:val="single" w:sz="6" w:space="0" w:color="9BBB59" w:themeColor="accent3"/>
        </w:tcBorders>
        <w:shd w:val="clear" w:color="auto" w:fill="CDDDAC" w:themeFill="accent3" w:themeFillTint="7F"/>
      </w:tcPr>
    </w:tblStylePr>
    <w:tblStylePr w:type="nwCell">
      <w:tblPr/>
      <w:tcPr>
        <w:shd w:val="clear" w:color="auto" w:fill="FFFFFF" w:themeFill="background1"/>
      </w:tcPr>
    </w:tblStylePr>
  </w:style>
  <w:style w:type="table" w:styleId="MediumGrid2-Accent4">
    <w:name w:val="Medium Grid 2 Accent 4"/>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Pr>
    <w:tcPr>
      <w:shd w:val="clear" w:color="auto" w:fill="DFD8E8" w:themeFill="accent4" w:themeFillTint="3F"/>
    </w:tcPr>
    <w:tblStylePr w:type="firstRow">
      <w:rPr>
        <w:b/>
        <w:bCs/>
        <w:color w:val="000000" w:themeColor="text1"/>
      </w:rPr>
      <w:tblPr/>
      <w:tcPr>
        <w:shd w:val="clear" w:color="auto" w:fill="F2EFF6" w:themeFill="accent4"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5DFEC" w:themeFill="accent4" w:themeFillTint="33"/>
      </w:tcPr>
    </w:tblStylePr>
    <w:tblStylePr w:type="band1Vert">
      <w:tblPr/>
      <w:tcPr>
        <w:shd w:val="clear" w:color="auto" w:fill="BFB1D0" w:themeFill="accent4" w:themeFillTint="7F"/>
      </w:tcPr>
    </w:tblStylePr>
    <w:tblStylePr w:type="band1Horz">
      <w:tblPr/>
      <w:tcPr>
        <w:tcBorders>
          <w:insideH w:val="single" w:sz="6" w:space="0" w:color="8064A2" w:themeColor="accent4"/>
          <w:insideV w:val="single" w:sz="6" w:space="0" w:color="8064A2" w:themeColor="accent4"/>
        </w:tcBorders>
        <w:shd w:val="clear" w:color="auto" w:fill="BFB1D0" w:themeFill="accent4" w:themeFillTint="7F"/>
      </w:tcPr>
    </w:tblStylePr>
    <w:tblStylePr w:type="nwCell">
      <w:tblPr/>
      <w:tcPr>
        <w:shd w:val="clear" w:color="auto" w:fill="FFFFFF" w:themeFill="background1"/>
      </w:tcPr>
    </w:tblStylePr>
  </w:style>
  <w:style w:type="table" w:styleId="MediumGrid2-Accent5">
    <w:name w:val="Medium Grid 2 Accent 5"/>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Pr>
    <w:tcPr>
      <w:shd w:val="clear" w:color="auto" w:fill="D2EAF1" w:themeFill="accent5" w:themeFillTint="3F"/>
    </w:tcPr>
    <w:tblStylePr w:type="firstRow">
      <w:rPr>
        <w:b/>
        <w:bCs/>
        <w:color w:val="000000" w:themeColor="text1"/>
      </w:rPr>
      <w:tblPr/>
      <w:tcPr>
        <w:shd w:val="clear" w:color="auto" w:fill="EDF6F9" w:themeFill="accent5"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AEEF3" w:themeFill="accent5" w:themeFillTint="33"/>
      </w:tcPr>
    </w:tblStylePr>
    <w:tblStylePr w:type="band1Vert">
      <w:tblPr/>
      <w:tcPr>
        <w:shd w:val="clear" w:color="auto" w:fill="A5D5E2" w:themeFill="accent5" w:themeFillTint="7F"/>
      </w:tcPr>
    </w:tblStylePr>
    <w:tblStylePr w:type="band1Horz">
      <w:tblPr/>
      <w:tcPr>
        <w:tcBorders>
          <w:insideH w:val="single" w:sz="6" w:space="0" w:color="4BACC6" w:themeColor="accent5"/>
          <w:insideV w:val="single" w:sz="6" w:space="0" w:color="4BACC6" w:themeColor="accent5"/>
        </w:tcBorders>
        <w:shd w:val="clear" w:color="auto" w:fill="A5D5E2" w:themeFill="accent5" w:themeFillTint="7F"/>
      </w:tcPr>
    </w:tblStylePr>
    <w:tblStylePr w:type="nwCell">
      <w:tblPr/>
      <w:tcPr>
        <w:shd w:val="clear" w:color="auto" w:fill="FFFFFF" w:themeFill="background1"/>
      </w:tcPr>
    </w:tblStylePr>
  </w:style>
  <w:style w:type="table" w:styleId="MediumGrid2-Accent6">
    <w:name w:val="Medium Grid 2 Accent 6"/>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Pr>
    <w:tcPr>
      <w:shd w:val="clear" w:color="auto" w:fill="FDE4D0" w:themeFill="accent6" w:themeFillTint="3F"/>
    </w:tcPr>
    <w:tblStylePr w:type="firstRow">
      <w:rPr>
        <w:b/>
        <w:bCs/>
        <w:color w:val="000000" w:themeColor="text1"/>
      </w:rPr>
      <w:tblPr/>
      <w:tcPr>
        <w:shd w:val="clear" w:color="auto" w:fill="FEF4EC" w:themeFill="accent6"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DE9D9" w:themeFill="accent6" w:themeFillTint="33"/>
      </w:tcPr>
    </w:tblStylePr>
    <w:tblStylePr w:type="band1Vert">
      <w:tblPr/>
      <w:tcPr>
        <w:shd w:val="clear" w:color="auto" w:fill="FBCAA2" w:themeFill="accent6" w:themeFillTint="7F"/>
      </w:tcPr>
    </w:tblStylePr>
    <w:tblStylePr w:type="band1Horz">
      <w:tblPr/>
      <w:tcPr>
        <w:tcBorders>
          <w:insideH w:val="single" w:sz="6" w:space="0" w:color="F79646" w:themeColor="accent6"/>
          <w:insideV w:val="single" w:sz="6" w:space="0" w:color="F79646" w:themeColor="accent6"/>
        </w:tcBorders>
        <w:shd w:val="clear" w:color="auto" w:fill="FBCAA2" w:themeFill="accent6" w:themeFillTint="7F"/>
      </w:tcPr>
    </w:tblStylePr>
    <w:tblStylePr w:type="nwCell">
      <w:tblPr/>
      <w:tcPr>
        <w:shd w:val="clear" w:color="auto" w:fill="FFFFFF" w:themeFill="background1"/>
      </w:tcPr>
    </w:tblStylePr>
  </w:style>
  <w:style w:type="table" w:styleId="MediumGrid3">
    <w:name w:val="Medium Grid 3"/>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C0C0C0" w:themeFill="tex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000000" w:themeFill="tex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000000" w:themeFill="tex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808080" w:themeFill="tex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808080" w:themeFill="text1" w:themeFillTint="7F"/>
      </w:tcPr>
    </w:tblStylePr>
  </w:style>
  <w:style w:type="table" w:styleId="MediumGrid3-Accent1">
    <w:name w:val="Medium Grid 3 Accent 1"/>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3DFEE" w:themeFill="accen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F81BD" w:themeFill="accen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F81BD" w:themeFill="accen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7BFDE" w:themeFill="accen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7BFDE" w:themeFill="accent1" w:themeFillTint="7F"/>
      </w:tcPr>
    </w:tblStylePr>
  </w:style>
  <w:style w:type="table" w:styleId="MediumGrid3-Accent2">
    <w:name w:val="Medium Grid 3 Accent 2"/>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FD3D2" w:themeFill="accent2"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C0504D" w:themeFill="accent2"/>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C0504D" w:themeFill="accent2"/>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DFA7A6" w:themeFill="accent2"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DFA7A6" w:themeFill="accent2" w:themeFillTint="7F"/>
      </w:tcPr>
    </w:tblStylePr>
  </w:style>
  <w:style w:type="table" w:styleId="MediumGrid3-Accent3">
    <w:name w:val="Medium Grid 3 Accent 3"/>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6EED5" w:themeFill="accent3"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9BBB59" w:themeFill="accent3"/>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9BBB59" w:themeFill="accent3"/>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CDDDAC" w:themeFill="accent3"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CDDDAC" w:themeFill="accent3" w:themeFillTint="7F"/>
      </w:tcPr>
    </w:tblStylePr>
  </w:style>
  <w:style w:type="table" w:styleId="MediumGrid3-Accent4">
    <w:name w:val="Medium Grid 3 Accent 4"/>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FD8E8" w:themeFill="accent4"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8064A2" w:themeFill="accent4"/>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8064A2" w:themeFill="accent4"/>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BFB1D0" w:themeFill="accent4"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BFB1D0" w:themeFill="accent4" w:themeFillTint="7F"/>
      </w:tcPr>
    </w:tblStylePr>
  </w:style>
  <w:style w:type="table" w:styleId="MediumGrid3-Accent5">
    <w:name w:val="Medium Grid 3 Accent 5"/>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2EAF1" w:themeFill="accent5"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BACC6" w:themeFill="accent5"/>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BACC6" w:themeFill="accent5"/>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5D5E2" w:themeFill="accent5"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5D5E2" w:themeFill="accent5" w:themeFillTint="7F"/>
      </w:tcPr>
    </w:tblStylePr>
  </w:style>
  <w:style w:type="table" w:styleId="MediumGrid3-Accent6">
    <w:name w:val="Medium Grid 3 Accent 6"/>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FDE4D0" w:themeFill="accent6"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F79646" w:themeFill="accent6"/>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F79646" w:themeFill="accent6"/>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FBCAA2" w:themeFill="accent6"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FBCAA2" w:themeFill="accent6" w:themeFillTint="7F"/>
      </w:tcPr>
    </w:tblStylePr>
  </w:style>
  <w:style w:type="table" w:styleId="DarkList">
    <w:name w:val="Dark List"/>
    <w:basedOn w:val="TableNormal"/>
    <w:uiPriority w:val="70"/>
    <w:rsid w:val="00CB0664"/>
    <w:pPr>
      <w:spacing w:after="0" w:line="240" w:lineRule="auto"/>
    </w:pPr>
    <w:rPr>
      <w:color w:val="FFFFFF" w:themeColor="background1"/>
    </w:rPr>
    <w:tblPr>
      <w:tblStyleRowBandSize w:val="1"/>
      <w:tblStyleColBandSize w:val="1"/>
    </w:tblPr>
    <w:tcPr>
      <w:shd w:val="clear" w:color="auto" w:fill="000000" w:themeFill="tex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000000" w:themeFill="text1" w:themeFillShade="7F"/>
      </w:tcPr>
    </w:tblStylePr>
    <w:tblStylePr w:type="firstCol">
      <w:tblPr/>
      <w:tcPr>
        <w:tcBorders>
          <w:top w:val="nil"/>
          <w:left w:val="nil"/>
          <w:bottom w:val="nil"/>
          <w:right w:val="single" w:sz="18" w:space="0" w:color="FFFFFF" w:themeColor="background1"/>
          <w:insideH w:val="nil"/>
          <w:insideV w:val="nil"/>
        </w:tcBorders>
        <w:shd w:val="clear" w:color="auto" w:fill="000000" w:themeFill="text1" w:themeFillShade="BF"/>
      </w:tcPr>
    </w:tblStylePr>
    <w:tblStylePr w:type="lastCol">
      <w:tblPr/>
      <w:tcPr>
        <w:tcBorders>
          <w:top w:val="nil"/>
          <w:left w:val="single" w:sz="18" w:space="0" w:color="FFFFFF" w:themeColor="background1"/>
          <w:bottom w:val="nil"/>
          <w:right w:val="nil"/>
          <w:insideH w:val="nil"/>
          <w:insideV w:val="nil"/>
        </w:tcBorders>
        <w:shd w:val="clear" w:color="auto" w:fill="000000" w:themeFill="text1" w:themeFillShade="BF"/>
      </w:tcPr>
    </w:tblStylePr>
    <w:tblStylePr w:type="band1Vert">
      <w:tblPr/>
      <w:tcPr>
        <w:tcBorders>
          <w:top w:val="nil"/>
          <w:left w:val="nil"/>
          <w:bottom w:val="nil"/>
          <w:right w:val="nil"/>
          <w:insideH w:val="nil"/>
          <w:insideV w:val="nil"/>
        </w:tcBorders>
        <w:shd w:val="clear" w:color="auto" w:fill="000000" w:themeFill="text1" w:themeFillShade="BF"/>
      </w:tcPr>
    </w:tblStylePr>
    <w:tblStylePr w:type="band1Horz">
      <w:tblPr/>
      <w:tcPr>
        <w:tcBorders>
          <w:top w:val="nil"/>
          <w:left w:val="nil"/>
          <w:bottom w:val="nil"/>
          <w:right w:val="nil"/>
          <w:insideH w:val="nil"/>
          <w:insideV w:val="nil"/>
        </w:tcBorders>
        <w:shd w:val="clear" w:color="auto" w:fill="000000" w:themeFill="text1" w:themeFillShade="BF"/>
      </w:tcPr>
    </w:tblStylePr>
  </w:style>
  <w:style w:type="table" w:styleId="DarkList-Accent1">
    <w:name w:val="Dark List Accent 1"/>
    <w:basedOn w:val="TableNormal"/>
    <w:uiPriority w:val="70"/>
    <w:rsid w:val="00CB0664"/>
    <w:pPr>
      <w:spacing w:after="0" w:line="240" w:lineRule="auto"/>
    </w:pPr>
    <w:rPr>
      <w:color w:val="FFFFFF" w:themeColor="background1"/>
    </w:rPr>
    <w:tblPr>
      <w:tblStyleRowBandSize w:val="1"/>
      <w:tblStyleColBandSize w:val="1"/>
    </w:tblPr>
    <w:tcPr>
      <w:shd w:val="clear" w:color="auto" w:fill="4F81BD" w:themeFill="accen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43F60" w:themeFill="accent1" w:themeFillShade="7F"/>
      </w:tcPr>
    </w:tblStylePr>
    <w:tblStylePr w:type="firstCol">
      <w:tblPr/>
      <w:tcPr>
        <w:tcBorders>
          <w:top w:val="nil"/>
          <w:left w:val="nil"/>
          <w:bottom w:val="nil"/>
          <w:right w:val="single" w:sz="18" w:space="0" w:color="FFFFFF" w:themeColor="background1"/>
          <w:insideH w:val="nil"/>
          <w:insideV w:val="nil"/>
        </w:tcBorders>
        <w:shd w:val="clear" w:color="auto" w:fill="365F91" w:themeFill="accent1" w:themeFillShade="BF"/>
      </w:tcPr>
    </w:tblStylePr>
    <w:tblStylePr w:type="lastCol">
      <w:tblPr/>
      <w:tcPr>
        <w:tcBorders>
          <w:top w:val="nil"/>
          <w:left w:val="single" w:sz="18" w:space="0" w:color="FFFFFF" w:themeColor="background1"/>
          <w:bottom w:val="nil"/>
          <w:right w:val="nil"/>
          <w:insideH w:val="nil"/>
          <w:insideV w:val="nil"/>
        </w:tcBorders>
        <w:shd w:val="clear" w:color="auto" w:fill="365F91" w:themeFill="accent1" w:themeFillShade="BF"/>
      </w:tcPr>
    </w:tblStylePr>
    <w:tblStylePr w:type="band1Vert">
      <w:tblPr/>
      <w:tcPr>
        <w:tcBorders>
          <w:top w:val="nil"/>
          <w:left w:val="nil"/>
          <w:bottom w:val="nil"/>
          <w:right w:val="nil"/>
          <w:insideH w:val="nil"/>
          <w:insideV w:val="nil"/>
        </w:tcBorders>
        <w:shd w:val="clear" w:color="auto" w:fill="365F91" w:themeFill="accent1" w:themeFillShade="BF"/>
      </w:tcPr>
    </w:tblStylePr>
    <w:tblStylePr w:type="band1Horz">
      <w:tblPr/>
      <w:tcPr>
        <w:tcBorders>
          <w:top w:val="nil"/>
          <w:left w:val="nil"/>
          <w:bottom w:val="nil"/>
          <w:right w:val="nil"/>
          <w:insideH w:val="nil"/>
          <w:insideV w:val="nil"/>
        </w:tcBorders>
        <w:shd w:val="clear" w:color="auto" w:fill="365F91" w:themeFill="accent1" w:themeFillShade="BF"/>
      </w:tcPr>
    </w:tblStylePr>
  </w:style>
  <w:style w:type="table" w:styleId="DarkList-Accent2">
    <w:name w:val="Dark List Accent 2"/>
    <w:basedOn w:val="TableNormal"/>
    <w:uiPriority w:val="70"/>
    <w:rsid w:val="00CB0664"/>
    <w:pPr>
      <w:spacing w:after="0" w:line="240" w:lineRule="auto"/>
    </w:pPr>
    <w:rPr>
      <w:color w:val="FFFFFF" w:themeColor="background1"/>
    </w:rPr>
    <w:tblPr>
      <w:tblStyleRowBandSize w:val="1"/>
      <w:tblStyleColBandSize w:val="1"/>
    </w:tblPr>
    <w:tcPr>
      <w:shd w:val="clear" w:color="auto" w:fill="C0504D" w:themeFill="accent2"/>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622423" w:themeFill="accent2" w:themeFillShade="7F"/>
      </w:tcPr>
    </w:tblStylePr>
    <w:tblStylePr w:type="firstCol">
      <w:tblPr/>
      <w:tcPr>
        <w:tcBorders>
          <w:top w:val="nil"/>
          <w:left w:val="nil"/>
          <w:bottom w:val="nil"/>
          <w:right w:val="single" w:sz="18" w:space="0" w:color="FFFFFF" w:themeColor="background1"/>
          <w:insideH w:val="nil"/>
          <w:insideV w:val="nil"/>
        </w:tcBorders>
        <w:shd w:val="clear" w:color="auto" w:fill="943634" w:themeFill="accent2" w:themeFillShade="BF"/>
      </w:tcPr>
    </w:tblStylePr>
    <w:tblStylePr w:type="lastCol">
      <w:tblPr/>
      <w:tcPr>
        <w:tcBorders>
          <w:top w:val="nil"/>
          <w:left w:val="single" w:sz="18" w:space="0" w:color="FFFFFF" w:themeColor="background1"/>
          <w:bottom w:val="nil"/>
          <w:right w:val="nil"/>
          <w:insideH w:val="nil"/>
          <w:insideV w:val="nil"/>
        </w:tcBorders>
        <w:shd w:val="clear" w:color="auto" w:fill="943634" w:themeFill="accent2" w:themeFillShade="BF"/>
      </w:tcPr>
    </w:tblStylePr>
    <w:tblStylePr w:type="band1Vert">
      <w:tblPr/>
      <w:tcPr>
        <w:tcBorders>
          <w:top w:val="nil"/>
          <w:left w:val="nil"/>
          <w:bottom w:val="nil"/>
          <w:right w:val="nil"/>
          <w:insideH w:val="nil"/>
          <w:insideV w:val="nil"/>
        </w:tcBorders>
        <w:shd w:val="clear" w:color="auto" w:fill="943634" w:themeFill="accent2" w:themeFillShade="BF"/>
      </w:tcPr>
    </w:tblStylePr>
    <w:tblStylePr w:type="band1Horz">
      <w:tblPr/>
      <w:tcPr>
        <w:tcBorders>
          <w:top w:val="nil"/>
          <w:left w:val="nil"/>
          <w:bottom w:val="nil"/>
          <w:right w:val="nil"/>
          <w:insideH w:val="nil"/>
          <w:insideV w:val="nil"/>
        </w:tcBorders>
        <w:shd w:val="clear" w:color="auto" w:fill="943634" w:themeFill="accent2" w:themeFillShade="BF"/>
      </w:tcPr>
    </w:tblStylePr>
  </w:style>
  <w:style w:type="table" w:styleId="DarkList-Accent3">
    <w:name w:val="Dark List Accent 3"/>
    <w:basedOn w:val="TableNormal"/>
    <w:uiPriority w:val="70"/>
    <w:rsid w:val="00CB0664"/>
    <w:pPr>
      <w:spacing w:after="0" w:line="240" w:lineRule="auto"/>
    </w:pPr>
    <w:rPr>
      <w:color w:val="FFFFFF" w:themeColor="background1"/>
    </w:rPr>
    <w:tblPr>
      <w:tblStyleRowBandSize w:val="1"/>
      <w:tblStyleColBandSize w:val="1"/>
    </w:tblPr>
    <w:tcPr>
      <w:shd w:val="clear" w:color="auto" w:fill="9BBB59" w:themeFill="accent3"/>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4E6128" w:themeFill="accent3" w:themeFillShade="7F"/>
      </w:tcPr>
    </w:tblStylePr>
    <w:tblStylePr w:type="firstCol">
      <w:tblPr/>
      <w:tcPr>
        <w:tcBorders>
          <w:top w:val="nil"/>
          <w:left w:val="nil"/>
          <w:bottom w:val="nil"/>
          <w:right w:val="single" w:sz="18" w:space="0" w:color="FFFFFF" w:themeColor="background1"/>
          <w:insideH w:val="nil"/>
          <w:insideV w:val="nil"/>
        </w:tcBorders>
        <w:shd w:val="clear" w:color="auto" w:fill="76923C" w:themeFill="accent3" w:themeFillShade="BF"/>
      </w:tcPr>
    </w:tblStylePr>
    <w:tblStylePr w:type="lastCol">
      <w:tblPr/>
      <w:tcPr>
        <w:tcBorders>
          <w:top w:val="nil"/>
          <w:left w:val="single" w:sz="18" w:space="0" w:color="FFFFFF" w:themeColor="background1"/>
          <w:bottom w:val="nil"/>
          <w:right w:val="nil"/>
          <w:insideH w:val="nil"/>
          <w:insideV w:val="nil"/>
        </w:tcBorders>
        <w:shd w:val="clear" w:color="auto" w:fill="76923C" w:themeFill="accent3" w:themeFillShade="BF"/>
      </w:tcPr>
    </w:tblStylePr>
    <w:tblStylePr w:type="band1Vert">
      <w:tblPr/>
      <w:tcPr>
        <w:tcBorders>
          <w:top w:val="nil"/>
          <w:left w:val="nil"/>
          <w:bottom w:val="nil"/>
          <w:right w:val="nil"/>
          <w:insideH w:val="nil"/>
          <w:insideV w:val="nil"/>
        </w:tcBorders>
        <w:shd w:val="clear" w:color="auto" w:fill="76923C" w:themeFill="accent3" w:themeFillShade="BF"/>
      </w:tcPr>
    </w:tblStylePr>
    <w:tblStylePr w:type="band1Horz">
      <w:tblPr/>
      <w:tcPr>
        <w:tcBorders>
          <w:top w:val="nil"/>
          <w:left w:val="nil"/>
          <w:bottom w:val="nil"/>
          <w:right w:val="nil"/>
          <w:insideH w:val="nil"/>
          <w:insideV w:val="nil"/>
        </w:tcBorders>
        <w:shd w:val="clear" w:color="auto" w:fill="76923C" w:themeFill="accent3" w:themeFillShade="BF"/>
      </w:tcPr>
    </w:tblStylePr>
  </w:style>
  <w:style w:type="table" w:styleId="DarkList-Accent4">
    <w:name w:val="Dark List Accent 4"/>
    <w:basedOn w:val="TableNormal"/>
    <w:uiPriority w:val="70"/>
    <w:rsid w:val="00CB0664"/>
    <w:pPr>
      <w:spacing w:after="0" w:line="240" w:lineRule="auto"/>
    </w:pPr>
    <w:rPr>
      <w:color w:val="FFFFFF" w:themeColor="background1"/>
    </w:rPr>
    <w:tblPr>
      <w:tblStyleRowBandSize w:val="1"/>
      <w:tblStyleColBandSize w:val="1"/>
    </w:tblPr>
    <w:tcPr>
      <w:shd w:val="clear" w:color="auto" w:fill="8064A2" w:themeFill="accent4"/>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3F3151" w:themeFill="accent4" w:themeFillShade="7F"/>
      </w:tcPr>
    </w:tblStylePr>
    <w:tblStylePr w:type="firstCol">
      <w:tblPr/>
      <w:tcPr>
        <w:tcBorders>
          <w:top w:val="nil"/>
          <w:left w:val="nil"/>
          <w:bottom w:val="nil"/>
          <w:right w:val="single" w:sz="18" w:space="0" w:color="FFFFFF" w:themeColor="background1"/>
          <w:insideH w:val="nil"/>
          <w:insideV w:val="nil"/>
        </w:tcBorders>
        <w:shd w:val="clear" w:color="auto" w:fill="5F497A" w:themeFill="accent4" w:themeFillShade="BF"/>
      </w:tcPr>
    </w:tblStylePr>
    <w:tblStylePr w:type="lastCol">
      <w:tblPr/>
      <w:tcPr>
        <w:tcBorders>
          <w:top w:val="nil"/>
          <w:left w:val="single" w:sz="18" w:space="0" w:color="FFFFFF" w:themeColor="background1"/>
          <w:bottom w:val="nil"/>
          <w:right w:val="nil"/>
          <w:insideH w:val="nil"/>
          <w:insideV w:val="nil"/>
        </w:tcBorders>
        <w:shd w:val="clear" w:color="auto" w:fill="5F497A" w:themeFill="accent4" w:themeFillShade="BF"/>
      </w:tcPr>
    </w:tblStylePr>
    <w:tblStylePr w:type="band1Vert">
      <w:tblPr/>
      <w:tcPr>
        <w:tcBorders>
          <w:top w:val="nil"/>
          <w:left w:val="nil"/>
          <w:bottom w:val="nil"/>
          <w:right w:val="nil"/>
          <w:insideH w:val="nil"/>
          <w:insideV w:val="nil"/>
        </w:tcBorders>
        <w:shd w:val="clear" w:color="auto" w:fill="5F497A" w:themeFill="accent4" w:themeFillShade="BF"/>
      </w:tcPr>
    </w:tblStylePr>
    <w:tblStylePr w:type="band1Horz">
      <w:tblPr/>
      <w:tcPr>
        <w:tcBorders>
          <w:top w:val="nil"/>
          <w:left w:val="nil"/>
          <w:bottom w:val="nil"/>
          <w:right w:val="nil"/>
          <w:insideH w:val="nil"/>
          <w:insideV w:val="nil"/>
        </w:tcBorders>
        <w:shd w:val="clear" w:color="auto" w:fill="5F497A" w:themeFill="accent4" w:themeFillShade="BF"/>
      </w:tcPr>
    </w:tblStylePr>
  </w:style>
  <w:style w:type="table" w:styleId="DarkList-Accent5">
    <w:name w:val="Dark List Accent 5"/>
    <w:basedOn w:val="TableNormal"/>
    <w:uiPriority w:val="70"/>
    <w:rsid w:val="00CB0664"/>
    <w:pPr>
      <w:spacing w:after="0" w:line="240" w:lineRule="auto"/>
    </w:pPr>
    <w:rPr>
      <w:color w:val="FFFFFF" w:themeColor="background1"/>
    </w:rPr>
    <w:tblPr>
      <w:tblStyleRowBandSize w:val="1"/>
      <w:tblStyleColBandSize w:val="1"/>
    </w:tblPr>
    <w:tcPr>
      <w:shd w:val="clear" w:color="auto" w:fill="4BACC6" w:themeFill="accent5"/>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05867" w:themeFill="accent5" w:themeFillShade="7F"/>
      </w:tcPr>
    </w:tblStylePr>
    <w:tblStylePr w:type="firstCol">
      <w:tblPr/>
      <w:tcPr>
        <w:tcBorders>
          <w:top w:val="nil"/>
          <w:left w:val="nil"/>
          <w:bottom w:val="nil"/>
          <w:right w:val="single" w:sz="18" w:space="0" w:color="FFFFFF" w:themeColor="background1"/>
          <w:insideH w:val="nil"/>
          <w:insideV w:val="nil"/>
        </w:tcBorders>
        <w:shd w:val="clear" w:color="auto" w:fill="31849B" w:themeFill="accent5" w:themeFillShade="BF"/>
      </w:tcPr>
    </w:tblStylePr>
    <w:tblStylePr w:type="lastCol">
      <w:tblPr/>
      <w:tcPr>
        <w:tcBorders>
          <w:top w:val="nil"/>
          <w:left w:val="single" w:sz="18" w:space="0" w:color="FFFFFF" w:themeColor="background1"/>
          <w:bottom w:val="nil"/>
          <w:right w:val="nil"/>
          <w:insideH w:val="nil"/>
          <w:insideV w:val="nil"/>
        </w:tcBorders>
        <w:shd w:val="clear" w:color="auto" w:fill="31849B" w:themeFill="accent5" w:themeFillShade="BF"/>
      </w:tcPr>
    </w:tblStylePr>
    <w:tblStylePr w:type="band1Vert">
      <w:tblPr/>
      <w:tcPr>
        <w:tcBorders>
          <w:top w:val="nil"/>
          <w:left w:val="nil"/>
          <w:bottom w:val="nil"/>
          <w:right w:val="nil"/>
          <w:insideH w:val="nil"/>
          <w:insideV w:val="nil"/>
        </w:tcBorders>
        <w:shd w:val="clear" w:color="auto" w:fill="31849B" w:themeFill="accent5" w:themeFillShade="BF"/>
      </w:tcPr>
    </w:tblStylePr>
    <w:tblStylePr w:type="band1Horz">
      <w:tblPr/>
      <w:tcPr>
        <w:tcBorders>
          <w:top w:val="nil"/>
          <w:left w:val="nil"/>
          <w:bottom w:val="nil"/>
          <w:right w:val="nil"/>
          <w:insideH w:val="nil"/>
          <w:insideV w:val="nil"/>
        </w:tcBorders>
        <w:shd w:val="clear" w:color="auto" w:fill="31849B" w:themeFill="accent5" w:themeFillShade="BF"/>
      </w:tcPr>
    </w:tblStylePr>
  </w:style>
  <w:style w:type="table" w:styleId="DarkList-Accent6">
    <w:name w:val="Dark List Accent 6"/>
    <w:basedOn w:val="TableNormal"/>
    <w:uiPriority w:val="70"/>
    <w:rsid w:val="00CB0664"/>
    <w:pPr>
      <w:spacing w:after="0" w:line="240" w:lineRule="auto"/>
    </w:pPr>
    <w:rPr>
      <w:color w:val="FFFFFF" w:themeColor="background1"/>
    </w:rPr>
    <w:tblPr>
      <w:tblStyleRowBandSize w:val="1"/>
      <w:tblStyleColBandSize w:val="1"/>
    </w:tblPr>
    <w:tcPr>
      <w:shd w:val="clear" w:color="auto" w:fill="F79646" w:themeFill="accent6"/>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974706" w:themeFill="accent6" w:themeFillShade="7F"/>
      </w:tcPr>
    </w:tblStylePr>
    <w:tblStylePr w:type="firstCol">
      <w:tblPr/>
      <w:tcPr>
        <w:tcBorders>
          <w:top w:val="nil"/>
          <w:left w:val="nil"/>
          <w:bottom w:val="nil"/>
          <w:right w:val="single" w:sz="18" w:space="0" w:color="FFFFFF" w:themeColor="background1"/>
          <w:insideH w:val="nil"/>
          <w:insideV w:val="nil"/>
        </w:tcBorders>
        <w:shd w:val="clear" w:color="auto" w:fill="E36C0A" w:themeFill="accent6" w:themeFillShade="BF"/>
      </w:tcPr>
    </w:tblStylePr>
    <w:tblStylePr w:type="lastCol">
      <w:tblPr/>
      <w:tcPr>
        <w:tcBorders>
          <w:top w:val="nil"/>
          <w:left w:val="single" w:sz="18" w:space="0" w:color="FFFFFF" w:themeColor="background1"/>
          <w:bottom w:val="nil"/>
          <w:right w:val="nil"/>
          <w:insideH w:val="nil"/>
          <w:insideV w:val="nil"/>
        </w:tcBorders>
        <w:shd w:val="clear" w:color="auto" w:fill="E36C0A" w:themeFill="accent6" w:themeFillShade="BF"/>
      </w:tcPr>
    </w:tblStylePr>
    <w:tblStylePr w:type="band1Vert">
      <w:tblPr/>
      <w:tcPr>
        <w:tcBorders>
          <w:top w:val="nil"/>
          <w:left w:val="nil"/>
          <w:bottom w:val="nil"/>
          <w:right w:val="nil"/>
          <w:insideH w:val="nil"/>
          <w:insideV w:val="nil"/>
        </w:tcBorders>
        <w:shd w:val="clear" w:color="auto" w:fill="E36C0A" w:themeFill="accent6" w:themeFillShade="BF"/>
      </w:tcPr>
    </w:tblStylePr>
    <w:tblStylePr w:type="band1Horz">
      <w:tblPr/>
      <w:tcPr>
        <w:tcBorders>
          <w:top w:val="nil"/>
          <w:left w:val="nil"/>
          <w:bottom w:val="nil"/>
          <w:right w:val="nil"/>
          <w:insideH w:val="nil"/>
          <w:insideV w:val="nil"/>
        </w:tcBorders>
        <w:shd w:val="clear" w:color="auto" w:fill="E36C0A" w:themeFill="accent6" w:themeFillShade="BF"/>
      </w:tcPr>
    </w:tblStylePr>
  </w:style>
  <w:style w:type="table" w:styleId="ColorfulShading">
    <w:name w:val="Colorful Shading"/>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000000" w:themeColor="text1"/>
        <w:bottom w:val="single" w:sz="4" w:space="0" w:color="000000" w:themeColor="text1"/>
        <w:right w:val="single" w:sz="4" w:space="0" w:color="000000" w:themeColor="text1"/>
        <w:insideH w:val="single" w:sz="4" w:space="0" w:color="FFFFFF" w:themeColor="background1"/>
        <w:insideV w:val="single" w:sz="4" w:space="0" w:color="FFFFFF" w:themeColor="background1"/>
      </w:tblBorders>
    </w:tblPr>
    <w:tcPr>
      <w:shd w:val="clear" w:color="auto" w:fill="E6E6E6" w:themeFill="tex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000000" w:themeFill="text1" w:themeFillShade="99"/>
      </w:tcPr>
    </w:tblStylePr>
    <w:tblStylePr w:type="firstCol">
      <w:rPr>
        <w:color w:val="FFFFFF" w:themeColor="background1"/>
      </w:rPr>
      <w:tblPr/>
      <w:tcPr>
        <w:tcBorders>
          <w:top w:val="nil"/>
          <w:left w:val="nil"/>
          <w:bottom w:val="nil"/>
          <w:right w:val="nil"/>
          <w:insideH w:val="single" w:sz="4" w:space="0" w:color="000000" w:themeColor="text1" w:themeShade="99"/>
          <w:insideV w:val="nil"/>
        </w:tcBorders>
        <w:shd w:val="clear" w:color="auto" w:fill="000000" w:themeFill="text1" w:themeFillShade="99"/>
      </w:tcPr>
    </w:tblStylePr>
    <w:tblStylePr w:type="lastCol">
      <w:rPr>
        <w:color w:val="FFFFFF" w:themeColor="background1"/>
      </w:rPr>
      <w:tblPr/>
      <w:tcPr>
        <w:tcBorders>
          <w:top w:val="nil"/>
          <w:left w:val="nil"/>
          <w:bottom w:val="nil"/>
          <w:right w:val="nil"/>
          <w:insideH w:val="nil"/>
          <w:insideV w:val="nil"/>
        </w:tcBorders>
        <w:shd w:val="clear" w:color="auto" w:fill="000000" w:themeFill="text1" w:themeFillShade="BF"/>
      </w:tcPr>
    </w:tblStylePr>
    <w:tblStylePr w:type="band1Vert">
      <w:tblPr/>
      <w:tcPr>
        <w:shd w:val="clear" w:color="auto" w:fill="999999" w:themeFill="text1" w:themeFillTint="66"/>
      </w:tcPr>
    </w:tblStylePr>
    <w:tblStylePr w:type="band1Horz">
      <w:tblPr/>
      <w:tcPr>
        <w:shd w:val="clear" w:color="auto" w:fill="808080" w:themeFill="text1" w:themeFillTint="7F"/>
      </w:tcPr>
    </w:tblStylePr>
    <w:tblStylePr w:type="neCell">
      <w:rPr>
        <w:color w:val="000000" w:themeColor="text1"/>
      </w:rPr>
    </w:tblStylePr>
    <w:tblStylePr w:type="nwCell">
      <w:rPr>
        <w:color w:val="000000" w:themeColor="text1"/>
      </w:rPr>
    </w:tblStylePr>
  </w:style>
  <w:style w:type="table" w:styleId="ColorfulShading-Accent1">
    <w:name w:val="Colorful Shading Accent 1"/>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4F81BD" w:themeColor="accent1"/>
        <w:bottom w:val="single" w:sz="4" w:space="0" w:color="4F81BD" w:themeColor="accent1"/>
        <w:right w:val="single" w:sz="4" w:space="0" w:color="4F81BD" w:themeColor="accent1"/>
        <w:insideH w:val="single" w:sz="4" w:space="0" w:color="FFFFFF" w:themeColor="background1"/>
        <w:insideV w:val="single" w:sz="4" w:space="0" w:color="FFFFFF" w:themeColor="background1"/>
      </w:tblBorders>
    </w:tblPr>
    <w:tcPr>
      <w:shd w:val="clear" w:color="auto" w:fill="EDF2F8" w:themeFill="accen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C4C74" w:themeFill="accent1" w:themeFillShade="99"/>
      </w:tcPr>
    </w:tblStylePr>
    <w:tblStylePr w:type="firstCol">
      <w:rPr>
        <w:color w:val="FFFFFF" w:themeColor="background1"/>
      </w:rPr>
      <w:tblPr/>
      <w:tcPr>
        <w:tcBorders>
          <w:top w:val="nil"/>
          <w:left w:val="nil"/>
          <w:bottom w:val="nil"/>
          <w:right w:val="nil"/>
          <w:insideH w:val="single" w:sz="4" w:space="0" w:color="2C4C74" w:themeColor="accent1" w:themeShade="99"/>
          <w:insideV w:val="nil"/>
        </w:tcBorders>
        <w:shd w:val="clear" w:color="auto" w:fill="2C4C74" w:themeFill="accent1" w:themeFillShade="99"/>
      </w:tcPr>
    </w:tblStylePr>
    <w:tblStylePr w:type="lastCol">
      <w:rPr>
        <w:color w:val="FFFFFF" w:themeColor="background1"/>
      </w:rPr>
      <w:tblPr/>
      <w:tcPr>
        <w:tcBorders>
          <w:top w:val="nil"/>
          <w:left w:val="nil"/>
          <w:bottom w:val="nil"/>
          <w:right w:val="nil"/>
          <w:insideH w:val="nil"/>
          <w:insideV w:val="nil"/>
        </w:tcBorders>
        <w:shd w:val="clear" w:color="auto" w:fill="2C4C74" w:themeFill="accent1" w:themeFillShade="99"/>
      </w:tcPr>
    </w:tblStylePr>
    <w:tblStylePr w:type="band1Vert">
      <w:tblPr/>
      <w:tcPr>
        <w:shd w:val="clear" w:color="auto" w:fill="B8CCE4" w:themeFill="accent1" w:themeFillTint="66"/>
      </w:tcPr>
    </w:tblStylePr>
    <w:tblStylePr w:type="band1Horz">
      <w:tblPr/>
      <w:tcPr>
        <w:shd w:val="clear" w:color="auto" w:fill="A7BFDE" w:themeFill="accent1" w:themeFillTint="7F"/>
      </w:tcPr>
    </w:tblStylePr>
    <w:tblStylePr w:type="neCell">
      <w:rPr>
        <w:color w:val="000000" w:themeColor="text1"/>
      </w:rPr>
    </w:tblStylePr>
    <w:tblStylePr w:type="nwCell">
      <w:rPr>
        <w:color w:val="000000" w:themeColor="text1"/>
      </w:rPr>
    </w:tblStylePr>
  </w:style>
  <w:style w:type="table" w:styleId="ColorfulShading-Accent2">
    <w:name w:val="Colorful Shading Accent 2"/>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C0504D" w:themeColor="accent2"/>
        <w:bottom w:val="single" w:sz="4" w:space="0" w:color="C0504D" w:themeColor="accent2"/>
        <w:right w:val="single" w:sz="4" w:space="0" w:color="C0504D" w:themeColor="accent2"/>
        <w:insideH w:val="single" w:sz="4" w:space="0" w:color="FFFFFF" w:themeColor="background1"/>
        <w:insideV w:val="single" w:sz="4" w:space="0" w:color="FFFFFF" w:themeColor="background1"/>
      </w:tblBorders>
    </w:tblPr>
    <w:tcPr>
      <w:shd w:val="clear" w:color="auto" w:fill="F8EDED" w:themeFill="accent2"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772C2A" w:themeFill="accent2" w:themeFillShade="99"/>
      </w:tcPr>
    </w:tblStylePr>
    <w:tblStylePr w:type="firstCol">
      <w:rPr>
        <w:color w:val="FFFFFF" w:themeColor="background1"/>
      </w:rPr>
      <w:tblPr/>
      <w:tcPr>
        <w:tcBorders>
          <w:top w:val="nil"/>
          <w:left w:val="nil"/>
          <w:bottom w:val="nil"/>
          <w:right w:val="nil"/>
          <w:insideH w:val="single" w:sz="4" w:space="0" w:color="772C2A" w:themeColor="accent2" w:themeShade="99"/>
          <w:insideV w:val="nil"/>
        </w:tcBorders>
        <w:shd w:val="clear" w:color="auto" w:fill="772C2A" w:themeFill="accent2" w:themeFillShade="99"/>
      </w:tcPr>
    </w:tblStylePr>
    <w:tblStylePr w:type="lastCol">
      <w:rPr>
        <w:color w:val="FFFFFF" w:themeColor="background1"/>
      </w:rPr>
      <w:tblPr/>
      <w:tcPr>
        <w:tcBorders>
          <w:top w:val="nil"/>
          <w:left w:val="nil"/>
          <w:bottom w:val="nil"/>
          <w:right w:val="nil"/>
          <w:insideH w:val="nil"/>
          <w:insideV w:val="nil"/>
        </w:tcBorders>
        <w:shd w:val="clear" w:color="auto" w:fill="772C2A" w:themeFill="accent2" w:themeFillShade="99"/>
      </w:tcPr>
    </w:tblStylePr>
    <w:tblStylePr w:type="band1Vert">
      <w:tblPr/>
      <w:tcPr>
        <w:shd w:val="clear" w:color="auto" w:fill="E5B8B7" w:themeFill="accent2" w:themeFillTint="66"/>
      </w:tcPr>
    </w:tblStylePr>
    <w:tblStylePr w:type="band1Horz">
      <w:tblPr/>
      <w:tcPr>
        <w:shd w:val="clear" w:color="auto" w:fill="DFA7A6" w:themeFill="accent2" w:themeFillTint="7F"/>
      </w:tcPr>
    </w:tblStylePr>
    <w:tblStylePr w:type="neCell">
      <w:rPr>
        <w:color w:val="000000" w:themeColor="text1"/>
      </w:rPr>
    </w:tblStylePr>
    <w:tblStylePr w:type="nwCell">
      <w:rPr>
        <w:color w:val="000000" w:themeColor="text1"/>
      </w:rPr>
    </w:tblStylePr>
  </w:style>
  <w:style w:type="table" w:styleId="ColorfulShading-Accent3">
    <w:name w:val="Colorful Shading Accent 3"/>
    <w:basedOn w:val="TableNormal"/>
    <w:uiPriority w:val="71"/>
    <w:rsid w:val="00CB0664"/>
    <w:pPr>
      <w:spacing w:after="0" w:line="240" w:lineRule="auto"/>
    </w:pPr>
    <w:rPr>
      <w:color w:val="000000" w:themeColor="text1"/>
    </w:rPr>
    <w:tblPr>
      <w:tblStyleRowBandSize w:val="1"/>
      <w:tblStyleColBandSize w:val="1"/>
      <w:tblBorders>
        <w:top w:val="single" w:sz="24" w:space="0" w:color="8064A2" w:themeColor="accent4"/>
        <w:left w:val="single" w:sz="4" w:space="0" w:color="9BBB59" w:themeColor="accent3"/>
        <w:bottom w:val="single" w:sz="4" w:space="0" w:color="9BBB59" w:themeColor="accent3"/>
        <w:right w:val="single" w:sz="4" w:space="0" w:color="9BBB59" w:themeColor="accent3"/>
        <w:insideH w:val="single" w:sz="4" w:space="0" w:color="FFFFFF" w:themeColor="background1"/>
        <w:insideV w:val="single" w:sz="4" w:space="0" w:color="FFFFFF" w:themeColor="background1"/>
      </w:tblBorders>
    </w:tblPr>
    <w:tcPr>
      <w:shd w:val="clear" w:color="auto" w:fill="F5F8EE" w:themeFill="accent3" w:themeFillTint="19"/>
    </w:tcPr>
    <w:tblStylePr w:type="firstRow">
      <w:rPr>
        <w:b/>
        <w:bCs/>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5E7530" w:themeFill="accent3" w:themeFillShade="99"/>
      </w:tcPr>
    </w:tblStylePr>
    <w:tblStylePr w:type="firstCol">
      <w:rPr>
        <w:color w:val="FFFFFF" w:themeColor="background1"/>
      </w:rPr>
      <w:tblPr/>
      <w:tcPr>
        <w:tcBorders>
          <w:top w:val="nil"/>
          <w:left w:val="nil"/>
          <w:bottom w:val="nil"/>
          <w:right w:val="nil"/>
          <w:insideH w:val="single" w:sz="4" w:space="0" w:color="5E7530" w:themeColor="accent3" w:themeShade="99"/>
          <w:insideV w:val="nil"/>
        </w:tcBorders>
        <w:shd w:val="clear" w:color="auto" w:fill="5E7530" w:themeFill="accent3" w:themeFillShade="99"/>
      </w:tcPr>
    </w:tblStylePr>
    <w:tblStylePr w:type="lastCol">
      <w:rPr>
        <w:color w:val="FFFFFF" w:themeColor="background1"/>
      </w:rPr>
      <w:tblPr/>
      <w:tcPr>
        <w:tcBorders>
          <w:top w:val="nil"/>
          <w:left w:val="nil"/>
          <w:bottom w:val="nil"/>
          <w:right w:val="nil"/>
          <w:insideH w:val="nil"/>
          <w:insideV w:val="nil"/>
        </w:tcBorders>
        <w:shd w:val="clear" w:color="auto" w:fill="5E7530" w:themeFill="accent3" w:themeFillShade="99"/>
      </w:tcPr>
    </w:tblStylePr>
    <w:tblStylePr w:type="band1Vert">
      <w:tblPr/>
      <w:tcPr>
        <w:shd w:val="clear" w:color="auto" w:fill="D6E3BC" w:themeFill="accent3" w:themeFillTint="66"/>
      </w:tcPr>
    </w:tblStylePr>
    <w:tblStylePr w:type="band1Horz">
      <w:tblPr/>
      <w:tcPr>
        <w:shd w:val="clear" w:color="auto" w:fill="CDDDAC" w:themeFill="accent3" w:themeFillTint="7F"/>
      </w:tcPr>
    </w:tblStylePr>
  </w:style>
  <w:style w:type="table" w:styleId="ColorfulShading-Accent4">
    <w:name w:val="Colorful Shading Accent 4"/>
    <w:basedOn w:val="TableNormal"/>
    <w:uiPriority w:val="71"/>
    <w:rsid w:val="00CB0664"/>
    <w:pPr>
      <w:spacing w:after="0" w:line="240" w:lineRule="auto"/>
    </w:pPr>
    <w:rPr>
      <w:color w:val="000000" w:themeColor="text1"/>
    </w:rPr>
    <w:tblPr>
      <w:tblStyleRowBandSize w:val="1"/>
      <w:tblStyleColBandSize w:val="1"/>
      <w:tblBorders>
        <w:top w:val="single" w:sz="24" w:space="0" w:color="9BBB59" w:themeColor="accent3"/>
        <w:left w:val="single" w:sz="4" w:space="0" w:color="8064A2" w:themeColor="accent4"/>
        <w:bottom w:val="single" w:sz="4" w:space="0" w:color="8064A2" w:themeColor="accent4"/>
        <w:right w:val="single" w:sz="4" w:space="0" w:color="8064A2" w:themeColor="accent4"/>
        <w:insideH w:val="single" w:sz="4" w:space="0" w:color="FFFFFF" w:themeColor="background1"/>
        <w:insideV w:val="single" w:sz="4" w:space="0" w:color="FFFFFF" w:themeColor="background1"/>
      </w:tblBorders>
    </w:tblPr>
    <w:tcPr>
      <w:shd w:val="clear" w:color="auto" w:fill="F2EFF6" w:themeFill="accent4" w:themeFillTint="19"/>
    </w:tcPr>
    <w:tblStylePr w:type="firstRow">
      <w:rPr>
        <w:b/>
        <w:bCs/>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4C3B62" w:themeFill="accent4" w:themeFillShade="99"/>
      </w:tcPr>
    </w:tblStylePr>
    <w:tblStylePr w:type="firstCol">
      <w:rPr>
        <w:color w:val="FFFFFF" w:themeColor="background1"/>
      </w:rPr>
      <w:tblPr/>
      <w:tcPr>
        <w:tcBorders>
          <w:top w:val="nil"/>
          <w:left w:val="nil"/>
          <w:bottom w:val="nil"/>
          <w:right w:val="nil"/>
          <w:insideH w:val="single" w:sz="4" w:space="0" w:color="4C3B62" w:themeColor="accent4" w:themeShade="99"/>
          <w:insideV w:val="nil"/>
        </w:tcBorders>
        <w:shd w:val="clear" w:color="auto" w:fill="4C3B62" w:themeFill="accent4" w:themeFillShade="99"/>
      </w:tcPr>
    </w:tblStylePr>
    <w:tblStylePr w:type="lastCol">
      <w:rPr>
        <w:color w:val="FFFFFF" w:themeColor="background1"/>
      </w:rPr>
      <w:tblPr/>
      <w:tcPr>
        <w:tcBorders>
          <w:top w:val="nil"/>
          <w:left w:val="nil"/>
          <w:bottom w:val="nil"/>
          <w:right w:val="nil"/>
          <w:insideH w:val="nil"/>
          <w:insideV w:val="nil"/>
        </w:tcBorders>
        <w:shd w:val="clear" w:color="auto" w:fill="4C3B62" w:themeFill="accent4" w:themeFillShade="99"/>
      </w:tcPr>
    </w:tblStylePr>
    <w:tblStylePr w:type="band1Vert">
      <w:tblPr/>
      <w:tcPr>
        <w:shd w:val="clear" w:color="auto" w:fill="CCC0D9" w:themeFill="accent4" w:themeFillTint="66"/>
      </w:tcPr>
    </w:tblStylePr>
    <w:tblStylePr w:type="band1Horz">
      <w:tblPr/>
      <w:tcPr>
        <w:shd w:val="clear" w:color="auto" w:fill="BFB1D0" w:themeFill="accent4" w:themeFillTint="7F"/>
      </w:tcPr>
    </w:tblStylePr>
    <w:tblStylePr w:type="neCell">
      <w:rPr>
        <w:color w:val="000000" w:themeColor="text1"/>
      </w:rPr>
    </w:tblStylePr>
    <w:tblStylePr w:type="nwCell">
      <w:rPr>
        <w:color w:val="000000" w:themeColor="text1"/>
      </w:rPr>
    </w:tblStylePr>
  </w:style>
  <w:style w:type="table" w:styleId="ColorfulShading-Accent5">
    <w:name w:val="Colorful Shading Accent 5"/>
    <w:basedOn w:val="TableNormal"/>
    <w:uiPriority w:val="71"/>
    <w:rsid w:val="00CB0664"/>
    <w:pPr>
      <w:spacing w:after="0" w:line="240" w:lineRule="auto"/>
    </w:pPr>
    <w:rPr>
      <w:color w:val="000000" w:themeColor="text1"/>
    </w:rPr>
    <w:tblPr>
      <w:tblStyleRowBandSize w:val="1"/>
      <w:tblStyleColBandSize w:val="1"/>
      <w:tblBorders>
        <w:top w:val="single" w:sz="24" w:space="0" w:color="F79646" w:themeColor="accent6"/>
        <w:left w:val="single" w:sz="4" w:space="0" w:color="4BACC6" w:themeColor="accent5"/>
        <w:bottom w:val="single" w:sz="4" w:space="0" w:color="4BACC6" w:themeColor="accent5"/>
        <w:right w:val="single" w:sz="4" w:space="0" w:color="4BACC6" w:themeColor="accent5"/>
        <w:insideH w:val="single" w:sz="4" w:space="0" w:color="FFFFFF" w:themeColor="background1"/>
        <w:insideV w:val="single" w:sz="4" w:space="0" w:color="FFFFFF" w:themeColor="background1"/>
      </w:tblBorders>
    </w:tblPr>
    <w:tcPr>
      <w:shd w:val="clear" w:color="auto" w:fill="EDF6F9" w:themeFill="accent5" w:themeFillTint="19"/>
    </w:tcPr>
    <w:tblStylePr w:type="firstRow">
      <w:rPr>
        <w:b/>
        <w:bCs/>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76A7C" w:themeFill="accent5" w:themeFillShade="99"/>
      </w:tcPr>
    </w:tblStylePr>
    <w:tblStylePr w:type="firstCol">
      <w:rPr>
        <w:color w:val="FFFFFF" w:themeColor="background1"/>
      </w:rPr>
      <w:tblPr/>
      <w:tcPr>
        <w:tcBorders>
          <w:top w:val="nil"/>
          <w:left w:val="nil"/>
          <w:bottom w:val="nil"/>
          <w:right w:val="nil"/>
          <w:insideH w:val="single" w:sz="4" w:space="0" w:color="276A7C" w:themeColor="accent5" w:themeShade="99"/>
          <w:insideV w:val="nil"/>
        </w:tcBorders>
        <w:shd w:val="clear" w:color="auto" w:fill="276A7C" w:themeFill="accent5" w:themeFillShade="99"/>
      </w:tcPr>
    </w:tblStylePr>
    <w:tblStylePr w:type="lastCol">
      <w:rPr>
        <w:color w:val="FFFFFF" w:themeColor="background1"/>
      </w:rPr>
      <w:tblPr/>
      <w:tcPr>
        <w:tcBorders>
          <w:top w:val="nil"/>
          <w:left w:val="nil"/>
          <w:bottom w:val="nil"/>
          <w:right w:val="nil"/>
          <w:insideH w:val="nil"/>
          <w:insideV w:val="nil"/>
        </w:tcBorders>
        <w:shd w:val="clear" w:color="auto" w:fill="276A7C" w:themeFill="accent5" w:themeFillShade="99"/>
      </w:tcPr>
    </w:tblStylePr>
    <w:tblStylePr w:type="band1Vert">
      <w:tblPr/>
      <w:tcPr>
        <w:shd w:val="clear" w:color="auto" w:fill="B6DDE8" w:themeFill="accent5" w:themeFillTint="66"/>
      </w:tcPr>
    </w:tblStylePr>
    <w:tblStylePr w:type="band1Horz">
      <w:tblPr/>
      <w:tcPr>
        <w:shd w:val="clear" w:color="auto" w:fill="A5D5E2" w:themeFill="accent5" w:themeFillTint="7F"/>
      </w:tcPr>
    </w:tblStylePr>
    <w:tblStylePr w:type="neCell">
      <w:rPr>
        <w:color w:val="000000" w:themeColor="text1"/>
      </w:rPr>
    </w:tblStylePr>
    <w:tblStylePr w:type="nwCell">
      <w:rPr>
        <w:color w:val="000000" w:themeColor="text1"/>
      </w:rPr>
    </w:tblStylePr>
  </w:style>
  <w:style w:type="table" w:styleId="ColorfulShading-Accent6">
    <w:name w:val="Colorful Shading Accent 6"/>
    <w:basedOn w:val="TableNormal"/>
    <w:uiPriority w:val="71"/>
    <w:rsid w:val="00CB0664"/>
    <w:pPr>
      <w:spacing w:after="0" w:line="240" w:lineRule="auto"/>
    </w:pPr>
    <w:rPr>
      <w:color w:val="000000" w:themeColor="text1"/>
    </w:rPr>
    <w:tblPr>
      <w:tblStyleRowBandSize w:val="1"/>
      <w:tblStyleColBandSize w:val="1"/>
      <w:tblBorders>
        <w:top w:val="single" w:sz="24" w:space="0" w:color="4BACC6" w:themeColor="accent5"/>
        <w:left w:val="single" w:sz="4" w:space="0" w:color="F79646" w:themeColor="accent6"/>
        <w:bottom w:val="single" w:sz="4" w:space="0" w:color="F79646" w:themeColor="accent6"/>
        <w:right w:val="single" w:sz="4" w:space="0" w:color="F79646" w:themeColor="accent6"/>
        <w:insideH w:val="single" w:sz="4" w:space="0" w:color="FFFFFF" w:themeColor="background1"/>
        <w:insideV w:val="single" w:sz="4" w:space="0" w:color="FFFFFF" w:themeColor="background1"/>
      </w:tblBorders>
    </w:tblPr>
    <w:tcPr>
      <w:shd w:val="clear" w:color="auto" w:fill="FEF4EC" w:themeFill="accent6" w:themeFillTint="19"/>
    </w:tcPr>
    <w:tblStylePr w:type="firstRow">
      <w:rPr>
        <w:b/>
        <w:bCs/>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B65608" w:themeFill="accent6" w:themeFillShade="99"/>
      </w:tcPr>
    </w:tblStylePr>
    <w:tblStylePr w:type="firstCol">
      <w:rPr>
        <w:color w:val="FFFFFF" w:themeColor="background1"/>
      </w:rPr>
      <w:tblPr/>
      <w:tcPr>
        <w:tcBorders>
          <w:top w:val="nil"/>
          <w:left w:val="nil"/>
          <w:bottom w:val="nil"/>
          <w:right w:val="nil"/>
          <w:insideH w:val="single" w:sz="4" w:space="0" w:color="B65608" w:themeColor="accent6" w:themeShade="99"/>
          <w:insideV w:val="nil"/>
        </w:tcBorders>
        <w:shd w:val="clear" w:color="auto" w:fill="B65608" w:themeFill="accent6" w:themeFillShade="99"/>
      </w:tcPr>
    </w:tblStylePr>
    <w:tblStylePr w:type="lastCol">
      <w:rPr>
        <w:color w:val="FFFFFF" w:themeColor="background1"/>
      </w:rPr>
      <w:tblPr/>
      <w:tcPr>
        <w:tcBorders>
          <w:top w:val="nil"/>
          <w:left w:val="nil"/>
          <w:bottom w:val="nil"/>
          <w:right w:val="nil"/>
          <w:insideH w:val="nil"/>
          <w:insideV w:val="nil"/>
        </w:tcBorders>
        <w:shd w:val="clear" w:color="auto" w:fill="B65608" w:themeFill="accent6" w:themeFillShade="99"/>
      </w:tcPr>
    </w:tblStylePr>
    <w:tblStylePr w:type="band1Vert">
      <w:tblPr/>
      <w:tcPr>
        <w:shd w:val="clear" w:color="auto" w:fill="FBD4B4" w:themeFill="accent6" w:themeFillTint="66"/>
      </w:tcPr>
    </w:tblStylePr>
    <w:tblStylePr w:type="band1Horz">
      <w:tblPr/>
      <w:tcPr>
        <w:shd w:val="clear" w:color="auto" w:fill="FBCAA2" w:themeFill="accent6" w:themeFillTint="7F"/>
      </w:tcPr>
    </w:tblStylePr>
    <w:tblStylePr w:type="neCell">
      <w:rPr>
        <w:color w:val="000000" w:themeColor="text1"/>
      </w:rPr>
    </w:tblStylePr>
    <w:tblStylePr w:type="nwCell">
      <w:rPr>
        <w:color w:val="000000" w:themeColor="text1"/>
      </w:rPr>
    </w:tblStylePr>
  </w:style>
  <w:style w:type="table" w:styleId="ColorfulList">
    <w:name w:val="Colorful List"/>
    <w:basedOn w:val="TableNormal"/>
    <w:uiPriority w:val="72"/>
    <w:rsid w:val="00CB0664"/>
    <w:pPr>
      <w:spacing w:after="0" w:line="240" w:lineRule="auto"/>
    </w:pPr>
    <w:rPr>
      <w:color w:val="000000" w:themeColor="text1"/>
    </w:rPr>
    <w:tblPr>
      <w:tblStyleRowBandSize w:val="1"/>
      <w:tblStyleColBandSize w:val="1"/>
    </w:tblPr>
    <w:tcPr>
      <w:shd w:val="clear" w:color="auto" w:fill="E6E6E6" w:themeFill="tex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C0C0C0" w:themeFill="text1" w:themeFillTint="3F"/>
      </w:tcPr>
    </w:tblStylePr>
    <w:tblStylePr w:type="band1Horz">
      <w:tblPr/>
      <w:tcPr>
        <w:shd w:val="clear" w:color="auto" w:fill="CCCCCC" w:themeFill="text1" w:themeFillTint="33"/>
      </w:tcPr>
    </w:tblStylePr>
  </w:style>
  <w:style w:type="table" w:styleId="ColorfulList-Accent1">
    <w:name w:val="Colorful List Accent 1"/>
    <w:basedOn w:val="TableNormal"/>
    <w:uiPriority w:val="72"/>
    <w:rsid w:val="00CB0664"/>
    <w:pPr>
      <w:spacing w:after="0" w:line="240" w:lineRule="auto"/>
    </w:pPr>
    <w:rPr>
      <w:color w:val="000000" w:themeColor="text1"/>
    </w:rPr>
    <w:tblPr>
      <w:tblStyleRowBandSize w:val="1"/>
      <w:tblStyleColBandSize w:val="1"/>
    </w:tblPr>
    <w:tcPr>
      <w:shd w:val="clear" w:color="auto" w:fill="EDF2F8" w:themeFill="accen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3DFEE" w:themeFill="accent1" w:themeFillTint="3F"/>
      </w:tcPr>
    </w:tblStylePr>
    <w:tblStylePr w:type="band1Horz">
      <w:tblPr/>
      <w:tcPr>
        <w:shd w:val="clear" w:color="auto" w:fill="DBE5F1" w:themeFill="accent1" w:themeFillTint="33"/>
      </w:tcPr>
    </w:tblStylePr>
  </w:style>
  <w:style w:type="table" w:styleId="ColorfulList-Accent2">
    <w:name w:val="Colorful List Accent 2"/>
    <w:basedOn w:val="TableNormal"/>
    <w:uiPriority w:val="72"/>
    <w:rsid w:val="00CB0664"/>
    <w:pPr>
      <w:spacing w:after="0" w:line="240" w:lineRule="auto"/>
    </w:pPr>
    <w:rPr>
      <w:color w:val="000000" w:themeColor="text1"/>
    </w:rPr>
    <w:tblPr>
      <w:tblStyleRowBandSize w:val="1"/>
      <w:tblStyleColBandSize w:val="1"/>
    </w:tblPr>
    <w:tcPr>
      <w:shd w:val="clear" w:color="auto" w:fill="F8EDED" w:themeFill="accent2"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FD3D2" w:themeFill="accent2" w:themeFillTint="3F"/>
      </w:tcPr>
    </w:tblStylePr>
    <w:tblStylePr w:type="band1Horz">
      <w:tblPr/>
      <w:tcPr>
        <w:shd w:val="clear" w:color="auto" w:fill="F2DBDB" w:themeFill="accent2" w:themeFillTint="33"/>
      </w:tcPr>
    </w:tblStylePr>
  </w:style>
  <w:style w:type="table" w:styleId="ColorfulList-Accent3">
    <w:name w:val="Colorful List Accent 3"/>
    <w:basedOn w:val="TableNormal"/>
    <w:uiPriority w:val="72"/>
    <w:rsid w:val="00CB0664"/>
    <w:pPr>
      <w:spacing w:after="0" w:line="240" w:lineRule="auto"/>
    </w:pPr>
    <w:rPr>
      <w:color w:val="000000" w:themeColor="text1"/>
    </w:rPr>
    <w:tblPr>
      <w:tblStyleRowBandSize w:val="1"/>
      <w:tblStyleColBandSize w:val="1"/>
    </w:tblPr>
    <w:tcPr>
      <w:shd w:val="clear" w:color="auto" w:fill="F5F8EE" w:themeFill="accent3" w:themeFillTint="19"/>
    </w:tcPr>
    <w:tblStylePr w:type="firstRow">
      <w:rPr>
        <w:b/>
        <w:bCs/>
        <w:color w:val="FFFFFF" w:themeColor="background1"/>
      </w:rPr>
      <w:tblPr/>
      <w:tcPr>
        <w:tcBorders>
          <w:bottom w:val="single" w:sz="12" w:space="0" w:color="FFFFFF" w:themeColor="background1"/>
        </w:tcBorders>
        <w:shd w:val="clear" w:color="auto" w:fill="664E82" w:themeFill="accent4" w:themeFillShade="CC"/>
      </w:tcPr>
    </w:tblStylePr>
    <w:tblStylePr w:type="lastRow">
      <w:rPr>
        <w:b/>
        <w:bCs/>
        <w:color w:val="664E82" w:themeColor="accent4"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6EED5" w:themeFill="accent3" w:themeFillTint="3F"/>
      </w:tcPr>
    </w:tblStylePr>
    <w:tblStylePr w:type="band1Horz">
      <w:tblPr/>
      <w:tcPr>
        <w:shd w:val="clear" w:color="auto" w:fill="EAF1DD" w:themeFill="accent3" w:themeFillTint="33"/>
      </w:tcPr>
    </w:tblStylePr>
  </w:style>
  <w:style w:type="table" w:styleId="ColorfulList-Accent4">
    <w:name w:val="Colorful List Accent 4"/>
    <w:basedOn w:val="TableNormal"/>
    <w:uiPriority w:val="72"/>
    <w:rsid w:val="00CB0664"/>
    <w:pPr>
      <w:spacing w:after="0" w:line="240" w:lineRule="auto"/>
    </w:pPr>
    <w:rPr>
      <w:color w:val="000000" w:themeColor="text1"/>
    </w:rPr>
    <w:tblPr>
      <w:tblStyleRowBandSize w:val="1"/>
      <w:tblStyleColBandSize w:val="1"/>
    </w:tblPr>
    <w:tcPr>
      <w:shd w:val="clear" w:color="auto" w:fill="F2EFF6" w:themeFill="accent4" w:themeFillTint="19"/>
    </w:tcPr>
    <w:tblStylePr w:type="firstRow">
      <w:rPr>
        <w:b/>
        <w:bCs/>
        <w:color w:val="FFFFFF" w:themeColor="background1"/>
      </w:rPr>
      <w:tblPr/>
      <w:tcPr>
        <w:tcBorders>
          <w:bottom w:val="single" w:sz="12" w:space="0" w:color="FFFFFF" w:themeColor="background1"/>
        </w:tcBorders>
        <w:shd w:val="clear" w:color="auto" w:fill="7E9C40" w:themeFill="accent3" w:themeFillShade="CC"/>
      </w:tcPr>
    </w:tblStylePr>
    <w:tblStylePr w:type="lastRow">
      <w:rPr>
        <w:b/>
        <w:bCs/>
        <w:color w:val="7E9C40" w:themeColor="accent3"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FD8E8" w:themeFill="accent4" w:themeFillTint="3F"/>
      </w:tcPr>
    </w:tblStylePr>
    <w:tblStylePr w:type="band1Horz">
      <w:tblPr/>
      <w:tcPr>
        <w:shd w:val="clear" w:color="auto" w:fill="E5DFEC" w:themeFill="accent4" w:themeFillTint="33"/>
      </w:tcPr>
    </w:tblStylePr>
  </w:style>
  <w:style w:type="table" w:styleId="ColorfulList-Accent5">
    <w:name w:val="Colorful List Accent 5"/>
    <w:basedOn w:val="TableNormal"/>
    <w:uiPriority w:val="72"/>
    <w:rsid w:val="00CB0664"/>
    <w:pPr>
      <w:spacing w:after="0" w:line="240" w:lineRule="auto"/>
    </w:pPr>
    <w:rPr>
      <w:color w:val="000000" w:themeColor="text1"/>
    </w:rPr>
    <w:tblPr>
      <w:tblStyleRowBandSize w:val="1"/>
      <w:tblStyleColBandSize w:val="1"/>
    </w:tblPr>
    <w:tcPr>
      <w:shd w:val="clear" w:color="auto" w:fill="EDF6F9" w:themeFill="accent5" w:themeFillTint="19"/>
    </w:tcPr>
    <w:tblStylePr w:type="firstRow">
      <w:rPr>
        <w:b/>
        <w:bCs/>
        <w:color w:val="FFFFFF" w:themeColor="background1"/>
      </w:rPr>
      <w:tblPr/>
      <w:tcPr>
        <w:tcBorders>
          <w:bottom w:val="single" w:sz="12" w:space="0" w:color="FFFFFF" w:themeColor="background1"/>
        </w:tcBorders>
        <w:shd w:val="clear" w:color="auto" w:fill="F2730A" w:themeFill="accent6" w:themeFillShade="CC"/>
      </w:tcPr>
    </w:tblStylePr>
    <w:tblStylePr w:type="lastRow">
      <w:rPr>
        <w:b/>
        <w:bCs/>
        <w:color w:val="F2730A" w:themeColor="accent6"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2EAF1" w:themeFill="accent5" w:themeFillTint="3F"/>
      </w:tcPr>
    </w:tblStylePr>
    <w:tblStylePr w:type="band1Horz">
      <w:tblPr/>
      <w:tcPr>
        <w:shd w:val="clear" w:color="auto" w:fill="DAEEF3" w:themeFill="accent5" w:themeFillTint="33"/>
      </w:tcPr>
    </w:tblStylePr>
  </w:style>
  <w:style w:type="table" w:styleId="ColorfulList-Accent6">
    <w:name w:val="Colorful List Accent 6"/>
    <w:basedOn w:val="TableNormal"/>
    <w:uiPriority w:val="72"/>
    <w:rsid w:val="00CB0664"/>
    <w:pPr>
      <w:spacing w:after="0" w:line="240" w:lineRule="auto"/>
    </w:pPr>
    <w:rPr>
      <w:color w:val="000000" w:themeColor="text1"/>
    </w:rPr>
    <w:tblPr>
      <w:tblStyleRowBandSize w:val="1"/>
      <w:tblStyleColBandSize w:val="1"/>
    </w:tblPr>
    <w:tcPr>
      <w:shd w:val="clear" w:color="auto" w:fill="FEF4EC" w:themeFill="accent6" w:themeFillTint="19"/>
    </w:tcPr>
    <w:tblStylePr w:type="firstRow">
      <w:rPr>
        <w:b/>
        <w:bCs/>
        <w:color w:val="FFFFFF" w:themeColor="background1"/>
      </w:rPr>
      <w:tblPr/>
      <w:tcPr>
        <w:tcBorders>
          <w:bottom w:val="single" w:sz="12" w:space="0" w:color="FFFFFF" w:themeColor="background1"/>
        </w:tcBorders>
        <w:shd w:val="clear" w:color="auto" w:fill="348DA5" w:themeFill="accent5" w:themeFillShade="CC"/>
      </w:tcPr>
    </w:tblStylePr>
    <w:tblStylePr w:type="lastRow">
      <w:rPr>
        <w:b/>
        <w:bCs/>
        <w:color w:val="348DA5" w:themeColor="accent5"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FDE4D0" w:themeFill="accent6" w:themeFillTint="3F"/>
      </w:tcPr>
    </w:tblStylePr>
    <w:tblStylePr w:type="band1Horz">
      <w:tblPr/>
      <w:tcPr>
        <w:shd w:val="clear" w:color="auto" w:fill="FDE9D9" w:themeFill="accent6" w:themeFillTint="33"/>
      </w:tcPr>
    </w:tblStylePr>
  </w:style>
  <w:style w:type="table" w:styleId="ColorfulGrid">
    <w:name w:val="Colorful Grid"/>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CCCCCC" w:themeFill="text1" w:themeFillTint="33"/>
    </w:tcPr>
    <w:tblStylePr w:type="firstRow">
      <w:rPr>
        <w:b/>
        <w:bCs/>
      </w:rPr>
      <w:tblPr/>
      <w:tcPr>
        <w:shd w:val="clear" w:color="auto" w:fill="999999" w:themeFill="text1" w:themeFillTint="66"/>
      </w:tcPr>
    </w:tblStylePr>
    <w:tblStylePr w:type="lastRow">
      <w:rPr>
        <w:b/>
        <w:bCs/>
        <w:color w:val="000000" w:themeColor="text1"/>
      </w:rPr>
      <w:tblPr/>
      <w:tcPr>
        <w:shd w:val="clear" w:color="auto" w:fill="999999" w:themeFill="text1" w:themeFillTint="66"/>
      </w:tcPr>
    </w:tblStylePr>
    <w:tblStylePr w:type="firstCol">
      <w:rPr>
        <w:color w:val="FFFFFF" w:themeColor="background1"/>
      </w:rPr>
      <w:tblPr/>
      <w:tcPr>
        <w:shd w:val="clear" w:color="auto" w:fill="000000" w:themeFill="text1" w:themeFillShade="BF"/>
      </w:tcPr>
    </w:tblStylePr>
    <w:tblStylePr w:type="lastCol">
      <w:rPr>
        <w:color w:val="FFFFFF" w:themeColor="background1"/>
      </w:rPr>
      <w:tblPr/>
      <w:tcPr>
        <w:shd w:val="clear" w:color="auto" w:fill="000000" w:themeFill="text1" w:themeFillShade="BF"/>
      </w:tc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ColorfulGrid-Accent1">
    <w:name w:val="Colorful Grid Accent 1"/>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DBE5F1" w:themeFill="accent1" w:themeFillTint="33"/>
    </w:tcPr>
    <w:tblStylePr w:type="firstRow">
      <w:rPr>
        <w:b/>
        <w:bCs/>
      </w:rPr>
      <w:tblPr/>
      <w:tcPr>
        <w:shd w:val="clear" w:color="auto" w:fill="B8CCE4" w:themeFill="accent1" w:themeFillTint="66"/>
      </w:tcPr>
    </w:tblStylePr>
    <w:tblStylePr w:type="lastRow">
      <w:rPr>
        <w:b/>
        <w:bCs/>
        <w:color w:val="000000" w:themeColor="text1"/>
      </w:rPr>
      <w:tblPr/>
      <w:tcPr>
        <w:shd w:val="clear" w:color="auto" w:fill="B8CCE4" w:themeFill="accent1" w:themeFillTint="66"/>
      </w:tcPr>
    </w:tblStylePr>
    <w:tblStylePr w:type="firstCol">
      <w:rPr>
        <w:color w:val="FFFFFF" w:themeColor="background1"/>
      </w:rPr>
      <w:tblPr/>
      <w:tcPr>
        <w:shd w:val="clear" w:color="auto" w:fill="365F91" w:themeFill="accent1" w:themeFillShade="BF"/>
      </w:tcPr>
    </w:tblStylePr>
    <w:tblStylePr w:type="lastCol">
      <w:rPr>
        <w:color w:val="FFFFFF" w:themeColor="background1"/>
      </w:rPr>
      <w:tblPr/>
      <w:tcPr>
        <w:shd w:val="clear" w:color="auto" w:fill="365F91" w:themeFill="accent1" w:themeFillShade="BF"/>
      </w:tc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ColorfulGrid-Accent2">
    <w:name w:val="Colorful Grid Accent 2"/>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2DBDB" w:themeFill="accent2" w:themeFillTint="33"/>
    </w:tcPr>
    <w:tblStylePr w:type="firstRow">
      <w:rPr>
        <w:b/>
        <w:bCs/>
      </w:rPr>
      <w:tblPr/>
      <w:tcPr>
        <w:shd w:val="clear" w:color="auto" w:fill="E5B8B7" w:themeFill="accent2" w:themeFillTint="66"/>
      </w:tcPr>
    </w:tblStylePr>
    <w:tblStylePr w:type="lastRow">
      <w:rPr>
        <w:b/>
        <w:bCs/>
        <w:color w:val="000000" w:themeColor="text1"/>
      </w:rPr>
      <w:tblPr/>
      <w:tcPr>
        <w:shd w:val="clear" w:color="auto" w:fill="E5B8B7" w:themeFill="accent2" w:themeFillTint="66"/>
      </w:tcPr>
    </w:tblStylePr>
    <w:tblStylePr w:type="firstCol">
      <w:rPr>
        <w:color w:val="FFFFFF" w:themeColor="background1"/>
      </w:rPr>
      <w:tblPr/>
      <w:tcPr>
        <w:shd w:val="clear" w:color="auto" w:fill="943634" w:themeFill="accent2" w:themeFillShade="BF"/>
      </w:tcPr>
    </w:tblStylePr>
    <w:tblStylePr w:type="lastCol">
      <w:rPr>
        <w:color w:val="FFFFFF" w:themeColor="background1"/>
      </w:rPr>
      <w:tblPr/>
      <w:tcPr>
        <w:shd w:val="clear" w:color="auto" w:fill="943634" w:themeFill="accent2" w:themeFillShade="BF"/>
      </w:tc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ColorfulGrid-Accent3">
    <w:name w:val="Colorful Grid Accent 3"/>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EAF1DD" w:themeFill="accent3" w:themeFillTint="33"/>
    </w:tcPr>
    <w:tblStylePr w:type="firstRow">
      <w:rPr>
        <w:b/>
        <w:bCs/>
      </w:rPr>
      <w:tblPr/>
      <w:tcPr>
        <w:shd w:val="clear" w:color="auto" w:fill="D6E3BC" w:themeFill="accent3" w:themeFillTint="66"/>
      </w:tcPr>
    </w:tblStylePr>
    <w:tblStylePr w:type="lastRow">
      <w:rPr>
        <w:b/>
        <w:bCs/>
        <w:color w:val="000000" w:themeColor="text1"/>
      </w:rPr>
      <w:tblPr/>
      <w:tcPr>
        <w:shd w:val="clear" w:color="auto" w:fill="D6E3BC" w:themeFill="accent3" w:themeFillTint="66"/>
      </w:tcPr>
    </w:tblStylePr>
    <w:tblStylePr w:type="firstCol">
      <w:rPr>
        <w:color w:val="FFFFFF" w:themeColor="background1"/>
      </w:rPr>
      <w:tblPr/>
      <w:tcPr>
        <w:shd w:val="clear" w:color="auto" w:fill="76923C" w:themeFill="accent3" w:themeFillShade="BF"/>
      </w:tcPr>
    </w:tblStylePr>
    <w:tblStylePr w:type="lastCol">
      <w:rPr>
        <w:color w:val="FFFFFF" w:themeColor="background1"/>
      </w:rPr>
      <w:tblPr/>
      <w:tcPr>
        <w:shd w:val="clear" w:color="auto" w:fill="76923C" w:themeFill="accent3" w:themeFillShade="BF"/>
      </w:tc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ColorfulGrid-Accent4">
    <w:name w:val="Colorful Grid Accent 4"/>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E5DFEC" w:themeFill="accent4" w:themeFillTint="33"/>
    </w:tcPr>
    <w:tblStylePr w:type="firstRow">
      <w:rPr>
        <w:b/>
        <w:bCs/>
      </w:rPr>
      <w:tblPr/>
      <w:tcPr>
        <w:shd w:val="clear" w:color="auto" w:fill="CCC0D9" w:themeFill="accent4" w:themeFillTint="66"/>
      </w:tcPr>
    </w:tblStylePr>
    <w:tblStylePr w:type="lastRow">
      <w:rPr>
        <w:b/>
        <w:bCs/>
        <w:color w:val="000000" w:themeColor="text1"/>
      </w:rPr>
      <w:tblPr/>
      <w:tcPr>
        <w:shd w:val="clear" w:color="auto" w:fill="CCC0D9" w:themeFill="accent4" w:themeFillTint="66"/>
      </w:tcPr>
    </w:tblStylePr>
    <w:tblStylePr w:type="firstCol">
      <w:rPr>
        <w:color w:val="FFFFFF" w:themeColor="background1"/>
      </w:rPr>
      <w:tblPr/>
      <w:tcPr>
        <w:shd w:val="clear" w:color="auto" w:fill="5F497A" w:themeFill="accent4" w:themeFillShade="BF"/>
      </w:tcPr>
    </w:tblStylePr>
    <w:tblStylePr w:type="lastCol">
      <w:rPr>
        <w:color w:val="FFFFFF" w:themeColor="background1"/>
      </w:rPr>
      <w:tblPr/>
      <w:tcPr>
        <w:shd w:val="clear" w:color="auto" w:fill="5F497A" w:themeFill="accent4" w:themeFillShade="BF"/>
      </w:tc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ColorfulGrid-Accent5">
    <w:name w:val="Colorful Grid Accent 5"/>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DAEEF3" w:themeFill="accent5" w:themeFillTint="33"/>
    </w:tcPr>
    <w:tblStylePr w:type="firstRow">
      <w:rPr>
        <w:b/>
        <w:bCs/>
      </w:rPr>
      <w:tblPr/>
      <w:tcPr>
        <w:shd w:val="clear" w:color="auto" w:fill="B6DDE8" w:themeFill="accent5" w:themeFillTint="66"/>
      </w:tcPr>
    </w:tblStylePr>
    <w:tblStylePr w:type="lastRow">
      <w:rPr>
        <w:b/>
        <w:bCs/>
        <w:color w:val="000000" w:themeColor="text1"/>
      </w:rPr>
      <w:tblPr/>
      <w:tcPr>
        <w:shd w:val="clear" w:color="auto" w:fill="B6DDE8" w:themeFill="accent5" w:themeFillTint="66"/>
      </w:tcPr>
    </w:tblStylePr>
    <w:tblStylePr w:type="firstCol">
      <w:rPr>
        <w:color w:val="FFFFFF" w:themeColor="background1"/>
      </w:rPr>
      <w:tblPr/>
      <w:tcPr>
        <w:shd w:val="clear" w:color="auto" w:fill="31849B" w:themeFill="accent5" w:themeFillShade="BF"/>
      </w:tcPr>
    </w:tblStylePr>
    <w:tblStylePr w:type="lastCol">
      <w:rPr>
        <w:color w:val="FFFFFF" w:themeColor="background1"/>
      </w:rPr>
      <w:tblPr/>
      <w:tcPr>
        <w:shd w:val="clear" w:color="auto" w:fill="31849B" w:themeFill="accent5" w:themeFillShade="BF"/>
      </w:tc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ColorfulGrid-Accent6">
    <w:name w:val="Colorful Grid Accent 6"/>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DE9D9" w:themeFill="accent6" w:themeFillTint="33"/>
    </w:tcPr>
    <w:tblStylePr w:type="firstRow">
      <w:rPr>
        <w:b/>
        <w:bCs/>
      </w:rPr>
      <w:tblPr/>
      <w:tcPr>
        <w:shd w:val="clear" w:color="auto" w:fill="FBD4B4" w:themeFill="accent6" w:themeFillTint="66"/>
      </w:tcPr>
    </w:tblStylePr>
    <w:tblStylePr w:type="lastRow">
      <w:rPr>
        <w:b/>
        <w:bCs/>
        <w:color w:val="000000" w:themeColor="text1"/>
      </w:rPr>
      <w:tblPr/>
      <w:tcPr>
        <w:shd w:val="clear" w:color="auto" w:fill="FBD4B4" w:themeFill="accent6" w:themeFillTint="66"/>
      </w:tcPr>
    </w:tblStylePr>
    <w:tblStylePr w:type="firstCol">
      <w:rPr>
        <w:color w:val="FFFFFF" w:themeColor="background1"/>
      </w:rPr>
      <w:tblPr/>
      <w:tcPr>
        <w:shd w:val="clear" w:color="auto" w:fill="E36C0A" w:themeFill="accent6" w:themeFillShade="BF"/>
      </w:tcPr>
    </w:tblStylePr>
    <w:tblStylePr w:type="lastCol">
      <w:rPr>
        <w:color w:val="FFFFFF" w:themeColor="background1"/>
      </w:rPr>
      <w:tblPr/>
      <w:tcPr>
        <w:shd w:val="clear" w:color="auto" w:fill="E36C0A" w:themeFill="accent6" w:themeFillShade="BF"/>
      </w:tc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allowPNG/>
</w:webSettings>
</file>

<file path=word/_rels/document.xml.rels><?xml version="1.0" encoding="UTF-8" standalone="yes"?>
<Relationships xmlns="http://schemas.openxmlformats.org/package/2006/relationships"><Relationship Id="rId3" Type="http://schemas.openxmlformats.org/officeDocument/2006/relationships/styles" Target="styles.xml"/><Relationship Id="rId7"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ntTable" Target="fontTable.xml"/><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EF278816-EC6F-A645-907D-7F25AECB1D4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TotalTime>
  <Pages>7</Pages>
  <Words>1779</Words>
  <Characters>10141</Characters>
  <Application>Microsoft Office Word</Application>
  <DocSecurity>0</DocSecurity>
  <Lines>84</Lines>
  <Paragraphs>23</Paragraphs>
  <ScaleCrop>false</ScaleCrop>
  <HeadingPairs>
    <vt:vector size="2" baseType="variant">
      <vt:variant>
        <vt:lpstr>Title</vt:lpstr>
      </vt:variant>
      <vt:variant>
        <vt:i4>1</vt:i4>
      </vt:variant>
    </vt:vector>
  </HeadingPairs>
  <TitlesOfParts>
    <vt:vector size="1" baseType="lpstr">
      <vt:lpstr/>
    </vt:vector>
  </TitlesOfParts>
  <Manager/>
  <Company/>
  <LinksUpToDate>false</LinksUpToDate>
  <CharactersWithSpaces>11897</CharactersWithSpaces>
  <SharedDoc>false</SharedDoc>
  <HyperlinkBase/>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python-docx</dc:creator>
  <cp:keywords/>
  <dc:description>generated by python-docx</dc:description>
  <cp:lastModifiedBy>Tina Carpenter</cp:lastModifiedBy>
  <cp:revision>2</cp:revision>
  <dcterms:created xsi:type="dcterms:W3CDTF">2025-11-16T15:26:00Z</dcterms:created>
  <dcterms:modified xsi:type="dcterms:W3CDTF">2025-11-16T15:26:00Z</dcterms:modified>
  <cp:category/>
</cp:coreProperties>
</file>