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3380D4" w14:textId="1838B48E" w:rsidR="00C448E5" w:rsidRPr="00427F0F" w:rsidRDefault="00C448E5" w:rsidP="00427F0F">
      <w:pPr>
        <w:spacing w:line="360" w:lineRule="auto"/>
        <w:rPr>
          <w:rFonts w:ascii="Arial" w:hAnsi="Arial" w:cs="Arial"/>
          <w:b/>
          <w:bCs/>
          <w:sz w:val="22"/>
          <w:szCs w:val="22"/>
        </w:rPr>
      </w:pPr>
      <w:proofErr w:type="spellStart"/>
      <w:r w:rsidRPr="00427F0F">
        <w:rPr>
          <w:rFonts w:ascii="Arial" w:hAnsi="Arial" w:cs="Arial"/>
          <w:b/>
          <w:bCs/>
          <w:sz w:val="22"/>
          <w:szCs w:val="22"/>
        </w:rPr>
        <w:t>KardiaMobile</w:t>
      </w:r>
      <w:proofErr w:type="spellEnd"/>
      <w:r w:rsidR="006A3A8C">
        <w:rPr>
          <w:rFonts w:ascii="Arial" w:hAnsi="Arial" w:cs="Arial"/>
          <w:b/>
          <w:bCs/>
          <w:sz w:val="22"/>
          <w:szCs w:val="22"/>
        </w:rPr>
        <w:t>: Workforce and Service-User Perspective</w:t>
      </w:r>
    </w:p>
    <w:p w14:paraId="1DE224B4" w14:textId="77777777"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Introduction</w:t>
      </w:r>
    </w:p>
    <w:p w14:paraId="07A6BF26" w14:textId="1DBCC61F"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Digital transformation is increasingly reshaping health and social care through technologies that support remote monitoring, self-management and more personalised approaches to care. One example is </w:t>
      </w:r>
      <w:proofErr w:type="spellStart"/>
      <w:r w:rsidRPr="00427F0F">
        <w:rPr>
          <w:rFonts w:ascii="Arial" w:hAnsi="Arial" w:cs="Arial"/>
          <w:sz w:val="22"/>
          <w:szCs w:val="22"/>
        </w:rPr>
        <w:t>KardiaMobile</w:t>
      </w:r>
      <w:proofErr w:type="spellEnd"/>
      <w:r w:rsidRPr="00427F0F">
        <w:rPr>
          <w:rFonts w:ascii="Arial" w:hAnsi="Arial" w:cs="Arial"/>
          <w:sz w:val="22"/>
          <w:szCs w:val="22"/>
        </w:rPr>
        <w:t>, a portable electrocardiogram (ECG) device developed by AliveCor,</w:t>
      </w:r>
      <w:r w:rsidR="00B10D40" w:rsidRPr="00427F0F">
        <w:rPr>
          <w:rFonts w:ascii="Arial" w:hAnsi="Arial" w:cs="Arial"/>
          <w:sz w:val="22"/>
          <w:szCs w:val="22"/>
        </w:rPr>
        <w:t xml:space="preserve"> (</w:t>
      </w:r>
      <w:proofErr w:type="spellStart"/>
      <w:r w:rsidR="00B10D40" w:rsidRPr="00427F0F">
        <w:rPr>
          <w:rFonts w:ascii="Arial" w:hAnsi="Arial" w:cs="Arial"/>
          <w:sz w:val="22"/>
          <w:szCs w:val="22"/>
        </w:rPr>
        <w:t>Alivecor</w:t>
      </w:r>
      <w:proofErr w:type="spellEnd"/>
      <w:r w:rsidR="00B10D40" w:rsidRPr="00427F0F">
        <w:rPr>
          <w:rFonts w:ascii="Arial" w:hAnsi="Arial" w:cs="Arial"/>
          <w:sz w:val="22"/>
          <w:szCs w:val="22"/>
        </w:rPr>
        <w:t>, n.d.)</w:t>
      </w:r>
      <w:r w:rsidRPr="00427F0F">
        <w:rPr>
          <w:rFonts w:ascii="Arial" w:hAnsi="Arial" w:cs="Arial"/>
          <w:sz w:val="22"/>
          <w:szCs w:val="22"/>
        </w:rPr>
        <w:t xml:space="preserve"> which enables users to record their heart rhythm using a smartphone-compatible sensor. Its introduction represents a shift away from traditional, appointment-based cardiac monitoring towards a more accessible model in which patients can record their heart rhythm when symptoms occur. </w:t>
      </w:r>
      <w:r w:rsidR="00B10D40" w:rsidRPr="00427F0F">
        <w:rPr>
          <w:rFonts w:ascii="Arial" w:hAnsi="Arial" w:cs="Arial"/>
          <w:sz w:val="22"/>
          <w:szCs w:val="22"/>
        </w:rPr>
        <w:t xml:space="preserve"> (Jones et al., 2019)</w:t>
      </w:r>
    </w:p>
    <w:p w14:paraId="22FFB94C" w14:textId="1AA34CF6" w:rsidR="00C448E5" w:rsidRPr="00427F0F" w:rsidRDefault="00D3550B" w:rsidP="00427F0F">
      <w:pPr>
        <w:spacing w:line="360" w:lineRule="auto"/>
        <w:rPr>
          <w:rFonts w:ascii="Arial" w:hAnsi="Arial" w:cs="Arial"/>
          <w:sz w:val="22"/>
          <w:szCs w:val="22"/>
        </w:rPr>
      </w:pPr>
      <w:r w:rsidRPr="00427F0F">
        <w:rPr>
          <w:rFonts w:ascii="Arial" w:hAnsi="Arial" w:cs="Arial"/>
          <w:sz w:val="22"/>
          <w:szCs w:val="22"/>
        </w:rPr>
        <w:t>In its January 2022 report, digital health quoted NICE</w:t>
      </w:r>
      <w:r w:rsidR="00C448E5" w:rsidRPr="00427F0F">
        <w:rPr>
          <w:rFonts w:ascii="Arial" w:hAnsi="Arial" w:cs="Arial"/>
          <w:sz w:val="22"/>
          <w:szCs w:val="22"/>
        </w:rPr>
        <w:t xml:space="preserve"> </w:t>
      </w:r>
      <w:r w:rsidRPr="00427F0F">
        <w:rPr>
          <w:rFonts w:ascii="Arial" w:hAnsi="Arial" w:cs="Arial"/>
          <w:sz w:val="22"/>
          <w:szCs w:val="22"/>
        </w:rPr>
        <w:t>to</w:t>
      </w:r>
      <w:r w:rsidR="003D4D04" w:rsidRPr="00427F0F">
        <w:rPr>
          <w:rFonts w:ascii="Arial" w:hAnsi="Arial" w:cs="Arial"/>
          <w:sz w:val="22"/>
          <w:szCs w:val="22"/>
        </w:rPr>
        <w:t xml:space="preserve"> suggest</w:t>
      </w:r>
      <w:r w:rsidR="00C448E5" w:rsidRPr="00427F0F">
        <w:rPr>
          <w:rFonts w:ascii="Arial" w:hAnsi="Arial" w:cs="Arial"/>
          <w:sz w:val="22"/>
          <w:szCs w:val="22"/>
        </w:rPr>
        <w:t xml:space="preserve"> </w:t>
      </w:r>
      <w:proofErr w:type="spellStart"/>
      <w:r w:rsidR="00C448E5" w:rsidRPr="00427F0F">
        <w:rPr>
          <w:rFonts w:ascii="Arial" w:hAnsi="Arial" w:cs="Arial"/>
          <w:sz w:val="22"/>
          <w:szCs w:val="22"/>
        </w:rPr>
        <w:t>KardiaMobile</w:t>
      </w:r>
      <w:proofErr w:type="spellEnd"/>
      <w:r w:rsidR="00C448E5" w:rsidRPr="00427F0F">
        <w:rPr>
          <w:rFonts w:ascii="Arial" w:hAnsi="Arial" w:cs="Arial"/>
          <w:sz w:val="22"/>
          <w:szCs w:val="22"/>
        </w:rPr>
        <w:t xml:space="preserve"> as a</w:t>
      </w:r>
      <w:r w:rsidR="003D4D04" w:rsidRPr="00427F0F">
        <w:rPr>
          <w:rFonts w:ascii="Arial" w:hAnsi="Arial" w:cs="Arial"/>
          <w:sz w:val="22"/>
          <w:szCs w:val="22"/>
        </w:rPr>
        <w:t xml:space="preserve"> device</w:t>
      </w:r>
      <w:r w:rsidR="00C448E5" w:rsidRPr="00427F0F">
        <w:rPr>
          <w:rFonts w:ascii="Arial" w:hAnsi="Arial" w:cs="Arial"/>
          <w:sz w:val="22"/>
          <w:szCs w:val="22"/>
        </w:rPr>
        <w:t xml:space="preserve"> </w:t>
      </w:r>
      <w:r w:rsidR="003D4D04" w:rsidRPr="00427F0F">
        <w:rPr>
          <w:rFonts w:ascii="Arial" w:hAnsi="Arial" w:cs="Arial"/>
          <w:sz w:val="22"/>
          <w:szCs w:val="22"/>
        </w:rPr>
        <w:t>for “</w:t>
      </w:r>
      <w:r w:rsidR="00C448E5" w:rsidRPr="00427F0F">
        <w:rPr>
          <w:rFonts w:ascii="Arial" w:hAnsi="Arial" w:cs="Arial"/>
          <w:sz w:val="22"/>
          <w:szCs w:val="22"/>
        </w:rPr>
        <w:t xml:space="preserve">detecting atrial fibrillation (AF) in people with suspected paroxysmal </w:t>
      </w:r>
      <w:proofErr w:type="gramStart"/>
      <w:r w:rsidR="00C448E5" w:rsidRPr="00427F0F">
        <w:rPr>
          <w:rFonts w:ascii="Arial" w:hAnsi="Arial" w:cs="Arial"/>
          <w:sz w:val="22"/>
          <w:szCs w:val="22"/>
        </w:rPr>
        <w:t>AF</w:t>
      </w:r>
      <w:r w:rsidR="003D4D04" w:rsidRPr="00427F0F">
        <w:rPr>
          <w:rFonts w:ascii="Arial" w:hAnsi="Arial" w:cs="Arial"/>
          <w:sz w:val="22"/>
          <w:szCs w:val="22"/>
        </w:rPr>
        <w:t>”</w:t>
      </w:r>
      <w:r w:rsidR="00C448E5" w:rsidRPr="00427F0F">
        <w:rPr>
          <w:rFonts w:ascii="Arial" w:hAnsi="Arial" w:cs="Arial"/>
          <w:sz w:val="22"/>
          <w:szCs w:val="22"/>
        </w:rPr>
        <w:t xml:space="preserve"> </w:t>
      </w:r>
      <w:r w:rsidR="003D4D04" w:rsidRPr="00427F0F">
        <w:rPr>
          <w:rFonts w:ascii="Arial" w:hAnsi="Arial" w:cs="Arial"/>
          <w:sz w:val="22"/>
          <w:szCs w:val="22"/>
        </w:rPr>
        <w:t xml:space="preserve"> (</w:t>
      </w:r>
      <w:proofErr w:type="gramEnd"/>
      <w:r w:rsidR="003D4D04" w:rsidRPr="00427F0F">
        <w:rPr>
          <w:rFonts w:ascii="Arial" w:hAnsi="Arial" w:cs="Arial"/>
          <w:sz w:val="22"/>
          <w:szCs w:val="22"/>
        </w:rPr>
        <w:t xml:space="preserve">Digital, 2022). </w:t>
      </w:r>
      <w:proofErr w:type="spellStart"/>
      <w:r w:rsidR="003D4D04" w:rsidRPr="00427F0F">
        <w:rPr>
          <w:rFonts w:ascii="Arial" w:hAnsi="Arial" w:cs="Arial"/>
          <w:sz w:val="22"/>
          <w:szCs w:val="22"/>
        </w:rPr>
        <w:t>KardiaMobile</w:t>
      </w:r>
      <w:proofErr w:type="spellEnd"/>
      <w:r w:rsidR="00035BD0" w:rsidRPr="00427F0F">
        <w:rPr>
          <w:rFonts w:ascii="Arial" w:hAnsi="Arial" w:cs="Arial"/>
          <w:sz w:val="22"/>
          <w:szCs w:val="22"/>
        </w:rPr>
        <w:t xml:space="preserve"> is a digital tool with limitation and its strengths, weaknesses and performance </w:t>
      </w:r>
      <w:proofErr w:type="gramStart"/>
      <w:r w:rsidR="00C448E5" w:rsidRPr="00427F0F">
        <w:rPr>
          <w:rFonts w:ascii="Arial" w:hAnsi="Arial" w:cs="Arial"/>
          <w:sz w:val="22"/>
          <w:szCs w:val="22"/>
        </w:rPr>
        <w:t>depends</w:t>
      </w:r>
      <w:proofErr w:type="gramEnd"/>
      <w:r w:rsidR="00C448E5" w:rsidRPr="00427F0F">
        <w:rPr>
          <w:rFonts w:ascii="Arial" w:hAnsi="Arial" w:cs="Arial"/>
          <w:sz w:val="22"/>
          <w:szCs w:val="22"/>
        </w:rPr>
        <w:t xml:space="preserve"> on clinical interpretation, organisational readiness, patient engagement and equitable access.</w:t>
      </w:r>
    </w:p>
    <w:p w14:paraId="47745DB1" w14:textId="0ED14E61" w:rsidR="00C448E5" w:rsidRDefault="00C448E5" w:rsidP="00427F0F">
      <w:pPr>
        <w:spacing w:line="360" w:lineRule="auto"/>
        <w:rPr>
          <w:rFonts w:ascii="Arial" w:hAnsi="Arial" w:cs="Arial"/>
          <w:sz w:val="22"/>
          <w:szCs w:val="22"/>
        </w:rPr>
      </w:pPr>
      <w:r w:rsidRPr="00427F0F">
        <w:rPr>
          <w:rFonts w:ascii="Arial" w:hAnsi="Arial" w:cs="Arial"/>
          <w:sz w:val="22"/>
          <w:szCs w:val="22"/>
        </w:rPr>
        <w:t xml:space="preserve">This assignment critically evaluates the </w:t>
      </w:r>
      <w:r w:rsidR="003D4D04" w:rsidRPr="00427F0F">
        <w:rPr>
          <w:rFonts w:ascii="Arial" w:hAnsi="Arial" w:cs="Arial"/>
          <w:sz w:val="22"/>
          <w:szCs w:val="22"/>
        </w:rPr>
        <w:t>role</w:t>
      </w:r>
      <w:r w:rsidRPr="00427F0F">
        <w:rPr>
          <w:rFonts w:ascii="Arial" w:hAnsi="Arial" w:cs="Arial"/>
          <w:sz w:val="22"/>
          <w:szCs w:val="22"/>
        </w:rPr>
        <w:t xml:space="preserve"> of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within health and social care, </w:t>
      </w:r>
      <w:r w:rsidR="003D4D04" w:rsidRPr="00427F0F">
        <w:rPr>
          <w:rFonts w:ascii="Arial" w:hAnsi="Arial" w:cs="Arial"/>
          <w:sz w:val="22"/>
          <w:szCs w:val="22"/>
        </w:rPr>
        <w:t>aiming</w:t>
      </w:r>
      <w:r w:rsidRPr="00427F0F">
        <w:rPr>
          <w:rFonts w:ascii="Arial" w:hAnsi="Arial" w:cs="Arial"/>
          <w:sz w:val="22"/>
          <w:szCs w:val="22"/>
        </w:rPr>
        <w:t xml:space="preserve"> </w:t>
      </w:r>
      <w:r w:rsidR="003D4D04" w:rsidRPr="00427F0F">
        <w:rPr>
          <w:rFonts w:ascii="Arial" w:hAnsi="Arial" w:cs="Arial"/>
          <w:sz w:val="22"/>
          <w:szCs w:val="22"/>
        </w:rPr>
        <w:t>at</w:t>
      </w:r>
      <w:r w:rsidRPr="00427F0F">
        <w:rPr>
          <w:rFonts w:ascii="Arial" w:hAnsi="Arial" w:cs="Arial"/>
          <w:sz w:val="22"/>
          <w:szCs w:val="22"/>
        </w:rPr>
        <w:t xml:space="preserve"> </w:t>
      </w:r>
      <w:r w:rsidR="003D4D04" w:rsidRPr="00427F0F">
        <w:rPr>
          <w:rFonts w:ascii="Arial" w:hAnsi="Arial" w:cs="Arial"/>
          <w:sz w:val="22"/>
          <w:szCs w:val="22"/>
        </w:rPr>
        <w:t xml:space="preserve">workers, staff and </w:t>
      </w:r>
      <w:r w:rsidRPr="00427F0F">
        <w:rPr>
          <w:rFonts w:ascii="Arial" w:hAnsi="Arial" w:cs="Arial"/>
          <w:sz w:val="22"/>
          <w:szCs w:val="22"/>
        </w:rPr>
        <w:t>service-user experiences. It argues that the device can improve access to cardiac monitoring and support patient participation, but its benefits are conditional on appropriate professional training, clinical oversight, effective integration into existing services and measures to prevent digital exclusion.</w:t>
      </w:r>
    </w:p>
    <w:p w14:paraId="03810FE4" w14:textId="77777777" w:rsidR="004A32DD" w:rsidRDefault="004A32DD" w:rsidP="00427F0F">
      <w:pPr>
        <w:spacing w:line="360" w:lineRule="auto"/>
        <w:rPr>
          <w:rFonts w:ascii="Arial" w:hAnsi="Arial" w:cs="Arial"/>
          <w:sz w:val="22"/>
          <w:szCs w:val="22"/>
        </w:rPr>
      </w:pPr>
    </w:p>
    <w:p w14:paraId="29E26A5B" w14:textId="5008D8FC" w:rsidR="004A32DD" w:rsidRDefault="004A32DD" w:rsidP="00427F0F">
      <w:pPr>
        <w:spacing w:line="360" w:lineRule="auto"/>
        <w:rPr>
          <w:rFonts w:ascii="Arial" w:hAnsi="Arial" w:cs="Arial"/>
          <w:sz w:val="22"/>
          <w:szCs w:val="22"/>
        </w:rPr>
      </w:pPr>
      <w:r>
        <w:rPr>
          <w:rFonts w:ascii="Arial" w:hAnsi="Arial" w:cs="Arial"/>
          <w:noProof/>
          <w:sz w:val="22"/>
          <w:szCs w:val="22"/>
        </w:rPr>
        <w:drawing>
          <wp:inline distT="0" distB="0" distL="0" distR="0" wp14:anchorId="48DD4182" wp14:editId="6C0F4269">
            <wp:extent cx="1926771" cy="1933519"/>
            <wp:effectExtent l="0" t="0" r="0" b="0"/>
            <wp:docPr id="172499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99659" name="Picture 172499659"/>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73113" cy="1980023"/>
                    </a:xfrm>
                    <a:prstGeom prst="rect">
                      <a:avLst/>
                    </a:prstGeom>
                  </pic:spPr>
                </pic:pic>
              </a:graphicData>
            </a:graphic>
          </wp:inline>
        </w:drawing>
      </w:r>
      <w:r>
        <w:rPr>
          <w:rFonts w:ascii="Arial" w:hAnsi="Arial" w:cs="Arial"/>
          <w:noProof/>
          <w:sz w:val="22"/>
          <w:szCs w:val="22"/>
        </w:rPr>
        <w:drawing>
          <wp:inline distT="0" distB="0" distL="0" distR="0" wp14:anchorId="7E791515" wp14:editId="741BDD8C">
            <wp:extent cx="1839686" cy="1918390"/>
            <wp:effectExtent l="0" t="0" r="8255" b="5715"/>
            <wp:docPr id="7753587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58733" name="Picture 775358733"/>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87038" cy="1967768"/>
                    </a:xfrm>
                    <a:prstGeom prst="rect">
                      <a:avLst/>
                    </a:prstGeom>
                  </pic:spPr>
                </pic:pic>
              </a:graphicData>
            </a:graphic>
          </wp:inline>
        </w:drawing>
      </w:r>
    </w:p>
    <w:p w14:paraId="7E30096B" w14:textId="05F72CEA" w:rsidR="004A32DD" w:rsidRDefault="004A32DD" w:rsidP="00427F0F">
      <w:pPr>
        <w:spacing w:line="360" w:lineRule="auto"/>
        <w:rPr>
          <w:rFonts w:ascii="Arial" w:hAnsi="Arial" w:cs="Arial"/>
          <w:sz w:val="22"/>
          <w:szCs w:val="22"/>
        </w:rPr>
      </w:pPr>
      <w:r w:rsidRPr="00120AE8">
        <w:rPr>
          <w:rFonts w:ascii="Arial" w:hAnsi="Arial" w:cs="Arial"/>
          <w:sz w:val="12"/>
          <w:szCs w:val="12"/>
        </w:rPr>
        <w:t>Figure 1</w:t>
      </w:r>
      <w:r w:rsidR="00120AE8" w:rsidRPr="00120AE8">
        <w:rPr>
          <w:rFonts w:ascii="Arial" w:hAnsi="Arial" w:cs="Arial"/>
          <w:sz w:val="12"/>
          <w:szCs w:val="12"/>
        </w:rPr>
        <w:t xml:space="preserve"> (</w:t>
      </w:r>
      <w:proofErr w:type="spellStart"/>
      <w:r w:rsidR="00120AE8" w:rsidRPr="00120AE8">
        <w:rPr>
          <w:rFonts w:ascii="Arial" w:hAnsi="Arial" w:cs="Arial"/>
          <w:sz w:val="12"/>
          <w:szCs w:val="12"/>
        </w:rPr>
        <w:t>Alivecor</w:t>
      </w:r>
      <w:proofErr w:type="spellEnd"/>
      <w:r w:rsidR="00120AE8" w:rsidRPr="00120AE8">
        <w:rPr>
          <w:rFonts w:ascii="Arial" w:hAnsi="Arial" w:cs="Arial"/>
          <w:sz w:val="12"/>
          <w:szCs w:val="12"/>
        </w:rPr>
        <w:t>, 2020)</w:t>
      </w:r>
      <w:r w:rsidR="00120AE8">
        <w:rPr>
          <w:rFonts w:ascii="Arial" w:hAnsi="Arial" w:cs="Arial"/>
          <w:sz w:val="22"/>
          <w:szCs w:val="22"/>
        </w:rPr>
        <w:t xml:space="preserve"> </w:t>
      </w:r>
      <w:r w:rsidR="00120AE8">
        <w:rPr>
          <w:rFonts w:ascii="Arial" w:hAnsi="Arial" w:cs="Arial"/>
          <w:sz w:val="22"/>
          <w:szCs w:val="22"/>
        </w:rPr>
        <w:tab/>
      </w:r>
      <w:r w:rsidR="00120AE8">
        <w:rPr>
          <w:rFonts w:ascii="Arial" w:hAnsi="Arial" w:cs="Arial"/>
          <w:sz w:val="22"/>
          <w:szCs w:val="22"/>
        </w:rPr>
        <w:tab/>
      </w:r>
      <w:r w:rsidR="00120AE8">
        <w:rPr>
          <w:rFonts w:ascii="Arial" w:hAnsi="Arial" w:cs="Arial"/>
          <w:sz w:val="22"/>
          <w:szCs w:val="22"/>
        </w:rPr>
        <w:tab/>
      </w:r>
      <w:r w:rsidR="00120AE8">
        <w:rPr>
          <w:rFonts w:ascii="Arial" w:hAnsi="Arial" w:cs="Arial"/>
          <w:sz w:val="22"/>
          <w:szCs w:val="22"/>
        </w:rPr>
        <w:tab/>
      </w:r>
      <w:r w:rsidR="00120AE8" w:rsidRPr="00120AE8">
        <w:rPr>
          <w:rFonts w:ascii="Arial" w:hAnsi="Arial" w:cs="Arial"/>
          <w:sz w:val="12"/>
          <w:szCs w:val="12"/>
        </w:rPr>
        <w:t>Figure 2 (</w:t>
      </w:r>
      <w:proofErr w:type="spellStart"/>
      <w:r w:rsidR="00120AE8" w:rsidRPr="00120AE8">
        <w:rPr>
          <w:rFonts w:ascii="Arial" w:hAnsi="Arial" w:cs="Arial"/>
          <w:sz w:val="12"/>
          <w:szCs w:val="12"/>
        </w:rPr>
        <w:t>Alivecor</w:t>
      </w:r>
      <w:proofErr w:type="spellEnd"/>
      <w:r w:rsidR="00120AE8" w:rsidRPr="00120AE8">
        <w:rPr>
          <w:rFonts w:ascii="Arial" w:hAnsi="Arial" w:cs="Arial"/>
          <w:sz w:val="12"/>
          <w:szCs w:val="12"/>
        </w:rPr>
        <w:t>, 2020)</w:t>
      </w:r>
    </w:p>
    <w:p w14:paraId="0730EAED" w14:textId="77777777" w:rsidR="004A32DD" w:rsidRDefault="004A32DD" w:rsidP="00427F0F">
      <w:pPr>
        <w:spacing w:line="360" w:lineRule="auto"/>
        <w:rPr>
          <w:rFonts w:ascii="Arial" w:hAnsi="Arial" w:cs="Arial"/>
          <w:sz w:val="22"/>
          <w:szCs w:val="22"/>
        </w:rPr>
      </w:pPr>
    </w:p>
    <w:p w14:paraId="7CAFA5EC" w14:textId="77777777" w:rsidR="004A32DD" w:rsidRDefault="004A32DD" w:rsidP="00427F0F">
      <w:pPr>
        <w:spacing w:line="360" w:lineRule="auto"/>
        <w:rPr>
          <w:rFonts w:ascii="Arial" w:hAnsi="Arial" w:cs="Arial"/>
          <w:sz w:val="22"/>
          <w:szCs w:val="22"/>
        </w:rPr>
      </w:pPr>
    </w:p>
    <w:p w14:paraId="412EB25D" w14:textId="77777777" w:rsidR="009F7EAD" w:rsidRDefault="009F7EAD" w:rsidP="00427F0F">
      <w:pPr>
        <w:spacing w:line="360" w:lineRule="auto"/>
        <w:rPr>
          <w:rFonts w:ascii="Arial" w:hAnsi="Arial" w:cs="Arial"/>
          <w:sz w:val="22"/>
          <w:szCs w:val="22"/>
        </w:rPr>
      </w:pPr>
    </w:p>
    <w:p w14:paraId="563B3B45" w14:textId="60A8A780"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lastRenderedPageBreak/>
        <w:t xml:space="preserve">Understanding </w:t>
      </w:r>
      <w:proofErr w:type="spellStart"/>
      <w:r w:rsidRPr="00427F0F">
        <w:rPr>
          <w:rFonts w:ascii="Arial" w:hAnsi="Arial" w:cs="Arial"/>
          <w:b/>
          <w:bCs/>
          <w:sz w:val="22"/>
          <w:szCs w:val="22"/>
        </w:rPr>
        <w:t>KardiaMobile</w:t>
      </w:r>
      <w:proofErr w:type="spellEnd"/>
      <w:r w:rsidRPr="00427F0F">
        <w:rPr>
          <w:rFonts w:ascii="Arial" w:hAnsi="Arial" w:cs="Arial"/>
          <w:b/>
          <w:bCs/>
          <w:sz w:val="22"/>
          <w:szCs w:val="22"/>
        </w:rPr>
        <w:t xml:space="preserve"> and its implementation</w:t>
      </w:r>
    </w:p>
    <w:p w14:paraId="395DBC74" w14:textId="3F430B79" w:rsidR="00C448E5" w:rsidRPr="00427F0F" w:rsidRDefault="00C448E5" w:rsidP="00427F0F">
      <w:pPr>
        <w:spacing w:line="360" w:lineRule="auto"/>
        <w:rPr>
          <w:rFonts w:ascii="Arial" w:hAnsi="Arial" w:cs="Arial"/>
          <w:sz w:val="22"/>
          <w:szCs w:val="22"/>
        </w:rPr>
      </w:pP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is a portable, smartphone-connected ECG recorder that captures electrical activity associated with the heart’s rhythm. The single-lead device allows users to record an ECG by placing their fingers on its electrodes, with recordings subsequently available for review. Depending on the model and software, the system can analyse recordings for possible AF and other rhythm classifications. </w:t>
      </w:r>
    </w:p>
    <w:p w14:paraId="5C1387AE" w14:textId="77777777" w:rsidR="00C448E5" w:rsidRPr="00427F0F" w:rsidRDefault="00C448E5" w:rsidP="00427F0F">
      <w:pPr>
        <w:spacing w:line="360" w:lineRule="auto"/>
        <w:rPr>
          <w:rFonts w:ascii="Arial" w:hAnsi="Arial" w:cs="Arial"/>
          <w:sz w:val="22"/>
          <w:szCs w:val="22"/>
        </w:rPr>
      </w:pP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represents digital transformation because it changes not only the equipment used for monitoring but also the potential organisation of care. Conventional Holter monitoring generally involves wearing a monitor for a prescribed period, whereas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enables symptom-triggered recordings in everyday settings. This can be particularly valuable when symptoms are intermittent and may not occur during a scheduled appointment or a shorter monitoring period.</w:t>
      </w:r>
    </w:p>
    <w:p w14:paraId="7448FA5F" w14:textId="26B8D79B"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NICE (2022) identified 27 relevant studies, including five randomised controlled trials, in its evaluation of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Its guidance concluded that the device could improve AF detection in appropriate patient groups. </w:t>
      </w:r>
      <w:r w:rsidR="00035BD0" w:rsidRPr="00427F0F">
        <w:rPr>
          <w:rFonts w:ascii="Arial" w:hAnsi="Arial" w:cs="Arial"/>
          <w:sz w:val="22"/>
          <w:szCs w:val="22"/>
        </w:rPr>
        <w:t xml:space="preserve">In addition, </w:t>
      </w:r>
      <w:r w:rsidRPr="00427F0F">
        <w:rPr>
          <w:rFonts w:ascii="Arial" w:hAnsi="Arial" w:cs="Arial"/>
          <w:sz w:val="22"/>
          <w:szCs w:val="22"/>
        </w:rPr>
        <w:t xml:space="preserve">the evidence requires careful interpretation: the NICE committee noted that the evidence was stronger for the single-lead device and that direct evidence linking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use to improved long-term clinical outcomes, such as reduced stroke incidence, was lacking (NICE, 2022). </w:t>
      </w:r>
      <w:r w:rsidR="00035BD0" w:rsidRPr="00427F0F">
        <w:rPr>
          <w:rFonts w:ascii="Arial" w:hAnsi="Arial" w:cs="Arial"/>
          <w:sz w:val="22"/>
          <w:szCs w:val="22"/>
        </w:rPr>
        <w:t>T</w:t>
      </w:r>
      <w:r w:rsidRPr="00427F0F">
        <w:rPr>
          <w:rFonts w:ascii="Arial" w:hAnsi="Arial" w:cs="Arial"/>
          <w:sz w:val="22"/>
          <w:szCs w:val="22"/>
        </w:rPr>
        <w:t>he technology should be understood as a diagnostic support tool within a wider care pathway rather than a replacement for comprehensive clinical assessment.</w:t>
      </w:r>
    </w:p>
    <w:p w14:paraId="2EB9F863" w14:textId="5CBDD0E3"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Implementation also requires more than distributing devices. Healthcare organisations must establish referral criteria, staff responsibilities, processes for reviewing recordings, arrangements for communicating results and escalation procedures for concerning symptoms. </w:t>
      </w:r>
      <w:r w:rsidR="00171856" w:rsidRPr="00427F0F">
        <w:rPr>
          <w:rFonts w:ascii="Arial" w:hAnsi="Arial" w:cs="Arial"/>
          <w:sz w:val="22"/>
          <w:szCs w:val="22"/>
        </w:rPr>
        <w:t>According to (</w:t>
      </w:r>
      <w:proofErr w:type="spellStart"/>
      <w:r w:rsidR="00171856" w:rsidRPr="00427F0F">
        <w:rPr>
          <w:rFonts w:ascii="Arial" w:hAnsi="Arial" w:cs="Arial"/>
          <w:sz w:val="22"/>
          <w:szCs w:val="22"/>
        </w:rPr>
        <w:t>Alsaqqa</w:t>
      </w:r>
      <w:proofErr w:type="spellEnd"/>
      <w:r w:rsidR="00171856" w:rsidRPr="00427F0F">
        <w:rPr>
          <w:rFonts w:ascii="Arial" w:hAnsi="Arial" w:cs="Arial"/>
          <w:sz w:val="22"/>
          <w:szCs w:val="22"/>
        </w:rPr>
        <w:t xml:space="preserve"> and Abdallah Alwawi, 2023) </w:t>
      </w:r>
      <w:r w:rsidRPr="00427F0F">
        <w:rPr>
          <w:rFonts w:ascii="Arial" w:hAnsi="Arial" w:cs="Arial"/>
          <w:sz w:val="22"/>
          <w:szCs w:val="22"/>
        </w:rPr>
        <w:t xml:space="preserve">that digital interventions </w:t>
      </w:r>
      <w:r w:rsidR="00171856" w:rsidRPr="00427F0F">
        <w:rPr>
          <w:rFonts w:ascii="Arial" w:hAnsi="Arial" w:cs="Arial"/>
          <w:sz w:val="22"/>
          <w:szCs w:val="22"/>
        </w:rPr>
        <w:t xml:space="preserve">are to be measured </w:t>
      </w:r>
      <w:r w:rsidRPr="00427F0F">
        <w:rPr>
          <w:rFonts w:ascii="Arial" w:hAnsi="Arial" w:cs="Arial"/>
          <w:sz w:val="22"/>
          <w:szCs w:val="22"/>
        </w:rPr>
        <w:t>in relation to effectiveness, feasibility, acceptability, resource use and equity.</w:t>
      </w:r>
      <w:r w:rsidR="002502B3" w:rsidRPr="00427F0F">
        <w:rPr>
          <w:rFonts w:ascii="Arial" w:hAnsi="Arial" w:cs="Arial"/>
          <w:sz w:val="22"/>
          <w:szCs w:val="22"/>
        </w:rPr>
        <w:t xml:space="preserve"> </w:t>
      </w:r>
      <w:proofErr w:type="spellStart"/>
      <w:r w:rsidRPr="00427F0F">
        <w:rPr>
          <w:rFonts w:ascii="Arial" w:hAnsi="Arial" w:cs="Arial"/>
          <w:sz w:val="22"/>
          <w:szCs w:val="22"/>
        </w:rPr>
        <w:t>KardiaMobile’s</w:t>
      </w:r>
      <w:proofErr w:type="spellEnd"/>
      <w:r w:rsidRPr="00427F0F">
        <w:rPr>
          <w:rFonts w:ascii="Arial" w:hAnsi="Arial" w:cs="Arial"/>
          <w:sz w:val="22"/>
          <w:szCs w:val="22"/>
        </w:rPr>
        <w:t xml:space="preserve"> success should be judged by how safely and effectively it is incorporated into routine care, rather than by its technical capabilities alone.</w:t>
      </w:r>
    </w:p>
    <w:p w14:paraId="2F7ABAC5" w14:textId="77777777"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A. Workforce: changes in job roles and professional competencies</w:t>
      </w:r>
    </w:p>
    <w:p w14:paraId="125BD203" w14:textId="77777777"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Changes in professional roles and responsibilities</w:t>
      </w:r>
    </w:p>
    <w:p w14:paraId="67948AA3" w14:textId="77777777" w:rsidR="00C448E5" w:rsidRPr="00427F0F" w:rsidRDefault="00C448E5" w:rsidP="00427F0F">
      <w:pPr>
        <w:spacing w:line="360" w:lineRule="auto"/>
        <w:rPr>
          <w:rFonts w:ascii="Arial" w:hAnsi="Arial" w:cs="Arial"/>
          <w:sz w:val="22"/>
          <w:szCs w:val="22"/>
        </w:rPr>
      </w:pP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can redistribute aspects of cardiac monitoring between patients and healthcare professionals. Patients undertake recordings independently, while nurses, general practitioners, cardiologists and other appropriately trained practitioners may review results, interpret symptoms and determine whether further investigation is necessary. This creates opportunities for more responsive and potentially less resource-intensive care.</w:t>
      </w:r>
    </w:p>
    <w:p w14:paraId="48978F58" w14:textId="5FDBBDDA"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lastRenderedPageBreak/>
        <w:t xml:space="preserve">NICE (2022) reported evidence that symptomatic cardiac arrhythmias were detected earlier among patients using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than among those receiving standard care in one comparative study. Earlier access to relevant recordings can support clinical decision-making and reduce the likelihood that intermittent symptoms remain unexplained. In principle, this may improve the efficiency of consultations by providing objective information to complement patients’ descriptions of their experiences.</w:t>
      </w:r>
    </w:p>
    <w:p w14:paraId="7962EDAB" w14:textId="70449125" w:rsidR="00C448E5" w:rsidRPr="00427F0F" w:rsidRDefault="00171856" w:rsidP="00427F0F">
      <w:pPr>
        <w:spacing w:line="360" w:lineRule="auto"/>
        <w:rPr>
          <w:rFonts w:ascii="Arial" w:hAnsi="Arial" w:cs="Arial"/>
          <w:sz w:val="22"/>
          <w:szCs w:val="22"/>
        </w:rPr>
      </w:pPr>
      <w:r w:rsidRPr="00427F0F">
        <w:rPr>
          <w:rFonts w:ascii="Arial" w:hAnsi="Arial" w:cs="Arial"/>
          <w:sz w:val="22"/>
          <w:szCs w:val="22"/>
        </w:rPr>
        <w:t>T</w:t>
      </w:r>
      <w:r w:rsidR="00C448E5" w:rsidRPr="00427F0F">
        <w:rPr>
          <w:rFonts w:ascii="Arial" w:hAnsi="Arial" w:cs="Arial"/>
          <w:sz w:val="22"/>
          <w:szCs w:val="22"/>
        </w:rPr>
        <w:t>his change does not necessarily reduce professional workload. Instead, it may redistribute work from face-to-face appointments towards reviewing remotely submitted recordings, responding to patient enquiries and managing alerts. If organisations introduce the device without allocating sufficient staff time or establishing clear responsibilities, the resulting volume of recordings could increase administrative and clinical demands. Unclear expectations about response times may also create safety concerns if patients assume that transmitted recordings are being monitored continuously.</w:t>
      </w:r>
    </w:p>
    <w:p w14:paraId="6344BCFE" w14:textId="6AC840A6" w:rsidR="00C448E5" w:rsidRPr="00427F0F" w:rsidRDefault="00035BD0" w:rsidP="00427F0F">
      <w:pPr>
        <w:spacing w:line="360" w:lineRule="auto"/>
        <w:rPr>
          <w:rFonts w:ascii="Arial" w:hAnsi="Arial" w:cs="Arial"/>
          <w:sz w:val="22"/>
          <w:szCs w:val="22"/>
        </w:rPr>
      </w:pPr>
      <w:r w:rsidRPr="00427F0F">
        <w:rPr>
          <w:rFonts w:ascii="Arial" w:hAnsi="Arial" w:cs="Arial"/>
          <w:sz w:val="22"/>
          <w:szCs w:val="22"/>
        </w:rPr>
        <w:t>As a result</w:t>
      </w:r>
      <w:r w:rsidR="00C448E5" w:rsidRPr="00427F0F">
        <w:rPr>
          <w:rFonts w:ascii="Arial" w:hAnsi="Arial" w:cs="Arial"/>
          <w:sz w:val="22"/>
          <w:szCs w:val="22"/>
        </w:rPr>
        <w:t xml:space="preserve">, implementation requires defined clinical pathways, appropriate staffing and clear communication about when and how recordings will be reviewed. Digital transformation should be evaluated in terms of the overall workload across the care pathway, rather than </w:t>
      </w:r>
      <w:proofErr w:type="gramStart"/>
      <w:r w:rsidR="00C448E5" w:rsidRPr="00427F0F">
        <w:rPr>
          <w:rFonts w:ascii="Arial" w:hAnsi="Arial" w:cs="Arial"/>
          <w:sz w:val="22"/>
          <w:szCs w:val="22"/>
        </w:rPr>
        <w:t>assuming that</w:t>
      </w:r>
      <w:proofErr w:type="gramEnd"/>
      <w:r w:rsidR="00C448E5" w:rsidRPr="00427F0F">
        <w:rPr>
          <w:rFonts w:ascii="Arial" w:hAnsi="Arial" w:cs="Arial"/>
          <w:sz w:val="22"/>
          <w:szCs w:val="22"/>
        </w:rPr>
        <w:t xml:space="preserve"> fewer appointments </w:t>
      </w:r>
      <w:r w:rsidRPr="00427F0F">
        <w:rPr>
          <w:rFonts w:ascii="Arial" w:hAnsi="Arial" w:cs="Arial"/>
          <w:sz w:val="22"/>
          <w:szCs w:val="22"/>
        </w:rPr>
        <w:t>inevitably</w:t>
      </w:r>
      <w:r w:rsidR="00C448E5" w:rsidRPr="00427F0F">
        <w:rPr>
          <w:rFonts w:ascii="Arial" w:hAnsi="Arial" w:cs="Arial"/>
          <w:sz w:val="22"/>
          <w:szCs w:val="22"/>
        </w:rPr>
        <w:t xml:space="preserve"> produce greater efficiency.</w:t>
      </w:r>
    </w:p>
    <w:p w14:paraId="5F13507C" w14:textId="77777777"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Development of professional competencies</w:t>
      </w:r>
    </w:p>
    <w:p w14:paraId="03039AB0" w14:textId="77777777"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The use of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requires healthcare professionals to combine clinical knowledge with digital competence. Staff need to understand how the device operates, recognise technical limitations, assess ECG quality, interpret findings within their professional scope and determine when additional investigations or escalation are required. They must also communicate uncertainty clearly and explain that an algorithmic classification cannot independently establish or exclude every clinically significant cardiac condition.</w:t>
      </w:r>
    </w:p>
    <w:p w14:paraId="3C520C28" w14:textId="01AFC714"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Longhini, </w:t>
      </w:r>
      <w:proofErr w:type="spellStart"/>
      <w:r w:rsidRPr="00427F0F">
        <w:rPr>
          <w:rFonts w:ascii="Arial" w:hAnsi="Arial" w:cs="Arial"/>
          <w:sz w:val="22"/>
          <w:szCs w:val="22"/>
        </w:rPr>
        <w:t>Rossettini</w:t>
      </w:r>
      <w:proofErr w:type="spellEnd"/>
      <w:r w:rsidRPr="00427F0F">
        <w:rPr>
          <w:rFonts w:ascii="Arial" w:hAnsi="Arial" w:cs="Arial"/>
          <w:sz w:val="22"/>
          <w:szCs w:val="22"/>
        </w:rPr>
        <w:t xml:space="preserve"> and Palese (2022), in a systematic review of digital health competencies, identified limitations in the evidence used to assess healthcare professionals’ digital skills. This suggests that confidence in using technology should not be mistaken for demonstrated competence. For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training should </w:t>
      </w:r>
      <w:r w:rsidR="00035BD0" w:rsidRPr="00427F0F">
        <w:rPr>
          <w:rFonts w:ascii="Arial" w:hAnsi="Arial" w:cs="Arial"/>
          <w:sz w:val="22"/>
          <w:szCs w:val="22"/>
        </w:rPr>
        <w:t>be</w:t>
      </w:r>
      <w:r w:rsidRPr="00427F0F">
        <w:rPr>
          <w:rFonts w:ascii="Arial" w:hAnsi="Arial" w:cs="Arial"/>
          <w:sz w:val="22"/>
          <w:szCs w:val="22"/>
        </w:rPr>
        <w:t xml:space="preserve"> incorporate practical assessment, interpretation of representative recordings, recognition of unreliable results and safe escalation procedures.</w:t>
      </w:r>
    </w:p>
    <w:p w14:paraId="32A9398B" w14:textId="77777777"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Professional judgement remains particularly important when the device produces an inconclusive result. A recording may be affected by movement, poor electrode </w:t>
      </w:r>
      <w:proofErr w:type="gramStart"/>
      <w:r w:rsidRPr="00427F0F">
        <w:rPr>
          <w:rFonts w:ascii="Arial" w:hAnsi="Arial" w:cs="Arial"/>
          <w:sz w:val="22"/>
          <w:szCs w:val="22"/>
        </w:rPr>
        <w:t>contact</w:t>
      </w:r>
      <w:proofErr w:type="gramEnd"/>
      <w:r w:rsidRPr="00427F0F">
        <w:rPr>
          <w:rFonts w:ascii="Arial" w:hAnsi="Arial" w:cs="Arial"/>
          <w:sz w:val="22"/>
          <w:szCs w:val="22"/>
        </w:rPr>
        <w:t xml:space="preserve"> or an irregular rhythm that the algorithm cannot classify. A normal or reassuring automated result should not override a patient’s symptoms or clinical history. Healthcare professionals must </w:t>
      </w:r>
      <w:r w:rsidRPr="00427F0F">
        <w:rPr>
          <w:rFonts w:ascii="Arial" w:hAnsi="Arial" w:cs="Arial"/>
          <w:sz w:val="22"/>
          <w:szCs w:val="22"/>
        </w:rPr>
        <w:lastRenderedPageBreak/>
        <w:t>retain responsibility for decisions within their scope of practice and recognise when conventional ECGs, longer-term monitoring or specialist assessment are necessary.</w:t>
      </w:r>
    </w:p>
    <w:p w14:paraId="21116044" w14:textId="7FBAA2DB" w:rsidR="00C448E5" w:rsidRPr="00427F0F" w:rsidRDefault="0026292D" w:rsidP="00427F0F">
      <w:pPr>
        <w:spacing w:line="360" w:lineRule="auto"/>
        <w:rPr>
          <w:rFonts w:ascii="Arial" w:hAnsi="Arial" w:cs="Arial"/>
          <w:sz w:val="22"/>
          <w:szCs w:val="22"/>
        </w:rPr>
      </w:pPr>
      <w:r w:rsidRPr="00427F0F">
        <w:rPr>
          <w:rFonts w:ascii="Arial" w:hAnsi="Arial" w:cs="Arial"/>
          <w:sz w:val="22"/>
          <w:szCs w:val="22"/>
        </w:rPr>
        <w:t>Nascimento et al. (2023) examined the</w:t>
      </w:r>
      <w:r w:rsidR="00C448E5" w:rsidRPr="00427F0F">
        <w:rPr>
          <w:rFonts w:ascii="Arial" w:hAnsi="Arial" w:cs="Arial"/>
          <w:sz w:val="22"/>
          <w:szCs w:val="22"/>
        </w:rPr>
        <w:t xml:space="preserve"> evidence that digital technologies can affect workforce performance in complex ways. Their work supports considering organisational and workforce effects alongside technical effectiveness. Applied to </w:t>
      </w:r>
      <w:proofErr w:type="spellStart"/>
      <w:r w:rsidR="00C448E5" w:rsidRPr="00427F0F">
        <w:rPr>
          <w:rFonts w:ascii="Arial" w:hAnsi="Arial" w:cs="Arial"/>
          <w:sz w:val="22"/>
          <w:szCs w:val="22"/>
        </w:rPr>
        <w:t>KardiaMobile</w:t>
      </w:r>
      <w:proofErr w:type="spellEnd"/>
      <w:r w:rsidR="00C448E5" w:rsidRPr="00427F0F">
        <w:rPr>
          <w:rFonts w:ascii="Arial" w:hAnsi="Arial" w:cs="Arial"/>
          <w:sz w:val="22"/>
          <w:szCs w:val="22"/>
        </w:rPr>
        <w:t>, this means evaluating whether staff receive adequate training, whether digital systems fit existing workflows and whether the technology enables rather than obstructs clinical judgement.</w:t>
      </w:r>
    </w:p>
    <w:p w14:paraId="32A6D138" w14:textId="77777777"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A further consideration is professional accountability. Introducing patient-generated ECG data requires clear policies about documentation, responsibility for reviewing submissions and communication of clinically significant findings. Staff must understand the limits of automated analysis and avoid allowing algorithmic outputs to replace individual assessment. These requirements make implementation a matter of professional governance as well as technical education.</w:t>
      </w:r>
    </w:p>
    <w:p w14:paraId="4C945EEA" w14:textId="77777777" w:rsidR="00B10D40" w:rsidRPr="00427F0F" w:rsidRDefault="00B10D40" w:rsidP="00427F0F">
      <w:pPr>
        <w:spacing w:line="360" w:lineRule="auto"/>
        <w:rPr>
          <w:rFonts w:ascii="Arial" w:hAnsi="Arial" w:cs="Arial"/>
          <w:b/>
          <w:bCs/>
          <w:sz w:val="22"/>
          <w:szCs w:val="22"/>
        </w:rPr>
      </w:pPr>
    </w:p>
    <w:p w14:paraId="6560190D" w14:textId="77777777" w:rsidR="00B10D40" w:rsidRPr="00427F0F" w:rsidRDefault="00B10D40" w:rsidP="00427F0F">
      <w:pPr>
        <w:spacing w:line="360" w:lineRule="auto"/>
        <w:rPr>
          <w:rFonts w:ascii="Arial" w:hAnsi="Arial" w:cs="Arial"/>
          <w:b/>
          <w:bCs/>
          <w:sz w:val="22"/>
          <w:szCs w:val="22"/>
        </w:rPr>
      </w:pPr>
    </w:p>
    <w:p w14:paraId="44B513E1" w14:textId="730A18A3"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Organisational and implementation challenges</w:t>
      </w:r>
    </w:p>
    <w:p w14:paraId="71C883F7" w14:textId="77777777" w:rsidR="00C448E5" w:rsidRPr="00427F0F" w:rsidRDefault="00C448E5" w:rsidP="00427F0F">
      <w:pPr>
        <w:spacing w:line="360" w:lineRule="auto"/>
        <w:rPr>
          <w:rFonts w:ascii="Arial" w:hAnsi="Arial" w:cs="Arial"/>
          <w:sz w:val="22"/>
          <w:szCs w:val="22"/>
        </w:rPr>
      </w:pPr>
      <w:proofErr w:type="spellStart"/>
      <w:r w:rsidRPr="00427F0F">
        <w:rPr>
          <w:rFonts w:ascii="Arial" w:hAnsi="Arial" w:cs="Arial"/>
          <w:sz w:val="22"/>
          <w:szCs w:val="22"/>
        </w:rPr>
        <w:t>KardiaMobile’s</w:t>
      </w:r>
      <w:proofErr w:type="spellEnd"/>
      <w:r w:rsidRPr="00427F0F">
        <w:rPr>
          <w:rFonts w:ascii="Arial" w:hAnsi="Arial" w:cs="Arial"/>
          <w:sz w:val="22"/>
          <w:szCs w:val="22"/>
        </w:rPr>
        <w:t xml:space="preserve"> effectiveness depends on how well it integrates into existing services. If recordings must be manually downloaded, transferred between systems or entered into electronic records, the anticipated efficiencies may be reduced. Inconsistent processes can also increase the risk of missed information or delayed follow-up.</w:t>
      </w:r>
    </w:p>
    <w:p w14:paraId="347B83C8" w14:textId="77777777"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The NHS England (2023) digital inclusion framework emphasises accessible service design, staff capability, user confidence and organisational leadership. Although the framework is not specific to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it provides a useful basis for evaluating its implementation. Services should establish standard operating procedures, allocate responsibility for reviewing recordings and provide ongoing training rather than </w:t>
      </w:r>
      <w:proofErr w:type="gramStart"/>
      <w:r w:rsidRPr="00427F0F">
        <w:rPr>
          <w:rFonts w:ascii="Arial" w:hAnsi="Arial" w:cs="Arial"/>
          <w:sz w:val="22"/>
          <w:szCs w:val="22"/>
        </w:rPr>
        <w:t>assuming that</w:t>
      </w:r>
      <w:proofErr w:type="gramEnd"/>
      <w:r w:rsidRPr="00427F0F">
        <w:rPr>
          <w:rFonts w:ascii="Arial" w:hAnsi="Arial" w:cs="Arial"/>
          <w:sz w:val="22"/>
          <w:szCs w:val="22"/>
        </w:rPr>
        <w:t xml:space="preserve"> initial instruction will remain sufficient as software and workflows evolve.</w:t>
      </w:r>
    </w:p>
    <w:p w14:paraId="017B5C9D" w14:textId="0E37FE45"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Data protection is another workforce responsibility. ECG recordings constitute sensitive health information, and staff must follow appropriate confidentiality, information governance and security procedures when receiving, storing or sharing them. NHS England’s Data Security and Protection Toolkit provides a relevant organisational framework for assessing information governance and security (NHS England, n.d.).</w:t>
      </w:r>
    </w:p>
    <w:p w14:paraId="749C950D" w14:textId="69BD0F72"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Overall,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can enhance professional practice by providing timely information and supporting more flexible monitoring. Without appropriate training, clear accountability and </w:t>
      </w:r>
      <w:r w:rsidRPr="00427F0F">
        <w:rPr>
          <w:rFonts w:ascii="Arial" w:hAnsi="Arial" w:cs="Arial"/>
          <w:sz w:val="22"/>
          <w:szCs w:val="22"/>
        </w:rPr>
        <w:lastRenderedPageBreak/>
        <w:t>integration into clinical pathways, the technology may create additional work and introduce new risks. Effective implementation requires investment in people and processes alongside the device itself.</w:t>
      </w:r>
    </w:p>
    <w:p w14:paraId="360EFF66" w14:textId="77777777"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B. Patient and service-user experiences</w:t>
      </w:r>
    </w:p>
    <w:p w14:paraId="7868ABD1" w14:textId="77777777"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Accessibility, convenience and patient empowerment</w:t>
      </w:r>
    </w:p>
    <w:p w14:paraId="629460DE" w14:textId="77777777"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One of </w:t>
      </w:r>
      <w:proofErr w:type="spellStart"/>
      <w:r w:rsidRPr="00427F0F">
        <w:rPr>
          <w:rFonts w:ascii="Arial" w:hAnsi="Arial" w:cs="Arial"/>
          <w:sz w:val="22"/>
          <w:szCs w:val="22"/>
        </w:rPr>
        <w:t>KardiaMobile’s</w:t>
      </w:r>
      <w:proofErr w:type="spellEnd"/>
      <w:r w:rsidRPr="00427F0F">
        <w:rPr>
          <w:rFonts w:ascii="Arial" w:hAnsi="Arial" w:cs="Arial"/>
          <w:sz w:val="22"/>
          <w:szCs w:val="22"/>
        </w:rPr>
        <w:t xml:space="preserve"> most significant potential benefits is the opportunity for patients to record their heart rhythm outside conventional healthcare settings. People experiencing intermittent palpitations may find it difficult to obtain an ECG during a clinical appointment because symptoms have resolved before assessment. The ability to record an ECG when symptoms occur can provide information that might otherwise be unavailable and help clinicians make more informed decisions.</w:t>
      </w:r>
    </w:p>
    <w:p w14:paraId="71550CDF" w14:textId="77777777"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NICE (2022) found that patients generally considered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easier to use than some alternative monitoring devices, including Holter monitors. Evidence reviewed by NICE also suggested that users valued the opportunity to self-monitor at home and felt that the device could improve access to appropriate care. This supports the argument that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may improve convenience and involvement in care.</w:t>
      </w:r>
    </w:p>
    <w:p w14:paraId="1685112E" w14:textId="70E4A73F" w:rsidR="00C448E5" w:rsidRPr="00427F0F" w:rsidRDefault="0026292D" w:rsidP="00427F0F">
      <w:pPr>
        <w:spacing w:line="360" w:lineRule="auto"/>
        <w:rPr>
          <w:rFonts w:ascii="Arial" w:hAnsi="Arial" w:cs="Arial"/>
          <w:sz w:val="22"/>
          <w:szCs w:val="22"/>
        </w:rPr>
      </w:pPr>
      <w:r w:rsidRPr="00427F0F">
        <w:rPr>
          <w:rFonts w:ascii="Arial" w:hAnsi="Arial" w:cs="Arial"/>
          <w:sz w:val="22"/>
          <w:szCs w:val="22"/>
        </w:rPr>
        <w:t xml:space="preserve">It is important to note that </w:t>
      </w:r>
      <w:r w:rsidR="00C448E5" w:rsidRPr="00427F0F">
        <w:rPr>
          <w:rFonts w:ascii="Arial" w:hAnsi="Arial" w:cs="Arial"/>
          <w:sz w:val="22"/>
          <w:szCs w:val="22"/>
        </w:rPr>
        <w:t xml:space="preserve">empowerment should not be assumed simply because a patient is given a device. Some people may feel confident interpreting basic instructions but remain uncertain about the meaning of their results. Others may find that repeated monitoring increases their attention to bodily sensations without necessarily improving their understanding of their condition. </w:t>
      </w:r>
      <w:r w:rsidR="002502B3" w:rsidRPr="00427F0F">
        <w:rPr>
          <w:rFonts w:ascii="Arial" w:hAnsi="Arial" w:cs="Arial"/>
          <w:sz w:val="22"/>
          <w:szCs w:val="22"/>
        </w:rPr>
        <w:t xml:space="preserve">Most importantly, </w:t>
      </w:r>
      <w:r w:rsidR="00C448E5" w:rsidRPr="00427F0F">
        <w:rPr>
          <w:rFonts w:ascii="Arial" w:hAnsi="Arial" w:cs="Arial"/>
          <w:sz w:val="22"/>
          <w:szCs w:val="22"/>
        </w:rPr>
        <w:t>patient education and access to professional advice are essential to ensure that self-monitoring supports informed participation rather than transferring clinical responsibility to the patient.</w:t>
      </w:r>
    </w:p>
    <w:p w14:paraId="09F0C2B8" w14:textId="77777777"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Psychological effects, reassurance and anxiety</w:t>
      </w:r>
    </w:p>
    <w:p w14:paraId="746AB860" w14:textId="77777777" w:rsidR="00C448E5" w:rsidRPr="00427F0F" w:rsidRDefault="00C448E5" w:rsidP="00427F0F">
      <w:pPr>
        <w:spacing w:line="360" w:lineRule="auto"/>
        <w:rPr>
          <w:rFonts w:ascii="Arial" w:hAnsi="Arial" w:cs="Arial"/>
          <w:sz w:val="22"/>
          <w:szCs w:val="22"/>
        </w:rPr>
      </w:pP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may provide reassurance by enabling users to record their heart rhythm when symptoms arise. An ECG recording can help patients communicate their experiences to healthcare professionals and may reduce uncertainty when symptoms are intermittent. This can be particularly valuable for people who have previously struggled to obtain an explanation for their palpitations.</w:t>
      </w:r>
    </w:p>
    <w:p w14:paraId="3D30292C" w14:textId="1522557E"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An inconclusive or abnormal result may cause anxiety, particularly when patients do not understand the limitations of automated interpretation. Repeated checking may also encourage some users to become preoccupied with minor changes in their heart rhythm. </w:t>
      </w:r>
    </w:p>
    <w:p w14:paraId="7BA83ED8" w14:textId="595547AC"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lastRenderedPageBreak/>
        <w:t xml:space="preserve">These concerns illustrate the importance of distinguishing technical information from meaningful patient experience. A device can generate a recording successfully without necessarily improving confidence, reducing distress or increasing satisfaction with care. NICE (2022) reported improvements in AF-specific quality-of-life measures in two randomised </w:t>
      </w:r>
      <w:proofErr w:type="gramStart"/>
      <w:r w:rsidRPr="00427F0F">
        <w:rPr>
          <w:rFonts w:ascii="Arial" w:hAnsi="Arial" w:cs="Arial"/>
          <w:sz w:val="22"/>
          <w:szCs w:val="22"/>
        </w:rPr>
        <w:t>trials, but</w:t>
      </w:r>
      <w:proofErr w:type="gramEnd"/>
      <w:r w:rsidRPr="00427F0F">
        <w:rPr>
          <w:rFonts w:ascii="Arial" w:hAnsi="Arial" w:cs="Arial"/>
          <w:sz w:val="22"/>
          <w:szCs w:val="22"/>
        </w:rPr>
        <w:t xml:space="preserve"> noted that both trials involved additional interventions. </w:t>
      </w:r>
      <w:r w:rsidR="00035BD0" w:rsidRPr="00427F0F">
        <w:rPr>
          <w:rFonts w:ascii="Arial" w:hAnsi="Arial" w:cs="Arial"/>
          <w:sz w:val="22"/>
          <w:szCs w:val="22"/>
        </w:rPr>
        <w:t>T</w:t>
      </w:r>
      <w:r w:rsidRPr="00427F0F">
        <w:rPr>
          <w:rFonts w:ascii="Arial" w:hAnsi="Arial" w:cs="Arial"/>
          <w:sz w:val="22"/>
          <w:szCs w:val="22"/>
        </w:rPr>
        <w:t xml:space="preserve">he independent contribution of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to these improvements remained uncertain.</w:t>
      </w:r>
    </w:p>
    <w:p w14:paraId="007FD7B6" w14:textId="77777777"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Healthcare professionals should explain what the device can and cannot identify, how recordings will be reviewed and what users should do if they experience concerning symptoms. Clear instructions should emphasise that the device does not replace emergency assessment or professional advice. Such safeguards can help ensure that self-monitoring complements rather than undermines safe care.</w:t>
      </w:r>
    </w:p>
    <w:p w14:paraId="2498967E" w14:textId="77777777" w:rsidR="00317298" w:rsidRDefault="00317298" w:rsidP="00427F0F">
      <w:pPr>
        <w:spacing w:line="360" w:lineRule="auto"/>
        <w:rPr>
          <w:rFonts w:ascii="Arial" w:hAnsi="Arial" w:cs="Arial"/>
          <w:b/>
          <w:bCs/>
          <w:sz w:val="22"/>
          <w:szCs w:val="22"/>
        </w:rPr>
      </w:pPr>
    </w:p>
    <w:p w14:paraId="438322AE" w14:textId="14087C63"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Digital exclusion and inequalities in access</w:t>
      </w:r>
    </w:p>
    <w:p w14:paraId="18D64495" w14:textId="61366DA1"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Despite its potential benefits,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may not be equally accessible to all patients. Its use can depend on access to a compatible smartphone, the ability to operate the device, digital literacy, language accessibility and confidence in managing health information</w:t>
      </w:r>
    </w:p>
    <w:p w14:paraId="6F11BF20" w14:textId="4456D58C"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These issues are particularly important when considering older adults and people with disabilities, limited digital experience or financial disadvantage. Although some older people use smartphones confidently, others may experience difficulties with small interfaces, dexterity, vision or remembering instructions. It would be inaccurate to assume that age alone determines digital capability; individual needs and circumstances must be assessed.</w:t>
      </w:r>
    </w:p>
    <w:p w14:paraId="16DE14E8" w14:textId="4F38A04B"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Services should provide demonstrations, accessible instructions and practical support, while ensuring that people who cannot or do not wish to use the device can access appropriate alternatives.</w:t>
      </w:r>
      <w:r w:rsidR="0026292D" w:rsidRPr="00427F0F">
        <w:rPr>
          <w:rFonts w:ascii="Arial" w:hAnsi="Arial" w:cs="Arial"/>
          <w:sz w:val="22"/>
          <w:szCs w:val="22"/>
        </w:rPr>
        <w:t xml:space="preserve"> (NHS England, 2023)</w:t>
      </w:r>
    </w:p>
    <w:p w14:paraId="60D4B982" w14:textId="7CB80B59"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A further concern is the possibility of widening health inequalities if digital monitoring becomes the preferred route to assessment without sufficient non-digital provision. Patients who are less able to engage with the technology could experience poorer access or delayed investigation.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should complement established monitoring options rather than become a condition of receiving appropriate care.</w:t>
      </w:r>
    </w:p>
    <w:p w14:paraId="5BDD9707" w14:textId="77777777"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Privacy, trust and the therapeutic relationship</w:t>
      </w:r>
    </w:p>
    <w:p w14:paraId="5EF7C979" w14:textId="77777777"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Patient experience is also influenced by how health data are collected, stored and shared. ECG recordings may contain sensitive information, and users need to understand whether recordings remain on their device, are shared with clinicians or are transmitted through </w:t>
      </w:r>
      <w:r w:rsidRPr="00427F0F">
        <w:rPr>
          <w:rFonts w:ascii="Arial" w:hAnsi="Arial" w:cs="Arial"/>
          <w:sz w:val="22"/>
          <w:szCs w:val="22"/>
        </w:rPr>
        <w:lastRenderedPageBreak/>
        <w:t>associated applications or services. Uncertainty about data use may undermine trust, particularly if consent and privacy information are difficult to understand.</w:t>
      </w:r>
    </w:p>
    <w:p w14:paraId="62F9104E" w14:textId="0018B5CC"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The WHO (2019) argues that digital health interventions should be assessed in relation to ethical considerations, acceptability and equity as well as effectiveness. In practice, services adopting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should explain data-handling arrangements, obtain appropriate consent and ensure that information is managed securely. </w:t>
      </w:r>
    </w:p>
    <w:p w14:paraId="07F36904" w14:textId="690E677D"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A patient may value the convenience of home recording but still need a clinician to listen to their concerns, explain findings and discuss treatment options. Technology can provide useful evidence, but it cannot independently reproduce the empathy, reassurance and shared decision-making associated with a supportive therapeutic relationship.</w:t>
      </w:r>
    </w:p>
    <w:p w14:paraId="1EF59632" w14:textId="77777777" w:rsidR="002502B3" w:rsidRPr="00427F0F" w:rsidRDefault="002502B3" w:rsidP="00427F0F">
      <w:pPr>
        <w:spacing w:line="360" w:lineRule="auto"/>
        <w:rPr>
          <w:rFonts w:ascii="Arial" w:hAnsi="Arial" w:cs="Arial"/>
          <w:b/>
          <w:bCs/>
          <w:sz w:val="22"/>
          <w:szCs w:val="22"/>
        </w:rPr>
      </w:pPr>
    </w:p>
    <w:p w14:paraId="7AC1E7B1" w14:textId="77777777" w:rsidR="002502B3" w:rsidRPr="00427F0F" w:rsidRDefault="002502B3" w:rsidP="00427F0F">
      <w:pPr>
        <w:spacing w:line="360" w:lineRule="auto"/>
        <w:rPr>
          <w:rFonts w:ascii="Arial" w:hAnsi="Arial" w:cs="Arial"/>
          <w:b/>
          <w:bCs/>
          <w:sz w:val="22"/>
          <w:szCs w:val="22"/>
        </w:rPr>
      </w:pPr>
    </w:p>
    <w:p w14:paraId="2010686A" w14:textId="4E8FB93B"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Conclusion</w:t>
      </w:r>
    </w:p>
    <w:p w14:paraId="3082798F" w14:textId="68A505A4" w:rsidR="00C448E5" w:rsidRPr="00427F0F" w:rsidRDefault="00C448E5" w:rsidP="00427F0F">
      <w:pPr>
        <w:spacing w:line="360" w:lineRule="auto"/>
        <w:rPr>
          <w:rFonts w:ascii="Arial" w:hAnsi="Arial" w:cs="Arial"/>
          <w:sz w:val="22"/>
          <w:szCs w:val="22"/>
        </w:rPr>
      </w:pP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illustrates how digital transformation can change cardiac monitoring by enabling patients to record ECGs in everyday settings and providing healthcare professionals with additional information to support assessment. The technology may improve convenience, facilitate earlier detection and encourage patient participation in care.</w:t>
      </w:r>
    </w:p>
    <w:p w14:paraId="187E2EA1" w14:textId="544BCC95" w:rsidR="00C448E5" w:rsidRPr="00427F0F" w:rsidRDefault="002502B3" w:rsidP="00427F0F">
      <w:pPr>
        <w:spacing w:line="360" w:lineRule="auto"/>
        <w:rPr>
          <w:rFonts w:ascii="Arial" w:hAnsi="Arial" w:cs="Arial"/>
          <w:sz w:val="22"/>
          <w:szCs w:val="22"/>
        </w:rPr>
      </w:pP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w:t>
      </w:r>
      <w:r w:rsidR="00C448E5" w:rsidRPr="00427F0F">
        <w:rPr>
          <w:rFonts w:ascii="Arial" w:hAnsi="Arial" w:cs="Arial"/>
          <w:sz w:val="22"/>
          <w:szCs w:val="22"/>
        </w:rPr>
        <w:t xml:space="preserve">benefits must be evaluated critically. Workforce implementation requires digital and clinical competence, clearly defined responsibilities, appropriate training and integration into existing pathways. For patients, convenience and empowerment must be balanced against possible anxiety, false reassurance, privacy concerns and unequal access. </w:t>
      </w:r>
      <w:r w:rsidR="00035BD0" w:rsidRPr="00427F0F">
        <w:rPr>
          <w:rFonts w:ascii="Arial" w:hAnsi="Arial" w:cs="Arial"/>
          <w:sz w:val="22"/>
          <w:szCs w:val="22"/>
        </w:rPr>
        <w:t>I</w:t>
      </w:r>
      <w:r w:rsidR="00C448E5" w:rsidRPr="00427F0F">
        <w:rPr>
          <w:rFonts w:ascii="Arial" w:hAnsi="Arial" w:cs="Arial"/>
          <w:sz w:val="22"/>
          <w:szCs w:val="22"/>
        </w:rPr>
        <w:t>mproved detection should not be assumed to demonstrate better long-term clinical outcomes.</w:t>
      </w:r>
    </w:p>
    <w:p w14:paraId="3BCF9B7F" w14:textId="16741318" w:rsidR="00C448E5" w:rsidRDefault="00C448E5" w:rsidP="00427F0F">
      <w:pPr>
        <w:spacing w:line="360" w:lineRule="auto"/>
        <w:rPr>
          <w:rFonts w:ascii="Arial" w:hAnsi="Arial" w:cs="Arial"/>
          <w:sz w:val="22"/>
          <w:szCs w:val="22"/>
        </w:rPr>
      </w:pP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is most appropriately viewed as a complement to professional assessment rather than a substitute for established care. Successful implementation depends on placing patients and staff at the centre of digital change, ensuring equitable alternatives and evaluating outcomes beyond device performance. Its value lies not simply in making ECG technology portable, but in whether it contributes to safe, effective, inclusive and person-centred health and social care.</w:t>
      </w:r>
    </w:p>
    <w:p w14:paraId="41BEFA8B" w14:textId="77777777" w:rsidR="00317298" w:rsidRDefault="00317298" w:rsidP="00427F0F">
      <w:pPr>
        <w:spacing w:line="360" w:lineRule="auto"/>
        <w:rPr>
          <w:rFonts w:ascii="Arial" w:hAnsi="Arial" w:cs="Arial"/>
          <w:sz w:val="22"/>
          <w:szCs w:val="22"/>
        </w:rPr>
      </w:pPr>
    </w:p>
    <w:p w14:paraId="184F84B2" w14:textId="77777777" w:rsidR="00317298" w:rsidRDefault="00317298" w:rsidP="00427F0F">
      <w:pPr>
        <w:spacing w:line="360" w:lineRule="auto"/>
        <w:rPr>
          <w:rFonts w:ascii="Arial" w:hAnsi="Arial" w:cs="Arial"/>
          <w:sz w:val="22"/>
          <w:szCs w:val="22"/>
        </w:rPr>
      </w:pPr>
    </w:p>
    <w:p w14:paraId="180CB48C" w14:textId="77777777" w:rsidR="00317298" w:rsidRDefault="00317298" w:rsidP="00427F0F">
      <w:pPr>
        <w:spacing w:line="360" w:lineRule="auto"/>
        <w:rPr>
          <w:rFonts w:ascii="Arial" w:hAnsi="Arial" w:cs="Arial"/>
          <w:sz w:val="22"/>
          <w:szCs w:val="22"/>
        </w:rPr>
      </w:pPr>
    </w:p>
    <w:p w14:paraId="5F004BB5" w14:textId="77777777" w:rsidR="00120AE8" w:rsidRDefault="00120AE8" w:rsidP="00317298">
      <w:pPr>
        <w:spacing w:line="360" w:lineRule="auto"/>
        <w:rPr>
          <w:rFonts w:ascii="Arial" w:hAnsi="Arial" w:cs="Arial"/>
          <w:sz w:val="22"/>
          <w:szCs w:val="22"/>
        </w:rPr>
      </w:pPr>
    </w:p>
    <w:p w14:paraId="7E5A91B1" w14:textId="13A5E9A0" w:rsidR="00317298" w:rsidRPr="00B35091" w:rsidRDefault="00317298" w:rsidP="00317298">
      <w:pPr>
        <w:spacing w:line="360" w:lineRule="auto"/>
        <w:rPr>
          <w:rFonts w:ascii="Arial" w:hAnsi="Arial" w:cs="Arial"/>
          <w:b/>
          <w:bCs/>
          <w:sz w:val="22"/>
          <w:szCs w:val="22"/>
        </w:rPr>
      </w:pPr>
      <w:r w:rsidRPr="00B35091">
        <w:rPr>
          <w:rFonts w:ascii="Arial" w:hAnsi="Arial" w:cs="Arial"/>
          <w:b/>
          <w:bCs/>
          <w:sz w:val="22"/>
          <w:szCs w:val="22"/>
        </w:rPr>
        <w:lastRenderedPageBreak/>
        <w:t>R</w:t>
      </w:r>
      <w:r w:rsidR="0017318F">
        <w:rPr>
          <w:rFonts w:ascii="Arial" w:hAnsi="Arial" w:cs="Arial"/>
          <w:b/>
          <w:bCs/>
          <w:sz w:val="22"/>
          <w:szCs w:val="22"/>
        </w:rPr>
        <w:t>eferences</w:t>
      </w:r>
      <w:r w:rsidRPr="00B35091">
        <w:rPr>
          <w:rFonts w:ascii="Arial" w:hAnsi="Arial" w:cs="Arial"/>
          <w:b/>
          <w:bCs/>
          <w:sz w:val="22"/>
          <w:szCs w:val="22"/>
        </w:rPr>
        <w:t>:</w:t>
      </w:r>
    </w:p>
    <w:p w14:paraId="73943CCB" w14:textId="77777777" w:rsidR="00317298" w:rsidRDefault="00317298" w:rsidP="00317298">
      <w:pPr>
        <w:spacing w:line="360" w:lineRule="auto"/>
        <w:rPr>
          <w:sz w:val="22"/>
          <w:szCs w:val="22"/>
        </w:rPr>
      </w:pPr>
      <w:r w:rsidRPr="00B35091">
        <w:rPr>
          <w:sz w:val="22"/>
          <w:szCs w:val="22"/>
        </w:rPr>
        <w:t xml:space="preserve">AliveCor (n.d.) </w:t>
      </w:r>
      <w:proofErr w:type="spellStart"/>
      <w:r w:rsidRPr="00B35091">
        <w:rPr>
          <w:i/>
          <w:iCs/>
          <w:sz w:val="22"/>
          <w:szCs w:val="22"/>
        </w:rPr>
        <w:t>KardiaMobile</w:t>
      </w:r>
      <w:proofErr w:type="spellEnd"/>
      <w:r w:rsidRPr="00B35091">
        <w:rPr>
          <w:i/>
          <w:iCs/>
          <w:sz w:val="22"/>
          <w:szCs w:val="22"/>
        </w:rPr>
        <w:t>: Personal ECG</w:t>
      </w:r>
      <w:r w:rsidRPr="00B35091">
        <w:rPr>
          <w:sz w:val="22"/>
          <w:szCs w:val="22"/>
        </w:rPr>
        <w:t xml:space="preserve">. Available at: </w:t>
      </w:r>
      <w:hyperlink r:id="rId8" w:history="1">
        <w:r w:rsidRPr="00B35091">
          <w:rPr>
            <w:rStyle w:val="Hyperlink"/>
            <w:sz w:val="22"/>
            <w:szCs w:val="22"/>
          </w:rPr>
          <w:t>https://www.alivecor.com/</w:t>
        </w:r>
      </w:hyperlink>
      <w:r w:rsidRPr="00B35091">
        <w:rPr>
          <w:sz w:val="22"/>
          <w:szCs w:val="22"/>
        </w:rPr>
        <w:t xml:space="preserve"> (Accessed: 10 October 2026).</w:t>
      </w:r>
    </w:p>
    <w:p w14:paraId="3A6EB12B" w14:textId="2BA9EAF6" w:rsidR="009F7EAD" w:rsidRDefault="009F7EAD" w:rsidP="009F7EAD">
      <w:pPr>
        <w:spacing w:line="360" w:lineRule="auto"/>
        <w:rPr>
          <w:rFonts w:ascii="Arial" w:hAnsi="Arial" w:cs="Arial"/>
          <w:sz w:val="22"/>
          <w:szCs w:val="22"/>
        </w:rPr>
      </w:pPr>
      <w:proofErr w:type="spellStart"/>
      <w:r w:rsidRPr="00282D78">
        <w:rPr>
          <w:rFonts w:ascii="Arial" w:hAnsi="Arial" w:cs="Arial"/>
          <w:sz w:val="22"/>
          <w:szCs w:val="22"/>
        </w:rPr>
        <w:t>Alivecor</w:t>
      </w:r>
      <w:proofErr w:type="spellEnd"/>
      <w:r w:rsidRPr="00282D78">
        <w:rPr>
          <w:rFonts w:ascii="Arial" w:hAnsi="Arial" w:cs="Arial"/>
          <w:sz w:val="22"/>
          <w:szCs w:val="22"/>
        </w:rPr>
        <w:t xml:space="preserve"> (2020) </w:t>
      </w:r>
      <w:proofErr w:type="spellStart"/>
      <w:r w:rsidRPr="00282D78">
        <w:rPr>
          <w:rFonts w:ascii="Arial" w:hAnsi="Arial" w:cs="Arial"/>
          <w:i/>
          <w:iCs/>
          <w:sz w:val="22"/>
          <w:szCs w:val="22"/>
        </w:rPr>
        <w:t>KardiaMobile</w:t>
      </w:r>
      <w:proofErr w:type="spellEnd"/>
      <w:r w:rsidRPr="00282D78">
        <w:rPr>
          <w:rFonts w:ascii="Arial" w:hAnsi="Arial" w:cs="Arial"/>
          <w:sz w:val="22"/>
          <w:szCs w:val="22"/>
        </w:rPr>
        <w:t xml:space="preserve">. Available at: </w:t>
      </w:r>
      <w:hyperlink r:id="rId9" w:history="1">
        <w:r w:rsidRPr="00325C43">
          <w:rPr>
            <w:rStyle w:val="Hyperlink"/>
            <w:rFonts w:ascii="Arial" w:hAnsi="Arial" w:cs="Arial"/>
            <w:sz w:val="22"/>
            <w:szCs w:val="22"/>
          </w:rPr>
          <w:t>https://store.alivecor.co.uk/products/kardiamobile?_gl=1*1hz1rxt*_gcl_au*MTQ4OTc1OTgyMi4xNzkyMzM3MTM4*_ga*MTE2OTU2NTUxMi4xNzkyMzM3MTM2*_ga_WHXPXB66N2*czE3OTIzNTg0MTAkbzIkZzAkdDE3OTIzNTg0MTAkajYwJGwwJGgw</w:t>
        </w:r>
      </w:hyperlink>
      <w:r>
        <w:rPr>
          <w:rFonts w:ascii="Arial" w:hAnsi="Arial" w:cs="Arial"/>
          <w:sz w:val="22"/>
          <w:szCs w:val="22"/>
        </w:rPr>
        <w:t xml:space="preserve"> </w:t>
      </w:r>
      <w:r w:rsidR="00A51BFD">
        <w:rPr>
          <w:rFonts w:ascii="Arial" w:hAnsi="Arial" w:cs="Arial"/>
          <w:sz w:val="22"/>
          <w:szCs w:val="22"/>
        </w:rPr>
        <w:t xml:space="preserve">                       </w:t>
      </w:r>
      <w:proofErr w:type="gramStart"/>
      <w:r w:rsidR="00A51BFD">
        <w:rPr>
          <w:rFonts w:ascii="Arial" w:hAnsi="Arial" w:cs="Arial"/>
          <w:sz w:val="22"/>
          <w:szCs w:val="22"/>
        </w:rPr>
        <w:t xml:space="preserve">   </w:t>
      </w:r>
      <w:r w:rsidRPr="00282D78">
        <w:rPr>
          <w:rFonts w:ascii="Arial" w:hAnsi="Arial" w:cs="Arial"/>
          <w:sz w:val="22"/>
          <w:szCs w:val="22"/>
        </w:rPr>
        <w:t>(</w:t>
      </w:r>
      <w:proofErr w:type="gramEnd"/>
      <w:r w:rsidRPr="00282D78">
        <w:rPr>
          <w:rFonts w:ascii="Arial" w:hAnsi="Arial" w:cs="Arial"/>
          <w:sz w:val="22"/>
          <w:szCs w:val="22"/>
        </w:rPr>
        <w:t>Accessed: 18 October 2026).</w:t>
      </w:r>
    </w:p>
    <w:p w14:paraId="12A9091A" w14:textId="0EC3157D" w:rsidR="00120AE8" w:rsidRPr="00120AE8" w:rsidRDefault="00120AE8" w:rsidP="00120AE8">
      <w:pPr>
        <w:spacing w:line="360" w:lineRule="auto"/>
        <w:rPr>
          <w:rFonts w:ascii="Arial" w:hAnsi="Arial" w:cs="Arial"/>
          <w:sz w:val="22"/>
          <w:szCs w:val="22"/>
        </w:rPr>
      </w:pPr>
      <w:proofErr w:type="spellStart"/>
      <w:r w:rsidRPr="00120AE8">
        <w:rPr>
          <w:rFonts w:ascii="Arial" w:hAnsi="Arial" w:cs="Arial"/>
          <w:sz w:val="22"/>
          <w:szCs w:val="22"/>
        </w:rPr>
        <w:t>Alivecor</w:t>
      </w:r>
      <w:proofErr w:type="spellEnd"/>
      <w:r w:rsidRPr="00120AE8">
        <w:rPr>
          <w:rFonts w:ascii="Arial" w:hAnsi="Arial" w:cs="Arial"/>
          <w:sz w:val="22"/>
          <w:szCs w:val="22"/>
        </w:rPr>
        <w:t xml:space="preserve"> (2020) </w:t>
      </w:r>
      <w:proofErr w:type="spellStart"/>
      <w:r w:rsidRPr="00120AE8">
        <w:rPr>
          <w:rFonts w:ascii="Arial" w:hAnsi="Arial" w:cs="Arial"/>
          <w:i/>
          <w:iCs/>
          <w:sz w:val="22"/>
          <w:szCs w:val="22"/>
        </w:rPr>
        <w:t>KardiaMobile</w:t>
      </w:r>
      <w:proofErr w:type="spellEnd"/>
      <w:r w:rsidRPr="00120AE8">
        <w:rPr>
          <w:rFonts w:ascii="Arial" w:hAnsi="Arial" w:cs="Arial"/>
          <w:sz w:val="22"/>
          <w:szCs w:val="22"/>
        </w:rPr>
        <w:t xml:space="preserve">. Available at: </w:t>
      </w:r>
      <w:hyperlink r:id="rId10" w:history="1">
        <w:r w:rsidRPr="00325C43">
          <w:rPr>
            <w:rStyle w:val="Hyperlink"/>
            <w:rFonts w:ascii="Arial" w:hAnsi="Arial" w:cs="Arial"/>
            <w:sz w:val="22"/>
            <w:szCs w:val="22"/>
          </w:rPr>
          <w:t>https://store.alivecor.co.uk/products/kardiamobile?_gl=1*1hz1rxt*_gcl_au*MTQ4OTc1OTgyMi4xNzkyMzM3MTM4*_ga*MTE2OTU2NTUxMi4xNzkyMzM3MTM2*_ga_WHXPXB66N2*czE3OTIzNTg0MTAkbzIkZzAkdDE3OTIzNTg0MTAkajYwJGwwJGgw</w:t>
        </w:r>
      </w:hyperlink>
      <w:r>
        <w:rPr>
          <w:rFonts w:ascii="Arial" w:hAnsi="Arial" w:cs="Arial"/>
          <w:sz w:val="22"/>
          <w:szCs w:val="22"/>
        </w:rPr>
        <w:t xml:space="preserve"> </w:t>
      </w:r>
    </w:p>
    <w:p w14:paraId="2542C13D" w14:textId="7682D157" w:rsidR="009F7EAD" w:rsidRPr="00120AE8" w:rsidRDefault="00120AE8" w:rsidP="00317298">
      <w:pPr>
        <w:spacing w:line="360" w:lineRule="auto"/>
        <w:rPr>
          <w:rFonts w:ascii="Arial" w:hAnsi="Arial" w:cs="Arial"/>
          <w:sz w:val="22"/>
          <w:szCs w:val="22"/>
        </w:rPr>
      </w:pPr>
      <w:r w:rsidRPr="00120AE8">
        <w:rPr>
          <w:rFonts w:ascii="Arial" w:hAnsi="Arial" w:cs="Arial"/>
          <w:sz w:val="22"/>
          <w:szCs w:val="22"/>
        </w:rPr>
        <w:t> (Accessed: 18 October 2026).</w:t>
      </w:r>
    </w:p>
    <w:p w14:paraId="18ED1D94" w14:textId="77777777" w:rsidR="00317298" w:rsidRPr="00B35091" w:rsidRDefault="00317298" w:rsidP="00317298">
      <w:pPr>
        <w:spacing w:line="360" w:lineRule="auto"/>
        <w:rPr>
          <w:sz w:val="22"/>
          <w:szCs w:val="22"/>
        </w:rPr>
      </w:pPr>
      <w:proofErr w:type="spellStart"/>
      <w:r w:rsidRPr="00B35091">
        <w:rPr>
          <w:sz w:val="22"/>
          <w:szCs w:val="22"/>
        </w:rPr>
        <w:t>Alsaqqa</w:t>
      </w:r>
      <w:proofErr w:type="spellEnd"/>
      <w:r w:rsidRPr="00B35091">
        <w:rPr>
          <w:sz w:val="22"/>
          <w:szCs w:val="22"/>
        </w:rPr>
        <w:t xml:space="preserve">, H.H. and Abdallah Alwawi (2023). Digital intervention for Public Health: Searching for implementing characteristics, concepts and recommendations: Scoping review. </w:t>
      </w:r>
      <w:r w:rsidRPr="00B35091">
        <w:rPr>
          <w:i/>
          <w:iCs/>
          <w:sz w:val="22"/>
          <w:szCs w:val="22"/>
        </w:rPr>
        <w:t>Frontiers in Public Health</w:t>
      </w:r>
      <w:r w:rsidRPr="00B35091">
        <w:rPr>
          <w:sz w:val="22"/>
          <w:szCs w:val="22"/>
        </w:rPr>
        <w:t>, [online] 11. doi:10.3389/fpubh.2023.1142443.</w:t>
      </w:r>
    </w:p>
    <w:p w14:paraId="5B94648C" w14:textId="77777777" w:rsidR="00317298" w:rsidRPr="00B35091" w:rsidRDefault="00317298" w:rsidP="00317298">
      <w:pPr>
        <w:spacing w:line="360" w:lineRule="auto"/>
        <w:rPr>
          <w:sz w:val="22"/>
          <w:szCs w:val="22"/>
        </w:rPr>
      </w:pPr>
      <w:r w:rsidRPr="00B35091">
        <w:rPr>
          <w:sz w:val="22"/>
          <w:szCs w:val="22"/>
        </w:rPr>
        <w:t xml:space="preserve">Department of Health and Social Care (2022) </w:t>
      </w:r>
      <w:r w:rsidRPr="00B35091">
        <w:rPr>
          <w:i/>
          <w:iCs/>
          <w:sz w:val="22"/>
          <w:szCs w:val="22"/>
        </w:rPr>
        <w:t>A plan for digital health and social care</w:t>
      </w:r>
      <w:r w:rsidRPr="00B35091">
        <w:rPr>
          <w:sz w:val="22"/>
          <w:szCs w:val="22"/>
        </w:rPr>
        <w:t xml:space="preserve">. London: DHSC. Available at: </w:t>
      </w:r>
      <w:hyperlink r:id="rId11" w:history="1">
        <w:r w:rsidRPr="00B35091">
          <w:rPr>
            <w:rStyle w:val="Hyperlink"/>
            <w:sz w:val="22"/>
            <w:szCs w:val="22"/>
          </w:rPr>
          <w:t>https://www.gov.uk/government/publications/a-plan-for-digital-health-and-social-care</w:t>
        </w:r>
      </w:hyperlink>
      <w:r w:rsidRPr="00B35091">
        <w:rPr>
          <w:sz w:val="22"/>
          <w:szCs w:val="22"/>
        </w:rPr>
        <w:t xml:space="preserve"> (Accessed: 12 October 2026).</w:t>
      </w:r>
    </w:p>
    <w:p w14:paraId="66E22806" w14:textId="77777777" w:rsidR="00317298" w:rsidRPr="00B35091" w:rsidRDefault="00317298" w:rsidP="00317298">
      <w:pPr>
        <w:spacing w:line="360" w:lineRule="auto"/>
        <w:rPr>
          <w:sz w:val="22"/>
          <w:szCs w:val="22"/>
        </w:rPr>
      </w:pPr>
      <w:r w:rsidRPr="00B35091">
        <w:rPr>
          <w:sz w:val="22"/>
          <w:szCs w:val="22"/>
        </w:rPr>
        <w:t xml:space="preserve">Digital Health. (2022). </w:t>
      </w:r>
      <w:proofErr w:type="spellStart"/>
      <w:r w:rsidRPr="00B35091">
        <w:rPr>
          <w:i/>
          <w:iCs/>
          <w:sz w:val="22"/>
          <w:szCs w:val="22"/>
        </w:rPr>
        <w:t>KardiaMobile</w:t>
      </w:r>
      <w:proofErr w:type="spellEnd"/>
      <w:r w:rsidRPr="00B35091">
        <w:rPr>
          <w:i/>
          <w:iCs/>
          <w:sz w:val="22"/>
          <w:szCs w:val="22"/>
        </w:rPr>
        <w:t xml:space="preserve"> recommended by NICE for detecting abnormal heart activity</w:t>
      </w:r>
      <w:r w:rsidRPr="00B35091">
        <w:rPr>
          <w:sz w:val="22"/>
          <w:szCs w:val="22"/>
        </w:rPr>
        <w:t>. [online] Available at: https://www.digitalhealth.net/2022/01/kardiamobile-recommended-by-nice-for-detecting-abnormal-heart-activity/ [Accessed 17 Oct. 2026].</w:t>
      </w:r>
    </w:p>
    <w:p w14:paraId="0D264DDE" w14:textId="77777777" w:rsidR="00317298" w:rsidRPr="00B35091" w:rsidRDefault="00317298" w:rsidP="00317298">
      <w:pPr>
        <w:spacing w:line="360" w:lineRule="auto"/>
        <w:rPr>
          <w:sz w:val="22"/>
          <w:szCs w:val="22"/>
        </w:rPr>
      </w:pPr>
      <w:r w:rsidRPr="00B35091">
        <w:rPr>
          <w:sz w:val="22"/>
          <w:szCs w:val="22"/>
        </w:rPr>
        <w:t xml:space="preserve">Jones, N.R., Taylor, C.J., Hobbs, F.D.R., Bowman, L. and Casadei, B. (2019). Screening for atrial fibrillation: A call for evidence. </w:t>
      </w:r>
      <w:r w:rsidRPr="00B35091">
        <w:rPr>
          <w:i/>
          <w:iCs/>
          <w:sz w:val="22"/>
          <w:szCs w:val="22"/>
        </w:rPr>
        <w:t>European Heart Journal</w:t>
      </w:r>
      <w:r w:rsidRPr="00B35091">
        <w:rPr>
          <w:sz w:val="22"/>
          <w:szCs w:val="22"/>
        </w:rPr>
        <w:t>, 41(10), pp.1075–1085. doi:10.1093/</w:t>
      </w:r>
      <w:proofErr w:type="spellStart"/>
      <w:r w:rsidRPr="00B35091">
        <w:rPr>
          <w:sz w:val="22"/>
          <w:szCs w:val="22"/>
        </w:rPr>
        <w:t>eurheartj</w:t>
      </w:r>
      <w:proofErr w:type="spellEnd"/>
      <w:r w:rsidRPr="00B35091">
        <w:rPr>
          <w:sz w:val="22"/>
          <w:szCs w:val="22"/>
        </w:rPr>
        <w:t>/ehz834.</w:t>
      </w:r>
    </w:p>
    <w:p w14:paraId="1185EF67" w14:textId="77777777" w:rsidR="00317298" w:rsidRPr="00B35091" w:rsidRDefault="00317298" w:rsidP="00317298">
      <w:pPr>
        <w:spacing w:line="360" w:lineRule="auto"/>
        <w:rPr>
          <w:sz w:val="22"/>
          <w:szCs w:val="22"/>
        </w:rPr>
      </w:pPr>
      <w:r w:rsidRPr="00B35091">
        <w:rPr>
          <w:sz w:val="22"/>
          <w:szCs w:val="22"/>
        </w:rPr>
        <w:t xml:space="preserve">Longhini, J., </w:t>
      </w:r>
      <w:proofErr w:type="spellStart"/>
      <w:r w:rsidRPr="00B35091">
        <w:rPr>
          <w:sz w:val="22"/>
          <w:szCs w:val="22"/>
        </w:rPr>
        <w:t>Rossettini</w:t>
      </w:r>
      <w:proofErr w:type="spellEnd"/>
      <w:r w:rsidRPr="00B35091">
        <w:rPr>
          <w:sz w:val="22"/>
          <w:szCs w:val="22"/>
        </w:rPr>
        <w:t xml:space="preserve">, G. and Palese, A. (2022) ‘Digital health competencies among health care professionals: systematic review’, </w:t>
      </w:r>
      <w:r w:rsidRPr="00B35091">
        <w:rPr>
          <w:i/>
          <w:iCs/>
          <w:sz w:val="22"/>
          <w:szCs w:val="22"/>
        </w:rPr>
        <w:t>Journal of Medical Internet Research</w:t>
      </w:r>
      <w:r w:rsidRPr="00B35091">
        <w:rPr>
          <w:sz w:val="22"/>
          <w:szCs w:val="22"/>
        </w:rPr>
        <w:t xml:space="preserve">, 24(8), e36414. Available at: </w:t>
      </w:r>
      <w:hyperlink r:id="rId12" w:history="1">
        <w:r w:rsidRPr="00B35091">
          <w:rPr>
            <w:rStyle w:val="Hyperlink"/>
            <w:sz w:val="22"/>
            <w:szCs w:val="22"/>
          </w:rPr>
          <w:t>https://doi.org/10.2196/36414</w:t>
        </w:r>
      </w:hyperlink>
      <w:r w:rsidRPr="00B35091">
        <w:rPr>
          <w:sz w:val="22"/>
          <w:szCs w:val="22"/>
        </w:rPr>
        <w:t>.</w:t>
      </w:r>
    </w:p>
    <w:p w14:paraId="5A3E0D45" w14:textId="77777777" w:rsidR="00317298" w:rsidRPr="00B35091" w:rsidRDefault="00317298" w:rsidP="00317298">
      <w:pPr>
        <w:spacing w:line="360" w:lineRule="auto"/>
        <w:rPr>
          <w:sz w:val="22"/>
          <w:szCs w:val="22"/>
        </w:rPr>
      </w:pPr>
      <w:r w:rsidRPr="00B35091">
        <w:rPr>
          <w:sz w:val="22"/>
          <w:szCs w:val="22"/>
        </w:rPr>
        <w:t xml:space="preserve">Nascimento, I.J.B. et al. (2023) ‘The global effect of digital health technologies on health workers’ competencies and health workplace: an umbrella review of systematic reviews and </w:t>
      </w:r>
      <w:r w:rsidRPr="00B35091">
        <w:rPr>
          <w:sz w:val="22"/>
          <w:szCs w:val="22"/>
        </w:rPr>
        <w:lastRenderedPageBreak/>
        <w:t xml:space="preserve">lexical-based and sentence-based meta-analysis’, </w:t>
      </w:r>
      <w:r w:rsidRPr="00B35091">
        <w:rPr>
          <w:i/>
          <w:iCs/>
          <w:sz w:val="22"/>
          <w:szCs w:val="22"/>
        </w:rPr>
        <w:t>The Lancet Digital Health</w:t>
      </w:r>
      <w:r w:rsidRPr="00B35091">
        <w:rPr>
          <w:sz w:val="22"/>
          <w:szCs w:val="22"/>
        </w:rPr>
        <w:t xml:space="preserve">, 5(8), pp. e534–e544. Available at: </w:t>
      </w:r>
      <w:hyperlink r:id="rId13" w:history="1">
        <w:r w:rsidRPr="00B35091">
          <w:rPr>
            <w:rStyle w:val="Hyperlink"/>
            <w:sz w:val="22"/>
            <w:szCs w:val="22"/>
          </w:rPr>
          <w:t>https://doi.org/10.1016/S2589-7500(23)00092-4</w:t>
        </w:r>
      </w:hyperlink>
      <w:r w:rsidRPr="00B35091">
        <w:rPr>
          <w:sz w:val="22"/>
          <w:szCs w:val="22"/>
        </w:rPr>
        <w:t>.</w:t>
      </w:r>
    </w:p>
    <w:p w14:paraId="198FFB84" w14:textId="77777777" w:rsidR="00317298" w:rsidRPr="00B35091" w:rsidRDefault="00317298" w:rsidP="00317298">
      <w:pPr>
        <w:spacing w:line="360" w:lineRule="auto"/>
        <w:rPr>
          <w:sz w:val="22"/>
          <w:szCs w:val="22"/>
        </w:rPr>
      </w:pPr>
      <w:r w:rsidRPr="00B35091">
        <w:rPr>
          <w:sz w:val="22"/>
          <w:szCs w:val="22"/>
        </w:rPr>
        <w:t xml:space="preserve">NHS England (2023) </w:t>
      </w:r>
      <w:r w:rsidRPr="00B35091">
        <w:rPr>
          <w:i/>
          <w:iCs/>
          <w:sz w:val="22"/>
          <w:szCs w:val="22"/>
        </w:rPr>
        <w:t>Inclusive digital healthcare: a framework for NHS action on digital inclusion</w:t>
      </w:r>
      <w:r w:rsidRPr="00B35091">
        <w:rPr>
          <w:sz w:val="22"/>
          <w:szCs w:val="22"/>
        </w:rPr>
        <w:t xml:space="preserve">. Available at: </w:t>
      </w:r>
      <w:hyperlink r:id="rId14" w:history="1">
        <w:r w:rsidRPr="00B35091">
          <w:rPr>
            <w:rStyle w:val="Hyperlink"/>
            <w:sz w:val="22"/>
            <w:szCs w:val="22"/>
          </w:rPr>
          <w:t>https://www.england.nhs.uk/long-read/inclusive-digital-healthcare-a-framework-for-nhs-action-on-digital-inclusion/</w:t>
        </w:r>
      </w:hyperlink>
      <w:r w:rsidRPr="00B35091">
        <w:rPr>
          <w:sz w:val="22"/>
          <w:szCs w:val="22"/>
        </w:rPr>
        <w:t xml:space="preserve"> (Accessed: 12 October 2026).</w:t>
      </w:r>
    </w:p>
    <w:p w14:paraId="43B0BC90" w14:textId="77777777" w:rsidR="00317298" w:rsidRPr="00B35091" w:rsidRDefault="00317298" w:rsidP="00317298">
      <w:pPr>
        <w:spacing w:line="360" w:lineRule="auto"/>
        <w:rPr>
          <w:sz w:val="22"/>
          <w:szCs w:val="22"/>
        </w:rPr>
      </w:pPr>
      <w:r w:rsidRPr="00B35091">
        <w:rPr>
          <w:sz w:val="22"/>
          <w:szCs w:val="22"/>
        </w:rPr>
        <w:t xml:space="preserve">NHS England (n.d.) </w:t>
      </w:r>
      <w:r w:rsidRPr="00B35091">
        <w:rPr>
          <w:i/>
          <w:iCs/>
          <w:sz w:val="22"/>
          <w:szCs w:val="22"/>
        </w:rPr>
        <w:t>Data Security and Protection Toolkit</w:t>
      </w:r>
      <w:r w:rsidRPr="00B35091">
        <w:rPr>
          <w:sz w:val="22"/>
          <w:szCs w:val="22"/>
        </w:rPr>
        <w:t xml:space="preserve">. Available at: </w:t>
      </w:r>
      <w:hyperlink r:id="rId15" w:history="1">
        <w:r w:rsidRPr="00B35091">
          <w:rPr>
            <w:rStyle w:val="Hyperlink"/>
            <w:sz w:val="22"/>
            <w:szCs w:val="22"/>
          </w:rPr>
          <w:t>https://digital.nhs.uk/cyber-and-data-security/cyber-security-services/data-security-and-protection-toolkit</w:t>
        </w:r>
      </w:hyperlink>
      <w:r w:rsidRPr="00B35091">
        <w:rPr>
          <w:sz w:val="22"/>
          <w:szCs w:val="22"/>
        </w:rPr>
        <w:t xml:space="preserve"> (Accessed: 16 October 2026).</w:t>
      </w:r>
    </w:p>
    <w:p w14:paraId="6E3EB055" w14:textId="77777777" w:rsidR="00317298" w:rsidRPr="00B35091" w:rsidRDefault="00317298" w:rsidP="00317298">
      <w:pPr>
        <w:spacing w:line="360" w:lineRule="auto"/>
        <w:rPr>
          <w:sz w:val="22"/>
          <w:szCs w:val="22"/>
        </w:rPr>
      </w:pPr>
      <w:r w:rsidRPr="00B35091">
        <w:rPr>
          <w:sz w:val="22"/>
          <w:szCs w:val="22"/>
        </w:rPr>
        <w:t xml:space="preserve">World Health Organization (WHO) (2019) </w:t>
      </w:r>
      <w:r w:rsidRPr="00B35091">
        <w:rPr>
          <w:i/>
          <w:iCs/>
          <w:sz w:val="22"/>
          <w:szCs w:val="22"/>
        </w:rPr>
        <w:t>WHO guideline: recommendations on digital interventions for health system strengthening</w:t>
      </w:r>
      <w:r w:rsidRPr="00B35091">
        <w:rPr>
          <w:sz w:val="22"/>
          <w:szCs w:val="22"/>
        </w:rPr>
        <w:t xml:space="preserve">. Geneva: WHO. Available at: </w:t>
      </w:r>
      <w:hyperlink r:id="rId16" w:history="1">
        <w:r w:rsidRPr="00B35091">
          <w:rPr>
            <w:rStyle w:val="Hyperlink"/>
            <w:sz w:val="22"/>
            <w:szCs w:val="22"/>
          </w:rPr>
          <w:t>https://www.who.int/publications/i/item/9789241550505</w:t>
        </w:r>
      </w:hyperlink>
      <w:r w:rsidRPr="00B35091">
        <w:rPr>
          <w:sz w:val="22"/>
          <w:szCs w:val="22"/>
        </w:rPr>
        <w:t xml:space="preserve"> (Accessed: 16 October 2026).</w:t>
      </w:r>
    </w:p>
    <w:p w14:paraId="039D0B1F" w14:textId="77777777" w:rsidR="00317298" w:rsidRPr="00427F0F" w:rsidRDefault="00317298" w:rsidP="00427F0F">
      <w:pPr>
        <w:spacing w:line="360" w:lineRule="auto"/>
        <w:rPr>
          <w:rFonts w:ascii="Arial" w:hAnsi="Arial" w:cs="Arial"/>
          <w:sz w:val="22"/>
          <w:szCs w:val="22"/>
        </w:rPr>
      </w:pPr>
    </w:p>
    <w:p w14:paraId="534DF72C" w14:textId="77777777" w:rsidR="005D0A8E" w:rsidRPr="00427F0F" w:rsidRDefault="005D0A8E" w:rsidP="00427F0F">
      <w:pPr>
        <w:spacing w:line="360" w:lineRule="auto"/>
        <w:rPr>
          <w:rFonts w:ascii="Arial" w:hAnsi="Arial" w:cs="Arial"/>
          <w:b/>
          <w:bCs/>
          <w:sz w:val="22"/>
          <w:szCs w:val="22"/>
        </w:rPr>
      </w:pPr>
    </w:p>
    <w:p w14:paraId="15B3DF65" w14:textId="77777777" w:rsidR="005D0A8E" w:rsidRPr="00427F0F" w:rsidRDefault="005D0A8E" w:rsidP="00427F0F">
      <w:pPr>
        <w:spacing w:line="360" w:lineRule="auto"/>
        <w:rPr>
          <w:rFonts w:ascii="Arial" w:hAnsi="Arial" w:cs="Arial"/>
          <w:b/>
          <w:bCs/>
          <w:sz w:val="22"/>
          <w:szCs w:val="22"/>
        </w:rPr>
      </w:pPr>
    </w:p>
    <w:p w14:paraId="0837136F" w14:textId="4F8B615E" w:rsidR="00C448E5" w:rsidRPr="00427F0F" w:rsidRDefault="00C448E5" w:rsidP="00427F0F">
      <w:pPr>
        <w:spacing w:line="360" w:lineRule="auto"/>
        <w:rPr>
          <w:rFonts w:ascii="Arial" w:hAnsi="Arial" w:cs="Arial"/>
          <w:sz w:val="22"/>
          <w:szCs w:val="22"/>
        </w:rPr>
      </w:pPr>
    </w:p>
    <w:sectPr w:rsidR="00C448E5" w:rsidRPr="00427F0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F72F53" w14:textId="77777777" w:rsidR="00267612" w:rsidRDefault="00267612" w:rsidP="00120AE8">
      <w:pPr>
        <w:spacing w:after="0" w:line="240" w:lineRule="auto"/>
      </w:pPr>
      <w:r>
        <w:separator/>
      </w:r>
    </w:p>
  </w:endnote>
  <w:endnote w:type="continuationSeparator" w:id="0">
    <w:p w14:paraId="308EB076" w14:textId="77777777" w:rsidR="00267612" w:rsidRDefault="00267612" w:rsidP="00120A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8487527"/>
      <w:docPartObj>
        <w:docPartGallery w:val="Page Numbers (Bottom of Page)"/>
        <w:docPartUnique/>
      </w:docPartObj>
    </w:sdtPr>
    <w:sdtEndPr>
      <w:rPr>
        <w:noProof/>
      </w:rPr>
    </w:sdtEndPr>
    <w:sdtContent>
      <w:p w14:paraId="5022070F" w14:textId="701B3D54" w:rsidR="00120AE8" w:rsidRDefault="00120A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8A46EC" w14:textId="77777777" w:rsidR="00120AE8" w:rsidRDefault="00120A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0CB9D" w14:textId="77777777" w:rsidR="00267612" w:rsidRDefault="00267612" w:rsidP="00120AE8">
      <w:pPr>
        <w:spacing w:after="0" w:line="240" w:lineRule="auto"/>
      </w:pPr>
      <w:r>
        <w:separator/>
      </w:r>
    </w:p>
  </w:footnote>
  <w:footnote w:type="continuationSeparator" w:id="0">
    <w:p w14:paraId="0BBF7040" w14:textId="77777777" w:rsidR="00267612" w:rsidRDefault="00267612" w:rsidP="00120A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8E5"/>
    <w:rsid w:val="00035BD0"/>
    <w:rsid w:val="00120AE8"/>
    <w:rsid w:val="00171856"/>
    <w:rsid w:val="0017318F"/>
    <w:rsid w:val="001C2EA0"/>
    <w:rsid w:val="002502B3"/>
    <w:rsid w:val="0026292D"/>
    <w:rsid w:val="00267612"/>
    <w:rsid w:val="00317298"/>
    <w:rsid w:val="003D4D04"/>
    <w:rsid w:val="00427F0F"/>
    <w:rsid w:val="004A32DD"/>
    <w:rsid w:val="005D0A8E"/>
    <w:rsid w:val="00657C8E"/>
    <w:rsid w:val="006A3A8C"/>
    <w:rsid w:val="008D204C"/>
    <w:rsid w:val="009B6771"/>
    <w:rsid w:val="009C0451"/>
    <w:rsid w:val="009F7EAD"/>
    <w:rsid w:val="00A51BFD"/>
    <w:rsid w:val="00B10D40"/>
    <w:rsid w:val="00C448E5"/>
    <w:rsid w:val="00D3550B"/>
    <w:rsid w:val="00EA0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FA785"/>
  <w15:chartTrackingRefBased/>
  <w15:docId w15:val="{67CC9D6D-3D9A-471E-A52D-5841F8A7D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8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8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8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8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8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8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8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8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8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8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8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8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8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8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8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8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8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8E5"/>
    <w:rPr>
      <w:rFonts w:eastAsiaTheme="majorEastAsia" w:cstheme="majorBidi"/>
      <w:color w:val="272727" w:themeColor="text1" w:themeTint="D8"/>
    </w:rPr>
  </w:style>
  <w:style w:type="paragraph" w:styleId="Title">
    <w:name w:val="Title"/>
    <w:basedOn w:val="Normal"/>
    <w:next w:val="Normal"/>
    <w:link w:val="TitleChar"/>
    <w:uiPriority w:val="10"/>
    <w:qFormat/>
    <w:rsid w:val="00C448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8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8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8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8E5"/>
    <w:pPr>
      <w:spacing w:before="160"/>
      <w:jc w:val="center"/>
    </w:pPr>
    <w:rPr>
      <w:i/>
      <w:iCs/>
      <w:color w:val="404040" w:themeColor="text1" w:themeTint="BF"/>
    </w:rPr>
  </w:style>
  <w:style w:type="character" w:customStyle="1" w:styleId="QuoteChar">
    <w:name w:val="Quote Char"/>
    <w:basedOn w:val="DefaultParagraphFont"/>
    <w:link w:val="Quote"/>
    <w:uiPriority w:val="29"/>
    <w:rsid w:val="00C448E5"/>
    <w:rPr>
      <w:i/>
      <w:iCs/>
      <w:color w:val="404040" w:themeColor="text1" w:themeTint="BF"/>
    </w:rPr>
  </w:style>
  <w:style w:type="paragraph" w:styleId="ListParagraph">
    <w:name w:val="List Paragraph"/>
    <w:basedOn w:val="Normal"/>
    <w:uiPriority w:val="34"/>
    <w:qFormat/>
    <w:rsid w:val="00C448E5"/>
    <w:pPr>
      <w:ind w:left="720"/>
      <w:contextualSpacing/>
    </w:pPr>
  </w:style>
  <w:style w:type="character" w:styleId="IntenseEmphasis">
    <w:name w:val="Intense Emphasis"/>
    <w:basedOn w:val="DefaultParagraphFont"/>
    <w:uiPriority w:val="21"/>
    <w:qFormat/>
    <w:rsid w:val="00C448E5"/>
    <w:rPr>
      <w:i/>
      <w:iCs/>
      <w:color w:val="0F4761" w:themeColor="accent1" w:themeShade="BF"/>
    </w:rPr>
  </w:style>
  <w:style w:type="paragraph" w:styleId="IntenseQuote">
    <w:name w:val="Intense Quote"/>
    <w:basedOn w:val="Normal"/>
    <w:next w:val="Normal"/>
    <w:link w:val="IntenseQuoteChar"/>
    <w:uiPriority w:val="30"/>
    <w:qFormat/>
    <w:rsid w:val="00C448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8E5"/>
    <w:rPr>
      <w:i/>
      <w:iCs/>
      <w:color w:val="0F4761" w:themeColor="accent1" w:themeShade="BF"/>
    </w:rPr>
  </w:style>
  <w:style w:type="character" w:styleId="IntenseReference">
    <w:name w:val="Intense Reference"/>
    <w:basedOn w:val="DefaultParagraphFont"/>
    <w:uiPriority w:val="32"/>
    <w:qFormat/>
    <w:rsid w:val="00C448E5"/>
    <w:rPr>
      <w:b/>
      <w:bCs/>
      <w:smallCaps/>
      <w:color w:val="0F4761" w:themeColor="accent1" w:themeShade="BF"/>
      <w:spacing w:val="5"/>
    </w:rPr>
  </w:style>
  <w:style w:type="character" w:styleId="Hyperlink">
    <w:name w:val="Hyperlink"/>
    <w:basedOn w:val="DefaultParagraphFont"/>
    <w:uiPriority w:val="99"/>
    <w:unhideWhenUsed/>
    <w:rsid w:val="00C448E5"/>
    <w:rPr>
      <w:color w:val="467886" w:themeColor="hyperlink"/>
      <w:u w:val="single"/>
    </w:rPr>
  </w:style>
  <w:style w:type="character" w:styleId="UnresolvedMention">
    <w:name w:val="Unresolved Mention"/>
    <w:basedOn w:val="DefaultParagraphFont"/>
    <w:uiPriority w:val="99"/>
    <w:semiHidden/>
    <w:unhideWhenUsed/>
    <w:rsid w:val="00C448E5"/>
    <w:rPr>
      <w:color w:val="605E5C"/>
      <w:shd w:val="clear" w:color="auto" w:fill="E1DFDD"/>
    </w:rPr>
  </w:style>
  <w:style w:type="character" w:styleId="FollowedHyperlink">
    <w:name w:val="FollowedHyperlink"/>
    <w:basedOn w:val="DefaultParagraphFont"/>
    <w:uiPriority w:val="99"/>
    <w:semiHidden/>
    <w:unhideWhenUsed/>
    <w:rsid w:val="005D0A8E"/>
    <w:rPr>
      <w:color w:val="96607D" w:themeColor="followedHyperlink"/>
      <w:u w:val="single"/>
    </w:rPr>
  </w:style>
  <w:style w:type="paragraph" w:styleId="Header">
    <w:name w:val="header"/>
    <w:basedOn w:val="Normal"/>
    <w:link w:val="HeaderChar"/>
    <w:uiPriority w:val="99"/>
    <w:unhideWhenUsed/>
    <w:rsid w:val="00120A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AE8"/>
  </w:style>
  <w:style w:type="paragraph" w:styleId="Footer">
    <w:name w:val="footer"/>
    <w:basedOn w:val="Normal"/>
    <w:link w:val="FooterChar"/>
    <w:uiPriority w:val="99"/>
    <w:unhideWhenUsed/>
    <w:rsid w:val="00120A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A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ivecor.com/" TargetMode="External"/><Relationship Id="rId13" Type="http://schemas.openxmlformats.org/officeDocument/2006/relationships/hyperlink" Target="https://doi.org/10.1016/S2589-7500(23)00092-4"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doi.org/10.2196/36414"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who.int/publications/i/item/9789241550505"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gov.uk/government/publications/a-plan-for-digital-health-and-social-care" TargetMode="External"/><Relationship Id="rId5" Type="http://schemas.openxmlformats.org/officeDocument/2006/relationships/endnotes" Target="endnotes.xml"/><Relationship Id="rId15" Type="http://schemas.openxmlformats.org/officeDocument/2006/relationships/hyperlink" Target="https://digital.nhs.uk/cyber-and-data-security/cyber-security-services/data-security-and-protection-toolkit" TargetMode="External"/><Relationship Id="rId10" Type="http://schemas.openxmlformats.org/officeDocument/2006/relationships/hyperlink" Target="https://store.alivecor.co.uk/products/kardiamobile?_gl=1*1hz1rxt*_gcl_au*MTQ4OTc1OTgyMi4xNzkyMzM3MTM4*_ga*MTE2OTU2NTUxMi4xNzkyMzM3MTM2*_ga_WHXPXB66N2*czE3OTIzNTg0MTAkbzIkZzAkdDE3OTIzNTg0MTAkajYwJGwwJGgw"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store.alivecor.co.uk/products/kardiamobile?_gl=1*1hz1rxt*_gcl_au*MTQ4OTc1OTgyMi4xNzkyMzM3MTM4*_ga*MTE2OTU2NTUxMi4xNzkyMzM3MTM2*_ga_WHXPXB66N2*czE3OTIzNTg0MTAkbzIkZzAkdDE3OTIzNTg0MTAkajYwJGwwJGgw" TargetMode="External"/><Relationship Id="rId14" Type="http://schemas.openxmlformats.org/officeDocument/2006/relationships/hyperlink" Target="https://www.england.nhs.uk/long-read/inclusive-digital-healthcare-a-framework-for-nhs-action-on-digital-inclu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155</TotalTime>
  <Pages>9</Pages>
  <Words>3105</Words>
  <Characters>17703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Qasim Hasan (2410267)</dc:creator>
  <cp:keywords/>
  <dc:description/>
  <cp:lastModifiedBy>Qasim Hasan (2410267)</cp:lastModifiedBy>
  <cp:revision>7</cp:revision>
  <dcterms:created xsi:type="dcterms:W3CDTF">2026-10-16T22:17:00Z</dcterms:created>
  <dcterms:modified xsi:type="dcterms:W3CDTF">2026-10-18T22:05:00Z</dcterms:modified>
</cp:coreProperties>
</file>