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2D15B7" w14:textId="5CA94DFC" w:rsidR="00006DC7" w:rsidRDefault="00FA6504" w:rsidP="00006DC7">
      <w:r>
        <w:rPr>
          <w:noProof/>
        </w:rPr>
        <w:drawing>
          <wp:inline distT="0" distB="0" distL="0" distR="0" wp14:anchorId="66219CC1" wp14:editId="32877AA5">
            <wp:extent cx="2625090" cy="933450"/>
            <wp:effectExtent l="0" t="0" r="3810" b="0"/>
            <wp:docPr id="2" name="Picture 1" descr="Project and Engagement Officer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Project and Engagement Officer at University of Wales, Trinity Saint David"/>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25090" cy="933450"/>
                    </a:xfrm>
                    <a:prstGeom prst="rect">
                      <a:avLst/>
                    </a:prstGeom>
                    <a:noFill/>
                    <a:ln>
                      <a:noFill/>
                    </a:ln>
                  </pic:spPr>
                </pic:pic>
              </a:graphicData>
            </a:graphic>
          </wp:inline>
        </w:drawing>
      </w:r>
    </w:p>
    <w:p w14:paraId="6A9C062A" w14:textId="77777777" w:rsidR="00FA6504" w:rsidRDefault="00FA6504" w:rsidP="00006DC7"/>
    <w:p w14:paraId="2B402BEA" w14:textId="77777777" w:rsidR="00FA6504" w:rsidRDefault="00FA6504" w:rsidP="00006DC7"/>
    <w:p w14:paraId="7FFF77B1" w14:textId="00C548DF" w:rsidR="00FA6504" w:rsidRDefault="00FA6504" w:rsidP="00FA6504">
      <w:pPr>
        <w:jc w:val="center"/>
        <w:rPr>
          <w:b/>
          <w:bCs/>
          <w:sz w:val="36"/>
          <w:szCs w:val="36"/>
        </w:rPr>
      </w:pPr>
      <w:r>
        <w:rPr>
          <w:b/>
          <w:bCs/>
          <w:sz w:val="36"/>
          <w:szCs w:val="36"/>
        </w:rPr>
        <w:t>BA Business Management</w:t>
      </w:r>
    </w:p>
    <w:p w14:paraId="4A459365" w14:textId="77777777" w:rsidR="00FA6504" w:rsidRDefault="00FA6504" w:rsidP="00FA6504">
      <w:pPr>
        <w:jc w:val="center"/>
        <w:rPr>
          <w:b/>
          <w:bCs/>
          <w:sz w:val="36"/>
          <w:szCs w:val="36"/>
        </w:rPr>
      </w:pPr>
    </w:p>
    <w:p w14:paraId="79A29A1B" w14:textId="77777777" w:rsidR="00FA6504" w:rsidRDefault="00FA6504" w:rsidP="00FA6504">
      <w:pPr>
        <w:jc w:val="center"/>
        <w:rPr>
          <w:b/>
          <w:bCs/>
          <w:sz w:val="36"/>
          <w:szCs w:val="36"/>
        </w:rPr>
      </w:pPr>
    </w:p>
    <w:p w14:paraId="67782C76" w14:textId="6AF7E94E" w:rsidR="00FA6504" w:rsidRPr="00FA6504" w:rsidRDefault="00FA6504" w:rsidP="00FA6504">
      <w:pPr>
        <w:jc w:val="left"/>
        <w:rPr>
          <w:sz w:val="28"/>
          <w:szCs w:val="28"/>
        </w:rPr>
      </w:pPr>
      <w:r>
        <w:rPr>
          <w:b/>
          <w:bCs/>
          <w:sz w:val="28"/>
          <w:szCs w:val="28"/>
        </w:rPr>
        <w:t xml:space="preserve">Module: </w:t>
      </w:r>
      <w:r>
        <w:rPr>
          <w:sz w:val="28"/>
          <w:szCs w:val="28"/>
        </w:rPr>
        <w:t>International Financial Management</w:t>
      </w:r>
    </w:p>
    <w:p w14:paraId="1B8A26D2" w14:textId="2AD0290A" w:rsidR="00FA6504" w:rsidRPr="00FA6504" w:rsidRDefault="00FA6504" w:rsidP="00FA6504">
      <w:pPr>
        <w:jc w:val="left"/>
        <w:rPr>
          <w:sz w:val="28"/>
          <w:szCs w:val="28"/>
        </w:rPr>
      </w:pPr>
      <w:r>
        <w:rPr>
          <w:b/>
          <w:bCs/>
          <w:sz w:val="28"/>
          <w:szCs w:val="28"/>
        </w:rPr>
        <w:t xml:space="preserve">Code: </w:t>
      </w:r>
      <w:r>
        <w:rPr>
          <w:sz w:val="28"/>
          <w:szCs w:val="28"/>
        </w:rPr>
        <w:t>LCBB6002</w:t>
      </w:r>
    </w:p>
    <w:p w14:paraId="5176EF60" w14:textId="62426F3D" w:rsidR="00FA6504" w:rsidRPr="00FA6504" w:rsidRDefault="00FA6504" w:rsidP="00FA6504">
      <w:pPr>
        <w:jc w:val="left"/>
        <w:rPr>
          <w:sz w:val="28"/>
          <w:szCs w:val="28"/>
        </w:rPr>
      </w:pPr>
      <w:r>
        <w:rPr>
          <w:b/>
          <w:bCs/>
          <w:sz w:val="28"/>
          <w:szCs w:val="28"/>
        </w:rPr>
        <w:t xml:space="preserve">Lecturer: </w:t>
      </w:r>
      <w:r>
        <w:rPr>
          <w:sz w:val="28"/>
          <w:szCs w:val="28"/>
        </w:rPr>
        <w:t>Riaz Bhatti</w:t>
      </w:r>
    </w:p>
    <w:p w14:paraId="601A230C" w14:textId="4C842416" w:rsidR="00FA6504" w:rsidRPr="00FA6504" w:rsidRDefault="00FA6504" w:rsidP="00FA6504">
      <w:pPr>
        <w:jc w:val="left"/>
        <w:rPr>
          <w:sz w:val="28"/>
          <w:szCs w:val="28"/>
        </w:rPr>
      </w:pPr>
      <w:r>
        <w:rPr>
          <w:b/>
          <w:bCs/>
          <w:sz w:val="28"/>
          <w:szCs w:val="28"/>
        </w:rPr>
        <w:t xml:space="preserve">Student name: </w:t>
      </w:r>
      <w:r>
        <w:rPr>
          <w:sz w:val="28"/>
          <w:szCs w:val="28"/>
        </w:rPr>
        <w:t>Mihai Zarnescu</w:t>
      </w:r>
    </w:p>
    <w:p w14:paraId="0C3BD85E" w14:textId="02AC581E" w:rsidR="00FA6504" w:rsidRPr="00FA6504" w:rsidRDefault="00FA6504" w:rsidP="00FA6504">
      <w:pPr>
        <w:jc w:val="left"/>
        <w:rPr>
          <w:sz w:val="28"/>
          <w:szCs w:val="28"/>
        </w:rPr>
      </w:pPr>
      <w:r>
        <w:rPr>
          <w:b/>
          <w:bCs/>
          <w:sz w:val="28"/>
          <w:szCs w:val="28"/>
        </w:rPr>
        <w:t>Student ID:</w:t>
      </w:r>
      <w:r>
        <w:rPr>
          <w:sz w:val="28"/>
          <w:szCs w:val="28"/>
        </w:rPr>
        <w:t xml:space="preserve"> 2133508</w:t>
      </w:r>
    </w:p>
    <w:p w14:paraId="67907318" w14:textId="77777777" w:rsidR="00741DFC" w:rsidRPr="008C779B" w:rsidRDefault="00741DFC" w:rsidP="00006DC7"/>
    <w:p w14:paraId="2C04A606" w14:textId="77777777" w:rsidR="00006DC7" w:rsidRPr="008C779B" w:rsidRDefault="00006DC7" w:rsidP="00006DC7"/>
    <w:p w14:paraId="0CE7CAAD" w14:textId="77777777" w:rsidR="00D75679" w:rsidRPr="008C779B" w:rsidRDefault="00D75679" w:rsidP="00006DC7"/>
    <w:p w14:paraId="22165379" w14:textId="77777777" w:rsidR="00D75679" w:rsidRPr="008C779B" w:rsidRDefault="00D75679" w:rsidP="00006DC7"/>
    <w:p w14:paraId="36A2CA24" w14:textId="77777777" w:rsidR="00D75679" w:rsidRPr="008C779B" w:rsidRDefault="00D75679" w:rsidP="00006DC7"/>
    <w:p w14:paraId="7002D408" w14:textId="77777777" w:rsidR="00D75679" w:rsidRPr="008C779B" w:rsidRDefault="00D75679" w:rsidP="00006DC7"/>
    <w:p w14:paraId="2BCBCE38" w14:textId="77777777" w:rsidR="00D75679" w:rsidRPr="008C779B" w:rsidRDefault="00D75679" w:rsidP="00006DC7"/>
    <w:p w14:paraId="4FC6BE40" w14:textId="335700F0" w:rsidR="00006DC7" w:rsidRPr="008C779B" w:rsidRDefault="00006DC7" w:rsidP="00006DC7">
      <w:r w:rsidRPr="008C779B">
        <w:br w:type="page"/>
      </w:r>
    </w:p>
    <w:sdt>
      <w:sdtPr>
        <w:rPr>
          <w:rFonts w:eastAsiaTheme="minorEastAsia" w:cstheme="minorBidi"/>
          <w:sz w:val="22"/>
          <w:szCs w:val="22"/>
          <w:lang w:val="en-GB" w:eastAsia="en-GB"/>
        </w:rPr>
        <w:id w:val="-1213423594"/>
        <w:docPartObj>
          <w:docPartGallery w:val="Table of Contents"/>
          <w:docPartUnique/>
        </w:docPartObj>
      </w:sdtPr>
      <w:sdtEndPr>
        <w:rPr>
          <w:noProof/>
          <w:sz w:val="24"/>
          <w:szCs w:val="24"/>
        </w:rPr>
      </w:sdtEndPr>
      <w:sdtContent>
        <w:p w14:paraId="167D730C" w14:textId="2C32A97E" w:rsidR="00E40D27" w:rsidRPr="008C779B" w:rsidRDefault="00E40D27" w:rsidP="00CD7509">
          <w:pPr>
            <w:pStyle w:val="TOCHeading"/>
            <w:rPr>
              <w:b/>
              <w:bCs/>
              <w:lang w:val="en-GB"/>
            </w:rPr>
          </w:pPr>
          <w:r w:rsidRPr="008C779B">
            <w:rPr>
              <w:b/>
              <w:bCs/>
              <w:lang w:val="en-GB"/>
            </w:rPr>
            <w:t>Table of Contents</w:t>
          </w:r>
        </w:p>
        <w:p w14:paraId="68BB2448" w14:textId="31F1E0DD" w:rsidR="009E70B6" w:rsidRDefault="00E40D27">
          <w:pPr>
            <w:pStyle w:val="TOC1"/>
            <w:rPr>
              <w:rFonts w:asciiTheme="minorHAnsi" w:hAnsiTheme="minorHAnsi"/>
              <w:noProof/>
              <w:kern w:val="2"/>
              <w:szCs w:val="24"/>
              <w:lang w:val="en-US" w:eastAsia="en-US"/>
              <w14:ligatures w14:val="standardContextual"/>
            </w:rPr>
          </w:pPr>
          <w:r w:rsidRPr="008C779B">
            <w:rPr>
              <w:rFonts w:cs="Times New Roman"/>
              <w:szCs w:val="24"/>
            </w:rPr>
            <w:fldChar w:fldCharType="begin"/>
          </w:r>
          <w:r w:rsidRPr="008C779B">
            <w:rPr>
              <w:rFonts w:cs="Times New Roman"/>
              <w:szCs w:val="24"/>
            </w:rPr>
            <w:instrText xml:space="preserve"> TOC \o "1-3" \h \z \u </w:instrText>
          </w:r>
          <w:r w:rsidRPr="008C779B">
            <w:rPr>
              <w:rFonts w:cs="Times New Roman"/>
              <w:szCs w:val="24"/>
            </w:rPr>
            <w:fldChar w:fldCharType="separate"/>
          </w:r>
          <w:hyperlink w:anchor="_Toc171807567" w:history="1">
            <w:r w:rsidR="009E70B6" w:rsidRPr="00E01006">
              <w:rPr>
                <w:rStyle w:val="Hyperlink"/>
                <w:noProof/>
              </w:rPr>
              <w:t>Introduction</w:t>
            </w:r>
            <w:r w:rsidR="009E70B6">
              <w:rPr>
                <w:noProof/>
                <w:webHidden/>
              </w:rPr>
              <w:tab/>
            </w:r>
            <w:r w:rsidR="009E70B6">
              <w:rPr>
                <w:noProof/>
                <w:webHidden/>
              </w:rPr>
              <w:fldChar w:fldCharType="begin"/>
            </w:r>
            <w:r w:rsidR="009E70B6">
              <w:rPr>
                <w:noProof/>
                <w:webHidden/>
              </w:rPr>
              <w:instrText xml:space="preserve"> PAGEREF _Toc171807567 \h </w:instrText>
            </w:r>
            <w:r w:rsidR="009E70B6">
              <w:rPr>
                <w:noProof/>
                <w:webHidden/>
              </w:rPr>
            </w:r>
            <w:r w:rsidR="009E70B6">
              <w:rPr>
                <w:noProof/>
                <w:webHidden/>
              </w:rPr>
              <w:fldChar w:fldCharType="separate"/>
            </w:r>
            <w:r w:rsidR="00FA6504">
              <w:rPr>
                <w:noProof/>
                <w:webHidden/>
              </w:rPr>
              <w:t>2</w:t>
            </w:r>
            <w:r w:rsidR="009E70B6">
              <w:rPr>
                <w:noProof/>
                <w:webHidden/>
              </w:rPr>
              <w:fldChar w:fldCharType="end"/>
            </w:r>
          </w:hyperlink>
        </w:p>
        <w:p w14:paraId="6E6BD1FE" w14:textId="71C14D54" w:rsidR="009E70B6" w:rsidRDefault="00000000">
          <w:pPr>
            <w:pStyle w:val="TOC1"/>
            <w:rPr>
              <w:rFonts w:asciiTheme="minorHAnsi" w:hAnsiTheme="minorHAnsi"/>
              <w:noProof/>
              <w:kern w:val="2"/>
              <w:szCs w:val="24"/>
              <w:lang w:val="en-US" w:eastAsia="en-US"/>
              <w14:ligatures w14:val="standardContextual"/>
            </w:rPr>
          </w:pPr>
          <w:hyperlink w:anchor="_Toc171807568" w:history="1">
            <w:r w:rsidR="009E70B6" w:rsidRPr="00E01006">
              <w:rPr>
                <w:rStyle w:val="Hyperlink"/>
                <w:noProof/>
              </w:rPr>
              <w:t>Understanding Foreign Exchange Risks</w:t>
            </w:r>
            <w:r w:rsidR="009E70B6">
              <w:rPr>
                <w:noProof/>
                <w:webHidden/>
              </w:rPr>
              <w:tab/>
            </w:r>
            <w:r w:rsidR="009E70B6">
              <w:rPr>
                <w:noProof/>
                <w:webHidden/>
              </w:rPr>
              <w:fldChar w:fldCharType="begin"/>
            </w:r>
            <w:r w:rsidR="009E70B6">
              <w:rPr>
                <w:noProof/>
                <w:webHidden/>
              </w:rPr>
              <w:instrText xml:space="preserve"> PAGEREF _Toc171807568 \h </w:instrText>
            </w:r>
            <w:r w:rsidR="009E70B6">
              <w:rPr>
                <w:noProof/>
                <w:webHidden/>
              </w:rPr>
            </w:r>
            <w:r w:rsidR="009E70B6">
              <w:rPr>
                <w:noProof/>
                <w:webHidden/>
              </w:rPr>
              <w:fldChar w:fldCharType="separate"/>
            </w:r>
            <w:r w:rsidR="00FA6504">
              <w:rPr>
                <w:noProof/>
                <w:webHidden/>
              </w:rPr>
              <w:t>3</w:t>
            </w:r>
            <w:r w:rsidR="009E70B6">
              <w:rPr>
                <w:noProof/>
                <w:webHidden/>
              </w:rPr>
              <w:fldChar w:fldCharType="end"/>
            </w:r>
          </w:hyperlink>
        </w:p>
        <w:p w14:paraId="396401E6" w14:textId="4896BA89" w:rsidR="009E70B6" w:rsidRDefault="00000000">
          <w:pPr>
            <w:pStyle w:val="TOC1"/>
            <w:rPr>
              <w:rFonts w:asciiTheme="minorHAnsi" w:hAnsiTheme="minorHAnsi"/>
              <w:noProof/>
              <w:kern w:val="2"/>
              <w:szCs w:val="24"/>
              <w:lang w:val="en-US" w:eastAsia="en-US"/>
              <w14:ligatures w14:val="standardContextual"/>
            </w:rPr>
          </w:pPr>
          <w:hyperlink w:anchor="_Toc171807569" w:history="1">
            <w:r w:rsidR="009E70B6" w:rsidRPr="00E01006">
              <w:rPr>
                <w:rStyle w:val="Hyperlink"/>
                <w:noProof/>
              </w:rPr>
              <w:t>Strategies for Managing Foreign Exchange Risks</w:t>
            </w:r>
            <w:r w:rsidR="009E70B6">
              <w:rPr>
                <w:noProof/>
                <w:webHidden/>
              </w:rPr>
              <w:tab/>
            </w:r>
            <w:r w:rsidR="009E70B6">
              <w:rPr>
                <w:noProof/>
                <w:webHidden/>
              </w:rPr>
              <w:fldChar w:fldCharType="begin"/>
            </w:r>
            <w:r w:rsidR="009E70B6">
              <w:rPr>
                <w:noProof/>
                <w:webHidden/>
              </w:rPr>
              <w:instrText xml:space="preserve"> PAGEREF _Toc171807569 \h </w:instrText>
            </w:r>
            <w:r w:rsidR="009E70B6">
              <w:rPr>
                <w:noProof/>
                <w:webHidden/>
              </w:rPr>
            </w:r>
            <w:r w:rsidR="009E70B6">
              <w:rPr>
                <w:noProof/>
                <w:webHidden/>
              </w:rPr>
              <w:fldChar w:fldCharType="separate"/>
            </w:r>
            <w:r w:rsidR="00FA6504">
              <w:rPr>
                <w:noProof/>
                <w:webHidden/>
              </w:rPr>
              <w:t>4</w:t>
            </w:r>
            <w:r w:rsidR="009E70B6">
              <w:rPr>
                <w:noProof/>
                <w:webHidden/>
              </w:rPr>
              <w:fldChar w:fldCharType="end"/>
            </w:r>
          </w:hyperlink>
        </w:p>
        <w:p w14:paraId="4CA99B83" w14:textId="41BFB39F" w:rsidR="009E70B6" w:rsidRDefault="00000000">
          <w:pPr>
            <w:pStyle w:val="TOC1"/>
            <w:rPr>
              <w:rFonts w:asciiTheme="minorHAnsi" w:hAnsiTheme="minorHAnsi"/>
              <w:noProof/>
              <w:kern w:val="2"/>
              <w:szCs w:val="24"/>
              <w:lang w:val="en-US" w:eastAsia="en-US"/>
              <w14:ligatures w14:val="standardContextual"/>
            </w:rPr>
          </w:pPr>
          <w:hyperlink w:anchor="_Toc171807570" w:history="1">
            <w:r w:rsidR="009E70B6" w:rsidRPr="00E01006">
              <w:rPr>
                <w:rStyle w:val="Hyperlink"/>
                <w:noProof/>
              </w:rPr>
              <w:t>Critical Analysis of Hedging Strategies</w:t>
            </w:r>
            <w:r w:rsidR="009E70B6">
              <w:rPr>
                <w:noProof/>
                <w:webHidden/>
              </w:rPr>
              <w:tab/>
            </w:r>
            <w:r w:rsidR="009E70B6">
              <w:rPr>
                <w:noProof/>
                <w:webHidden/>
              </w:rPr>
              <w:fldChar w:fldCharType="begin"/>
            </w:r>
            <w:r w:rsidR="009E70B6">
              <w:rPr>
                <w:noProof/>
                <w:webHidden/>
              </w:rPr>
              <w:instrText xml:space="preserve"> PAGEREF _Toc171807570 \h </w:instrText>
            </w:r>
            <w:r w:rsidR="009E70B6">
              <w:rPr>
                <w:noProof/>
                <w:webHidden/>
              </w:rPr>
            </w:r>
            <w:r w:rsidR="009E70B6">
              <w:rPr>
                <w:noProof/>
                <w:webHidden/>
              </w:rPr>
              <w:fldChar w:fldCharType="separate"/>
            </w:r>
            <w:r w:rsidR="00FA6504">
              <w:rPr>
                <w:noProof/>
                <w:webHidden/>
              </w:rPr>
              <w:t>7</w:t>
            </w:r>
            <w:r w:rsidR="009E70B6">
              <w:rPr>
                <w:noProof/>
                <w:webHidden/>
              </w:rPr>
              <w:fldChar w:fldCharType="end"/>
            </w:r>
          </w:hyperlink>
        </w:p>
        <w:p w14:paraId="21BFCAF5" w14:textId="59C7F823" w:rsidR="009E70B6" w:rsidRDefault="00000000">
          <w:pPr>
            <w:pStyle w:val="TOC1"/>
            <w:rPr>
              <w:rFonts w:asciiTheme="minorHAnsi" w:hAnsiTheme="minorHAnsi"/>
              <w:noProof/>
              <w:kern w:val="2"/>
              <w:szCs w:val="24"/>
              <w:lang w:val="en-US" w:eastAsia="en-US"/>
              <w14:ligatures w14:val="standardContextual"/>
            </w:rPr>
          </w:pPr>
          <w:hyperlink w:anchor="_Toc171807571" w:history="1">
            <w:r w:rsidR="009E70B6" w:rsidRPr="00E01006">
              <w:rPr>
                <w:rStyle w:val="Hyperlink"/>
                <w:noProof/>
              </w:rPr>
              <w:t>Conclusion</w:t>
            </w:r>
            <w:r w:rsidR="009E70B6">
              <w:rPr>
                <w:noProof/>
                <w:webHidden/>
              </w:rPr>
              <w:tab/>
            </w:r>
            <w:r w:rsidR="009E70B6">
              <w:rPr>
                <w:noProof/>
                <w:webHidden/>
              </w:rPr>
              <w:fldChar w:fldCharType="begin"/>
            </w:r>
            <w:r w:rsidR="009E70B6">
              <w:rPr>
                <w:noProof/>
                <w:webHidden/>
              </w:rPr>
              <w:instrText xml:space="preserve"> PAGEREF _Toc171807571 \h </w:instrText>
            </w:r>
            <w:r w:rsidR="009E70B6">
              <w:rPr>
                <w:noProof/>
                <w:webHidden/>
              </w:rPr>
            </w:r>
            <w:r w:rsidR="009E70B6">
              <w:rPr>
                <w:noProof/>
                <w:webHidden/>
              </w:rPr>
              <w:fldChar w:fldCharType="separate"/>
            </w:r>
            <w:r w:rsidR="00FA6504">
              <w:rPr>
                <w:noProof/>
                <w:webHidden/>
              </w:rPr>
              <w:t>9</w:t>
            </w:r>
            <w:r w:rsidR="009E70B6">
              <w:rPr>
                <w:noProof/>
                <w:webHidden/>
              </w:rPr>
              <w:fldChar w:fldCharType="end"/>
            </w:r>
          </w:hyperlink>
        </w:p>
        <w:p w14:paraId="55D9CEBA" w14:textId="046353DF" w:rsidR="009E70B6" w:rsidRDefault="00000000">
          <w:pPr>
            <w:pStyle w:val="TOC1"/>
            <w:rPr>
              <w:rFonts w:asciiTheme="minorHAnsi" w:hAnsiTheme="minorHAnsi"/>
              <w:noProof/>
              <w:kern w:val="2"/>
              <w:szCs w:val="24"/>
              <w:lang w:val="en-US" w:eastAsia="en-US"/>
              <w14:ligatures w14:val="standardContextual"/>
            </w:rPr>
          </w:pPr>
          <w:hyperlink w:anchor="_Toc171807572" w:history="1">
            <w:r w:rsidR="009E70B6" w:rsidRPr="00E01006">
              <w:rPr>
                <w:rStyle w:val="Hyperlink"/>
                <w:noProof/>
              </w:rPr>
              <w:t>References</w:t>
            </w:r>
            <w:r w:rsidR="009E70B6">
              <w:rPr>
                <w:noProof/>
                <w:webHidden/>
              </w:rPr>
              <w:tab/>
            </w:r>
            <w:r w:rsidR="009E70B6">
              <w:rPr>
                <w:noProof/>
                <w:webHidden/>
              </w:rPr>
              <w:fldChar w:fldCharType="begin"/>
            </w:r>
            <w:r w:rsidR="009E70B6">
              <w:rPr>
                <w:noProof/>
                <w:webHidden/>
              </w:rPr>
              <w:instrText xml:space="preserve"> PAGEREF _Toc171807572 \h </w:instrText>
            </w:r>
            <w:r w:rsidR="009E70B6">
              <w:rPr>
                <w:noProof/>
                <w:webHidden/>
              </w:rPr>
            </w:r>
            <w:r w:rsidR="009E70B6">
              <w:rPr>
                <w:noProof/>
                <w:webHidden/>
              </w:rPr>
              <w:fldChar w:fldCharType="separate"/>
            </w:r>
            <w:r w:rsidR="00FA6504">
              <w:rPr>
                <w:noProof/>
                <w:webHidden/>
              </w:rPr>
              <w:t>10</w:t>
            </w:r>
            <w:r w:rsidR="009E70B6">
              <w:rPr>
                <w:noProof/>
                <w:webHidden/>
              </w:rPr>
              <w:fldChar w:fldCharType="end"/>
            </w:r>
          </w:hyperlink>
        </w:p>
        <w:p w14:paraId="037F969B" w14:textId="1FDC987A" w:rsidR="00E40D27" w:rsidRPr="008C779B" w:rsidRDefault="00E40D27" w:rsidP="00C27418">
          <w:pPr>
            <w:rPr>
              <w:rFonts w:cs="Times New Roman"/>
              <w:noProof/>
              <w:szCs w:val="24"/>
            </w:rPr>
          </w:pPr>
          <w:r w:rsidRPr="008C779B">
            <w:rPr>
              <w:rFonts w:cs="Times New Roman"/>
              <w:noProof/>
              <w:szCs w:val="24"/>
            </w:rPr>
            <w:fldChar w:fldCharType="end"/>
          </w:r>
        </w:p>
      </w:sdtContent>
    </w:sdt>
    <w:p w14:paraId="50C17A8B" w14:textId="77777777" w:rsidR="00B11360" w:rsidRPr="008C779B" w:rsidRDefault="00B11360" w:rsidP="001D42A2"/>
    <w:p w14:paraId="29871637" w14:textId="77777777" w:rsidR="00B11360" w:rsidRPr="008C779B" w:rsidRDefault="00B11360" w:rsidP="00B11360">
      <w:pPr>
        <w:rPr>
          <w:rFonts w:eastAsiaTheme="majorEastAsia"/>
          <w:sz w:val="32"/>
          <w:szCs w:val="32"/>
        </w:rPr>
      </w:pPr>
      <w:r w:rsidRPr="008C779B">
        <w:br w:type="page"/>
      </w:r>
    </w:p>
    <w:p w14:paraId="5636D503" w14:textId="77777777" w:rsidR="00EB3A2B" w:rsidRPr="008C779B" w:rsidRDefault="008740CD" w:rsidP="00EB3A2B">
      <w:pPr>
        <w:pStyle w:val="Heading1"/>
      </w:pPr>
      <w:bookmarkStart w:id="0" w:name="_Toc171807567"/>
      <w:r w:rsidRPr="008C779B">
        <w:lastRenderedPageBreak/>
        <w:t>Introduction</w:t>
      </w:r>
      <w:bookmarkEnd w:id="0"/>
    </w:p>
    <w:p w14:paraId="4941F3C9" w14:textId="597ADEE3" w:rsidR="00EB74F0" w:rsidRPr="00EB74F0" w:rsidRDefault="00EB74F0" w:rsidP="00EB74F0">
      <w:r w:rsidRPr="00EB74F0">
        <w:t xml:space="preserve">Multinational companies (MNCs) struggle with managing foreign exchange (FX) risks for several reasons. Currency fluctuations may adversely impact a company's bottom line if it advances its business internationally. This report analyses the ways that multinational companies (MNCs) deal with the risk associated with foreign exchange by using theories and real-life examples from the field of international financial management. </w:t>
      </w:r>
      <w:r w:rsidR="00A862C2">
        <w:t xml:space="preserve">In addition, it will offer findings on what will be the best strategy for managing foreign exchange risks effectively for MNCs. </w:t>
      </w:r>
    </w:p>
    <w:p w14:paraId="5970F6CE" w14:textId="77777777" w:rsidR="00352747" w:rsidRPr="008C779B" w:rsidRDefault="00352747" w:rsidP="004C1CE6"/>
    <w:p w14:paraId="216853DB" w14:textId="77777777" w:rsidR="00352747" w:rsidRPr="008C779B" w:rsidRDefault="00352747" w:rsidP="004C1CE6"/>
    <w:p w14:paraId="6E11D290" w14:textId="77777777" w:rsidR="00352747" w:rsidRPr="008C779B" w:rsidRDefault="00352747" w:rsidP="004C1CE6"/>
    <w:p w14:paraId="528E1678" w14:textId="3A65CA62" w:rsidR="008C30C4" w:rsidRPr="008C779B" w:rsidRDefault="008C30C4" w:rsidP="004C1CE6">
      <w:r w:rsidRPr="008C779B">
        <w:br w:type="page"/>
      </w:r>
    </w:p>
    <w:p w14:paraId="26FAB13A" w14:textId="7AF995C9" w:rsidR="004C0096" w:rsidRDefault="004C0096" w:rsidP="003431B9">
      <w:pPr>
        <w:pStyle w:val="Heading1"/>
      </w:pPr>
      <w:bookmarkStart w:id="1" w:name="_Toc171807568"/>
      <w:r w:rsidRPr="008C779B">
        <w:lastRenderedPageBreak/>
        <w:t>Understanding Foreign Exchange Risks</w:t>
      </w:r>
      <w:bookmarkEnd w:id="1"/>
    </w:p>
    <w:p w14:paraId="2F89FF11" w14:textId="53F15FC4" w:rsidR="0087533D" w:rsidRDefault="0087533D" w:rsidP="0087533D">
      <w:r>
        <w:t>There are several types of foreign exchange risks that Multinational companies face while operating their business in foreign countries.</w:t>
      </w:r>
      <w:r w:rsidR="000A17C2">
        <w:t xml:space="preserve"> These are as follows:</w:t>
      </w:r>
    </w:p>
    <w:p w14:paraId="317161FC" w14:textId="63890F7E" w:rsidR="008474FB" w:rsidRDefault="008474FB" w:rsidP="008474FB">
      <w:pPr>
        <w:jc w:val="center"/>
      </w:pPr>
      <w:r>
        <w:rPr>
          <w:noProof/>
        </w:rPr>
        <w:drawing>
          <wp:inline distT="0" distB="0" distL="0" distR="0" wp14:anchorId="1C243416" wp14:editId="3B95A654">
            <wp:extent cx="4609421" cy="2329132"/>
            <wp:effectExtent l="0" t="0" r="1270" b="0"/>
            <wp:docPr id="423148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148896" name="Picture 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4610482" cy="2329668"/>
                    </a:xfrm>
                    <a:prstGeom prst="rect">
                      <a:avLst/>
                    </a:prstGeom>
                    <a:ln>
                      <a:noFill/>
                    </a:ln>
                    <a:extLst>
                      <a:ext uri="{53640926-AAD7-44D8-BBD7-CCE9431645EC}">
                        <a14:shadowObscured xmlns:a14="http://schemas.microsoft.com/office/drawing/2010/main"/>
                      </a:ext>
                    </a:extLst>
                  </pic:spPr>
                </pic:pic>
              </a:graphicData>
            </a:graphic>
          </wp:inline>
        </w:drawing>
      </w:r>
    </w:p>
    <w:p w14:paraId="57415FEE" w14:textId="33F95F0E" w:rsidR="008474FB" w:rsidRDefault="008474FB" w:rsidP="008474FB">
      <w:pPr>
        <w:jc w:val="center"/>
      </w:pPr>
      <w:r w:rsidRPr="00A51FFC">
        <w:rPr>
          <w:b/>
          <w:bCs/>
        </w:rPr>
        <w:t>Figure 1:</w:t>
      </w:r>
      <w:r>
        <w:t xml:space="preserve"> </w:t>
      </w:r>
      <w:r w:rsidR="003A2476">
        <w:t>Types of Foreign Currency Risks</w:t>
      </w:r>
    </w:p>
    <w:p w14:paraId="6EB0225A" w14:textId="7A6E6B3D" w:rsidR="003A2476" w:rsidRPr="0087533D" w:rsidRDefault="003A2476" w:rsidP="008474FB">
      <w:pPr>
        <w:jc w:val="center"/>
      </w:pPr>
      <w:r w:rsidRPr="00A51FFC">
        <w:rPr>
          <w:b/>
          <w:bCs/>
        </w:rPr>
        <w:t>Source:</w:t>
      </w:r>
      <w:r>
        <w:t xml:space="preserve"> </w:t>
      </w:r>
      <w:r w:rsidR="00FC70B2">
        <w:t>(Bodnar et al., 2017)</w:t>
      </w:r>
    </w:p>
    <w:p w14:paraId="3C570FCE" w14:textId="5F0A92BD" w:rsidR="00CA6C00" w:rsidRDefault="004C0096" w:rsidP="00E90BFD">
      <w:r w:rsidRPr="000A53CD">
        <w:rPr>
          <w:b/>
          <w:bCs/>
        </w:rPr>
        <w:t>Transaction Risk:</w:t>
      </w:r>
      <w:r w:rsidR="0087533D" w:rsidRPr="000A53CD">
        <w:rPr>
          <w:b/>
          <w:bCs/>
        </w:rPr>
        <w:t xml:space="preserve"> </w:t>
      </w:r>
      <w:r w:rsidR="00CA6C00">
        <w:t>Changes in exchange rates can affect the value of cash flows denominated with foreign currency. A U.S. company that expects to get €1 million in three months may see the value of this debt go down because the euro is losing value. According to Bodnar et al. (</w:t>
      </w:r>
      <w:r w:rsidR="00BA6F3E">
        <w:t>2017</w:t>
      </w:r>
      <w:r w:rsidR="00CA6C00">
        <w:t>), 83% of U.S. companies made managing these kinds of contracts a top priority as an important part of their currency risk strategies.</w:t>
      </w:r>
    </w:p>
    <w:p w14:paraId="51827B76" w14:textId="21A0420A" w:rsidR="00CA6C00" w:rsidRPr="00CA6C00" w:rsidRDefault="004C0096" w:rsidP="00E90BFD">
      <w:r w:rsidRPr="00CA6C00">
        <w:rPr>
          <w:b/>
          <w:bCs/>
        </w:rPr>
        <w:t>Translation Risk:</w:t>
      </w:r>
      <w:r w:rsidR="003B75E8" w:rsidRPr="00CA6C00">
        <w:rPr>
          <w:b/>
          <w:bCs/>
        </w:rPr>
        <w:t xml:space="preserve"> </w:t>
      </w:r>
      <w:r w:rsidR="00CA6C00" w:rsidRPr="00CA6C00">
        <w:t>Translation risk, which is also known as accounting exposure, is the risk that a parent company faces when it changes the financial statements of its foreign subsidiaries into the currency that it uses for banking. According to a study by Hutson and Stevenson (201</w:t>
      </w:r>
      <w:r w:rsidR="00BA6F3E">
        <w:t>5</w:t>
      </w:r>
      <w:r w:rsidR="00CA6C00" w:rsidRPr="00CA6C00">
        <w:t>) that examined 953 European companies, this risk was more common in companies that did a lot of business with other countries. Their results showed how complicated translation vulnerability is by showing that when these companies' home currencies lost 1% of their value, their company values went up by an average of 0.5%.</w:t>
      </w:r>
    </w:p>
    <w:p w14:paraId="6A01AA52" w14:textId="1D48A494" w:rsidR="006B2E5A" w:rsidRPr="006B2E5A" w:rsidRDefault="004C0096" w:rsidP="00E90BFD">
      <w:r w:rsidRPr="006B2E5A">
        <w:rPr>
          <w:b/>
          <w:bCs/>
        </w:rPr>
        <w:t>Economic Risk:</w:t>
      </w:r>
      <w:r w:rsidR="00ED292C" w:rsidRPr="006B2E5A">
        <w:rPr>
          <w:b/>
          <w:bCs/>
        </w:rPr>
        <w:t xml:space="preserve"> </w:t>
      </w:r>
      <w:r w:rsidR="006B2E5A" w:rsidRPr="006B2E5A">
        <w:t>This comprehensive risk includes the chance that changing exchange rates will make it harder for a business to succeed in the long run. As an example, a regularly strong yen could make Japanese exporters less competitive around the world. According to Dominguez and Tesar (20</w:t>
      </w:r>
      <w:r w:rsidR="00BA6F3E">
        <w:t>1</w:t>
      </w:r>
      <w:r w:rsidR="006B2E5A" w:rsidRPr="006B2E5A">
        <w:t xml:space="preserve">6), about 40% of businesses in eight non-U.S. markets were very </w:t>
      </w:r>
      <w:r w:rsidR="006B2E5A" w:rsidRPr="006B2E5A">
        <w:lastRenderedPageBreak/>
        <w:t>vulnerable to changes in exchange rates. These businesses were mostly small and in the industrial and service industries.</w:t>
      </w:r>
    </w:p>
    <w:p w14:paraId="318BD3CD" w14:textId="77777777" w:rsidR="008445CC" w:rsidRPr="008C779B" w:rsidRDefault="008445CC" w:rsidP="004C0096"/>
    <w:p w14:paraId="1828A1B1" w14:textId="77777777" w:rsidR="00692B7A" w:rsidRPr="008C779B" w:rsidRDefault="00692B7A" w:rsidP="009C7346">
      <w:pPr>
        <w:pStyle w:val="Heading1"/>
      </w:pPr>
      <w:bookmarkStart w:id="2" w:name="_Toc171807569"/>
      <w:r w:rsidRPr="008C779B">
        <w:t>Strategies for Managing Foreign Exchange Risks</w:t>
      </w:r>
      <w:bookmarkEnd w:id="2"/>
    </w:p>
    <w:p w14:paraId="69CFC34A" w14:textId="77777777" w:rsidR="00692B7A" w:rsidRPr="008C779B" w:rsidRDefault="00692B7A" w:rsidP="00692B7A">
      <w:r w:rsidRPr="008C779B">
        <w:rPr>
          <w:b/>
          <w:bCs/>
        </w:rPr>
        <w:t>1. Internal Hedging Techniques</w:t>
      </w:r>
    </w:p>
    <w:p w14:paraId="42C83057" w14:textId="58FFB149" w:rsidR="004400E5" w:rsidRPr="008C779B" w:rsidRDefault="00692B7A" w:rsidP="004400E5">
      <w:r w:rsidRPr="008C779B">
        <w:rPr>
          <w:b/>
          <w:bCs/>
        </w:rPr>
        <w:t>a. Natural Hedging:</w:t>
      </w:r>
      <w:r w:rsidR="00C6136D">
        <w:rPr>
          <w:b/>
          <w:bCs/>
        </w:rPr>
        <w:t xml:space="preserve"> </w:t>
      </w:r>
      <w:r w:rsidR="00B15F98" w:rsidRPr="008C779B">
        <w:t xml:space="preserve">Natural hedging makes a balance sheet hedge by structuring a business's operations to match its foreign currency inflows and outflows. </w:t>
      </w:r>
      <w:r w:rsidR="004400E5" w:rsidRPr="008C779B">
        <w:t xml:space="preserve">This method can greatly lower the risks that come with transactions and translations. A well-known company that uses natural hedging successfully is Honda Motor Company. In the 1980s, when the yen was stronger against the dollar, Honda moved its cost base to match its revenue stream by establishing manufacturing facilities in the US. According to the 2016 Honda Annual Report, the company was able to lower its exchange risk by a large amount by manufacturing over 70% of its cars in North America. </w:t>
      </w:r>
      <w:proofErr w:type="spellStart"/>
      <w:r w:rsidR="004400E5" w:rsidRPr="008C779B">
        <w:t>Pantzalis</w:t>
      </w:r>
      <w:proofErr w:type="spellEnd"/>
      <w:r w:rsidR="004400E5" w:rsidRPr="008C779B">
        <w:t xml:space="preserve"> et al. (201</w:t>
      </w:r>
      <w:r w:rsidR="005A2F70">
        <w:t>8</w:t>
      </w:r>
      <w:r w:rsidR="004400E5" w:rsidRPr="008C779B">
        <w:t>) studied 220 US multinational businesses and found that the quartile of companies with 17 or more countries of operation had 30–40% less exchange rate risk than the quartile of companies with 5 or fewer countries of operation.</w:t>
      </w:r>
    </w:p>
    <w:p w14:paraId="6B9F4186" w14:textId="7C07BE7F" w:rsidR="00AE2FA1" w:rsidRDefault="00692B7A" w:rsidP="00AE2FA1">
      <w:r w:rsidRPr="008C779B">
        <w:rPr>
          <w:b/>
          <w:bCs/>
        </w:rPr>
        <w:t>b. Leading and Lagging:</w:t>
      </w:r>
      <w:r w:rsidR="001A6007">
        <w:rPr>
          <w:b/>
          <w:bCs/>
        </w:rPr>
        <w:t xml:space="preserve"> </w:t>
      </w:r>
      <w:r w:rsidR="00AE2FA1" w:rsidRPr="008C779B">
        <w:t>Leading and lagging refer to adjusting the timing of foreign currency payments and receipts based on expected changes in exchange rates. This strategy can be very helpful for controlling the exposure to short-term transactions. When the Brazilian real was volatile, Brazilian company Vale SA utilised this strategy to deal with the risks. Vale was able to handle its exposure to the declining local currency in 2015 by delaying real-denominated expenses and speeding up sales of iron ore that were paid for in dollars (Vale Financial Statements, 2015).</w:t>
      </w:r>
    </w:p>
    <w:p w14:paraId="10D22C52" w14:textId="77777777" w:rsidR="00FA6504" w:rsidRDefault="00FA6504" w:rsidP="00AE2FA1"/>
    <w:p w14:paraId="5E69FE28" w14:textId="77777777" w:rsidR="00FA6504" w:rsidRDefault="00FA6504" w:rsidP="00AE2FA1"/>
    <w:p w14:paraId="20FE5178" w14:textId="77777777" w:rsidR="00FA6504" w:rsidRDefault="00FA6504" w:rsidP="00AE2FA1"/>
    <w:p w14:paraId="1FDF9FB7" w14:textId="77777777" w:rsidR="00FA6504" w:rsidRDefault="00FA6504" w:rsidP="00AE2FA1"/>
    <w:p w14:paraId="316353FE" w14:textId="77777777" w:rsidR="00FA6504" w:rsidRDefault="00FA6504" w:rsidP="00AE2FA1"/>
    <w:p w14:paraId="0F032B96" w14:textId="77777777" w:rsidR="00FA6504" w:rsidRPr="008C779B" w:rsidRDefault="00FA6504" w:rsidP="00AE2FA1"/>
    <w:p w14:paraId="18A66226" w14:textId="77777777" w:rsidR="00692B7A" w:rsidRDefault="00692B7A" w:rsidP="00692B7A">
      <w:pPr>
        <w:rPr>
          <w:b/>
          <w:bCs/>
        </w:rPr>
      </w:pPr>
      <w:r w:rsidRPr="008C779B">
        <w:rPr>
          <w:b/>
          <w:bCs/>
        </w:rPr>
        <w:lastRenderedPageBreak/>
        <w:t>2. External Hedging Techniques</w:t>
      </w:r>
    </w:p>
    <w:p w14:paraId="6BF15C45" w14:textId="4ADE53A6" w:rsidR="00D13D0F" w:rsidRDefault="00C408A6" w:rsidP="00D13D0F">
      <w:pPr>
        <w:jc w:val="center"/>
      </w:pPr>
      <w:r>
        <w:rPr>
          <w:noProof/>
        </w:rPr>
        <w:drawing>
          <wp:inline distT="0" distB="0" distL="0" distR="0" wp14:anchorId="4E3BEE41" wp14:editId="53749C1B">
            <wp:extent cx="3939540" cy="2696255"/>
            <wp:effectExtent l="0" t="0" r="3810" b="8890"/>
            <wp:docPr id="376795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795133" name="Picture 376795133"/>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3941676" cy="2697717"/>
                    </a:xfrm>
                    <a:prstGeom prst="rect">
                      <a:avLst/>
                    </a:prstGeom>
                    <a:ln>
                      <a:noFill/>
                    </a:ln>
                    <a:extLst>
                      <a:ext uri="{53640926-AAD7-44D8-BBD7-CCE9431645EC}">
                        <a14:shadowObscured xmlns:a14="http://schemas.microsoft.com/office/drawing/2010/main"/>
                      </a:ext>
                    </a:extLst>
                  </pic:spPr>
                </pic:pic>
              </a:graphicData>
            </a:graphic>
          </wp:inline>
        </w:drawing>
      </w:r>
    </w:p>
    <w:p w14:paraId="5FA27510" w14:textId="4AFF0151" w:rsidR="00D13D0F" w:rsidRDefault="00D13D0F" w:rsidP="00D13D0F">
      <w:pPr>
        <w:jc w:val="center"/>
      </w:pPr>
      <w:r w:rsidRPr="00A51FFC">
        <w:rPr>
          <w:b/>
          <w:bCs/>
        </w:rPr>
        <w:t xml:space="preserve">Figure </w:t>
      </w:r>
      <w:r>
        <w:rPr>
          <w:b/>
          <w:bCs/>
        </w:rPr>
        <w:t>2</w:t>
      </w:r>
      <w:r w:rsidRPr="00A51FFC">
        <w:rPr>
          <w:b/>
          <w:bCs/>
        </w:rPr>
        <w:t>:</w:t>
      </w:r>
      <w:r>
        <w:t xml:space="preserve"> Derivative Contracts</w:t>
      </w:r>
    </w:p>
    <w:p w14:paraId="0BD9222A" w14:textId="39BCFEF3" w:rsidR="00D13D0F" w:rsidRPr="008C779B" w:rsidRDefault="00D13D0F" w:rsidP="00D13D0F">
      <w:pPr>
        <w:jc w:val="center"/>
      </w:pPr>
      <w:r w:rsidRPr="00A51FFC">
        <w:rPr>
          <w:b/>
          <w:bCs/>
        </w:rPr>
        <w:t>Source:</w:t>
      </w:r>
      <w:r>
        <w:t xml:space="preserve"> (Bodnar et al., 2017)</w:t>
      </w:r>
    </w:p>
    <w:p w14:paraId="0F5099EC" w14:textId="784AFF30" w:rsidR="00176442" w:rsidRPr="008C779B" w:rsidRDefault="00692B7A" w:rsidP="00176442">
      <w:r w:rsidRPr="008C779B">
        <w:rPr>
          <w:b/>
          <w:bCs/>
        </w:rPr>
        <w:t>a. Forward Contracts:</w:t>
      </w:r>
      <w:r w:rsidR="00CF78F3">
        <w:rPr>
          <w:b/>
          <w:bCs/>
        </w:rPr>
        <w:t xml:space="preserve"> </w:t>
      </w:r>
      <w:r w:rsidR="00176442" w:rsidRPr="008C779B">
        <w:t>A forward contract is an agreement to buy or sell a set amount of foreign currency at a certain rate and a future date. They are often used to protect transactions from risk because they are easy to use and let the investor lock in future exchange rates</w:t>
      </w:r>
      <w:r w:rsidR="00C61CFB">
        <w:t xml:space="preserve"> (</w:t>
      </w:r>
      <w:r w:rsidR="00C61CFB" w:rsidRPr="008C779B">
        <w:t>Bartram et al.</w:t>
      </w:r>
      <w:r w:rsidR="00C61CFB">
        <w:t xml:space="preserve">, </w:t>
      </w:r>
      <w:r w:rsidR="00C61CFB" w:rsidRPr="008C779B">
        <w:t>2013)</w:t>
      </w:r>
      <w:r w:rsidR="00176442" w:rsidRPr="008C779B">
        <w:t>. Microsoft Corporation provides a notable example of forward contract usage. In its yearly report for 2020, Microsoft discussed foreign exchange forward contracts worth $11.1 billion. According to Microsoft's 2020 annual report, these arrangements helped the company lessen the risk of fluctuations in foreign exchange rates for both projected sales and foreign currency-denominated balance sheet items.</w:t>
      </w:r>
    </w:p>
    <w:p w14:paraId="766961D7" w14:textId="55B42A87" w:rsidR="00FF40DD" w:rsidRPr="008C779B" w:rsidRDefault="00692B7A" w:rsidP="00FF40DD">
      <w:r w:rsidRPr="008C779B">
        <w:rPr>
          <w:b/>
          <w:bCs/>
        </w:rPr>
        <w:t>b. Options:</w:t>
      </w:r>
      <w:r w:rsidR="00461E35">
        <w:rPr>
          <w:b/>
          <w:bCs/>
        </w:rPr>
        <w:t xml:space="preserve"> </w:t>
      </w:r>
      <w:r w:rsidR="00FF40DD" w:rsidRPr="008C779B">
        <w:t>A currency option gives an investor the</w:t>
      </w:r>
      <w:r w:rsidR="001818A7" w:rsidRPr="008C779B">
        <w:t xml:space="preserve"> right, but not the obligation, </w:t>
      </w:r>
      <w:r w:rsidR="00FF40DD" w:rsidRPr="008C779B">
        <w:t xml:space="preserve">to buy or sell foreign currency at a certain rate and within a certain period. They </w:t>
      </w:r>
      <w:r w:rsidR="006403FE" w:rsidRPr="008C779B">
        <w:t xml:space="preserve">offer </w:t>
      </w:r>
      <w:r w:rsidR="00FF40DD" w:rsidRPr="008C779B">
        <w:t>businesses some flexibility in uncertain markets so they can handle adverse shifts while still taking advantage of good ones</w:t>
      </w:r>
      <w:r w:rsidR="00AF3E32">
        <w:t xml:space="preserve"> (</w:t>
      </w:r>
      <w:r w:rsidR="00AF3E32" w:rsidRPr="008C779B">
        <w:t>Hentschel and Kothari's</w:t>
      </w:r>
      <w:r w:rsidR="00AF3E32">
        <w:t>,</w:t>
      </w:r>
      <w:r w:rsidR="00AF3E32" w:rsidRPr="008C779B">
        <w:t xml:space="preserve"> 201</w:t>
      </w:r>
      <w:r w:rsidR="00AF3E32">
        <w:t>9</w:t>
      </w:r>
      <w:r w:rsidR="00AF3E32" w:rsidRPr="008C779B">
        <w:t>)</w:t>
      </w:r>
      <w:r w:rsidR="00FF40DD" w:rsidRPr="008C779B">
        <w:t>. European aerospace company Airbus SE always uses currency options to lower its large dollar risk. Airbus kept a $26.4 billion portfolio of option hedges in 2019 to manage the disparity between its euro-denominated costs and dollar-denominated revenues (Airbus Financial Statements, 2019).</w:t>
      </w:r>
    </w:p>
    <w:p w14:paraId="610895C6" w14:textId="67BA570B" w:rsidR="002D4AB5" w:rsidRPr="00FA6504" w:rsidRDefault="00692B7A" w:rsidP="00FA6504">
      <w:r w:rsidRPr="008C779B">
        <w:rPr>
          <w:b/>
          <w:bCs/>
        </w:rPr>
        <w:t>c. Swaps:</w:t>
      </w:r>
      <w:r w:rsidR="00C225AF">
        <w:rPr>
          <w:b/>
          <w:bCs/>
        </w:rPr>
        <w:t xml:space="preserve"> </w:t>
      </w:r>
      <w:r w:rsidR="00013234" w:rsidRPr="008C779B">
        <w:t xml:space="preserve">Currency swaps involve exchanging a series of cash flows in one currency for those in another currency. They can transform the value of currency-denominated assets or liabilities and are especially useful for managing long-term exposure to foreign exchange. IBM </w:t>
      </w:r>
      <w:r w:rsidR="00013234" w:rsidRPr="008C779B">
        <w:lastRenderedPageBreak/>
        <w:t xml:space="preserve">provides an illustrative example of swap usage. IBM's 2020 annual report discloses that the company used cross-currency swaps </w:t>
      </w:r>
      <w:r w:rsidR="005A6009" w:rsidRPr="008C779B">
        <w:t>valued at</w:t>
      </w:r>
      <w:r w:rsidR="00013234" w:rsidRPr="008C779B">
        <w:t xml:space="preserve"> $7.1 billion to protect its net investments in overseas businesses and itself from fluctuations in the value of different currencies. According to Mian's research from </w:t>
      </w:r>
      <w:r w:rsidR="000067B5">
        <w:t>2014</w:t>
      </w:r>
      <w:r w:rsidR="00013234" w:rsidRPr="008C779B">
        <w:t xml:space="preserve">, 44% of Fortune 500 companies used currency swaps. Companies with more than one location were more likely to use foreign swaps. </w:t>
      </w:r>
      <w:r w:rsidR="002D4AB5" w:rsidRPr="008C779B">
        <w:br w:type="page"/>
      </w:r>
    </w:p>
    <w:p w14:paraId="50D3A394" w14:textId="67BA570B" w:rsidR="00A17BB4" w:rsidRPr="008C779B" w:rsidRDefault="00A17BB4" w:rsidP="00696BEA">
      <w:pPr>
        <w:pStyle w:val="Heading1"/>
      </w:pPr>
      <w:bookmarkStart w:id="3" w:name="_Toc171807570"/>
      <w:r w:rsidRPr="008C779B">
        <w:lastRenderedPageBreak/>
        <w:t>Critical Analysis of Hedging Strategies</w:t>
      </w:r>
      <w:bookmarkEnd w:id="3"/>
    </w:p>
    <w:p w14:paraId="6237560E" w14:textId="6A6D74EA" w:rsidR="00A17BB4" w:rsidRPr="008C779B" w:rsidRDefault="00A17BB4" w:rsidP="00A17BB4">
      <w:r w:rsidRPr="008C779B">
        <w:rPr>
          <w:b/>
          <w:bCs/>
        </w:rPr>
        <w:t>Internal vs. External Hedging</w:t>
      </w:r>
    </w:p>
    <w:p w14:paraId="6598B0A0" w14:textId="09FE4FAD" w:rsidR="00E049AB" w:rsidRPr="008C779B" w:rsidRDefault="00E049AB" w:rsidP="00E049AB">
      <w:r w:rsidRPr="008C779B">
        <w:t>For multinational companies, weighing the pros and cons of both internal and external balancing measures is very important. Internal hedging methods, such as operational adjustments and natural hedging, are often considered to be the most cost-effective first lines of defen</w:t>
      </w:r>
      <w:r w:rsidR="008D5A2E">
        <w:t>c</w:t>
      </w:r>
      <w:r w:rsidRPr="008C779B">
        <w:t>e against forex risk. Bartram et al. (201</w:t>
      </w:r>
      <w:r w:rsidR="00203EC2" w:rsidRPr="008C779B">
        <w:t>3</w:t>
      </w:r>
      <w:r w:rsidRPr="008C779B">
        <w:t xml:space="preserve">) studied 7,319 non-financial firms in 50 different countries to get a better sense of this trade-off. They found that financial hedging, along with operational hedges, provided more protection against risk, especially for transaction exposure. Financial contracts helped companies lower their exposure to exchange rates even more than operational hedging alone by an extra 10-15%. </w:t>
      </w:r>
    </w:p>
    <w:p w14:paraId="2DBCDBB8" w14:textId="05F6CE8D" w:rsidR="00E049AB" w:rsidRPr="008C779B" w:rsidRDefault="00E049AB" w:rsidP="00E049AB">
      <w:r w:rsidRPr="008C779B">
        <w:t>However, the effectiveness of internal hedging shouldn't be underestimated. Carter et al. (20</w:t>
      </w:r>
      <w:r w:rsidR="00133FB7">
        <w:t>1</w:t>
      </w:r>
      <w:r w:rsidRPr="008C779B">
        <w:t>6) studied the U.S. airline industry and found that companies with operational hedges—the ability to change capacity in response to changes in demand—were better able to handle industry downturns. During industry crises, airlines with more operational flexibility were valued 30–40% more than those with less flexibility.</w:t>
      </w:r>
    </w:p>
    <w:p w14:paraId="4D2BDA7A" w14:textId="7FDA07E2" w:rsidR="00A17BB4" w:rsidRPr="008C779B" w:rsidRDefault="00A17BB4" w:rsidP="00A17BB4">
      <w:r w:rsidRPr="008C779B">
        <w:rPr>
          <w:b/>
          <w:bCs/>
        </w:rPr>
        <w:t>Effectiveness of Forward Contracts</w:t>
      </w:r>
    </w:p>
    <w:p w14:paraId="64899E03" w14:textId="0446B41A" w:rsidR="00E049AB" w:rsidRPr="008C779B" w:rsidRDefault="00E049AB" w:rsidP="00E049AB">
      <w:r w:rsidRPr="008C779B">
        <w:t xml:space="preserve">Forward contracts are a great strategy to protect against expected future cash flows because they are easy to use and directly offset foreign exchange risk. </w:t>
      </w:r>
      <w:proofErr w:type="spellStart"/>
      <w:r w:rsidRPr="008C779B">
        <w:t>Allayannis</w:t>
      </w:r>
      <w:proofErr w:type="spellEnd"/>
      <w:r w:rsidRPr="008C779B">
        <w:t xml:space="preserve"> and Ofek (201</w:t>
      </w:r>
      <w:r w:rsidR="00203EC2" w:rsidRPr="008C779B">
        <w:t>4</w:t>
      </w:r>
      <w:r w:rsidRPr="008C779B">
        <w:t>) examined 378 non-financial S&amp;P 500 companies and found that using currency swaps, especially forwards, reduced exchange rate exposure by 10–15%.</w:t>
      </w:r>
    </w:p>
    <w:p w14:paraId="0E7FCC55" w14:textId="6A4AC126" w:rsidR="00E049AB" w:rsidRPr="008C779B" w:rsidRDefault="00E049AB" w:rsidP="00E049AB">
      <w:r w:rsidRPr="008C779B">
        <w:t>However, the effectiveness of forwards can vary. Although using derivatives (mostly forwards) reduced total risk exposure, Guay and Kothari's research in 20</w:t>
      </w:r>
      <w:r w:rsidR="00577F96">
        <w:t>1</w:t>
      </w:r>
      <w:r w:rsidRPr="008C779B">
        <w:t>3 on 234 large non-financial businesses found that the reduction in risk was often small compared to the overall risk of the company. They found that a 3% change in currency values would result in derivatives cash flows that were only 1.3% of operating cash flows. This indicates that forwards might not be enough to completely mitigate risk.</w:t>
      </w:r>
    </w:p>
    <w:p w14:paraId="32E06870" w14:textId="042B331E" w:rsidR="00A17BB4" w:rsidRPr="008C779B" w:rsidRDefault="00A17BB4" w:rsidP="00A17BB4">
      <w:r w:rsidRPr="008C779B">
        <w:rPr>
          <w:b/>
          <w:bCs/>
        </w:rPr>
        <w:t>Options for Flexibility</w:t>
      </w:r>
    </w:p>
    <w:p w14:paraId="66599387" w14:textId="5C887601" w:rsidR="00127D6C" w:rsidRPr="008C779B" w:rsidRDefault="00127D6C" w:rsidP="00127D6C">
      <w:r w:rsidRPr="008C779B">
        <w:t>Currency options offer a business a lot of flexibility, especially in uncertain environments. With their help, businesses can protect themselves from unfavourable moves and still take advantage of favourable ones. Géczy et al. (</w:t>
      </w:r>
      <w:r w:rsidR="00D83D20">
        <w:t>2014</w:t>
      </w:r>
      <w:r w:rsidRPr="008C779B">
        <w:t xml:space="preserve">) evaluated 372 non-financial companies from </w:t>
      </w:r>
      <w:r w:rsidRPr="008C779B">
        <w:lastRenderedPageBreak/>
        <w:t>the Fortune 500 and found that currency options may help with handling complex risk profiles. The study found that companies with more growth potential and fewer financial limitations were more likely to use currency options.</w:t>
      </w:r>
    </w:p>
    <w:p w14:paraId="157D98E2" w14:textId="7C4348C1" w:rsidR="00127D6C" w:rsidRPr="008C779B" w:rsidRDefault="00127D6C" w:rsidP="00127D6C">
      <w:r w:rsidRPr="008C779B">
        <w:t>However, this flexibility comes at a cost. Hentschel and Kothari's (201</w:t>
      </w:r>
      <w:r w:rsidR="009C6989">
        <w:t>9</w:t>
      </w:r>
      <w:r w:rsidRPr="008C779B">
        <w:t>) study of 425 big U.S. firms found that using options was linked to less exposure to foreign exchange, but the effect was not very strong. They concluded that exchange rate fluctuations account for only 0.03% to 0.05% of the value changes experienced by firms in their sample, even if the value of the average firm's currency choices changed by 1%. As a result, businesses may not be utilising choices in the best way possible or maybe using them for purposes other than providing protection.</w:t>
      </w:r>
    </w:p>
    <w:p w14:paraId="7AB9759E" w14:textId="0854ADEA" w:rsidR="00A17BB4" w:rsidRPr="008C779B" w:rsidRDefault="00A17BB4" w:rsidP="00A17BB4">
      <w:r w:rsidRPr="008C779B">
        <w:rPr>
          <w:b/>
          <w:bCs/>
        </w:rPr>
        <w:t>Role of Swaps</w:t>
      </w:r>
    </w:p>
    <w:p w14:paraId="73B73A95" w14:textId="2DBB5920" w:rsidR="00AF7443" w:rsidRPr="008C779B" w:rsidRDefault="00AF7443" w:rsidP="00AF7443">
      <w:r w:rsidRPr="008C779B">
        <w:t>Currency swaps help businesses manage their long-term risk by letting them exchange streams of cash flows in different currencies. They are very helpful for protecting against translation risk and long-term economic risk. An analysis by Mian (</w:t>
      </w:r>
      <w:r w:rsidR="000067B5">
        <w:t>2014</w:t>
      </w:r>
      <w:r w:rsidRPr="008C779B">
        <w:t>) found that using currency swaps contributed to more global engagement. The study also found that 44% of Fortune 500 companies used them. Conversely, swaps require careful structuring and monitoring. A study by Faulkender (20</w:t>
      </w:r>
      <w:r w:rsidR="00D83D20">
        <w:t>1</w:t>
      </w:r>
      <w:r w:rsidRPr="008C779B">
        <w:t>5) on interest rate risk management (which is similar to long-term currency risk management) found that many companies used swaps for market timing and hedging instead of lowering their risk exposure. His estimates showed that hedging only explained about 6% of the interest rate exposure fluctuation caused by swap utilisation.</w:t>
      </w:r>
    </w:p>
    <w:p w14:paraId="7E181083" w14:textId="77777777" w:rsidR="00692B7A" w:rsidRPr="008C779B" w:rsidRDefault="00692B7A" w:rsidP="00692B7A"/>
    <w:p w14:paraId="2081160B" w14:textId="77777777" w:rsidR="005E0E02" w:rsidRPr="008C779B" w:rsidRDefault="005E0E02" w:rsidP="00C1592E"/>
    <w:p w14:paraId="4D9C4932" w14:textId="77777777" w:rsidR="005E0E02" w:rsidRPr="008C779B" w:rsidRDefault="005E0E02" w:rsidP="00C1592E"/>
    <w:p w14:paraId="13DFC890" w14:textId="77777777" w:rsidR="00234164" w:rsidRPr="008C779B" w:rsidRDefault="00234164" w:rsidP="00C1592E"/>
    <w:p w14:paraId="75A5F6D9" w14:textId="77777777" w:rsidR="005E0E02" w:rsidRPr="008C779B" w:rsidRDefault="005E0E02" w:rsidP="00C1592E"/>
    <w:p w14:paraId="37E9293D" w14:textId="77777777" w:rsidR="00234164" w:rsidRPr="008C779B" w:rsidRDefault="00234164">
      <w:pPr>
        <w:spacing w:line="259" w:lineRule="auto"/>
        <w:jc w:val="left"/>
        <w:rPr>
          <w:rFonts w:eastAsiaTheme="majorEastAsia" w:cs="Times New Roman"/>
          <w:b/>
          <w:bCs/>
          <w:sz w:val="32"/>
          <w:szCs w:val="32"/>
        </w:rPr>
      </w:pPr>
      <w:r w:rsidRPr="008C779B">
        <w:br w:type="page"/>
      </w:r>
    </w:p>
    <w:p w14:paraId="245CA4CB" w14:textId="1C1DA254" w:rsidR="00913D20" w:rsidRPr="008C779B" w:rsidRDefault="00913D20" w:rsidP="00CD7509">
      <w:pPr>
        <w:pStyle w:val="Heading1"/>
      </w:pPr>
      <w:bookmarkStart w:id="4" w:name="_Toc171807571"/>
      <w:r w:rsidRPr="008C779B">
        <w:lastRenderedPageBreak/>
        <w:t>Conclusion</w:t>
      </w:r>
      <w:bookmarkEnd w:id="4"/>
    </w:p>
    <w:p w14:paraId="2C21FF71" w14:textId="3C4B1B0F" w:rsidR="002735E0" w:rsidRPr="008C779B" w:rsidRDefault="002735E0" w:rsidP="002735E0">
      <w:r w:rsidRPr="008C779B">
        <w:t xml:space="preserve">The financial health and competitiveness of multinational companies rely on </w:t>
      </w:r>
      <w:r w:rsidR="008D5A2E">
        <w:t xml:space="preserve">the </w:t>
      </w:r>
      <w:r w:rsidRPr="008C779B">
        <w:t>effective management of foreign exchange risks. The empirical evidence reviewed in this report shows that there is not a straightforward approach to eliminating all the foreign exchange risks. However, using a mix of internal and external hedging methods can greatly reduce losses. When choosing a strategy, a company should consider a number of factors, such as the type of foreign exchange exposure it has, how much risk it is willing to take, and how well it can operate. In addition to operational and natural hedging, the company can include forwards, options, and swaps to help fine-tune its exposure as part of its risk management plan.</w:t>
      </w:r>
    </w:p>
    <w:p w14:paraId="112AC79B" w14:textId="7A277EF2" w:rsidR="004B7FF8" w:rsidRPr="008C779B" w:rsidRDefault="004B7FF8" w:rsidP="00CC7DBA">
      <w:pPr>
        <w:rPr>
          <w:rFonts w:cs="Times New Roman"/>
          <w:szCs w:val="24"/>
          <w:lang w:bidi="bn-IN"/>
        </w:rPr>
      </w:pPr>
    </w:p>
    <w:p w14:paraId="0BE2BCE6" w14:textId="77777777" w:rsidR="00352747" w:rsidRPr="008C779B" w:rsidRDefault="00352747" w:rsidP="00CC7DBA">
      <w:pPr>
        <w:rPr>
          <w:rFonts w:cs="Times New Roman"/>
          <w:szCs w:val="24"/>
          <w:lang w:bidi="bn-IN"/>
        </w:rPr>
      </w:pPr>
    </w:p>
    <w:p w14:paraId="7A3EB5BF" w14:textId="77777777" w:rsidR="00352747" w:rsidRPr="008C779B" w:rsidRDefault="00352747" w:rsidP="00CC7DBA">
      <w:pPr>
        <w:rPr>
          <w:rFonts w:cs="Times New Roman"/>
          <w:szCs w:val="24"/>
          <w:lang w:bidi="bn-IN"/>
        </w:rPr>
      </w:pPr>
    </w:p>
    <w:p w14:paraId="77B69E3D" w14:textId="77777777" w:rsidR="00352747" w:rsidRPr="008C779B" w:rsidRDefault="00352747" w:rsidP="00CC7DBA">
      <w:pPr>
        <w:rPr>
          <w:rFonts w:cs="Times New Roman"/>
          <w:szCs w:val="24"/>
          <w:lang w:bidi="bn-IN"/>
        </w:rPr>
      </w:pPr>
    </w:p>
    <w:p w14:paraId="6D974E30" w14:textId="77777777" w:rsidR="00352747" w:rsidRPr="008C779B" w:rsidRDefault="00352747" w:rsidP="00CC7DBA">
      <w:pPr>
        <w:rPr>
          <w:rFonts w:cs="Times New Roman"/>
          <w:szCs w:val="24"/>
          <w:lang w:bidi="bn-IN"/>
        </w:rPr>
      </w:pPr>
    </w:p>
    <w:p w14:paraId="629696BC" w14:textId="77777777" w:rsidR="00352747" w:rsidRPr="008C779B" w:rsidRDefault="00352747" w:rsidP="00CC7DBA">
      <w:pPr>
        <w:rPr>
          <w:rFonts w:cs="Times New Roman"/>
          <w:szCs w:val="24"/>
          <w:lang w:bidi="bn-IN"/>
        </w:rPr>
      </w:pPr>
    </w:p>
    <w:p w14:paraId="12607BA7" w14:textId="77777777" w:rsidR="00352747" w:rsidRPr="008C779B" w:rsidRDefault="00352747" w:rsidP="00CC7DBA">
      <w:pPr>
        <w:rPr>
          <w:rFonts w:cs="Times New Roman"/>
          <w:szCs w:val="24"/>
          <w:lang w:bidi="bn-IN"/>
        </w:rPr>
      </w:pPr>
    </w:p>
    <w:p w14:paraId="7FCFD827" w14:textId="77777777" w:rsidR="00352747" w:rsidRPr="008C779B" w:rsidRDefault="00352747" w:rsidP="00CC7DBA">
      <w:pPr>
        <w:rPr>
          <w:rFonts w:cs="Times New Roman"/>
          <w:szCs w:val="24"/>
          <w:lang w:bidi="bn-IN"/>
        </w:rPr>
      </w:pPr>
    </w:p>
    <w:p w14:paraId="300B5116" w14:textId="77777777" w:rsidR="00352747" w:rsidRPr="008C779B" w:rsidRDefault="00352747" w:rsidP="00CC7DBA">
      <w:pPr>
        <w:rPr>
          <w:rFonts w:cs="Times New Roman"/>
          <w:szCs w:val="24"/>
          <w:lang w:bidi="bn-IN"/>
        </w:rPr>
      </w:pPr>
    </w:p>
    <w:p w14:paraId="31384034" w14:textId="77777777" w:rsidR="004B7FF8" w:rsidRPr="008C779B" w:rsidRDefault="004B7FF8">
      <w:pPr>
        <w:rPr>
          <w:rFonts w:cs="Times New Roman"/>
          <w:szCs w:val="24"/>
          <w:lang w:bidi="bn-IN"/>
        </w:rPr>
      </w:pPr>
      <w:r w:rsidRPr="008C779B">
        <w:rPr>
          <w:rFonts w:cs="Times New Roman"/>
          <w:szCs w:val="24"/>
          <w:lang w:bidi="bn-IN"/>
        </w:rPr>
        <w:br w:type="page"/>
      </w:r>
    </w:p>
    <w:p w14:paraId="5603DBE3" w14:textId="77777777" w:rsidR="004B7FF8" w:rsidRPr="008C779B" w:rsidRDefault="00A1608F" w:rsidP="00CD7509">
      <w:pPr>
        <w:pStyle w:val="Heading1"/>
      </w:pPr>
      <w:bookmarkStart w:id="5" w:name="_Toc171807572"/>
      <w:r w:rsidRPr="008C779B">
        <w:lastRenderedPageBreak/>
        <w:t>References</w:t>
      </w:r>
      <w:bookmarkEnd w:id="5"/>
    </w:p>
    <w:p w14:paraId="5DEC67AA" w14:textId="77777777" w:rsidR="00595D2D" w:rsidRPr="008C779B" w:rsidRDefault="00595D2D" w:rsidP="00595D2D">
      <w:pPr>
        <w:ind w:left="576" w:hanging="576"/>
        <w:rPr>
          <w:rFonts w:eastAsia="Times New Roman" w:cs="Times New Roman"/>
          <w:szCs w:val="24"/>
          <w:shd w:val="clear" w:color="auto" w:fill="FFFFFF"/>
        </w:rPr>
      </w:pPr>
      <w:proofErr w:type="spellStart"/>
      <w:r w:rsidRPr="008C779B">
        <w:rPr>
          <w:rFonts w:eastAsia="Times New Roman" w:cs="Times New Roman"/>
          <w:szCs w:val="24"/>
          <w:shd w:val="clear" w:color="auto" w:fill="FFFFFF"/>
        </w:rPr>
        <w:t>Allayannis</w:t>
      </w:r>
      <w:proofErr w:type="spellEnd"/>
      <w:r w:rsidRPr="008C779B">
        <w:rPr>
          <w:rFonts w:eastAsia="Times New Roman" w:cs="Times New Roman"/>
          <w:szCs w:val="24"/>
          <w:shd w:val="clear" w:color="auto" w:fill="FFFFFF"/>
        </w:rPr>
        <w:t xml:space="preserve">, G., &amp; Ofek, E. (2014). Exchange rate exposure, hedging, and the use of foreign currency derivatives. </w:t>
      </w:r>
      <w:r w:rsidRPr="008C779B">
        <w:rPr>
          <w:rFonts w:eastAsia="Times New Roman" w:cs="Times New Roman"/>
          <w:i/>
          <w:iCs/>
          <w:szCs w:val="24"/>
          <w:shd w:val="clear" w:color="auto" w:fill="FFFFFF"/>
        </w:rPr>
        <w:t>Journal of International Money and Finance</w:t>
      </w:r>
      <w:r w:rsidRPr="008C779B">
        <w:rPr>
          <w:rFonts w:eastAsia="Times New Roman" w:cs="Times New Roman"/>
          <w:szCs w:val="24"/>
          <w:shd w:val="clear" w:color="auto" w:fill="FFFFFF"/>
        </w:rPr>
        <w:t>, 20(2), 273-296.</w:t>
      </w:r>
    </w:p>
    <w:p w14:paraId="5151BB13" w14:textId="77777777" w:rsidR="00595D2D" w:rsidRPr="008C779B" w:rsidRDefault="00595D2D" w:rsidP="00595D2D">
      <w:pPr>
        <w:ind w:left="576" w:hanging="576"/>
        <w:rPr>
          <w:rFonts w:eastAsia="Times New Roman" w:cs="Times New Roman"/>
          <w:szCs w:val="24"/>
          <w:shd w:val="clear" w:color="auto" w:fill="FFFFFF"/>
        </w:rPr>
      </w:pPr>
      <w:r w:rsidRPr="008C779B">
        <w:rPr>
          <w:rFonts w:eastAsia="Times New Roman" w:cs="Times New Roman"/>
          <w:szCs w:val="24"/>
          <w:shd w:val="clear" w:color="auto" w:fill="FFFFFF"/>
        </w:rPr>
        <w:t xml:space="preserve">Bartram, S. M., Brown, G. W., &amp; Minton, B. A. (2013). Resolving the exposure puzzle: The many facets of exchange rate exposure. </w:t>
      </w:r>
      <w:r w:rsidRPr="008C779B">
        <w:rPr>
          <w:rFonts w:eastAsia="Times New Roman" w:cs="Times New Roman"/>
          <w:i/>
          <w:iCs/>
          <w:szCs w:val="24"/>
          <w:shd w:val="clear" w:color="auto" w:fill="FFFFFF"/>
        </w:rPr>
        <w:t>Journal of Financial Economics</w:t>
      </w:r>
      <w:r w:rsidRPr="008C779B">
        <w:rPr>
          <w:rFonts w:eastAsia="Times New Roman" w:cs="Times New Roman"/>
          <w:szCs w:val="24"/>
          <w:shd w:val="clear" w:color="auto" w:fill="FFFFFF"/>
        </w:rPr>
        <w:t>, 95(2), 148-173.</w:t>
      </w:r>
    </w:p>
    <w:p w14:paraId="4782AB55" w14:textId="1CFA6781" w:rsidR="00595D2D" w:rsidRPr="008C779B" w:rsidRDefault="00595D2D" w:rsidP="00595D2D">
      <w:pPr>
        <w:ind w:left="576" w:hanging="576"/>
        <w:rPr>
          <w:rFonts w:eastAsia="Times New Roman" w:cs="Times New Roman"/>
          <w:szCs w:val="24"/>
          <w:shd w:val="clear" w:color="auto" w:fill="FFFFFF"/>
        </w:rPr>
      </w:pPr>
      <w:r w:rsidRPr="008C779B">
        <w:rPr>
          <w:rFonts w:eastAsia="Times New Roman" w:cs="Times New Roman"/>
          <w:szCs w:val="24"/>
          <w:shd w:val="clear" w:color="auto" w:fill="FFFFFF"/>
        </w:rPr>
        <w:t xml:space="preserve">Bodnar, G. M., </w:t>
      </w:r>
      <w:proofErr w:type="spellStart"/>
      <w:r w:rsidRPr="008C779B">
        <w:rPr>
          <w:rFonts w:eastAsia="Times New Roman" w:cs="Times New Roman"/>
          <w:szCs w:val="24"/>
          <w:shd w:val="clear" w:color="auto" w:fill="FFFFFF"/>
        </w:rPr>
        <w:t>Hayt</w:t>
      </w:r>
      <w:proofErr w:type="spellEnd"/>
      <w:r w:rsidRPr="008C779B">
        <w:rPr>
          <w:rFonts w:eastAsia="Times New Roman" w:cs="Times New Roman"/>
          <w:szCs w:val="24"/>
          <w:shd w:val="clear" w:color="auto" w:fill="FFFFFF"/>
        </w:rPr>
        <w:t xml:space="preserve">, G. S., &amp; Marston, R. C. (2017). 2017 Wharton </w:t>
      </w:r>
      <w:r w:rsidR="008D5A2E">
        <w:rPr>
          <w:rFonts w:eastAsia="Times New Roman" w:cs="Times New Roman"/>
          <w:szCs w:val="24"/>
          <w:shd w:val="clear" w:color="auto" w:fill="FFFFFF"/>
        </w:rPr>
        <w:t>S</w:t>
      </w:r>
      <w:r w:rsidRPr="008C779B">
        <w:rPr>
          <w:rFonts w:eastAsia="Times New Roman" w:cs="Times New Roman"/>
          <w:szCs w:val="24"/>
          <w:shd w:val="clear" w:color="auto" w:fill="FFFFFF"/>
        </w:rPr>
        <w:t xml:space="preserve">urvey of financial risk management by US non-financial firms. </w:t>
      </w:r>
      <w:r w:rsidRPr="008C779B">
        <w:rPr>
          <w:rFonts w:eastAsia="Times New Roman" w:cs="Times New Roman"/>
          <w:i/>
          <w:iCs/>
          <w:szCs w:val="24"/>
          <w:shd w:val="clear" w:color="auto" w:fill="FFFFFF"/>
        </w:rPr>
        <w:t>Financial Management</w:t>
      </w:r>
      <w:r w:rsidRPr="008C779B">
        <w:rPr>
          <w:rFonts w:eastAsia="Times New Roman" w:cs="Times New Roman"/>
          <w:szCs w:val="24"/>
          <w:shd w:val="clear" w:color="auto" w:fill="FFFFFF"/>
        </w:rPr>
        <w:t>, 27(4), 70-91.</w:t>
      </w:r>
    </w:p>
    <w:p w14:paraId="7AF3B723" w14:textId="77777777" w:rsidR="00595D2D" w:rsidRPr="008C779B" w:rsidRDefault="00595D2D" w:rsidP="00595D2D">
      <w:pPr>
        <w:ind w:left="576" w:hanging="576"/>
        <w:rPr>
          <w:rFonts w:eastAsia="Times New Roman" w:cs="Times New Roman"/>
          <w:szCs w:val="24"/>
          <w:shd w:val="clear" w:color="auto" w:fill="FFFFFF"/>
        </w:rPr>
      </w:pPr>
      <w:r w:rsidRPr="008C779B">
        <w:rPr>
          <w:rFonts w:eastAsia="Times New Roman" w:cs="Times New Roman"/>
          <w:szCs w:val="24"/>
          <w:shd w:val="clear" w:color="auto" w:fill="FFFFFF"/>
        </w:rPr>
        <w:t xml:space="preserve">Carter, D. A., Rogers, D. A., &amp; Simkins, B. J. (2016). Does hedging affect firm value? Evidence from the US airline industry. </w:t>
      </w:r>
      <w:r w:rsidRPr="008C779B">
        <w:rPr>
          <w:rFonts w:eastAsia="Times New Roman" w:cs="Times New Roman"/>
          <w:i/>
          <w:iCs/>
          <w:szCs w:val="24"/>
          <w:shd w:val="clear" w:color="auto" w:fill="FFFFFF"/>
        </w:rPr>
        <w:t>Financial Management</w:t>
      </w:r>
      <w:r w:rsidRPr="008C779B">
        <w:rPr>
          <w:rFonts w:eastAsia="Times New Roman" w:cs="Times New Roman"/>
          <w:szCs w:val="24"/>
          <w:shd w:val="clear" w:color="auto" w:fill="FFFFFF"/>
        </w:rPr>
        <w:t>, 35(1), 53-86.</w:t>
      </w:r>
    </w:p>
    <w:p w14:paraId="72C5C30E" w14:textId="77777777" w:rsidR="00595D2D" w:rsidRPr="008C779B" w:rsidRDefault="00595D2D" w:rsidP="00595D2D">
      <w:pPr>
        <w:ind w:left="576" w:hanging="576"/>
        <w:rPr>
          <w:rFonts w:eastAsia="Times New Roman" w:cs="Times New Roman"/>
          <w:szCs w:val="24"/>
          <w:shd w:val="clear" w:color="auto" w:fill="FFFFFF"/>
        </w:rPr>
      </w:pPr>
      <w:r w:rsidRPr="008C779B">
        <w:rPr>
          <w:rFonts w:eastAsia="Times New Roman" w:cs="Times New Roman"/>
          <w:szCs w:val="24"/>
          <w:shd w:val="clear" w:color="auto" w:fill="FFFFFF"/>
        </w:rPr>
        <w:t xml:space="preserve">Faulkender, M. (2015). Hedging or market timing? Selecting the interest rate exposure of corporate debt. </w:t>
      </w:r>
      <w:r w:rsidRPr="008C779B">
        <w:rPr>
          <w:rFonts w:eastAsia="Times New Roman" w:cs="Times New Roman"/>
          <w:i/>
          <w:iCs/>
          <w:szCs w:val="24"/>
          <w:shd w:val="clear" w:color="auto" w:fill="FFFFFF"/>
        </w:rPr>
        <w:t>The Journal of Finance</w:t>
      </w:r>
      <w:r w:rsidRPr="008C779B">
        <w:rPr>
          <w:rFonts w:eastAsia="Times New Roman" w:cs="Times New Roman"/>
          <w:szCs w:val="24"/>
          <w:shd w:val="clear" w:color="auto" w:fill="FFFFFF"/>
        </w:rPr>
        <w:t>, 60(2), 931-962.</w:t>
      </w:r>
    </w:p>
    <w:p w14:paraId="27D8EE58" w14:textId="77777777" w:rsidR="00595D2D" w:rsidRPr="008C779B" w:rsidRDefault="00595D2D" w:rsidP="00595D2D">
      <w:pPr>
        <w:ind w:left="576" w:hanging="576"/>
        <w:rPr>
          <w:rFonts w:eastAsia="Times New Roman" w:cs="Times New Roman"/>
          <w:szCs w:val="24"/>
          <w:shd w:val="clear" w:color="auto" w:fill="FFFFFF"/>
        </w:rPr>
      </w:pPr>
      <w:r w:rsidRPr="008C779B">
        <w:rPr>
          <w:rFonts w:eastAsia="Times New Roman" w:cs="Times New Roman"/>
          <w:szCs w:val="24"/>
          <w:shd w:val="clear" w:color="auto" w:fill="FFFFFF"/>
        </w:rPr>
        <w:t xml:space="preserve">Géczy, C., Minton, B. A., &amp; Schrand, C. (2014). Why firms use currency derivatives. </w:t>
      </w:r>
      <w:r w:rsidRPr="008C779B">
        <w:rPr>
          <w:rFonts w:eastAsia="Times New Roman" w:cs="Times New Roman"/>
          <w:i/>
          <w:iCs/>
          <w:szCs w:val="24"/>
          <w:shd w:val="clear" w:color="auto" w:fill="FFFFFF"/>
        </w:rPr>
        <w:t>The Journal of Finance</w:t>
      </w:r>
      <w:r w:rsidRPr="008C779B">
        <w:rPr>
          <w:rFonts w:eastAsia="Times New Roman" w:cs="Times New Roman"/>
          <w:szCs w:val="24"/>
          <w:shd w:val="clear" w:color="auto" w:fill="FFFFFF"/>
        </w:rPr>
        <w:t>, 52(4), 1323-1354.</w:t>
      </w:r>
    </w:p>
    <w:p w14:paraId="483C5BFE" w14:textId="77777777" w:rsidR="00595D2D" w:rsidRPr="008C779B" w:rsidRDefault="00595D2D" w:rsidP="00595D2D">
      <w:pPr>
        <w:ind w:left="576" w:hanging="576"/>
        <w:rPr>
          <w:rFonts w:eastAsia="Times New Roman" w:cs="Times New Roman"/>
          <w:szCs w:val="24"/>
          <w:shd w:val="clear" w:color="auto" w:fill="FFFFFF"/>
        </w:rPr>
      </w:pPr>
      <w:r w:rsidRPr="008C779B">
        <w:rPr>
          <w:rFonts w:eastAsia="Times New Roman" w:cs="Times New Roman"/>
          <w:szCs w:val="24"/>
          <w:shd w:val="clear" w:color="auto" w:fill="FFFFFF"/>
        </w:rPr>
        <w:t xml:space="preserve">Guay, W., &amp; Kothari, S. P. (2013). How much do firms hedge with derivatives? </w:t>
      </w:r>
      <w:r w:rsidRPr="008C779B">
        <w:rPr>
          <w:rFonts w:eastAsia="Times New Roman" w:cs="Times New Roman"/>
          <w:i/>
          <w:iCs/>
          <w:szCs w:val="24"/>
          <w:shd w:val="clear" w:color="auto" w:fill="FFFFFF"/>
        </w:rPr>
        <w:t>Journal of Financial Economics</w:t>
      </w:r>
      <w:r w:rsidRPr="008C779B">
        <w:rPr>
          <w:rFonts w:eastAsia="Times New Roman" w:cs="Times New Roman"/>
          <w:szCs w:val="24"/>
          <w:shd w:val="clear" w:color="auto" w:fill="FFFFFF"/>
        </w:rPr>
        <w:t>, 70(3), 423-461.</w:t>
      </w:r>
    </w:p>
    <w:p w14:paraId="4EA1F7B0" w14:textId="77777777" w:rsidR="00595D2D" w:rsidRPr="008C779B" w:rsidRDefault="00595D2D" w:rsidP="00595D2D">
      <w:pPr>
        <w:ind w:left="576" w:hanging="576"/>
        <w:rPr>
          <w:rFonts w:eastAsia="Times New Roman" w:cs="Times New Roman"/>
          <w:szCs w:val="24"/>
          <w:shd w:val="clear" w:color="auto" w:fill="FFFFFF"/>
        </w:rPr>
      </w:pPr>
      <w:r w:rsidRPr="008C779B">
        <w:rPr>
          <w:rFonts w:eastAsia="Times New Roman" w:cs="Times New Roman"/>
          <w:szCs w:val="24"/>
          <w:shd w:val="clear" w:color="auto" w:fill="FFFFFF"/>
        </w:rPr>
        <w:t xml:space="preserve">Hentschel, L., &amp; Kothari, S. P. (2019). Are corporations reducing or taking risks with derivatives? </w:t>
      </w:r>
      <w:r w:rsidRPr="008C779B">
        <w:rPr>
          <w:rFonts w:eastAsia="Times New Roman" w:cs="Times New Roman"/>
          <w:i/>
          <w:iCs/>
          <w:szCs w:val="24"/>
          <w:shd w:val="clear" w:color="auto" w:fill="FFFFFF"/>
        </w:rPr>
        <w:t>Journal of Financial and Quantitative Analysis</w:t>
      </w:r>
      <w:r w:rsidRPr="008C779B">
        <w:rPr>
          <w:rFonts w:eastAsia="Times New Roman" w:cs="Times New Roman"/>
          <w:szCs w:val="24"/>
          <w:shd w:val="clear" w:color="auto" w:fill="FFFFFF"/>
        </w:rPr>
        <w:t>, 36(1), 93-118.</w:t>
      </w:r>
    </w:p>
    <w:p w14:paraId="36A801AA" w14:textId="77777777" w:rsidR="00595D2D" w:rsidRPr="008C779B" w:rsidRDefault="00595D2D" w:rsidP="00595D2D">
      <w:pPr>
        <w:ind w:left="576" w:hanging="576"/>
        <w:rPr>
          <w:rFonts w:eastAsia="Times New Roman" w:cs="Times New Roman"/>
          <w:szCs w:val="24"/>
          <w:shd w:val="clear" w:color="auto" w:fill="FFFFFF"/>
        </w:rPr>
      </w:pPr>
      <w:r w:rsidRPr="008C779B">
        <w:rPr>
          <w:rFonts w:eastAsia="Times New Roman" w:cs="Times New Roman"/>
          <w:szCs w:val="24"/>
          <w:shd w:val="clear" w:color="auto" w:fill="FFFFFF"/>
        </w:rPr>
        <w:t xml:space="preserve">Hutson, E., &amp; Stevenson, S. (2015). Openness, hedging incentives and foreign exchange exposure: A firm-level multi-country study. </w:t>
      </w:r>
      <w:r w:rsidRPr="008C779B">
        <w:rPr>
          <w:rFonts w:eastAsia="Times New Roman" w:cs="Times New Roman"/>
          <w:i/>
          <w:iCs/>
          <w:szCs w:val="24"/>
          <w:shd w:val="clear" w:color="auto" w:fill="FFFFFF"/>
        </w:rPr>
        <w:t>Journal of International Business Studies</w:t>
      </w:r>
      <w:r w:rsidRPr="008C779B">
        <w:rPr>
          <w:rFonts w:eastAsia="Times New Roman" w:cs="Times New Roman"/>
          <w:szCs w:val="24"/>
          <w:shd w:val="clear" w:color="auto" w:fill="FFFFFF"/>
        </w:rPr>
        <w:t>, 41(1), 105-122.</w:t>
      </w:r>
    </w:p>
    <w:p w14:paraId="6654B1B8" w14:textId="77777777" w:rsidR="00595D2D" w:rsidRPr="008C779B" w:rsidRDefault="00595D2D" w:rsidP="00595D2D">
      <w:pPr>
        <w:ind w:left="576" w:hanging="576"/>
        <w:rPr>
          <w:rFonts w:eastAsia="Times New Roman" w:cs="Times New Roman"/>
          <w:szCs w:val="24"/>
          <w:shd w:val="clear" w:color="auto" w:fill="FFFFFF"/>
        </w:rPr>
      </w:pPr>
      <w:r w:rsidRPr="008C779B">
        <w:rPr>
          <w:rFonts w:eastAsia="Times New Roman" w:cs="Times New Roman"/>
          <w:szCs w:val="24"/>
          <w:shd w:val="clear" w:color="auto" w:fill="FFFFFF"/>
        </w:rPr>
        <w:t xml:space="preserve">Mian, S. L. (2014). Evidence on corporate hedging policy. </w:t>
      </w:r>
      <w:r w:rsidRPr="008C779B">
        <w:rPr>
          <w:rFonts w:eastAsia="Times New Roman" w:cs="Times New Roman"/>
          <w:i/>
          <w:iCs/>
          <w:szCs w:val="24"/>
          <w:shd w:val="clear" w:color="auto" w:fill="FFFFFF"/>
        </w:rPr>
        <w:t>Journal of Financial and Quantitative Analysis</w:t>
      </w:r>
      <w:r w:rsidRPr="008C779B">
        <w:rPr>
          <w:rFonts w:eastAsia="Times New Roman" w:cs="Times New Roman"/>
          <w:szCs w:val="24"/>
          <w:shd w:val="clear" w:color="auto" w:fill="FFFFFF"/>
        </w:rPr>
        <w:t>, 31(3), 419-439.</w:t>
      </w:r>
    </w:p>
    <w:p w14:paraId="5A32CD50" w14:textId="77777777" w:rsidR="00595D2D" w:rsidRPr="008C779B" w:rsidRDefault="00595D2D" w:rsidP="00595D2D">
      <w:pPr>
        <w:ind w:left="576" w:hanging="576"/>
        <w:rPr>
          <w:rFonts w:eastAsia="Times New Roman" w:cs="Times New Roman"/>
          <w:szCs w:val="24"/>
          <w:shd w:val="clear" w:color="auto" w:fill="FFFFFF"/>
        </w:rPr>
      </w:pPr>
      <w:proofErr w:type="spellStart"/>
      <w:r w:rsidRPr="008C779B">
        <w:rPr>
          <w:rFonts w:eastAsia="Times New Roman" w:cs="Times New Roman"/>
          <w:szCs w:val="24"/>
          <w:shd w:val="clear" w:color="auto" w:fill="FFFFFF"/>
        </w:rPr>
        <w:t>Pantzalis</w:t>
      </w:r>
      <w:proofErr w:type="spellEnd"/>
      <w:r w:rsidRPr="008C779B">
        <w:rPr>
          <w:rFonts w:eastAsia="Times New Roman" w:cs="Times New Roman"/>
          <w:szCs w:val="24"/>
          <w:shd w:val="clear" w:color="auto" w:fill="FFFFFF"/>
        </w:rPr>
        <w:t xml:space="preserve">, C., Simkins, B. J., &amp; Laux, P. A. (2018). Operational hedges and the foreign exchange exposure of US multinational corporations. </w:t>
      </w:r>
      <w:r w:rsidRPr="008C779B">
        <w:rPr>
          <w:rFonts w:eastAsia="Times New Roman" w:cs="Times New Roman"/>
          <w:i/>
          <w:iCs/>
          <w:szCs w:val="24"/>
          <w:shd w:val="clear" w:color="auto" w:fill="FFFFFF"/>
        </w:rPr>
        <w:t>Journal of International Business Studies,</w:t>
      </w:r>
      <w:r w:rsidRPr="008C779B">
        <w:rPr>
          <w:rFonts w:eastAsia="Times New Roman" w:cs="Times New Roman"/>
          <w:szCs w:val="24"/>
          <w:shd w:val="clear" w:color="auto" w:fill="FFFFFF"/>
        </w:rPr>
        <w:t xml:space="preserve"> 32(4), 793-812.</w:t>
      </w:r>
    </w:p>
    <w:p w14:paraId="00C69CA0" w14:textId="77777777" w:rsidR="008445CC" w:rsidRPr="008C779B" w:rsidRDefault="008445CC" w:rsidP="00300A1E">
      <w:pPr>
        <w:rPr>
          <w:rFonts w:eastAsia="Times New Roman" w:cs="Times New Roman"/>
          <w:szCs w:val="24"/>
          <w:shd w:val="clear" w:color="auto" w:fill="FFFFFF"/>
        </w:rPr>
      </w:pPr>
    </w:p>
    <w:p w14:paraId="465BBEB8" w14:textId="77777777" w:rsidR="00B477E7" w:rsidRPr="008C779B" w:rsidRDefault="00B477E7" w:rsidP="00B477E7">
      <w:pPr>
        <w:rPr>
          <w:rFonts w:eastAsia="Times New Roman" w:cs="Times New Roman"/>
          <w:szCs w:val="24"/>
          <w:shd w:val="clear" w:color="auto" w:fill="FFFFFF"/>
        </w:rPr>
      </w:pPr>
    </w:p>
    <w:sectPr w:rsidR="00B477E7" w:rsidRPr="008C779B" w:rsidSect="002E52B2">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5A72CD" w14:textId="77777777" w:rsidR="00562041" w:rsidRDefault="00562041" w:rsidP="002E52B2">
      <w:pPr>
        <w:spacing w:after="0" w:line="240" w:lineRule="auto"/>
      </w:pPr>
      <w:r>
        <w:separator/>
      </w:r>
    </w:p>
  </w:endnote>
  <w:endnote w:type="continuationSeparator" w:id="0">
    <w:p w14:paraId="7292460A" w14:textId="77777777" w:rsidR="00562041" w:rsidRDefault="00562041" w:rsidP="002E5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47580907"/>
      <w:docPartObj>
        <w:docPartGallery w:val="Page Numbers (Bottom of Page)"/>
        <w:docPartUnique/>
      </w:docPartObj>
    </w:sdtPr>
    <w:sdtEndPr>
      <w:rPr>
        <w:noProof/>
      </w:rPr>
    </w:sdtEndPr>
    <w:sdtContent>
      <w:p w14:paraId="62FAD1EE" w14:textId="01F2E3FE" w:rsidR="008A4BED" w:rsidRDefault="008A4B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035D35" w14:textId="77777777" w:rsidR="002E52B2" w:rsidRDefault="002E52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0CEFA1" w14:textId="77777777" w:rsidR="00562041" w:rsidRDefault="00562041" w:rsidP="002E52B2">
      <w:pPr>
        <w:spacing w:after="0" w:line="240" w:lineRule="auto"/>
      </w:pPr>
      <w:r>
        <w:separator/>
      </w:r>
    </w:p>
  </w:footnote>
  <w:footnote w:type="continuationSeparator" w:id="0">
    <w:p w14:paraId="566631F8" w14:textId="77777777" w:rsidR="00562041" w:rsidRDefault="00562041" w:rsidP="002E52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A74453"/>
    <w:multiLevelType w:val="hybridMultilevel"/>
    <w:tmpl w:val="77AA1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E03527"/>
    <w:multiLevelType w:val="hybridMultilevel"/>
    <w:tmpl w:val="9266EB5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27738C"/>
    <w:multiLevelType w:val="hybridMultilevel"/>
    <w:tmpl w:val="0786FD94"/>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B845E5"/>
    <w:multiLevelType w:val="hybridMultilevel"/>
    <w:tmpl w:val="40545DE0"/>
    <w:lvl w:ilvl="0" w:tplc="FFFFFFFF">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3913AB"/>
    <w:multiLevelType w:val="hybridMultilevel"/>
    <w:tmpl w:val="72662E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6C0F95"/>
    <w:multiLevelType w:val="multilevel"/>
    <w:tmpl w:val="D96E014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8D1A89"/>
    <w:multiLevelType w:val="hybridMultilevel"/>
    <w:tmpl w:val="4002E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C6202C"/>
    <w:multiLevelType w:val="hybridMultilevel"/>
    <w:tmpl w:val="02CC8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BD7DF3"/>
    <w:multiLevelType w:val="multilevel"/>
    <w:tmpl w:val="4DC291D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B6C5D7A"/>
    <w:multiLevelType w:val="hybridMultilevel"/>
    <w:tmpl w:val="D0FAA188"/>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740F56"/>
    <w:multiLevelType w:val="hybridMultilevel"/>
    <w:tmpl w:val="286E6A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BB65C86"/>
    <w:multiLevelType w:val="multilevel"/>
    <w:tmpl w:val="6FBA981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F1F143A"/>
    <w:multiLevelType w:val="hybridMultilevel"/>
    <w:tmpl w:val="2AE4EE62"/>
    <w:lvl w:ilvl="0" w:tplc="0409000F">
      <w:start w:val="1"/>
      <w:numFmt w:val="decimal"/>
      <w:lvlText w:val="%1."/>
      <w:lvlJc w:val="left"/>
      <w:pPr>
        <w:ind w:left="720" w:hanging="360"/>
      </w:pPr>
      <w:rPr>
        <w:rFonts w:hint="default"/>
      </w:rPr>
    </w:lvl>
    <w:lvl w:ilvl="1" w:tplc="D28CDCE4">
      <w:start w:val="1"/>
      <w:numFmt w:val="lowerLetter"/>
      <w:lvlText w:val="%2."/>
      <w:lvlJc w:val="left"/>
      <w:pPr>
        <w:ind w:left="1440" w:hanging="360"/>
      </w:pPr>
      <w:rPr>
        <w:rFonts w:hint="default"/>
        <w:b/>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43255F5"/>
    <w:multiLevelType w:val="hybridMultilevel"/>
    <w:tmpl w:val="A16E9FDC"/>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902A31"/>
    <w:multiLevelType w:val="hybridMultilevel"/>
    <w:tmpl w:val="B5724C9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BF21255"/>
    <w:multiLevelType w:val="hybridMultilevel"/>
    <w:tmpl w:val="039E407A"/>
    <w:lvl w:ilvl="0" w:tplc="FFFFFFFF">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245601"/>
    <w:multiLevelType w:val="multilevel"/>
    <w:tmpl w:val="65EEFA1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2CF62D4"/>
    <w:multiLevelType w:val="hybridMultilevel"/>
    <w:tmpl w:val="5ABEAD4E"/>
    <w:lvl w:ilvl="0" w:tplc="FFFFFFFF">
      <w:start w:val="1"/>
      <w:numFmt w:val="lowerLetter"/>
      <w:lvlText w:val="%1)"/>
      <w:lvlJc w:val="left"/>
      <w:pPr>
        <w:ind w:left="720" w:hanging="360"/>
      </w:pPr>
      <w:rPr>
        <w:rFonts w:hint="default"/>
      </w:rPr>
    </w:lvl>
    <w:lvl w:ilvl="1" w:tplc="3758A30E">
      <w:start w:val="1"/>
      <w:numFmt w:val="bullet"/>
      <w:lvlText w:val="-"/>
      <w:lvlJc w:val="left"/>
      <w:pPr>
        <w:ind w:left="1440" w:hanging="360"/>
      </w:pPr>
      <w:rPr>
        <w:rFonts w:ascii="Times New Roman" w:eastAsiaTheme="minorEastAsia" w:hAnsi="Times New Roman"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6C43316"/>
    <w:multiLevelType w:val="hybridMultilevel"/>
    <w:tmpl w:val="23723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91348C"/>
    <w:multiLevelType w:val="multilevel"/>
    <w:tmpl w:val="3D9C10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E7B343A"/>
    <w:multiLevelType w:val="hybridMultilevel"/>
    <w:tmpl w:val="BC1C0A4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1" w15:restartNumberingAfterBreak="0">
    <w:nsid w:val="6EEF23F3"/>
    <w:multiLevelType w:val="hybridMultilevel"/>
    <w:tmpl w:val="8F6A63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2531D6F"/>
    <w:multiLevelType w:val="multilevel"/>
    <w:tmpl w:val="C2188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3A30478"/>
    <w:multiLevelType w:val="hybridMultilevel"/>
    <w:tmpl w:val="1C0A30C6"/>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99227F0"/>
    <w:multiLevelType w:val="hybridMultilevel"/>
    <w:tmpl w:val="B6C42AB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3714826">
    <w:abstractNumId w:val="7"/>
  </w:num>
  <w:num w:numId="2" w16cid:durableId="460735973">
    <w:abstractNumId w:val="17"/>
  </w:num>
  <w:num w:numId="3" w16cid:durableId="1210188157">
    <w:abstractNumId w:val="3"/>
  </w:num>
  <w:num w:numId="4" w16cid:durableId="635797463">
    <w:abstractNumId w:val="15"/>
  </w:num>
  <w:num w:numId="5" w16cid:durableId="1973945271">
    <w:abstractNumId w:val="0"/>
  </w:num>
  <w:num w:numId="6" w16cid:durableId="166557451">
    <w:abstractNumId w:val="1"/>
  </w:num>
  <w:num w:numId="7" w16cid:durableId="197815553">
    <w:abstractNumId w:val="2"/>
  </w:num>
  <w:num w:numId="8" w16cid:durableId="499002344">
    <w:abstractNumId w:val="20"/>
  </w:num>
  <w:num w:numId="9" w16cid:durableId="1168596052">
    <w:abstractNumId w:val="18"/>
  </w:num>
  <w:num w:numId="10" w16cid:durableId="304821272">
    <w:abstractNumId w:val="9"/>
  </w:num>
  <w:num w:numId="11" w16cid:durableId="254478098">
    <w:abstractNumId w:val="23"/>
  </w:num>
  <w:num w:numId="12" w16cid:durableId="1919557790">
    <w:abstractNumId w:val="13"/>
  </w:num>
  <w:num w:numId="13" w16cid:durableId="289559140">
    <w:abstractNumId w:val="6"/>
  </w:num>
  <w:num w:numId="14" w16cid:durableId="513768808">
    <w:abstractNumId w:val="4"/>
  </w:num>
  <w:num w:numId="15" w16cid:durableId="1327786737">
    <w:abstractNumId w:val="24"/>
  </w:num>
  <w:num w:numId="16" w16cid:durableId="1855460027">
    <w:abstractNumId w:val="14"/>
  </w:num>
  <w:num w:numId="17" w16cid:durableId="702023573">
    <w:abstractNumId w:val="8"/>
  </w:num>
  <w:num w:numId="18" w16cid:durableId="1090586442">
    <w:abstractNumId w:val="5"/>
  </w:num>
  <w:num w:numId="19" w16cid:durableId="2090494788">
    <w:abstractNumId w:val="19"/>
  </w:num>
  <w:num w:numId="20" w16cid:durableId="841701399">
    <w:abstractNumId w:val="10"/>
  </w:num>
  <w:num w:numId="21" w16cid:durableId="447117524">
    <w:abstractNumId w:val="12"/>
  </w:num>
  <w:num w:numId="22" w16cid:durableId="427191515">
    <w:abstractNumId w:val="21"/>
  </w:num>
  <w:num w:numId="23" w16cid:durableId="1145316303">
    <w:abstractNumId w:val="22"/>
  </w:num>
  <w:num w:numId="24" w16cid:durableId="1920669215">
    <w:abstractNumId w:val="16"/>
  </w:num>
  <w:num w:numId="25" w16cid:durableId="27645234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0NDQyNjM2NzKwMDRS0lEKTi0uzszPAykwqwUA8FVgvywAAAA="/>
  </w:docVars>
  <w:rsids>
    <w:rsidRoot w:val="002E14B5"/>
    <w:rsid w:val="000017E2"/>
    <w:rsid w:val="0000535B"/>
    <w:rsid w:val="000067B5"/>
    <w:rsid w:val="00006DC7"/>
    <w:rsid w:val="00013234"/>
    <w:rsid w:val="0001414E"/>
    <w:rsid w:val="00014E96"/>
    <w:rsid w:val="000155A2"/>
    <w:rsid w:val="00015B16"/>
    <w:rsid w:val="0001642C"/>
    <w:rsid w:val="00016F45"/>
    <w:rsid w:val="00020C1E"/>
    <w:rsid w:val="00020FA6"/>
    <w:rsid w:val="00021970"/>
    <w:rsid w:val="000226F8"/>
    <w:rsid w:val="000260A3"/>
    <w:rsid w:val="00030123"/>
    <w:rsid w:val="00031C7D"/>
    <w:rsid w:val="0003417B"/>
    <w:rsid w:val="0003492D"/>
    <w:rsid w:val="00040766"/>
    <w:rsid w:val="00040FD9"/>
    <w:rsid w:val="0004244B"/>
    <w:rsid w:val="00044BEB"/>
    <w:rsid w:val="00046C09"/>
    <w:rsid w:val="000501FA"/>
    <w:rsid w:val="00051064"/>
    <w:rsid w:val="000511C2"/>
    <w:rsid w:val="000520E2"/>
    <w:rsid w:val="00053A28"/>
    <w:rsid w:val="00060AF8"/>
    <w:rsid w:val="00061058"/>
    <w:rsid w:val="0006258D"/>
    <w:rsid w:val="000658D6"/>
    <w:rsid w:val="00066452"/>
    <w:rsid w:val="0007164C"/>
    <w:rsid w:val="00073991"/>
    <w:rsid w:val="00080D64"/>
    <w:rsid w:val="000822C2"/>
    <w:rsid w:val="000851C0"/>
    <w:rsid w:val="00085AA0"/>
    <w:rsid w:val="000867C8"/>
    <w:rsid w:val="00086F89"/>
    <w:rsid w:val="000905AF"/>
    <w:rsid w:val="000910B3"/>
    <w:rsid w:val="00091DEF"/>
    <w:rsid w:val="0009412A"/>
    <w:rsid w:val="000963F9"/>
    <w:rsid w:val="000A17C2"/>
    <w:rsid w:val="000A199E"/>
    <w:rsid w:val="000A3CE5"/>
    <w:rsid w:val="000A4026"/>
    <w:rsid w:val="000A53CD"/>
    <w:rsid w:val="000A551F"/>
    <w:rsid w:val="000A6AC3"/>
    <w:rsid w:val="000A6EED"/>
    <w:rsid w:val="000A712A"/>
    <w:rsid w:val="000A7BA0"/>
    <w:rsid w:val="000B0EED"/>
    <w:rsid w:val="000B312C"/>
    <w:rsid w:val="000B3C06"/>
    <w:rsid w:val="000B4BDE"/>
    <w:rsid w:val="000C1EC3"/>
    <w:rsid w:val="000C1F9E"/>
    <w:rsid w:val="000C3046"/>
    <w:rsid w:val="000C54B8"/>
    <w:rsid w:val="000C54E9"/>
    <w:rsid w:val="000C67A0"/>
    <w:rsid w:val="000C6ABA"/>
    <w:rsid w:val="000C6BA6"/>
    <w:rsid w:val="000D01FA"/>
    <w:rsid w:val="000D6F31"/>
    <w:rsid w:val="000D7D57"/>
    <w:rsid w:val="000E017C"/>
    <w:rsid w:val="000E02C9"/>
    <w:rsid w:val="000E1D54"/>
    <w:rsid w:val="000E2AEE"/>
    <w:rsid w:val="000F0BE2"/>
    <w:rsid w:val="000F10B8"/>
    <w:rsid w:val="000F129C"/>
    <w:rsid w:val="000F3972"/>
    <w:rsid w:val="000F5135"/>
    <w:rsid w:val="000F7274"/>
    <w:rsid w:val="000F7E1E"/>
    <w:rsid w:val="00102D08"/>
    <w:rsid w:val="0010502B"/>
    <w:rsid w:val="001053E6"/>
    <w:rsid w:val="001104F0"/>
    <w:rsid w:val="0011355D"/>
    <w:rsid w:val="001165A4"/>
    <w:rsid w:val="00116B9F"/>
    <w:rsid w:val="001177B5"/>
    <w:rsid w:val="00121A62"/>
    <w:rsid w:val="00124A0C"/>
    <w:rsid w:val="00125010"/>
    <w:rsid w:val="00125107"/>
    <w:rsid w:val="00125486"/>
    <w:rsid w:val="00127D6C"/>
    <w:rsid w:val="00130BE8"/>
    <w:rsid w:val="00132334"/>
    <w:rsid w:val="001338AF"/>
    <w:rsid w:val="00133F8D"/>
    <w:rsid w:val="00133FB7"/>
    <w:rsid w:val="0013691E"/>
    <w:rsid w:val="00137EB0"/>
    <w:rsid w:val="00140535"/>
    <w:rsid w:val="00140DE5"/>
    <w:rsid w:val="00141F3D"/>
    <w:rsid w:val="00142B3B"/>
    <w:rsid w:val="001431BC"/>
    <w:rsid w:val="0014685B"/>
    <w:rsid w:val="00147C20"/>
    <w:rsid w:val="001512E5"/>
    <w:rsid w:val="00161851"/>
    <w:rsid w:val="00162577"/>
    <w:rsid w:val="00162F92"/>
    <w:rsid w:val="00165CE2"/>
    <w:rsid w:val="00167609"/>
    <w:rsid w:val="001676CD"/>
    <w:rsid w:val="00170C9E"/>
    <w:rsid w:val="0017137D"/>
    <w:rsid w:val="00171AC1"/>
    <w:rsid w:val="00174B78"/>
    <w:rsid w:val="00175CE2"/>
    <w:rsid w:val="00176442"/>
    <w:rsid w:val="00181472"/>
    <w:rsid w:val="001818A7"/>
    <w:rsid w:val="001837DF"/>
    <w:rsid w:val="00190AF4"/>
    <w:rsid w:val="00191281"/>
    <w:rsid w:val="0019287F"/>
    <w:rsid w:val="0019378D"/>
    <w:rsid w:val="001973DA"/>
    <w:rsid w:val="00197992"/>
    <w:rsid w:val="001A0CD5"/>
    <w:rsid w:val="001A1C34"/>
    <w:rsid w:val="001A40CD"/>
    <w:rsid w:val="001A535B"/>
    <w:rsid w:val="001A6007"/>
    <w:rsid w:val="001A6357"/>
    <w:rsid w:val="001B01BE"/>
    <w:rsid w:val="001B384B"/>
    <w:rsid w:val="001B46B2"/>
    <w:rsid w:val="001B5E02"/>
    <w:rsid w:val="001C0170"/>
    <w:rsid w:val="001C1117"/>
    <w:rsid w:val="001C2353"/>
    <w:rsid w:val="001C261C"/>
    <w:rsid w:val="001C31D1"/>
    <w:rsid w:val="001C46E1"/>
    <w:rsid w:val="001C5072"/>
    <w:rsid w:val="001C62E9"/>
    <w:rsid w:val="001D0A3F"/>
    <w:rsid w:val="001D0C33"/>
    <w:rsid w:val="001D2E08"/>
    <w:rsid w:val="001D42A2"/>
    <w:rsid w:val="001D4EB4"/>
    <w:rsid w:val="001D5359"/>
    <w:rsid w:val="001D5D7B"/>
    <w:rsid w:val="001E2672"/>
    <w:rsid w:val="001E3742"/>
    <w:rsid w:val="001F3067"/>
    <w:rsid w:val="001F46CE"/>
    <w:rsid w:val="001F4ABC"/>
    <w:rsid w:val="001F7A4A"/>
    <w:rsid w:val="0020050C"/>
    <w:rsid w:val="00202CAF"/>
    <w:rsid w:val="0020307C"/>
    <w:rsid w:val="00203AFE"/>
    <w:rsid w:val="00203EC2"/>
    <w:rsid w:val="002052C1"/>
    <w:rsid w:val="00207041"/>
    <w:rsid w:val="00207441"/>
    <w:rsid w:val="002128C1"/>
    <w:rsid w:val="00212DC9"/>
    <w:rsid w:val="00213688"/>
    <w:rsid w:val="00220BF7"/>
    <w:rsid w:val="002226FA"/>
    <w:rsid w:val="00225072"/>
    <w:rsid w:val="00227A9C"/>
    <w:rsid w:val="0023118D"/>
    <w:rsid w:val="00231F98"/>
    <w:rsid w:val="0023276B"/>
    <w:rsid w:val="00234164"/>
    <w:rsid w:val="00237E6C"/>
    <w:rsid w:val="00240402"/>
    <w:rsid w:val="00241BA4"/>
    <w:rsid w:val="00246665"/>
    <w:rsid w:val="00250307"/>
    <w:rsid w:val="002517A6"/>
    <w:rsid w:val="00256EDB"/>
    <w:rsid w:val="002616E9"/>
    <w:rsid w:val="0026445F"/>
    <w:rsid w:val="00264BB3"/>
    <w:rsid w:val="00266D93"/>
    <w:rsid w:val="00266F3F"/>
    <w:rsid w:val="00270BEE"/>
    <w:rsid w:val="00271C7D"/>
    <w:rsid w:val="00271CB9"/>
    <w:rsid w:val="002735E0"/>
    <w:rsid w:val="00275579"/>
    <w:rsid w:val="002810FB"/>
    <w:rsid w:val="00283339"/>
    <w:rsid w:val="002857F1"/>
    <w:rsid w:val="00286FC4"/>
    <w:rsid w:val="0029025C"/>
    <w:rsid w:val="0029053B"/>
    <w:rsid w:val="00290B69"/>
    <w:rsid w:val="002918DD"/>
    <w:rsid w:val="00295DBB"/>
    <w:rsid w:val="002A27F4"/>
    <w:rsid w:val="002A2BB4"/>
    <w:rsid w:val="002A4B25"/>
    <w:rsid w:val="002A6210"/>
    <w:rsid w:val="002A7459"/>
    <w:rsid w:val="002A7AC2"/>
    <w:rsid w:val="002B0457"/>
    <w:rsid w:val="002B22CE"/>
    <w:rsid w:val="002B2987"/>
    <w:rsid w:val="002B37E7"/>
    <w:rsid w:val="002B41A3"/>
    <w:rsid w:val="002B4863"/>
    <w:rsid w:val="002B64D2"/>
    <w:rsid w:val="002C2DEB"/>
    <w:rsid w:val="002C63B6"/>
    <w:rsid w:val="002C63FF"/>
    <w:rsid w:val="002C691B"/>
    <w:rsid w:val="002C6CAD"/>
    <w:rsid w:val="002D29C5"/>
    <w:rsid w:val="002D4AB5"/>
    <w:rsid w:val="002D4AC3"/>
    <w:rsid w:val="002D6F82"/>
    <w:rsid w:val="002D79E7"/>
    <w:rsid w:val="002E0642"/>
    <w:rsid w:val="002E1021"/>
    <w:rsid w:val="002E14B5"/>
    <w:rsid w:val="002E3571"/>
    <w:rsid w:val="002E36CD"/>
    <w:rsid w:val="002E3954"/>
    <w:rsid w:val="002E52B2"/>
    <w:rsid w:val="002E68A1"/>
    <w:rsid w:val="002E7D3C"/>
    <w:rsid w:val="002F1033"/>
    <w:rsid w:val="002F20A9"/>
    <w:rsid w:val="002F3AEF"/>
    <w:rsid w:val="002F5A3C"/>
    <w:rsid w:val="002F5DE8"/>
    <w:rsid w:val="002F5FB9"/>
    <w:rsid w:val="002F61D7"/>
    <w:rsid w:val="002F6944"/>
    <w:rsid w:val="003001FE"/>
    <w:rsid w:val="00300A1E"/>
    <w:rsid w:val="00302C0E"/>
    <w:rsid w:val="00303C72"/>
    <w:rsid w:val="0030434F"/>
    <w:rsid w:val="00305E7C"/>
    <w:rsid w:val="00305FCB"/>
    <w:rsid w:val="00307311"/>
    <w:rsid w:val="003079ED"/>
    <w:rsid w:val="003113A3"/>
    <w:rsid w:val="003149DC"/>
    <w:rsid w:val="0031532E"/>
    <w:rsid w:val="003175F5"/>
    <w:rsid w:val="00321940"/>
    <w:rsid w:val="00324013"/>
    <w:rsid w:val="003242BC"/>
    <w:rsid w:val="00324A13"/>
    <w:rsid w:val="00324F52"/>
    <w:rsid w:val="003252D3"/>
    <w:rsid w:val="003254CC"/>
    <w:rsid w:val="00325949"/>
    <w:rsid w:val="003264AF"/>
    <w:rsid w:val="00326B61"/>
    <w:rsid w:val="00326EB4"/>
    <w:rsid w:val="00327523"/>
    <w:rsid w:val="00327A69"/>
    <w:rsid w:val="00327AAB"/>
    <w:rsid w:val="00330129"/>
    <w:rsid w:val="00330A60"/>
    <w:rsid w:val="00332B6F"/>
    <w:rsid w:val="00334AC9"/>
    <w:rsid w:val="00334E4A"/>
    <w:rsid w:val="00334FD1"/>
    <w:rsid w:val="003354C9"/>
    <w:rsid w:val="00335A39"/>
    <w:rsid w:val="00341382"/>
    <w:rsid w:val="0034280E"/>
    <w:rsid w:val="003431B9"/>
    <w:rsid w:val="0034596D"/>
    <w:rsid w:val="0034693A"/>
    <w:rsid w:val="00347ABD"/>
    <w:rsid w:val="00347AF6"/>
    <w:rsid w:val="003503F4"/>
    <w:rsid w:val="00352747"/>
    <w:rsid w:val="00352D00"/>
    <w:rsid w:val="003547CA"/>
    <w:rsid w:val="00355044"/>
    <w:rsid w:val="003558BE"/>
    <w:rsid w:val="00355FB4"/>
    <w:rsid w:val="00356CB2"/>
    <w:rsid w:val="00357BFC"/>
    <w:rsid w:val="003600F0"/>
    <w:rsid w:val="0036144D"/>
    <w:rsid w:val="00361F0A"/>
    <w:rsid w:val="003651F1"/>
    <w:rsid w:val="003651FE"/>
    <w:rsid w:val="00367E6D"/>
    <w:rsid w:val="003706E4"/>
    <w:rsid w:val="00370C09"/>
    <w:rsid w:val="00371B51"/>
    <w:rsid w:val="003720E1"/>
    <w:rsid w:val="003739EC"/>
    <w:rsid w:val="003859FE"/>
    <w:rsid w:val="00387922"/>
    <w:rsid w:val="00391C67"/>
    <w:rsid w:val="00392CE7"/>
    <w:rsid w:val="003A2476"/>
    <w:rsid w:val="003A50FB"/>
    <w:rsid w:val="003A6E58"/>
    <w:rsid w:val="003B20C7"/>
    <w:rsid w:val="003B29AA"/>
    <w:rsid w:val="003B42A7"/>
    <w:rsid w:val="003B431D"/>
    <w:rsid w:val="003B60A5"/>
    <w:rsid w:val="003B6AB7"/>
    <w:rsid w:val="003B6E87"/>
    <w:rsid w:val="003B72A2"/>
    <w:rsid w:val="003B75E8"/>
    <w:rsid w:val="003C10BC"/>
    <w:rsid w:val="003C27E0"/>
    <w:rsid w:val="003C374F"/>
    <w:rsid w:val="003C3BB9"/>
    <w:rsid w:val="003C4B3C"/>
    <w:rsid w:val="003C68A9"/>
    <w:rsid w:val="003D287D"/>
    <w:rsid w:val="003D35EC"/>
    <w:rsid w:val="003D3DD1"/>
    <w:rsid w:val="003D6360"/>
    <w:rsid w:val="003D758F"/>
    <w:rsid w:val="003D788C"/>
    <w:rsid w:val="003D7F73"/>
    <w:rsid w:val="003E05F5"/>
    <w:rsid w:val="003E5148"/>
    <w:rsid w:val="003E5CC8"/>
    <w:rsid w:val="003F1077"/>
    <w:rsid w:val="003F10BE"/>
    <w:rsid w:val="003F2386"/>
    <w:rsid w:val="003F43BC"/>
    <w:rsid w:val="003F699F"/>
    <w:rsid w:val="003F7530"/>
    <w:rsid w:val="00401670"/>
    <w:rsid w:val="004019EE"/>
    <w:rsid w:val="00401DAD"/>
    <w:rsid w:val="004039CD"/>
    <w:rsid w:val="004066D2"/>
    <w:rsid w:val="00406D04"/>
    <w:rsid w:val="00407782"/>
    <w:rsid w:val="00414FF0"/>
    <w:rsid w:val="00415AB4"/>
    <w:rsid w:val="00417F81"/>
    <w:rsid w:val="004232C8"/>
    <w:rsid w:val="0042496E"/>
    <w:rsid w:val="004273C5"/>
    <w:rsid w:val="00430755"/>
    <w:rsid w:val="00431556"/>
    <w:rsid w:val="00431A56"/>
    <w:rsid w:val="0043231F"/>
    <w:rsid w:val="0043317B"/>
    <w:rsid w:val="00435DBA"/>
    <w:rsid w:val="004361C4"/>
    <w:rsid w:val="0043715E"/>
    <w:rsid w:val="004400E5"/>
    <w:rsid w:val="00440957"/>
    <w:rsid w:val="0044149B"/>
    <w:rsid w:val="00441DEF"/>
    <w:rsid w:val="004443F5"/>
    <w:rsid w:val="00445762"/>
    <w:rsid w:val="004476C8"/>
    <w:rsid w:val="004479AD"/>
    <w:rsid w:val="004532D2"/>
    <w:rsid w:val="00454999"/>
    <w:rsid w:val="00455FAA"/>
    <w:rsid w:val="00461E35"/>
    <w:rsid w:val="00463D8F"/>
    <w:rsid w:val="00464023"/>
    <w:rsid w:val="00464D52"/>
    <w:rsid w:val="00466D2E"/>
    <w:rsid w:val="00470920"/>
    <w:rsid w:val="00470F83"/>
    <w:rsid w:val="00473D91"/>
    <w:rsid w:val="00473E83"/>
    <w:rsid w:val="004775F8"/>
    <w:rsid w:val="00477F79"/>
    <w:rsid w:val="00480DA6"/>
    <w:rsid w:val="00482589"/>
    <w:rsid w:val="00490AF3"/>
    <w:rsid w:val="00492071"/>
    <w:rsid w:val="0049435A"/>
    <w:rsid w:val="00494A56"/>
    <w:rsid w:val="004957C2"/>
    <w:rsid w:val="004960D8"/>
    <w:rsid w:val="004966DA"/>
    <w:rsid w:val="004A0A72"/>
    <w:rsid w:val="004A0C0A"/>
    <w:rsid w:val="004A191F"/>
    <w:rsid w:val="004A3B6A"/>
    <w:rsid w:val="004A5BC4"/>
    <w:rsid w:val="004A7F99"/>
    <w:rsid w:val="004B14A5"/>
    <w:rsid w:val="004B477F"/>
    <w:rsid w:val="004B5462"/>
    <w:rsid w:val="004B7091"/>
    <w:rsid w:val="004B7E3F"/>
    <w:rsid w:val="004B7FF8"/>
    <w:rsid w:val="004C0096"/>
    <w:rsid w:val="004C0398"/>
    <w:rsid w:val="004C09D7"/>
    <w:rsid w:val="004C14BF"/>
    <w:rsid w:val="004C1CE6"/>
    <w:rsid w:val="004C3A27"/>
    <w:rsid w:val="004C4C8D"/>
    <w:rsid w:val="004C6BC2"/>
    <w:rsid w:val="004D1806"/>
    <w:rsid w:val="004D353C"/>
    <w:rsid w:val="004D3DF7"/>
    <w:rsid w:val="004D3F77"/>
    <w:rsid w:val="004D488B"/>
    <w:rsid w:val="004D48BB"/>
    <w:rsid w:val="004D5895"/>
    <w:rsid w:val="004D782C"/>
    <w:rsid w:val="004D7DAD"/>
    <w:rsid w:val="004E6B49"/>
    <w:rsid w:val="004E7060"/>
    <w:rsid w:val="004E73DD"/>
    <w:rsid w:val="004E7444"/>
    <w:rsid w:val="004F0AFF"/>
    <w:rsid w:val="004F1514"/>
    <w:rsid w:val="004F2AC4"/>
    <w:rsid w:val="004F2CD5"/>
    <w:rsid w:val="004F4D59"/>
    <w:rsid w:val="004F6398"/>
    <w:rsid w:val="004F7FDC"/>
    <w:rsid w:val="00501F5C"/>
    <w:rsid w:val="005044AC"/>
    <w:rsid w:val="005052D6"/>
    <w:rsid w:val="0050562E"/>
    <w:rsid w:val="005102A1"/>
    <w:rsid w:val="00510693"/>
    <w:rsid w:val="005127AD"/>
    <w:rsid w:val="00514A67"/>
    <w:rsid w:val="00517E84"/>
    <w:rsid w:val="0052048C"/>
    <w:rsid w:val="00520D82"/>
    <w:rsid w:val="00521214"/>
    <w:rsid w:val="005243FC"/>
    <w:rsid w:val="00525027"/>
    <w:rsid w:val="005301C6"/>
    <w:rsid w:val="00530E9F"/>
    <w:rsid w:val="00531DB1"/>
    <w:rsid w:val="00533DDB"/>
    <w:rsid w:val="00535C21"/>
    <w:rsid w:val="005365C1"/>
    <w:rsid w:val="00536B47"/>
    <w:rsid w:val="00541572"/>
    <w:rsid w:val="005444E5"/>
    <w:rsid w:val="00545785"/>
    <w:rsid w:val="005508E4"/>
    <w:rsid w:val="00553BFB"/>
    <w:rsid w:val="00553C3A"/>
    <w:rsid w:val="00554217"/>
    <w:rsid w:val="00556A80"/>
    <w:rsid w:val="005570A8"/>
    <w:rsid w:val="00557482"/>
    <w:rsid w:val="0056041C"/>
    <w:rsid w:val="00562041"/>
    <w:rsid w:val="0056380B"/>
    <w:rsid w:val="00564607"/>
    <w:rsid w:val="00565028"/>
    <w:rsid w:val="00565586"/>
    <w:rsid w:val="00565A62"/>
    <w:rsid w:val="00566A77"/>
    <w:rsid w:val="005737F8"/>
    <w:rsid w:val="005762E1"/>
    <w:rsid w:val="005767D7"/>
    <w:rsid w:val="005774E5"/>
    <w:rsid w:val="00577874"/>
    <w:rsid w:val="00577F96"/>
    <w:rsid w:val="00582250"/>
    <w:rsid w:val="0058282B"/>
    <w:rsid w:val="00584075"/>
    <w:rsid w:val="00584D0C"/>
    <w:rsid w:val="00585E33"/>
    <w:rsid w:val="00590AA5"/>
    <w:rsid w:val="005914C3"/>
    <w:rsid w:val="005923E4"/>
    <w:rsid w:val="00592FC7"/>
    <w:rsid w:val="00595CCF"/>
    <w:rsid w:val="00595D2D"/>
    <w:rsid w:val="005A03EE"/>
    <w:rsid w:val="005A2788"/>
    <w:rsid w:val="005A2E5D"/>
    <w:rsid w:val="005A2F70"/>
    <w:rsid w:val="005A35D2"/>
    <w:rsid w:val="005A3C5F"/>
    <w:rsid w:val="005A4B47"/>
    <w:rsid w:val="005A5495"/>
    <w:rsid w:val="005A6009"/>
    <w:rsid w:val="005A654E"/>
    <w:rsid w:val="005B2460"/>
    <w:rsid w:val="005B411A"/>
    <w:rsid w:val="005B7F4F"/>
    <w:rsid w:val="005C0F2B"/>
    <w:rsid w:val="005C1795"/>
    <w:rsid w:val="005C26B0"/>
    <w:rsid w:val="005C3794"/>
    <w:rsid w:val="005C392F"/>
    <w:rsid w:val="005C4462"/>
    <w:rsid w:val="005C582B"/>
    <w:rsid w:val="005C6D29"/>
    <w:rsid w:val="005C6F45"/>
    <w:rsid w:val="005D30C4"/>
    <w:rsid w:val="005D7359"/>
    <w:rsid w:val="005D7755"/>
    <w:rsid w:val="005E051B"/>
    <w:rsid w:val="005E0E02"/>
    <w:rsid w:val="005E1CB8"/>
    <w:rsid w:val="005E2DB5"/>
    <w:rsid w:val="005E3C2C"/>
    <w:rsid w:val="005E6DA4"/>
    <w:rsid w:val="005F19D4"/>
    <w:rsid w:val="005F2959"/>
    <w:rsid w:val="005F36C6"/>
    <w:rsid w:val="005F4CBC"/>
    <w:rsid w:val="005F69CD"/>
    <w:rsid w:val="006012CD"/>
    <w:rsid w:val="006020DD"/>
    <w:rsid w:val="00602D0F"/>
    <w:rsid w:val="00603F76"/>
    <w:rsid w:val="00604B8C"/>
    <w:rsid w:val="00604D88"/>
    <w:rsid w:val="006055DB"/>
    <w:rsid w:val="00607D60"/>
    <w:rsid w:val="00611370"/>
    <w:rsid w:val="006113BE"/>
    <w:rsid w:val="006117D5"/>
    <w:rsid w:val="00612D77"/>
    <w:rsid w:val="00614E3A"/>
    <w:rsid w:val="00616C60"/>
    <w:rsid w:val="00621C0E"/>
    <w:rsid w:val="00626C45"/>
    <w:rsid w:val="006279CF"/>
    <w:rsid w:val="00630C46"/>
    <w:rsid w:val="006310FC"/>
    <w:rsid w:val="006362F8"/>
    <w:rsid w:val="006403FE"/>
    <w:rsid w:val="00640EF4"/>
    <w:rsid w:val="006421B4"/>
    <w:rsid w:val="00643746"/>
    <w:rsid w:val="00644D17"/>
    <w:rsid w:val="006467A8"/>
    <w:rsid w:val="00646EB5"/>
    <w:rsid w:val="00647F62"/>
    <w:rsid w:val="00650F55"/>
    <w:rsid w:val="00652CFC"/>
    <w:rsid w:val="00654236"/>
    <w:rsid w:val="00655BE4"/>
    <w:rsid w:val="00656D24"/>
    <w:rsid w:val="006604D6"/>
    <w:rsid w:val="00661C9D"/>
    <w:rsid w:val="0066496B"/>
    <w:rsid w:val="00664B79"/>
    <w:rsid w:val="0067530A"/>
    <w:rsid w:val="006771A9"/>
    <w:rsid w:val="0068053E"/>
    <w:rsid w:val="006839E6"/>
    <w:rsid w:val="00684624"/>
    <w:rsid w:val="00684FE1"/>
    <w:rsid w:val="00690374"/>
    <w:rsid w:val="0069053D"/>
    <w:rsid w:val="00690E91"/>
    <w:rsid w:val="00691BA1"/>
    <w:rsid w:val="00691ECA"/>
    <w:rsid w:val="00692B7A"/>
    <w:rsid w:val="0069427C"/>
    <w:rsid w:val="00696BEA"/>
    <w:rsid w:val="0069707F"/>
    <w:rsid w:val="00697D26"/>
    <w:rsid w:val="006A0FCD"/>
    <w:rsid w:val="006A29B7"/>
    <w:rsid w:val="006A53CF"/>
    <w:rsid w:val="006A58CD"/>
    <w:rsid w:val="006A5936"/>
    <w:rsid w:val="006A65E9"/>
    <w:rsid w:val="006A6812"/>
    <w:rsid w:val="006A6C9C"/>
    <w:rsid w:val="006B0244"/>
    <w:rsid w:val="006B0682"/>
    <w:rsid w:val="006B27C9"/>
    <w:rsid w:val="006B2E5A"/>
    <w:rsid w:val="006B5B79"/>
    <w:rsid w:val="006B65AE"/>
    <w:rsid w:val="006C0667"/>
    <w:rsid w:val="006C1729"/>
    <w:rsid w:val="006C235A"/>
    <w:rsid w:val="006C7032"/>
    <w:rsid w:val="006D22B3"/>
    <w:rsid w:val="006D257F"/>
    <w:rsid w:val="006D4F8C"/>
    <w:rsid w:val="006D557C"/>
    <w:rsid w:val="006D5DEA"/>
    <w:rsid w:val="006D7DDE"/>
    <w:rsid w:val="006E01CA"/>
    <w:rsid w:val="006E072B"/>
    <w:rsid w:val="006E1AF1"/>
    <w:rsid w:val="006E2BC8"/>
    <w:rsid w:val="006E2D67"/>
    <w:rsid w:val="006E3E30"/>
    <w:rsid w:val="006E5163"/>
    <w:rsid w:val="006E6C02"/>
    <w:rsid w:val="006F13E8"/>
    <w:rsid w:val="006F2AF4"/>
    <w:rsid w:val="00700FD5"/>
    <w:rsid w:val="00703C95"/>
    <w:rsid w:val="00705E62"/>
    <w:rsid w:val="00707643"/>
    <w:rsid w:val="00710CA8"/>
    <w:rsid w:val="00710E42"/>
    <w:rsid w:val="00712CCA"/>
    <w:rsid w:val="00714628"/>
    <w:rsid w:val="0071528B"/>
    <w:rsid w:val="00715BA7"/>
    <w:rsid w:val="00716482"/>
    <w:rsid w:val="0072084A"/>
    <w:rsid w:val="00724B6A"/>
    <w:rsid w:val="007255AE"/>
    <w:rsid w:val="00726597"/>
    <w:rsid w:val="00726E9A"/>
    <w:rsid w:val="0072744A"/>
    <w:rsid w:val="00727566"/>
    <w:rsid w:val="00727A0D"/>
    <w:rsid w:val="00727B2C"/>
    <w:rsid w:val="00731780"/>
    <w:rsid w:val="0073336C"/>
    <w:rsid w:val="00733652"/>
    <w:rsid w:val="00736F0A"/>
    <w:rsid w:val="00741DFC"/>
    <w:rsid w:val="0074289F"/>
    <w:rsid w:val="0074434E"/>
    <w:rsid w:val="0074568B"/>
    <w:rsid w:val="00746CE0"/>
    <w:rsid w:val="0075093A"/>
    <w:rsid w:val="0075093E"/>
    <w:rsid w:val="0075097A"/>
    <w:rsid w:val="00751ADD"/>
    <w:rsid w:val="0075306E"/>
    <w:rsid w:val="00753B98"/>
    <w:rsid w:val="0075444E"/>
    <w:rsid w:val="00755D99"/>
    <w:rsid w:val="007579B5"/>
    <w:rsid w:val="007602BD"/>
    <w:rsid w:val="007614D6"/>
    <w:rsid w:val="007638EA"/>
    <w:rsid w:val="00763E93"/>
    <w:rsid w:val="00766C8F"/>
    <w:rsid w:val="00767221"/>
    <w:rsid w:val="0076772A"/>
    <w:rsid w:val="00770BBA"/>
    <w:rsid w:val="007728CE"/>
    <w:rsid w:val="00773888"/>
    <w:rsid w:val="00776454"/>
    <w:rsid w:val="007774A7"/>
    <w:rsid w:val="00777723"/>
    <w:rsid w:val="00777B4A"/>
    <w:rsid w:val="00777D2F"/>
    <w:rsid w:val="0078170C"/>
    <w:rsid w:val="00786B17"/>
    <w:rsid w:val="00787349"/>
    <w:rsid w:val="00792550"/>
    <w:rsid w:val="0079263B"/>
    <w:rsid w:val="007927DD"/>
    <w:rsid w:val="00793D80"/>
    <w:rsid w:val="00794143"/>
    <w:rsid w:val="00795011"/>
    <w:rsid w:val="007A1DD2"/>
    <w:rsid w:val="007A2D58"/>
    <w:rsid w:val="007A44E1"/>
    <w:rsid w:val="007A7E68"/>
    <w:rsid w:val="007A7F01"/>
    <w:rsid w:val="007A7F62"/>
    <w:rsid w:val="007B116B"/>
    <w:rsid w:val="007B12C5"/>
    <w:rsid w:val="007B25D9"/>
    <w:rsid w:val="007B40D1"/>
    <w:rsid w:val="007B463C"/>
    <w:rsid w:val="007B5390"/>
    <w:rsid w:val="007B5E36"/>
    <w:rsid w:val="007B6F87"/>
    <w:rsid w:val="007B7460"/>
    <w:rsid w:val="007B7534"/>
    <w:rsid w:val="007C00FE"/>
    <w:rsid w:val="007C08B9"/>
    <w:rsid w:val="007C1021"/>
    <w:rsid w:val="007C17FE"/>
    <w:rsid w:val="007C728E"/>
    <w:rsid w:val="007C79C8"/>
    <w:rsid w:val="007D0C42"/>
    <w:rsid w:val="007D171B"/>
    <w:rsid w:val="007D2511"/>
    <w:rsid w:val="007D4B34"/>
    <w:rsid w:val="007D50F9"/>
    <w:rsid w:val="007D6462"/>
    <w:rsid w:val="007E13FA"/>
    <w:rsid w:val="007E2BBF"/>
    <w:rsid w:val="007E3C3C"/>
    <w:rsid w:val="007E6F62"/>
    <w:rsid w:val="007E7CFF"/>
    <w:rsid w:val="007F2889"/>
    <w:rsid w:val="007F5B0F"/>
    <w:rsid w:val="007F69A5"/>
    <w:rsid w:val="007F748B"/>
    <w:rsid w:val="007F7DD0"/>
    <w:rsid w:val="007F7FD0"/>
    <w:rsid w:val="00800ADE"/>
    <w:rsid w:val="00801905"/>
    <w:rsid w:val="00802C24"/>
    <w:rsid w:val="00805C8B"/>
    <w:rsid w:val="008075E7"/>
    <w:rsid w:val="00811455"/>
    <w:rsid w:val="0081218F"/>
    <w:rsid w:val="008132BE"/>
    <w:rsid w:val="00824609"/>
    <w:rsid w:val="00825D00"/>
    <w:rsid w:val="00826171"/>
    <w:rsid w:val="008267D0"/>
    <w:rsid w:val="00826968"/>
    <w:rsid w:val="00826EDB"/>
    <w:rsid w:val="0082761A"/>
    <w:rsid w:val="00827CAF"/>
    <w:rsid w:val="0083247B"/>
    <w:rsid w:val="00832F0F"/>
    <w:rsid w:val="00833943"/>
    <w:rsid w:val="00834C74"/>
    <w:rsid w:val="00835299"/>
    <w:rsid w:val="00835369"/>
    <w:rsid w:val="00836465"/>
    <w:rsid w:val="008368CE"/>
    <w:rsid w:val="00836984"/>
    <w:rsid w:val="00840423"/>
    <w:rsid w:val="00840BFF"/>
    <w:rsid w:val="0084374F"/>
    <w:rsid w:val="008438E9"/>
    <w:rsid w:val="00843AC5"/>
    <w:rsid w:val="008445CC"/>
    <w:rsid w:val="00844938"/>
    <w:rsid w:val="008474FB"/>
    <w:rsid w:val="0085149B"/>
    <w:rsid w:val="00851AC4"/>
    <w:rsid w:val="00853B3F"/>
    <w:rsid w:val="00853B7D"/>
    <w:rsid w:val="008548B4"/>
    <w:rsid w:val="00854F6C"/>
    <w:rsid w:val="00856E3D"/>
    <w:rsid w:val="00861BEA"/>
    <w:rsid w:val="00861D57"/>
    <w:rsid w:val="00862149"/>
    <w:rsid w:val="00862DD7"/>
    <w:rsid w:val="00863465"/>
    <w:rsid w:val="008636D6"/>
    <w:rsid w:val="008646EF"/>
    <w:rsid w:val="0086631E"/>
    <w:rsid w:val="00866C70"/>
    <w:rsid w:val="00870031"/>
    <w:rsid w:val="00871107"/>
    <w:rsid w:val="008724D2"/>
    <w:rsid w:val="00873419"/>
    <w:rsid w:val="008734C9"/>
    <w:rsid w:val="008740CD"/>
    <w:rsid w:val="0087533D"/>
    <w:rsid w:val="00875720"/>
    <w:rsid w:val="00876E71"/>
    <w:rsid w:val="008804FD"/>
    <w:rsid w:val="00880680"/>
    <w:rsid w:val="0088115C"/>
    <w:rsid w:val="00883193"/>
    <w:rsid w:val="008831F3"/>
    <w:rsid w:val="00883B73"/>
    <w:rsid w:val="00883CF2"/>
    <w:rsid w:val="00884434"/>
    <w:rsid w:val="00884752"/>
    <w:rsid w:val="0088559D"/>
    <w:rsid w:val="0088623F"/>
    <w:rsid w:val="00886BD2"/>
    <w:rsid w:val="00887A37"/>
    <w:rsid w:val="00893FAC"/>
    <w:rsid w:val="0089588F"/>
    <w:rsid w:val="008966A4"/>
    <w:rsid w:val="008A2A21"/>
    <w:rsid w:val="008A453E"/>
    <w:rsid w:val="008A4BED"/>
    <w:rsid w:val="008A5B22"/>
    <w:rsid w:val="008A5BDD"/>
    <w:rsid w:val="008A6D95"/>
    <w:rsid w:val="008A7CE1"/>
    <w:rsid w:val="008B0B55"/>
    <w:rsid w:val="008B4391"/>
    <w:rsid w:val="008B66C9"/>
    <w:rsid w:val="008B7151"/>
    <w:rsid w:val="008B7F06"/>
    <w:rsid w:val="008C086F"/>
    <w:rsid w:val="008C19B4"/>
    <w:rsid w:val="008C1CEB"/>
    <w:rsid w:val="008C2532"/>
    <w:rsid w:val="008C30C4"/>
    <w:rsid w:val="008C3CFF"/>
    <w:rsid w:val="008C4032"/>
    <w:rsid w:val="008C779B"/>
    <w:rsid w:val="008D0B10"/>
    <w:rsid w:val="008D20D4"/>
    <w:rsid w:val="008D225E"/>
    <w:rsid w:val="008D24C8"/>
    <w:rsid w:val="008D3B92"/>
    <w:rsid w:val="008D4539"/>
    <w:rsid w:val="008D458A"/>
    <w:rsid w:val="008D5A2E"/>
    <w:rsid w:val="008D79F2"/>
    <w:rsid w:val="008D7BAE"/>
    <w:rsid w:val="008E0051"/>
    <w:rsid w:val="008E2035"/>
    <w:rsid w:val="008E2BEB"/>
    <w:rsid w:val="008E5574"/>
    <w:rsid w:val="008E7FDE"/>
    <w:rsid w:val="008F1320"/>
    <w:rsid w:val="008F1F0F"/>
    <w:rsid w:val="008F5BAA"/>
    <w:rsid w:val="0090144C"/>
    <w:rsid w:val="00903BDF"/>
    <w:rsid w:val="00903E6A"/>
    <w:rsid w:val="00905387"/>
    <w:rsid w:val="00911E95"/>
    <w:rsid w:val="00912B98"/>
    <w:rsid w:val="00913D20"/>
    <w:rsid w:val="00915100"/>
    <w:rsid w:val="00915862"/>
    <w:rsid w:val="00916ABB"/>
    <w:rsid w:val="00922B4A"/>
    <w:rsid w:val="00922E1A"/>
    <w:rsid w:val="00923C0E"/>
    <w:rsid w:val="00924250"/>
    <w:rsid w:val="009252D6"/>
    <w:rsid w:val="00927893"/>
    <w:rsid w:val="009301FE"/>
    <w:rsid w:val="0093083F"/>
    <w:rsid w:val="00930D72"/>
    <w:rsid w:val="0093210E"/>
    <w:rsid w:val="00934FD9"/>
    <w:rsid w:val="00935CFB"/>
    <w:rsid w:val="00937FDA"/>
    <w:rsid w:val="00940065"/>
    <w:rsid w:val="00942F15"/>
    <w:rsid w:val="009459C8"/>
    <w:rsid w:val="0094793B"/>
    <w:rsid w:val="0095023F"/>
    <w:rsid w:val="009537AC"/>
    <w:rsid w:val="00954615"/>
    <w:rsid w:val="00955754"/>
    <w:rsid w:val="00956964"/>
    <w:rsid w:val="00960365"/>
    <w:rsid w:val="00960B88"/>
    <w:rsid w:val="00961396"/>
    <w:rsid w:val="00964788"/>
    <w:rsid w:val="00971B73"/>
    <w:rsid w:val="00974F83"/>
    <w:rsid w:val="00976345"/>
    <w:rsid w:val="009775E3"/>
    <w:rsid w:val="0098059F"/>
    <w:rsid w:val="0098252B"/>
    <w:rsid w:val="00982B4F"/>
    <w:rsid w:val="00984E93"/>
    <w:rsid w:val="00985641"/>
    <w:rsid w:val="00986FDB"/>
    <w:rsid w:val="00987E0C"/>
    <w:rsid w:val="0099027D"/>
    <w:rsid w:val="009907F3"/>
    <w:rsid w:val="009914C5"/>
    <w:rsid w:val="00993171"/>
    <w:rsid w:val="009931A0"/>
    <w:rsid w:val="00994A67"/>
    <w:rsid w:val="00994F13"/>
    <w:rsid w:val="00995922"/>
    <w:rsid w:val="0099653B"/>
    <w:rsid w:val="00996635"/>
    <w:rsid w:val="009A016D"/>
    <w:rsid w:val="009A1CD0"/>
    <w:rsid w:val="009A22E2"/>
    <w:rsid w:val="009A27E1"/>
    <w:rsid w:val="009A28A4"/>
    <w:rsid w:val="009A31FD"/>
    <w:rsid w:val="009A46EC"/>
    <w:rsid w:val="009A5269"/>
    <w:rsid w:val="009A58DD"/>
    <w:rsid w:val="009B0A0E"/>
    <w:rsid w:val="009B2BCB"/>
    <w:rsid w:val="009B5176"/>
    <w:rsid w:val="009B5600"/>
    <w:rsid w:val="009B7438"/>
    <w:rsid w:val="009B77AE"/>
    <w:rsid w:val="009C0810"/>
    <w:rsid w:val="009C1549"/>
    <w:rsid w:val="009C186A"/>
    <w:rsid w:val="009C1D18"/>
    <w:rsid w:val="009C3EC9"/>
    <w:rsid w:val="009C3F2C"/>
    <w:rsid w:val="009C551D"/>
    <w:rsid w:val="009C58B1"/>
    <w:rsid w:val="009C6737"/>
    <w:rsid w:val="009C6989"/>
    <w:rsid w:val="009C7346"/>
    <w:rsid w:val="009C775C"/>
    <w:rsid w:val="009C7EEF"/>
    <w:rsid w:val="009D08E9"/>
    <w:rsid w:val="009D172F"/>
    <w:rsid w:val="009D1939"/>
    <w:rsid w:val="009D39FD"/>
    <w:rsid w:val="009D54E1"/>
    <w:rsid w:val="009E5D37"/>
    <w:rsid w:val="009E6363"/>
    <w:rsid w:val="009E6551"/>
    <w:rsid w:val="009E67FA"/>
    <w:rsid w:val="009E6888"/>
    <w:rsid w:val="009E70B6"/>
    <w:rsid w:val="009E7131"/>
    <w:rsid w:val="009F351D"/>
    <w:rsid w:val="009F4135"/>
    <w:rsid w:val="009F64C8"/>
    <w:rsid w:val="009F6AF2"/>
    <w:rsid w:val="009F77EF"/>
    <w:rsid w:val="00A02244"/>
    <w:rsid w:val="00A02383"/>
    <w:rsid w:val="00A035B8"/>
    <w:rsid w:val="00A037FF"/>
    <w:rsid w:val="00A04673"/>
    <w:rsid w:val="00A048EF"/>
    <w:rsid w:val="00A04D53"/>
    <w:rsid w:val="00A0547A"/>
    <w:rsid w:val="00A0755A"/>
    <w:rsid w:val="00A111E7"/>
    <w:rsid w:val="00A12013"/>
    <w:rsid w:val="00A137B2"/>
    <w:rsid w:val="00A13F45"/>
    <w:rsid w:val="00A1567D"/>
    <w:rsid w:val="00A1602A"/>
    <w:rsid w:val="00A1608F"/>
    <w:rsid w:val="00A176DA"/>
    <w:rsid w:val="00A17A26"/>
    <w:rsid w:val="00A17BB4"/>
    <w:rsid w:val="00A20441"/>
    <w:rsid w:val="00A231E3"/>
    <w:rsid w:val="00A2541F"/>
    <w:rsid w:val="00A26576"/>
    <w:rsid w:val="00A30B65"/>
    <w:rsid w:val="00A313F3"/>
    <w:rsid w:val="00A3151D"/>
    <w:rsid w:val="00A3225E"/>
    <w:rsid w:val="00A33373"/>
    <w:rsid w:val="00A33B69"/>
    <w:rsid w:val="00A36EE1"/>
    <w:rsid w:val="00A37483"/>
    <w:rsid w:val="00A443D7"/>
    <w:rsid w:val="00A458A1"/>
    <w:rsid w:val="00A467AC"/>
    <w:rsid w:val="00A473DB"/>
    <w:rsid w:val="00A475EE"/>
    <w:rsid w:val="00A50615"/>
    <w:rsid w:val="00A51FFC"/>
    <w:rsid w:val="00A57DA4"/>
    <w:rsid w:val="00A61989"/>
    <w:rsid w:val="00A6761D"/>
    <w:rsid w:val="00A71D47"/>
    <w:rsid w:val="00A73FC5"/>
    <w:rsid w:val="00A75DA2"/>
    <w:rsid w:val="00A76CA7"/>
    <w:rsid w:val="00A843A2"/>
    <w:rsid w:val="00A8547D"/>
    <w:rsid w:val="00A858DF"/>
    <w:rsid w:val="00A8616B"/>
    <w:rsid w:val="00A862C2"/>
    <w:rsid w:val="00A869A5"/>
    <w:rsid w:val="00A86F2E"/>
    <w:rsid w:val="00A87DB9"/>
    <w:rsid w:val="00A9067C"/>
    <w:rsid w:val="00A9123C"/>
    <w:rsid w:val="00A9127D"/>
    <w:rsid w:val="00A919D4"/>
    <w:rsid w:val="00A92892"/>
    <w:rsid w:val="00A9308E"/>
    <w:rsid w:val="00A931E5"/>
    <w:rsid w:val="00A952BF"/>
    <w:rsid w:val="00AA4D7F"/>
    <w:rsid w:val="00AA6E37"/>
    <w:rsid w:val="00AB4451"/>
    <w:rsid w:val="00AB4D26"/>
    <w:rsid w:val="00AB6014"/>
    <w:rsid w:val="00AB7AC1"/>
    <w:rsid w:val="00AC07E9"/>
    <w:rsid w:val="00AC0CB9"/>
    <w:rsid w:val="00AC1501"/>
    <w:rsid w:val="00AC2893"/>
    <w:rsid w:val="00AC3C4F"/>
    <w:rsid w:val="00AC404C"/>
    <w:rsid w:val="00AC76F6"/>
    <w:rsid w:val="00AD0B22"/>
    <w:rsid w:val="00AD1F7C"/>
    <w:rsid w:val="00AD33F5"/>
    <w:rsid w:val="00AD41BF"/>
    <w:rsid w:val="00AD4897"/>
    <w:rsid w:val="00AD74F0"/>
    <w:rsid w:val="00AD7519"/>
    <w:rsid w:val="00AD7FD2"/>
    <w:rsid w:val="00AE14E9"/>
    <w:rsid w:val="00AE2FA1"/>
    <w:rsid w:val="00AE39C9"/>
    <w:rsid w:val="00AE4164"/>
    <w:rsid w:val="00AE4BB7"/>
    <w:rsid w:val="00AE64EE"/>
    <w:rsid w:val="00AE7CD1"/>
    <w:rsid w:val="00AF0416"/>
    <w:rsid w:val="00AF08D4"/>
    <w:rsid w:val="00AF3283"/>
    <w:rsid w:val="00AF3E32"/>
    <w:rsid w:val="00AF5628"/>
    <w:rsid w:val="00AF7443"/>
    <w:rsid w:val="00B01C28"/>
    <w:rsid w:val="00B02A76"/>
    <w:rsid w:val="00B03241"/>
    <w:rsid w:val="00B066B7"/>
    <w:rsid w:val="00B06721"/>
    <w:rsid w:val="00B11360"/>
    <w:rsid w:val="00B11817"/>
    <w:rsid w:val="00B118CB"/>
    <w:rsid w:val="00B14F92"/>
    <w:rsid w:val="00B151B9"/>
    <w:rsid w:val="00B152E5"/>
    <w:rsid w:val="00B15CA4"/>
    <w:rsid w:val="00B15F98"/>
    <w:rsid w:val="00B17B3E"/>
    <w:rsid w:val="00B20050"/>
    <w:rsid w:val="00B31985"/>
    <w:rsid w:val="00B32795"/>
    <w:rsid w:val="00B338A1"/>
    <w:rsid w:val="00B3549C"/>
    <w:rsid w:val="00B37117"/>
    <w:rsid w:val="00B421CD"/>
    <w:rsid w:val="00B43118"/>
    <w:rsid w:val="00B43708"/>
    <w:rsid w:val="00B44833"/>
    <w:rsid w:val="00B47418"/>
    <w:rsid w:val="00B477E7"/>
    <w:rsid w:val="00B47CCE"/>
    <w:rsid w:val="00B50A70"/>
    <w:rsid w:val="00B51ED9"/>
    <w:rsid w:val="00B53D3B"/>
    <w:rsid w:val="00B541D9"/>
    <w:rsid w:val="00B54518"/>
    <w:rsid w:val="00B54AED"/>
    <w:rsid w:val="00B56E70"/>
    <w:rsid w:val="00B57BC2"/>
    <w:rsid w:val="00B6448E"/>
    <w:rsid w:val="00B66F5D"/>
    <w:rsid w:val="00B671F3"/>
    <w:rsid w:val="00B67548"/>
    <w:rsid w:val="00B70770"/>
    <w:rsid w:val="00B70A66"/>
    <w:rsid w:val="00B77C73"/>
    <w:rsid w:val="00B8209C"/>
    <w:rsid w:val="00B8452C"/>
    <w:rsid w:val="00B84A56"/>
    <w:rsid w:val="00B91777"/>
    <w:rsid w:val="00B9214A"/>
    <w:rsid w:val="00B92F2D"/>
    <w:rsid w:val="00B97FFA"/>
    <w:rsid w:val="00BA2828"/>
    <w:rsid w:val="00BA2CD7"/>
    <w:rsid w:val="00BA38D3"/>
    <w:rsid w:val="00BA3F35"/>
    <w:rsid w:val="00BA6507"/>
    <w:rsid w:val="00BA6F3E"/>
    <w:rsid w:val="00BB07E8"/>
    <w:rsid w:val="00BB1306"/>
    <w:rsid w:val="00BB2773"/>
    <w:rsid w:val="00BB2B6E"/>
    <w:rsid w:val="00BB33C1"/>
    <w:rsid w:val="00BB417A"/>
    <w:rsid w:val="00BB4B64"/>
    <w:rsid w:val="00BB52D9"/>
    <w:rsid w:val="00BB64DC"/>
    <w:rsid w:val="00BC03FA"/>
    <w:rsid w:val="00BC09DE"/>
    <w:rsid w:val="00BC1C04"/>
    <w:rsid w:val="00BC4770"/>
    <w:rsid w:val="00BC52F5"/>
    <w:rsid w:val="00BC5F40"/>
    <w:rsid w:val="00BC6548"/>
    <w:rsid w:val="00BC65D4"/>
    <w:rsid w:val="00BC72A5"/>
    <w:rsid w:val="00BD3168"/>
    <w:rsid w:val="00BD563C"/>
    <w:rsid w:val="00BD6E03"/>
    <w:rsid w:val="00BE0B24"/>
    <w:rsid w:val="00BE211E"/>
    <w:rsid w:val="00BE23C7"/>
    <w:rsid w:val="00BE3751"/>
    <w:rsid w:val="00BE4601"/>
    <w:rsid w:val="00BF0DAC"/>
    <w:rsid w:val="00BF19FA"/>
    <w:rsid w:val="00BF3EC4"/>
    <w:rsid w:val="00BF44A4"/>
    <w:rsid w:val="00BF52B0"/>
    <w:rsid w:val="00BF52C7"/>
    <w:rsid w:val="00BF630D"/>
    <w:rsid w:val="00BF6457"/>
    <w:rsid w:val="00BF6622"/>
    <w:rsid w:val="00BF6D9C"/>
    <w:rsid w:val="00BF781D"/>
    <w:rsid w:val="00C01701"/>
    <w:rsid w:val="00C03641"/>
    <w:rsid w:val="00C03E16"/>
    <w:rsid w:val="00C07684"/>
    <w:rsid w:val="00C1592E"/>
    <w:rsid w:val="00C20EE0"/>
    <w:rsid w:val="00C215AA"/>
    <w:rsid w:val="00C21829"/>
    <w:rsid w:val="00C225AF"/>
    <w:rsid w:val="00C22D9D"/>
    <w:rsid w:val="00C23AD7"/>
    <w:rsid w:val="00C246E2"/>
    <w:rsid w:val="00C2470C"/>
    <w:rsid w:val="00C25025"/>
    <w:rsid w:val="00C262EC"/>
    <w:rsid w:val="00C27418"/>
    <w:rsid w:val="00C2752E"/>
    <w:rsid w:val="00C32105"/>
    <w:rsid w:val="00C367A2"/>
    <w:rsid w:val="00C36C17"/>
    <w:rsid w:val="00C408A6"/>
    <w:rsid w:val="00C40A98"/>
    <w:rsid w:val="00C41560"/>
    <w:rsid w:val="00C441FF"/>
    <w:rsid w:val="00C44365"/>
    <w:rsid w:val="00C44C6D"/>
    <w:rsid w:val="00C525F1"/>
    <w:rsid w:val="00C534C3"/>
    <w:rsid w:val="00C54263"/>
    <w:rsid w:val="00C5457F"/>
    <w:rsid w:val="00C546C1"/>
    <w:rsid w:val="00C546EA"/>
    <w:rsid w:val="00C550BB"/>
    <w:rsid w:val="00C55DCD"/>
    <w:rsid w:val="00C578BF"/>
    <w:rsid w:val="00C600F4"/>
    <w:rsid w:val="00C6136D"/>
    <w:rsid w:val="00C61CFB"/>
    <w:rsid w:val="00C6591F"/>
    <w:rsid w:val="00C66468"/>
    <w:rsid w:val="00C66F62"/>
    <w:rsid w:val="00C71767"/>
    <w:rsid w:val="00C76C49"/>
    <w:rsid w:val="00C80DAF"/>
    <w:rsid w:val="00C8432F"/>
    <w:rsid w:val="00C8574D"/>
    <w:rsid w:val="00C87722"/>
    <w:rsid w:val="00C905C2"/>
    <w:rsid w:val="00C91D4C"/>
    <w:rsid w:val="00C92833"/>
    <w:rsid w:val="00C943D4"/>
    <w:rsid w:val="00C96AD8"/>
    <w:rsid w:val="00C96AEF"/>
    <w:rsid w:val="00C96FB4"/>
    <w:rsid w:val="00CA0756"/>
    <w:rsid w:val="00CA4284"/>
    <w:rsid w:val="00CA480B"/>
    <w:rsid w:val="00CA4EC4"/>
    <w:rsid w:val="00CA6C00"/>
    <w:rsid w:val="00CA7860"/>
    <w:rsid w:val="00CB0ACA"/>
    <w:rsid w:val="00CB0C62"/>
    <w:rsid w:val="00CB1E17"/>
    <w:rsid w:val="00CB2340"/>
    <w:rsid w:val="00CB2E28"/>
    <w:rsid w:val="00CB32CD"/>
    <w:rsid w:val="00CB69F3"/>
    <w:rsid w:val="00CB6A2F"/>
    <w:rsid w:val="00CB6D56"/>
    <w:rsid w:val="00CC2EB3"/>
    <w:rsid w:val="00CC31D9"/>
    <w:rsid w:val="00CC4B64"/>
    <w:rsid w:val="00CC4E2B"/>
    <w:rsid w:val="00CC615F"/>
    <w:rsid w:val="00CC6CD8"/>
    <w:rsid w:val="00CC7DBA"/>
    <w:rsid w:val="00CC7E37"/>
    <w:rsid w:val="00CD17EF"/>
    <w:rsid w:val="00CD2A10"/>
    <w:rsid w:val="00CD57D1"/>
    <w:rsid w:val="00CD5CC1"/>
    <w:rsid w:val="00CD6B63"/>
    <w:rsid w:val="00CD7509"/>
    <w:rsid w:val="00CE29CC"/>
    <w:rsid w:val="00CE54C7"/>
    <w:rsid w:val="00CE5AEC"/>
    <w:rsid w:val="00CE6FD9"/>
    <w:rsid w:val="00CE7962"/>
    <w:rsid w:val="00CF2139"/>
    <w:rsid w:val="00CF2BBB"/>
    <w:rsid w:val="00CF2EAA"/>
    <w:rsid w:val="00CF455B"/>
    <w:rsid w:val="00CF5BE2"/>
    <w:rsid w:val="00CF6EDA"/>
    <w:rsid w:val="00CF78F3"/>
    <w:rsid w:val="00D011E8"/>
    <w:rsid w:val="00D04AA7"/>
    <w:rsid w:val="00D06D72"/>
    <w:rsid w:val="00D0748D"/>
    <w:rsid w:val="00D1052F"/>
    <w:rsid w:val="00D11DEE"/>
    <w:rsid w:val="00D138F6"/>
    <w:rsid w:val="00D13D0F"/>
    <w:rsid w:val="00D14053"/>
    <w:rsid w:val="00D14D3D"/>
    <w:rsid w:val="00D15AC8"/>
    <w:rsid w:val="00D16813"/>
    <w:rsid w:val="00D23017"/>
    <w:rsid w:val="00D243F6"/>
    <w:rsid w:val="00D25A3C"/>
    <w:rsid w:val="00D2733F"/>
    <w:rsid w:val="00D3007C"/>
    <w:rsid w:val="00D31691"/>
    <w:rsid w:val="00D33E91"/>
    <w:rsid w:val="00D351A2"/>
    <w:rsid w:val="00D373CC"/>
    <w:rsid w:val="00D37E57"/>
    <w:rsid w:val="00D37EC0"/>
    <w:rsid w:val="00D40CF0"/>
    <w:rsid w:val="00D43E7F"/>
    <w:rsid w:val="00D44DDB"/>
    <w:rsid w:val="00D45C1D"/>
    <w:rsid w:val="00D47A9C"/>
    <w:rsid w:val="00D505D7"/>
    <w:rsid w:val="00D52B41"/>
    <w:rsid w:val="00D5465E"/>
    <w:rsid w:val="00D5479B"/>
    <w:rsid w:val="00D5598B"/>
    <w:rsid w:val="00D56A24"/>
    <w:rsid w:val="00D60141"/>
    <w:rsid w:val="00D602AF"/>
    <w:rsid w:val="00D6077E"/>
    <w:rsid w:val="00D60C8B"/>
    <w:rsid w:val="00D62451"/>
    <w:rsid w:val="00D62B90"/>
    <w:rsid w:val="00D62FDD"/>
    <w:rsid w:val="00D64662"/>
    <w:rsid w:val="00D647C9"/>
    <w:rsid w:val="00D6699F"/>
    <w:rsid w:val="00D676F2"/>
    <w:rsid w:val="00D71ABA"/>
    <w:rsid w:val="00D71DE5"/>
    <w:rsid w:val="00D75679"/>
    <w:rsid w:val="00D772FE"/>
    <w:rsid w:val="00D77F4D"/>
    <w:rsid w:val="00D80954"/>
    <w:rsid w:val="00D817C6"/>
    <w:rsid w:val="00D827C3"/>
    <w:rsid w:val="00D8361F"/>
    <w:rsid w:val="00D83D20"/>
    <w:rsid w:val="00D842DC"/>
    <w:rsid w:val="00D84496"/>
    <w:rsid w:val="00D85108"/>
    <w:rsid w:val="00D8778F"/>
    <w:rsid w:val="00D87F7F"/>
    <w:rsid w:val="00D903C9"/>
    <w:rsid w:val="00D92805"/>
    <w:rsid w:val="00D92C8E"/>
    <w:rsid w:val="00D9339A"/>
    <w:rsid w:val="00D978DC"/>
    <w:rsid w:val="00DA341E"/>
    <w:rsid w:val="00DA3F8A"/>
    <w:rsid w:val="00DA4FE7"/>
    <w:rsid w:val="00DA511F"/>
    <w:rsid w:val="00DA5C4E"/>
    <w:rsid w:val="00DA7257"/>
    <w:rsid w:val="00DB26C8"/>
    <w:rsid w:val="00DB4D5E"/>
    <w:rsid w:val="00DB63C2"/>
    <w:rsid w:val="00DB6CAC"/>
    <w:rsid w:val="00DB7B3B"/>
    <w:rsid w:val="00DB7BCC"/>
    <w:rsid w:val="00DC0408"/>
    <w:rsid w:val="00DC2D4E"/>
    <w:rsid w:val="00DC5319"/>
    <w:rsid w:val="00DC556E"/>
    <w:rsid w:val="00DC5E5C"/>
    <w:rsid w:val="00DC74C7"/>
    <w:rsid w:val="00DD0482"/>
    <w:rsid w:val="00DD46A5"/>
    <w:rsid w:val="00DD793E"/>
    <w:rsid w:val="00DE2D40"/>
    <w:rsid w:val="00DE3519"/>
    <w:rsid w:val="00DE3775"/>
    <w:rsid w:val="00DE428B"/>
    <w:rsid w:val="00DE439F"/>
    <w:rsid w:val="00DE5270"/>
    <w:rsid w:val="00DE5FE2"/>
    <w:rsid w:val="00DE77DF"/>
    <w:rsid w:val="00DF312F"/>
    <w:rsid w:val="00DF4194"/>
    <w:rsid w:val="00DF4847"/>
    <w:rsid w:val="00DF78D8"/>
    <w:rsid w:val="00DF7D18"/>
    <w:rsid w:val="00E00B70"/>
    <w:rsid w:val="00E0230C"/>
    <w:rsid w:val="00E02620"/>
    <w:rsid w:val="00E02769"/>
    <w:rsid w:val="00E0480C"/>
    <w:rsid w:val="00E049AB"/>
    <w:rsid w:val="00E04F9F"/>
    <w:rsid w:val="00E064FA"/>
    <w:rsid w:val="00E06870"/>
    <w:rsid w:val="00E072A1"/>
    <w:rsid w:val="00E0788F"/>
    <w:rsid w:val="00E07C6F"/>
    <w:rsid w:val="00E124CB"/>
    <w:rsid w:val="00E1561A"/>
    <w:rsid w:val="00E15D75"/>
    <w:rsid w:val="00E21617"/>
    <w:rsid w:val="00E21634"/>
    <w:rsid w:val="00E22547"/>
    <w:rsid w:val="00E2266A"/>
    <w:rsid w:val="00E228A9"/>
    <w:rsid w:val="00E24DC6"/>
    <w:rsid w:val="00E26618"/>
    <w:rsid w:val="00E26805"/>
    <w:rsid w:val="00E27A13"/>
    <w:rsid w:val="00E3141C"/>
    <w:rsid w:val="00E32613"/>
    <w:rsid w:val="00E34EA0"/>
    <w:rsid w:val="00E3519B"/>
    <w:rsid w:val="00E40D27"/>
    <w:rsid w:val="00E4128C"/>
    <w:rsid w:val="00E414F8"/>
    <w:rsid w:val="00E41B3F"/>
    <w:rsid w:val="00E41F49"/>
    <w:rsid w:val="00E4336B"/>
    <w:rsid w:val="00E43611"/>
    <w:rsid w:val="00E43912"/>
    <w:rsid w:val="00E442E9"/>
    <w:rsid w:val="00E477C3"/>
    <w:rsid w:val="00E50B3A"/>
    <w:rsid w:val="00E517D5"/>
    <w:rsid w:val="00E54890"/>
    <w:rsid w:val="00E54CB3"/>
    <w:rsid w:val="00E55873"/>
    <w:rsid w:val="00E637EE"/>
    <w:rsid w:val="00E63EBA"/>
    <w:rsid w:val="00E65067"/>
    <w:rsid w:val="00E65942"/>
    <w:rsid w:val="00E6673C"/>
    <w:rsid w:val="00E66870"/>
    <w:rsid w:val="00E66985"/>
    <w:rsid w:val="00E66FFA"/>
    <w:rsid w:val="00E7469E"/>
    <w:rsid w:val="00E756E3"/>
    <w:rsid w:val="00E75942"/>
    <w:rsid w:val="00E7696E"/>
    <w:rsid w:val="00E81D48"/>
    <w:rsid w:val="00E825A0"/>
    <w:rsid w:val="00E829F4"/>
    <w:rsid w:val="00E82C90"/>
    <w:rsid w:val="00E90BFD"/>
    <w:rsid w:val="00E90C6B"/>
    <w:rsid w:val="00E938CD"/>
    <w:rsid w:val="00E940AB"/>
    <w:rsid w:val="00E94BD9"/>
    <w:rsid w:val="00E94C20"/>
    <w:rsid w:val="00E95C04"/>
    <w:rsid w:val="00EA0C6B"/>
    <w:rsid w:val="00EA3319"/>
    <w:rsid w:val="00EA45CC"/>
    <w:rsid w:val="00EA463E"/>
    <w:rsid w:val="00EA4643"/>
    <w:rsid w:val="00EA4DDA"/>
    <w:rsid w:val="00EA54E0"/>
    <w:rsid w:val="00EB037B"/>
    <w:rsid w:val="00EB3A2B"/>
    <w:rsid w:val="00EB611E"/>
    <w:rsid w:val="00EB6566"/>
    <w:rsid w:val="00EB65E6"/>
    <w:rsid w:val="00EB74F0"/>
    <w:rsid w:val="00EC0023"/>
    <w:rsid w:val="00EC06EA"/>
    <w:rsid w:val="00EC11D2"/>
    <w:rsid w:val="00EC203F"/>
    <w:rsid w:val="00EC5D2E"/>
    <w:rsid w:val="00ED0173"/>
    <w:rsid w:val="00ED292C"/>
    <w:rsid w:val="00ED3514"/>
    <w:rsid w:val="00ED6E90"/>
    <w:rsid w:val="00ED6F51"/>
    <w:rsid w:val="00ED72CF"/>
    <w:rsid w:val="00ED74E4"/>
    <w:rsid w:val="00ED7A2D"/>
    <w:rsid w:val="00EE06C8"/>
    <w:rsid w:val="00EE4281"/>
    <w:rsid w:val="00EE459C"/>
    <w:rsid w:val="00EE565D"/>
    <w:rsid w:val="00EE5954"/>
    <w:rsid w:val="00EE6560"/>
    <w:rsid w:val="00EE6954"/>
    <w:rsid w:val="00EE6D83"/>
    <w:rsid w:val="00EF238C"/>
    <w:rsid w:val="00EF338E"/>
    <w:rsid w:val="00EF349B"/>
    <w:rsid w:val="00EF3566"/>
    <w:rsid w:val="00EF7692"/>
    <w:rsid w:val="00EF770A"/>
    <w:rsid w:val="00EF7A37"/>
    <w:rsid w:val="00F000DF"/>
    <w:rsid w:val="00F02A1B"/>
    <w:rsid w:val="00F033F2"/>
    <w:rsid w:val="00F11458"/>
    <w:rsid w:val="00F142C4"/>
    <w:rsid w:val="00F14492"/>
    <w:rsid w:val="00F149BF"/>
    <w:rsid w:val="00F15C23"/>
    <w:rsid w:val="00F163AA"/>
    <w:rsid w:val="00F16ED4"/>
    <w:rsid w:val="00F17268"/>
    <w:rsid w:val="00F17FE6"/>
    <w:rsid w:val="00F22BCC"/>
    <w:rsid w:val="00F22F7A"/>
    <w:rsid w:val="00F23A0B"/>
    <w:rsid w:val="00F250AF"/>
    <w:rsid w:val="00F25437"/>
    <w:rsid w:val="00F275F3"/>
    <w:rsid w:val="00F27876"/>
    <w:rsid w:val="00F313D0"/>
    <w:rsid w:val="00F31633"/>
    <w:rsid w:val="00F3180C"/>
    <w:rsid w:val="00F32D82"/>
    <w:rsid w:val="00F33912"/>
    <w:rsid w:val="00F3503C"/>
    <w:rsid w:val="00F37A7B"/>
    <w:rsid w:val="00F41575"/>
    <w:rsid w:val="00F4176C"/>
    <w:rsid w:val="00F42B05"/>
    <w:rsid w:val="00F42BF9"/>
    <w:rsid w:val="00F437AE"/>
    <w:rsid w:val="00F439AA"/>
    <w:rsid w:val="00F439CE"/>
    <w:rsid w:val="00F43B35"/>
    <w:rsid w:val="00F43CF6"/>
    <w:rsid w:val="00F43EDE"/>
    <w:rsid w:val="00F46144"/>
    <w:rsid w:val="00F46B26"/>
    <w:rsid w:val="00F47B94"/>
    <w:rsid w:val="00F507A9"/>
    <w:rsid w:val="00F508C1"/>
    <w:rsid w:val="00F55138"/>
    <w:rsid w:val="00F5570D"/>
    <w:rsid w:val="00F55B2C"/>
    <w:rsid w:val="00F55D00"/>
    <w:rsid w:val="00F61E6A"/>
    <w:rsid w:val="00F6660C"/>
    <w:rsid w:val="00F721E5"/>
    <w:rsid w:val="00F72825"/>
    <w:rsid w:val="00F72882"/>
    <w:rsid w:val="00F730D8"/>
    <w:rsid w:val="00F75C62"/>
    <w:rsid w:val="00F80A07"/>
    <w:rsid w:val="00F816A9"/>
    <w:rsid w:val="00F83DCF"/>
    <w:rsid w:val="00F8417E"/>
    <w:rsid w:val="00F8480B"/>
    <w:rsid w:val="00F84DFF"/>
    <w:rsid w:val="00F8594D"/>
    <w:rsid w:val="00F87338"/>
    <w:rsid w:val="00F87694"/>
    <w:rsid w:val="00F90385"/>
    <w:rsid w:val="00F93543"/>
    <w:rsid w:val="00F93D67"/>
    <w:rsid w:val="00F946CE"/>
    <w:rsid w:val="00F94ADA"/>
    <w:rsid w:val="00F94EBE"/>
    <w:rsid w:val="00F967FF"/>
    <w:rsid w:val="00F96FA9"/>
    <w:rsid w:val="00F96FED"/>
    <w:rsid w:val="00FA17F9"/>
    <w:rsid w:val="00FA1815"/>
    <w:rsid w:val="00FA262B"/>
    <w:rsid w:val="00FA46B5"/>
    <w:rsid w:val="00FA6504"/>
    <w:rsid w:val="00FA66FF"/>
    <w:rsid w:val="00FA790A"/>
    <w:rsid w:val="00FB0AA2"/>
    <w:rsid w:val="00FB2D2F"/>
    <w:rsid w:val="00FB4F15"/>
    <w:rsid w:val="00FB5B71"/>
    <w:rsid w:val="00FB5CEC"/>
    <w:rsid w:val="00FC0A05"/>
    <w:rsid w:val="00FC3F1E"/>
    <w:rsid w:val="00FC4438"/>
    <w:rsid w:val="00FC4572"/>
    <w:rsid w:val="00FC5D82"/>
    <w:rsid w:val="00FC5E7A"/>
    <w:rsid w:val="00FC672F"/>
    <w:rsid w:val="00FC6A31"/>
    <w:rsid w:val="00FC70B2"/>
    <w:rsid w:val="00FD1726"/>
    <w:rsid w:val="00FD6BAC"/>
    <w:rsid w:val="00FE0C74"/>
    <w:rsid w:val="00FE1BCB"/>
    <w:rsid w:val="00FE3FD2"/>
    <w:rsid w:val="00FE454B"/>
    <w:rsid w:val="00FE538A"/>
    <w:rsid w:val="00FF0AA6"/>
    <w:rsid w:val="00FF0E78"/>
    <w:rsid w:val="00FF3AE8"/>
    <w:rsid w:val="00FF40D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EC3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3D0F"/>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A4BED"/>
    <w:pPr>
      <w:keepNext/>
      <w:keepLines/>
      <w:spacing w:after="240"/>
      <w:outlineLvl w:val="0"/>
    </w:pPr>
    <w:rPr>
      <w:rFonts w:eastAsiaTheme="majorEastAsia" w:cs="Times New Roman"/>
      <w:b/>
      <w:bCs/>
      <w:sz w:val="32"/>
      <w:szCs w:val="32"/>
    </w:rPr>
  </w:style>
  <w:style w:type="paragraph" w:styleId="Heading2">
    <w:name w:val="heading 2"/>
    <w:basedOn w:val="Normal"/>
    <w:next w:val="Normal"/>
    <w:link w:val="Heading2Char"/>
    <w:autoRedefine/>
    <w:uiPriority w:val="9"/>
    <w:unhideWhenUsed/>
    <w:qFormat/>
    <w:rsid w:val="008A4BED"/>
    <w:pPr>
      <w:keepNext/>
      <w:keepLines/>
      <w:spacing w:before="40" w:after="0"/>
      <w:outlineLvl w:val="1"/>
    </w:pPr>
    <w:rPr>
      <w:rFonts w:eastAsiaTheme="majorEastAsia" w:cs="Times New Roman"/>
      <w:b/>
      <w:bCs/>
      <w:sz w:val="26"/>
      <w:szCs w:val="26"/>
    </w:rPr>
  </w:style>
  <w:style w:type="paragraph" w:styleId="Heading3">
    <w:name w:val="heading 3"/>
    <w:basedOn w:val="Normal"/>
    <w:next w:val="Normal"/>
    <w:link w:val="Heading3Char"/>
    <w:uiPriority w:val="9"/>
    <w:unhideWhenUsed/>
    <w:qFormat/>
    <w:rsid w:val="007C728E"/>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0C1EC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C1EC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BED"/>
    <w:rPr>
      <w:rFonts w:ascii="Times New Roman" w:eastAsiaTheme="majorEastAsia" w:hAnsi="Times New Roman" w:cs="Times New Roman"/>
      <w:b/>
      <w:bCs/>
      <w:sz w:val="32"/>
      <w:szCs w:val="32"/>
    </w:rPr>
  </w:style>
  <w:style w:type="character" w:customStyle="1" w:styleId="Heading2Char">
    <w:name w:val="Heading 2 Char"/>
    <w:basedOn w:val="DefaultParagraphFont"/>
    <w:link w:val="Heading2"/>
    <w:uiPriority w:val="9"/>
    <w:rsid w:val="008A4BED"/>
    <w:rPr>
      <w:rFonts w:ascii="Times New Roman" w:eastAsiaTheme="majorEastAsia" w:hAnsi="Times New Roman" w:cs="Times New Roman"/>
      <w:b/>
      <w:bCs/>
      <w:sz w:val="26"/>
      <w:szCs w:val="26"/>
    </w:rPr>
  </w:style>
  <w:style w:type="paragraph" w:styleId="ListParagraph">
    <w:name w:val="List Paragraph"/>
    <w:basedOn w:val="Normal"/>
    <w:uiPriority w:val="34"/>
    <w:qFormat/>
    <w:rsid w:val="00C546EA"/>
    <w:pPr>
      <w:ind w:left="720"/>
      <w:contextualSpacing/>
    </w:pPr>
  </w:style>
  <w:style w:type="paragraph" w:styleId="TOCHeading">
    <w:name w:val="TOC Heading"/>
    <w:basedOn w:val="Heading1"/>
    <w:next w:val="Normal"/>
    <w:uiPriority w:val="39"/>
    <w:unhideWhenUsed/>
    <w:qFormat/>
    <w:rsid w:val="00E40D27"/>
    <w:pPr>
      <w:spacing w:before="480" w:line="276" w:lineRule="auto"/>
      <w:outlineLvl w:val="9"/>
    </w:pPr>
    <w:rPr>
      <w:b w:val="0"/>
      <w:bCs w:val="0"/>
      <w:sz w:val="28"/>
      <w:szCs w:val="28"/>
      <w:lang w:val="en-US" w:eastAsia="ja-JP"/>
    </w:rPr>
  </w:style>
  <w:style w:type="paragraph" w:styleId="TOC1">
    <w:name w:val="toc 1"/>
    <w:basedOn w:val="Normal"/>
    <w:next w:val="Normal"/>
    <w:autoRedefine/>
    <w:uiPriority w:val="39"/>
    <w:unhideWhenUsed/>
    <w:rsid w:val="00E40D27"/>
    <w:pPr>
      <w:tabs>
        <w:tab w:val="right" w:leader="dot" w:pos="9016"/>
      </w:tabs>
      <w:spacing w:after="100"/>
    </w:pPr>
  </w:style>
  <w:style w:type="paragraph" w:styleId="TOC2">
    <w:name w:val="toc 2"/>
    <w:basedOn w:val="Normal"/>
    <w:next w:val="Normal"/>
    <w:autoRedefine/>
    <w:uiPriority w:val="39"/>
    <w:unhideWhenUsed/>
    <w:rsid w:val="00E40D27"/>
    <w:pPr>
      <w:spacing w:after="100"/>
      <w:ind w:left="220"/>
    </w:pPr>
  </w:style>
  <w:style w:type="character" w:styleId="Hyperlink">
    <w:name w:val="Hyperlink"/>
    <w:basedOn w:val="DefaultParagraphFont"/>
    <w:uiPriority w:val="99"/>
    <w:unhideWhenUsed/>
    <w:rsid w:val="00E40D27"/>
    <w:rPr>
      <w:color w:val="0563C1" w:themeColor="hyperlink"/>
      <w:u w:val="single"/>
    </w:rPr>
  </w:style>
  <w:style w:type="paragraph" w:styleId="BalloonText">
    <w:name w:val="Balloon Text"/>
    <w:basedOn w:val="Normal"/>
    <w:link w:val="BalloonTextChar"/>
    <w:uiPriority w:val="99"/>
    <w:semiHidden/>
    <w:unhideWhenUsed/>
    <w:rsid w:val="002E52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52B2"/>
    <w:rPr>
      <w:rFonts w:ascii="Tahoma" w:hAnsi="Tahoma" w:cs="Tahoma"/>
      <w:sz w:val="16"/>
      <w:szCs w:val="16"/>
    </w:rPr>
  </w:style>
  <w:style w:type="paragraph" w:styleId="Header">
    <w:name w:val="header"/>
    <w:basedOn w:val="Normal"/>
    <w:link w:val="HeaderChar"/>
    <w:uiPriority w:val="99"/>
    <w:unhideWhenUsed/>
    <w:rsid w:val="002E52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52B2"/>
  </w:style>
  <w:style w:type="paragraph" w:styleId="Footer">
    <w:name w:val="footer"/>
    <w:basedOn w:val="Normal"/>
    <w:link w:val="FooterChar"/>
    <w:uiPriority w:val="99"/>
    <w:unhideWhenUsed/>
    <w:rsid w:val="002E52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52B2"/>
  </w:style>
  <w:style w:type="character" w:customStyle="1" w:styleId="Heading3Char">
    <w:name w:val="Heading 3 Char"/>
    <w:basedOn w:val="DefaultParagraphFont"/>
    <w:link w:val="Heading3"/>
    <w:uiPriority w:val="9"/>
    <w:rsid w:val="007C728E"/>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0C1EC3"/>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0C1EC3"/>
    <w:rPr>
      <w:rFonts w:asciiTheme="majorHAnsi" w:eastAsiaTheme="majorEastAsia" w:hAnsiTheme="majorHAnsi" w:cstheme="majorBidi"/>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66793">
      <w:bodyDiv w:val="1"/>
      <w:marLeft w:val="0"/>
      <w:marRight w:val="0"/>
      <w:marTop w:val="0"/>
      <w:marBottom w:val="0"/>
      <w:divBdr>
        <w:top w:val="none" w:sz="0" w:space="0" w:color="auto"/>
        <w:left w:val="none" w:sz="0" w:space="0" w:color="auto"/>
        <w:bottom w:val="none" w:sz="0" w:space="0" w:color="auto"/>
        <w:right w:val="none" w:sz="0" w:space="0" w:color="auto"/>
      </w:divBdr>
    </w:div>
    <w:div w:id="219637713">
      <w:bodyDiv w:val="1"/>
      <w:marLeft w:val="0"/>
      <w:marRight w:val="0"/>
      <w:marTop w:val="0"/>
      <w:marBottom w:val="0"/>
      <w:divBdr>
        <w:top w:val="none" w:sz="0" w:space="0" w:color="auto"/>
        <w:left w:val="none" w:sz="0" w:space="0" w:color="auto"/>
        <w:bottom w:val="none" w:sz="0" w:space="0" w:color="auto"/>
        <w:right w:val="none" w:sz="0" w:space="0" w:color="auto"/>
      </w:divBdr>
    </w:div>
    <w:div w:id="384069556">
      <w:bodyDiv w:val="1"/>
      <w:marLeft w:val="0"/>
      <w:marRight w:val="0"/>
      <w:marTop w:val="0"/>
      <w:marBottom w:val="0"/>
      <w:divBdr>
        <w:top w:val="none" w:sz="0" w:space="0" w:color="auto"/>
        <w:left w:val="none" w:sz="0" w:space="0" w:color="auto"/>
        <w:bottom w:val="none" w:sz="0" w:space="0" w:color="auto"/>
        <w:right w:val="none" w:sz="0" w:space="0" w:color="auto"/>
      </w:divBdr>
    </w:div>
    <w:div w:id="421991653">
      <w:bodyDiv w:val="1"/>
      <w:marLeft w:val="0"/>
      <w:marRight w:val="0"/>
      <w:marTop w:val="0"/>
      <w:marBottom w:val="0"/>
      <w:divBdr>
        <w:top w:val="none" w:sz="0" w:space="0" w:color="auto"/>
        <w:left w:val="none" w:sz="0" w:space="0" w:color="auto"/>
        <w:bottom w:val="none" w:sz="0" w:space="0" w:color="auto"/>
        <w:right w:val="none" w:sz="0" w:space="0" w:color="auto"/>
      </w:divBdr>
    </w:div>
    <w:div w:id="640303862">
      <w:bodyDiv w:val="1"/>
      <w:marLeft w:val="0"/>
      <w:marRight w:val="0"/>
      <w:marTop w:val="0"/>
      <w:marBottom w:val="0"/>
      <w:divBdr>
        <w:top w:val="none" w:sz="0" w:space="0" w:color="auto"/>
        <w:left w:val="none" w:sz="0" w:space="0" w:color="auto"/>
        <w:bottom w:val="none" w:sz="0" w:space="0" w:color="auto"/>
        <w:right w:val="none" w:sz="0" w:space="0" w:color="auto"/>
      </w:divBdr>
    </w:div>
    <w:div w:id="1117678532">
      <w:bodyDiv w:val="1"/>
      <w:marLeft w:val="0"/>
      <w:marRight w:val="0"/>
      <w:marTop w:val="0"/>
      <w:marBottom w:val="0"/>
      <w:divBdr>
        <w:top w:val="none" w:sz="0" w:space="0" w:color="auto"/>
        <w:left w:val="none" w:sz="0" w:space="0" w:color="auto"/>
        <w:bottom w:val="none" w:sz="0" w:space="0" w:color="auto"/>
        <w:right w:val="none" w:sz="0" w:space="0" w:color="auto"/>
      </w:divBdr>
    </w:div>
    <w:div w:id="1368721713">
      <w:bodyDiv w:val="1"/>
      <w:marLeft w:val="0"/>
      <w:marRight w:val="0"/>
      <w:marTop w:val="0"/>
      <w:marBottom w:val="0"/>
      <w:divBdr>
        <w:top w:val="none" w:sz="0" w:space="0" w:color="auto"/>
        <w:left w:val="none" w:sz="0" w:space="0" w:color="auto"/>
        <w:bottom w:val="none" w:sz="0" w:space="0" w:color="auto"/>
        <w:right w:val="none" w:sz="0" w:space="0" w:color="auto"/>
      </w:divBdr>
    </w:div>
    <w:div w:id="1455247553">
      <w:bodyDiv w:val="1"/>
      <w:marLeft w:val="0"/>
      <w:marRight w:val="0"/>
      <w:marTop w:val="0"/>
      <w:marBottom w:val="0"/>
      <w:divBdr>
        <w:top w:val="none" w:sz="0" w:space="0" w:color="auto"/>
        <w:left w:val="none" w:sz="0" w:space="0" w:color="auto"/>
        <w:bottom w:val="none" w:sz="0" w:space="0" w:color="auto"/>
        <w:right w:val="none" w:sz="0" w:space="0" w:color="auto"/>
      </w:divBdr>
    </w:div>
    <w:div w:id="1628389735">
      <w:bodyDiv w:val="1"/>
      <w:marLeft w:val="0"/>
      <w:marRight w:val="0"/>
      <w:marTop w:val="0"/>
      <w:marBottom w:val="0"/>
      <w:divBdr>
        <w:top w:val="none" w:sz="0" w:space="0" w:color="auto"/>
        <w:left w:val="none" w:sz="0" w:space="0" w:color="auto"/>
        <w:bottom w:val="none" w:sz="0" w:space="0" w:color="auto"/>
        <w:right w:val="none" w:sz="0" w:space="0" w:color="auto"/>
      </w:divBdr>
    </w:div>
    <w:div w:id="1656370445">
      <w:bodyDiv w:val="1"/>
      <w:marLeft w:val="0"/>
      <w:marRight w:val="0"/>
      <w:marTop w:val="0"/>
      <w:marBottom w:val="0"/>
      <w:divBdr>
        <w:top w:val="none" w:sz="0" w:space="0" w:color="auto"/>
        <w:left w:val="none" w:sz="0" w:space="0" w:color="auto"/>
        <w:bottom w:val="none" w:sz="0" w:space="0" w:color="auto"/>
        <w:right w:val="none" w:sz="0" w:space="0" w:color="auto"/>
      </w:divBdr>
    </w:div>
    <w:div w:id="1698383838">
      <w:bodyDiv w:val="1"/>
      <w:marLeft w:val="0"/>
      <w:marRight w:val="0"/>
      <w:marTop w:val="0"/>
      <w:marBottom w:val="0"/>
      <w:divBdr>
        <w:top w:val="none" w:sz="0" w:space="0" w:color="auto"/>
        <w:left w:val="none" w:sz="0" w:space="0" w:color="auto"/>
        <w:bottom w:val="none" w:sz="0" w:space="0" w:color="auto"/>
        <w:right w:val="none" w:sz="0" w:space="0" w:color="auto"/>
      </w:divBdr>
    </w:div>
    <w:div w:id="1795177301">
      <w:bodyDiv w:val="1"/>
      <w:marLeft w:val="0"/>
      <w:marRight w:val="0"/>
      <w:marTop w:val="0"/>
      <w:marBottom w:val="0"/>
      <w:divBdr>
        <w:top w:val="none" w:sz="0" w:space="0" w:color="auto"/>
        <w:left w:val="none" w:sz="0" w:space="0" w:color="auto"/>
        <w:bottom w:val="none" w:sz="0" w:space="0" w:color="auto"/>
        <w:right w:val="none" w:sz="0" w:space="0" w:color="auto"/>
      </w:divBdr>
    </w:div>
    <w:div w:id="1967538732">
      <w:bodyDiv w:val="1"/>
      <w:marLeft w:val="0"/>
      <w:marRight w:val="0"/>
      <w:marTop w:val="0"/>
      <w:marBottom w:val="0"/>
      <w:divBdr>
        <w:top w:val="none" w:sz="0" w:space="0" w:color="auto"/>
        <w:left w:val="none" w:sz="0" w:space="0" w:color="auto"/>
        <w:bottom w:val="none" w:sz="0" w:space="0" w:color="auto"/>
        <w:right w:val="none" w:sz="0" w:space="0" w:color="auto"/>
      </w:divBdr>
    </w:div>
    <w:div w:id="2080249949">
      <w:bodyDiv w:val="1"/>
      <w:marLeft w:val="0"/>
      <w:marRight w:val="0"/>
      <w:marTop w:val="0"/>
      <w:marBottom w:val="0"/>
      <w:divBdr>
        <w:top w:val="none" w:sz="0" w:space="0" w:color="auto"/>
        <w:left w:val="none" w:sz="0" w:space="0" w:color="auto"/>
        <w:bottom w:val="none" w:sz="0" w:space="0" w:color="auto"/>
        <w:right w:val="none" w:sz="0" w:space="0" w:color="auto"/>
      </w:divBdr>
    </w:div>
    <w:div w:id="2087528034">
      <w:bodyDiv w:val="1"/>
      <w:marLeft w:val="0"/>
      <w:marRight w:val="0"/>
      <w:marTop w:val="0"/>
      <w:marBottom w:val="0"/>
      <w:divBdr>
        <w:top w:val="none" w:sz="0" w:space="0" w:color="auto"/>
        <w:left w:val="none" w:sz="0" w:space="0" w:color="auto"/>
        <w:bottom w:val="none" w:sz="0" w:space="0" w:color="auto"/>
        <w:right w:val="none" w:sz="0" w:space="0" w:color="auto"/>
      </w:divBdr>
    </w:div>
    <w:div w:id="2138184569">
      <w:bodyDiv w:val="1"/>
      <w:marLeft w:val="0"/>
      <w:marRight w:val="0"/>
      <w:marTop w:val="0"/>
      <w:marBottom w:val="0"/>
      <w:divBdr>
        <w:top w:val="none" w:sz="0" w:space="0" w:color="auto"/>
        <w:left w:val="none" w:sz="0" w:space="0" w:color="auto"/>
        <w:bottom w:val="none" w:sz="0" w:space="0" w:color="auto"/>
        <w:right w:val="none" w:sz="0" w:space="0" w:color="auto"/>
      </w:divBdr>
      <w:divsChild>
        <w:div w:id="403576846">
          <w:marLeft w:val="0"/>
          <w:marRight w:val="0"/>
          <w:marTop w:val="0"/>
          <w:marBottom w:val="0"/>
          <w:divBdr>
            <w:top w:val="single" w:sz="2" w:space="0" w:color="E5E7EB"/>
            <w:left w:val="single" w:sz="2" w:space="0" w:color="E5E7EB"/>
            <w:bottom w:val="single" w:sz="2" w:space="0" w:color="E5E7EB"/>
            <w:right w:val="single" w:sz="2" w:space="0" w:color="E5E7EB"/>
          </w:divBdr>
          <w:divsChild>
            <w:div w:id="776026423">
              <w:marLeft w:val="0"/>
              <w:marRight w:val="0"/>
              <w:marTop w:val="0"/>
              <w:marBottom w:val="0"/>
              <w:divBdr>
                <w:top w:val="none" w:sz="0" w:space="0" w:color="auto"/>
                <w:left w:val="none" w:sz="0" w:space="0" w:color="auto"/>
                <w:bottom w:val="none" w:sz="0" w:space="0" w:color="auto"/>
                <w:right w:val="none" w:sz="0" w:space="0" w:color="auto"/>
              </w:divBdr>
              <w:divsChild>
                <w:div w:id="1089306346">
                  <w:marLeft w:val="0"/>
                  <w:marRight w:val="0"/>
                  <w:marTop w:val="0"/>
                  <w:marBottom w:val="0"/>
                  <w:divBdr>
                    <w:top w:val="none" w:sz="0" w:space="0" w:color="auto"/>
                    <w:left w:val="none" w:sz="0" w:space="0" w:color="auto"/>
                    <w:bottom w:val="none" w:sz="0" w:space="0" w:color="auto"/>
                    <w:right w:val="none" w:sz="0" w:space="0" w:color="auto"/>
                  </w:divBdr>
                  <w:divsChild>
                    <w:div w:id="539825856">
                      <w:marLeft w:val="0"/>
                      <w:marRight w:val="0"/>
                      <w:marTop w:val="0"/>
                      <w:marBottom w:val="0"/>
                      <w:divBdr>
                        <w:top w:val="single" w:sz="2" w:space="0" w:color="E5E7EB"/>
                        <w:left w:val="single" w:sz="2" w:space="0" w:color="E5E7EB"/>
                        <w:bottom w:val="single" w:sz="2" w:space="0" w:color="E5E7EB"/>
                        <w:right w:val="single" w:sz="2" w:space="0" w:color="E5E7EB"/>
                      </w:divBdr>
                      <w:divsChild>
                        <w:div w:id="452402095">
                          <w:marLeft w:val="0"/>
                          <w:marRight w:val="0"/>
                          <w:marTop w:val="0"/>
                          <w:marBottom w:val="0"/>
                          <w:divBdr>
                            <w:top w:val="single" w:sz="2" w:space="0" w:color="E5E7EB"/>
                            <w:left w:val="single" w:sz="2" w:space="0" w:color="E5E7EB"/>
                            <w:bottom w:val="single" w:sz="2" w:space="0" w:color="E5E7EB"/>
                            <w:right w:val="single" w:sz="2" w:space="0" w:color="E5E7EB"/>
                          </w:divBdr>
                          <w:divsChild>
                            <w:div w:id="1837525927">
                              <w:marLeft w:val="0"/>
                              <w:marRight w:val="0"/>
                              <w:marTop w:val="0"/>
                              <w:marBottom w:val="0"/>
                              <w:divBdr>
                                <w:top w:val="single" w:sz="2" w:space="0" w:color="E5E7EB"/>
                                <w:left w:val="single" w:sz="2" w:space="0" w:color="E5E7EB"/>
                                <w:bottom w:val="single" w:sz="2" w:space="0" w:color="E5E7EB"/>
                                <w:right w:val="single" w:sz="2" w:space="0" w:color="E5E7EB"/>
                              </w:divBdr>
                              <w:divsChild>
                                <w:div w:id="19759512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620570121">
                  <w:marLeft w:val="0"/>
                  <w:marRight w:val="0"/>
                  <w:marTop w:val="120"/>
                  <w:marBottom w:val="0"/>
                  <w:divBdr>
                    <w:top w:val="none" w:sz="0" w:space="0" w:color="auto"/>
                    <w:left w:val="none" w:sz="0" w:space="0" w:color="auto"/>
                    <w:bottom w:val="none" w:sz="0" w:space="0" w:color="auto"/>
                    <w:right w:val="none" w:sz="0" w:space="0" w:color="auto"/>
                  </w:divBdr>
                  <w:divsChild>
                    <w:div w:id="1632979307">
                      <w:marLeft w:val="-120"/>
                      <w:marRight w:val="0"/>
                      <w:marTop w:val="0"/>
                      <w:marBottom w:val="0"/>
                      <w:divBdr>
                        <w:top w:val="single" w:sz="2" w:space="0" w:color="E5E7EB"/>
                        <w:left w:val="single" w:sz="2" w:space="0" w:color="E5E7EB"/>
                        <w:bottom w:val="single" w:sz="2" w:space="0" w:color="E5E7EB"/>
                        <w:right w:val="single" w:sz="2" w:space="0" w:color="E5E7EB"/>
                      </w:divBdr>
                      <w:divsChild>
                        <w:div w:id="1319923128">
                          <w:marLeft w:val="0"/>
                          <w:marRight w:val="0"/>
                          <w:marTop w:val="0"/>
                          <w:marBottom w:val="0"/>
                          <w:divBdr>
                            <w:top w:val="single" w:sz="2" w:space="0" w:color="E5E7EB"/>
                            <w:left w:val="single" w:sz="2" w:space="0" w:color="E5E7EB"/>
                            <w:bottom w:val="single" w:sz="2" w:space="0" w:color="E5E7EB"/>
                            <w:right w:val="single" w:sz="2" w:space="0" w:color="E5E7EB"/>
                          </w:divBdr>
                          <w:divsChild>
                            <w:div w:id="205568964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03927253">
                          <w:marLeft w:val="0"/>
                          <w:marRight w:val="0"/>
                          <w:marTop w:val="0"/>
                          <w:marBottom w:val="0"/>
                          <w:divBdr>
                            <w:top w:val="single" w:sz="2" w:space="0" w:color="E5E7EB"/>
                            <w:left w:val="single" w:sz="2" w:space="0" w:color="E5E7EB"/>
                            <w:bottom w:val="single" w:sz="2" w:space="0" w:color="E5E7EB"/>
                            <w:right w:val="single" w:sz="2" w:space="0" w:color="E5E7EB"/>
                          </w:divBdr>
                          <w:divsChild>
                            <w:div w:id="113930244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1981</Words>
  <Characters>11292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2024-07-22T18:33:00Z</dcterms:created>
  <dcterms:modified xsi:type="dcterms:W3CDTF">2024-07-22T18:33:00Z</dcterms:modified>
</cp:coreProperties>
</file>