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2AA4D"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p>
    <w:p w14:paraId="3EDA79CD" w14:textId="77777777" w:rsidR="005A6B10" w:rsidRPr="005A6B10" w:rsidRDefault="005A6B10" w:rsidP="005A6B10">
      <w:pPr>
        <w:spacing w:after="0" w:line="240" w:lineRule="auto"/>
        <w:rPr>
          <w:rFonts w:ascii="Times New Roman" w:eastAsia="Times New Roman" w:hAnsi="Times New Roman" w:cs="Times New Roman"/>
          <w:kern w:val="0"/>
          <w:sz w:val="24"/>
          <w:szCs w:val="20"/>
          <w:lang w:val="en-US" w:eastAsia="x-none"/>
          <w14:ligatures w14:val="none"/>
        </w:rPr>
      </w:pPr>
    </w:p>
    <w:p w14:paraId="5E7F80DE" w14:textId="77777777" w:rsidR="005A6B10" w:rsidRPr="005A6B10" w:rsidRDefault="005A6B10" w:rsidP="005A6B10">
      <w:pPr>
        <w:spacing w:after="0" w:line="240" w:lineRule="auto"/>
        <w:jc w:val="center"/>
        <w:rPr>
          <w:rFonts w:ascii="Times New Roman" w:eastAsia="Times New Roman" w:hAnsi="Times New Roman" w:cs="Times New Roman"/>
          <w:kern w:val="0"/>
          <w:sz w:val="24"/>
          <w:szCs w:val="20"/>
          <w:lang w:val="en-US" w:eastAsia="x-none"/>
          <w14:ligatures w14:val="none"/>
        </w:rPr>
      </w:pPr>
      <w:r w:rsidRPr="005A6B10">
        <w:rPr>
          <w:rFonts w:ascii="Times New Roman" w:eastAsia="Times New Roman" w:hAnsi="Times New Roman" w:cs="Times New Roman"/>
          <w:noProof/>
          <w:kern w:val="0"/>
          <w:sz w:val="24"/>
          <w:szCs w:val="20"/>
          <w:lang w:eastAsia="en-GB"/>
          <w14:ligatures w14:val="none"/>
        </w:rPr>
        <w:drawing>
          <wp:inline distT="0" distB="0" distL="0" distR="0" wp14:anchorId="7B768AD2" wp14:editId="0DB8904E">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5C7FA4DB" w14:textId="77777777" w:rsidR="005A6B10" w:rsidRPr="005A6B10" w:rsidRDefault="005A6B10" w:rsidP="005A6B10">
      <w:pPr>
        <w:tabs>
          <w:tab w:val="left" w:pos="615"/>
          <w:tab w:val="center" w:pos="4802"/>
        </w:tabs>
        <w:spacing w:after="0" w:line="240" w:lineRule="auto"/>
        <w:jc w:val="center"/>
        <w:rPr>
          <w:rFonts w:ascii="Times New Roman" w:eastAsia="Times New Roman" w:hAnsi="Times New Roman" w:cs="Times New Roman"/>
          <w:b/>
          <w:bCs/>
          <w:kern w:val="0"/>
          <w:sz w:val="20"/>
          <w:szCs w:val="20"/>
          <w:lang w:val="en-US"/>
          <w14:ligatures w14:val="none"/>
        </w:rPr>
      </w:pPr>
    </w:p>
    <w:p w14:paraId="27E44817" w14:textId="77777777" w:rsidR="005A6B10" w:rsidRPr="005A6B10" w:rsidRDefault="005A6B10" w:rsidP="005A6B10">
      <w:pPr>
        <w:spacing w:after="0" w:line="240" w:lineRule="auto"/>
        <w:rPr>
          <w:rFonts w:ascii="Calibri" w:eastAsia="Times New Roman" w:hAnsi="Calibri" w:cs="Times New Roman"/>
          <w:b/>
          <w:bCs/>
          <w:kern w:val="28"/>
          <w:sz w:val="32"/>
          <w:szCs w:val="32"/>
          <w:lang w:val="en-US" w:eastAsia="x-none"/>
          <w14:ligatures w14:val="none"/>
        </w:rPr>
      </w:pPr>
      <w:r w:rsidRPr="005A6B10">
        <w:rPr>
          <w:rFonts w:ascii="Calibri" w:eastAsia="Times New Roman" w:hAnsi="Calibri" w:cs="Times New Roman"/>
          <w:b/>
          <w:bCs/>
          <w:kern w:val="28"/>
          <w:sz w:val="32"/>
          <w:szCs w:val="32"/>
          <w:lang w:val="en-US" w:eastAsia="x-none"/>
          <w14:ligatures w14:val="none"/>
        </w:rPr>
        <w:t xml:space="preserve">                                                 </w:t>
      </w:r>
    </w:p>
    <w:p w14:paraId="7BAE6EB9" w14:textId="77777777" w:rsidR="005A6B10" w:rsidRPr="005A6B10" w:rsidRDefault="005A6B10" w:rsidP="005A6B10">
      <w:pPr>
        <w:spacing w:after="0" w:line="240" w:lineRule="auto"/>
        <w:jc w:val="center"/>
        <w:rPr>
          <w:rFonts w:ascii="Calibri" w:eastAsia="Times New Roman" w:hAnsi="Calibri" w:cs="Times New Roman"/>
          <w:b/>
          <w:bCs/>
          <w:kern w:val="28"/>
          <w:sz w:val="32"/>
          <w:szCs w:val="32"/>
          <w:lang w:val="en-US" w:eastAsia="x-none"/>
          <w14:ligatures w14:val="none"/>
        </w:rPr>
      </w:pPr>
      <w:r w:rsidRPr="00551013">
        <w:rPr>
          <w:rFonts w:ascii="Calibri" w:eastAsia="Times New Roman" w:hAnsi="Calibri" w:cs="Times New Roman"/>
          <w:b/>
          <w:bCs/>
          <w:kern w:val="28"/>
          <w:sz w:val="32"/>
          <w:szCs w:val="32"/>
          <w:highlight w:val="magenta"/>
          <w:lang w:val="en-US" w:eastAsia="x-none"/>
          <w14:ligatures w14:val="none"/>
        </w:rPr>
        <w:t>Lesson Plan</w:t>
      </w:r>
    </w:p>
    <w:p w14:paraId="6DDA9D46" w14:textId="77777777" w:rsidR="005A6B10" w:rsidRPr="005A6B10" w:rsidRDefault="005A6B10" w:rsidP="005A6B10">
      <w:pPr>
        <w:spacing w:after="0" w:line="240" w:lineRule="auto"/>
        <w:rPr>
          <w:rFonts w:ascii="Calibri" w:eastAsia="Times New Roman" w:hAnsi="Calibri" w:cs="Times New Roman"/>
          <w:b/>
          <w:bCs/>
          <w:kern w:val="28"/>
          <w:sz w:val="32"/>
          <w:szCs w:val="32"/>
          <w:lang w:val="en-US" w:eastAsia="x-none"/>
          <w14:ligatures w14:val="none"/>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A6B10" w:rsidRPr="005A6B10" w14:paraId="739AC516" w14:textId="77777777" w:rsidTr="00232986">
        <w:trPr>
          <w:cantSplit/>
        </w:trPr>
        <w:tc>
          <w:tcPr>
            <w:tcW w:w="4909" w:type="dxa"/>
            <w:gridSpan w:val="2"/>
          </w:tcPr>
          <w:p w14:paraId="76D0802F"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 xml:space="preserve">Topic: </w:t>
            </w:r>
            <w:r w:rsidRPr="00B92F14">
              <w:rPr>
                <w:rFonts w:ascii="Calibri" w:eastAsia="Times New Roman" w:hAnsi="Calibri" w:cs="Calibri"/>
                <w:bCs/>
                <w:kern w:val="0"/>
                <w:szCs w:val="20"/>
                <w:lang w:val="en-US"/>
                <w14:ligatures w14:val="none"/>
              </w:rPr>
              <w:t>Basic word meaning of Quran</w:t>
            </w:r>
          </w:p>
        </w:tc>
        <w:tc>
          <w:tcPr>
            <w:tcW w:w="4914" w:type="dxa"/>
            <w:gridSpan w:val="2"/>
          </w:tcPr>
          <w:p w14:paraId="37D291B9" w14:textId="77777777" w:rsidR="005A6B10" w:rsidRPr="00B92F14" w:rsidRDefault="005A6B10" w:rsidP="005A6B10">
            <w:pPr>
              <w:spacing w:after="0" w:line="240" w:lineRule="auto"/>
              <w:jc w:val="both"/>
              <w:rPr>
                <w:rFonts w:ascii="Calibri" w:eastAsia="Times New Roman" w:hAnsi="Calibri" w:cs="Calibri"/>
                <w:bCs/>
                <w:kern w:val="0"/>
                <w:szCs w:val="20"/>
                <w:lang w:val="en-US"/>
                <w14:ligatures w14:val="none"/>
              </w:rPr>
            </w:pPr>
            <w:r w:rsidRPr="005A6B10">
              <w:rPr>
                <w:rFonts w:ascii="Calibri" w:eastAsia="Times New Roman" w:hAnsi="Calibri" w:cs="Calibri"/>
                <w:b/>
                <w:kern w:val="0"/>
                <w:szCs w:val="20"/>
                <w:lang w:val="en-US"/>
                <w14:ligatures w14:val="none"/>
              </w:rPr>
              <w:t xml:space="preserve">Class: </w:t>
            </w:r>
            <w:r w:rsidRPr="00B92F14">
              <w:rPr>
                <w:rFonts w:ascii="Calibri" w:eastAsia="Times New Roman" w:hAnsi="Calibri" w:cs="Calibri"/>
                <w:bCs/>
                <w:kern w:val="0"/>
                <w:szCs w:val="20"/>
                <w:lang w:val="en-US"/>
                <w14:ligatures w14:val="none"/>
              </w:rPr>
              <w:t>Online students from all over the world</w:t>
            </w:r>
          </w:p>
          <w:p w14:paraId="242D296B"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tc>
      </w:tr>
      <w:tr w:rsidR="005A6B10" w:rsidRPr="005A6B10" w14:paraId="1F55AAFA" w14:textId="77777777" w:rsidTr="00232986">
        <w:tc>
          <w:tcPr>
            <w:tcW w:w="2802" w:type="dxa"/>
            <w:tcBorders>
              <w:bottom w:val="nil"/>
            </w:tcBorders>
          </w:tcPr>
          <w:p w14:paraId="1387C752"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 xml:space="preserve">Date: </w:t>
            </w:r>
            <w:r w:rsidRPr="00B92F14">
              <w:rPr>
                <w:rFonts w:ascii="Calibri" w:eastAsia="Times New Roman" w:hAnsi="Calibri" w:cs="Calibri"/>
                <w:bCs/>
                <w:kern w:val="0"/>
                <w:szCs w:val="20"/>
                <w:lang w:val="en-US"/>
                <w14:ligatures w14:val="none"/>
              </w:rPr>
              <w:t>30/01/2024</w:t>
            </w:r>
          </w:p>
          <w:p w14:paraId="5AF63EAC"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tc>
        <w:tc>
          <w:tcPr>
            <w:tcW w:w="4110" w:type="dxa"/>
            <w:gridSpan w:val="2"/>
            <w:tcBorders>
              <w:bottom w:val="nil"/>
            </w:tcBorders>
          </w:tcPr>
          <w:p w14:paraId="33CF3AEE"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 xml:space="preserve">Length of lesson: </w:t>
            </w:r>
            <w:r w:rsidRPr="00B92F14">
              <w:rPr>
                <w:rFonts w:ascii="Calibri" w:eastAsia="Times New Roman" w:hAnsi="Calibri" w:cs="Calibri"/>
                <w:bCs/>
                <w:kern w:val="0"/>
                <w:szCs w:val="20"/>
                <w:lang w:val="en-US"/>
                <w14:ligatures w14:val="none"/>
              </w:rPr>
              <w:t xml:space="preserve">2:30 </w:t>
            </w:r>
            <w:proofErr w:type="spellStart"/>
            <w:r w:rsidRPr="00B92F14">
              <w:rPr>
                <w:rFonts w:ascii="Calibri" w:eastAsia="Times New Roman" w:hAnsi="Calibri" w:cs="Calibri"/>
                <w:bCs/>
                <w:kern w:val="0"/>
                <w:szCs w:val="20"/>
                <w:lang w:val="en-US"/>
                <w14:ligatures w14:val="none"/>
              </w:rPr>
              <w:t>Hr</w:t>
            </w:r>
            <w:proofErr w:type="spellEnd"/>
            <w:r w:rsidRPr="00B92F14">
              <w:rPr>
                <w:rFonts w:ascii="Calibri" w:eastAsia="Times New Roman" w:hAnsi="Calibri" w:cs="Calibri"/>
                <w:bCs/>
                <w:kern w:val="0"/>
                <w:szCs w:val="20"/>
                <w:lang w:val="en-US"/>
                <w14:ligatures w14:val="none"/>
              </w:rPr>
              <w:t>/min</w:t>
            </w:r>
          </w:p>
        </w:tc>
        <w:tc>
          <w:tcPr>
            <w:tcW w:w="2911" w:type="dxa"/>
            <w:tcBorders>
              <w:bottom w:val="nil"/>
            </w:tcBorders>
          </w:tcPr>
          <w:p w14:paraId="30148C43"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Number of students: 15</w:t>
            </w:r>
          </w:p>
        </w:tc>
      </w:tr>
      <w:tr w:rsidR="005A6B10" w:rsidRPr="005A6B10" w14:paraId="574DC106" w14:textId="77777777" w:rsidTr="00232986">
        <w:trPr>
          <w:cantSplit/>
        </w:trPr>
        <w:tc>
          <w:tcPr>
            <w:tcW w:w="9823" w:type="dxa"/>
            <w:gridSpan w:val="4"/>
            <w:tcBorders>
              <w:bottom w:val="single" w:sz="2" w:space="0" w:color="auto"/>
            </w:tcBorders>
          </w:tcPr>
          <w:p w14:paraId="348CFAFC" w14:textId="77777777" w:rsidR="005A6B10" w:rsidRPr="005A6B10" w:rsidRDefault="005A6B10" w:rsidP="005A6B10">
            <w:pPr>
              <w:spacing w:after="0" w:line="240" w:lineRule="auto"/>
              <w:jc w:val="both"/>
              <w:rPr>
                <w:rFonts w:ascii="Corbel Light" w:eastAsia="Times New Roman" w:hAnsi="Corbel Light" w:cs="Calibri"/>
                <w:b/>
                <w:kern w:val="0"/>
                <w:szCs w:val="20"/>
                <w:lang w:val="en-US"/>
                <w14:ligatures w14:val="none"/>
              </w:rPr>
            </w:pPr>
            <w:r w:rsidRPr="005A6B10">
              <w:rPr>
                <w:rFonts w:ascii="Calibri" w:eastAsia="Times New Roman" w:hAnsi="Calibri" w:cs="Calibri"/>
                <w:b/>
                <w:kern w:val="0"/>
                <w:sz w:val="24"/>
                <w:szCs w:val="24"/>
                <w:lang w:val="en-US"/>
                <w14:ligatures w14:val="none"/>
              </w:rPr>
              <w:t>Resources required:</w:t>
            </w:r>
            <w:r w:rsidRPr="005A6B10">
              <w:rPr>
                <w:rFonts w:ascii="Corbel Light" w:eastAsia="Times New Roman" w:hAnsi="Corbel Light" w:cs="Calibri"/>
                <w:b/>
                <w:kern w:val="0"/>
                <w:szCs w:val="20"/>
                <w:lang w:val="en-US"/>
                <w14:ligatures w14:val="none"/>
              </w:rPr>
              <w:t xml:space="preserve"> </w:t>
            </w:r>
          </w:p>
          <w:p w14:paraId="1F8557F0" w14:textId="77777777" w:rsidR="005A6B10" w:rsidRPr="005A6B10" w:rsidRDefault="005A6B10" w:rsidP="005A6B10">
            <w:pPr>
              <w:spacing w:after="0" w:line="240" w:lineRule="auto"/>
              <w:jc w:val="both"/>
              <w:rPr>
                <w:rFonts w:ascii="Corbel Light" w:eastAsia="Times New Roman" w:hAnsi="Corbel Light" w:cs="Calibri"/>
                <w:b/>
                <w:kern w:val="0"/>
                <w:szCs w:val="20"/>
                <w:lang w:val="en-US"/>
                <w14:ligatures w14:val="none"/>
              </w:rPr>
            </w:pPr>
          </w:p>
          <w:p w14:paraId="598B431D" w14:textId="77777777" w:rsidR="005A6B10" w:rsidRPr="005A6B10" w:rsidRDefault="005A6B10" w:rsidP="005A6B10">
            <w:pPr>
              <w:spacing w:after="0" w:line="240" w:lineRule="auto"/>
              <w:jc w:val="both"/>
              <w:rPr>
                <w:rFonts w:ascii="Corbel Light" w:eastAsia="Times New Roman" w:hAnsi="Corbel Light" w:cs="Calibri"/>
                <w:b/>
                <w:kern w:val="0"/>
                <w:szCs w:val="20"/>
                <w:lang w:val="en-US"/>
                <w14:ligatures w14:val="none"/>
              </w:rPr>
            </w:pPr>
            <w:r w:rsidRPr="005A6B10">
              <w:rPr>
                <w:rFonts w:ascii="Corbel Light" w:eastAsia="Times New Roman" w:hAnsi="Corbel Light" w:cs="Calibri"/>
                <w:b/>
                <w:kern w:val="0"/>
                <w:szCs w:val="20"/>
                <w:lang w:val="en-US"/>
                <w14:ligatures w14:val="none"/>
              </w:rPr>
              <w:t xml:space="preserve">Internet, time according to region, phone/computer/tab to open app </w:t>
            </w:r>
            <w:proofErr w:type="spellStart"/>
            <w:r w:rsidRPr="005A6B10">
              <w:rPr>
                <w:rFonts w:ascii="Corbel Light" w:eastAsia="Times New Roman" w:hAnsi="Corbel Light" w:cs="Calibri"/>
                <w:b/>
                <w:kern w:val="0"/>
                <w:szCs w:val="20"/>
                <w:lang w:val="en-US"/>
                <w14:ligatures w14:val="none"/>
              </w:rPr>
              <w:t>blooket</w:t>
            </w:r>
            <w:proofErr w:type="spellEnd"/>
            <w:r w:rsidRPr="005A6B10">
              <w:rPr>
                <w:rFonts w:ascii="Corbel Light" w:eastAsia="Times New Roman" w:hAnsi="Corbel Light" w:cs="Calibri"/>
                <w:b/>
                <w:kern w:val="0"/>
                <w:szCs w:val="20"/>
                <w:lang w:val="en-US"/>
                <w14:ligatures w14:val="none"/>
              </w:rPr>
              <w:t xml:space="preserve">, what’s app as a supportive tool to share key to play </w:t>
            </w:r>
            <w:proofErr w:type="spellStart"/>
            <w:r w:rsidRPr="005A6B10">
              <w:rPr>
                <w:rFonts w:ascii="Corbel Light" w:eastAsia="Times New Roman" w:hAnsi="Corbel Light" w:cs="Calibri"/>
                <w:b/>
                <w:kern w:val="0"/>
                <w:szCs w:val="20"/>
                <w:lang w:val="en-US"/>
                <w14:ligatures w14:val="none"/>
              </w:rPr>
              <w:t>blooket</w:t>
            </w:r>
            <w:proofErr w:type="spellEnd"/>
            <w:r w:rsidRPr="005A6B10">
              <w:rPr>
                <w:rFonts w:ascii="Corbel Light" w:eastAsia="Times New Roman" w:hAnsi="Corbel Light" w:cs="Calibri"/>
                <w:b/>
                <w:kern w:val="0"/>
                <w:szCs w:val="20"/>
                <w:lang w:val="en-US"/>
                <w14:ligatures w14:val="none"/>
              </w:rPr>
              <w:t xml:space="preserve"> and share messages during the activity. </w:t>
            </w:r>
          </w:p>
          <w:p w14:paraId="4E9AA0D3"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p w14:paraId="1D18B112"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tc>
      </w:tr>
      <w:tr w:rsidR="005A6B10" w:rsidRPr="005A6B10" w14:paraId="4379BD83" w14:textId="77777777" w:rsidTr="00232986">
        <w:trPr>
          <w:cantSplit/>
        </w:trPr>
        <w:tc>
          <w:tcPr>
            <w:tcW w:w="9823" w:type="dxa"/>
            <w:gridSpan w:val="4"/>
            <w:tcBorders>
              <w:top w:val="single" w:sz="2" w:space="0" w:color="auto"/>
            </w:tcBorders>
          </w:tcPr>
          <w:p w14:paraId="5CF2F9F1" w14:textId="77777777" w:rsidR="005A6B10" w:rsidRPr="005A6B10" w:rsidRDefault="005A6B10" w:rsidP="005A6B10">
            <w:pPr>
              <w:spacing w:after="0" w:line="240" w:lineRule="auto"/>
              <w:jc w:val="both"/>
              <w:rPr>
                <w:rFonts w:ascii="Calibri Light" w:eastAsia="Times New Roman" w:hAnsi="Calibri Light" w:cs="Calibri Light"/>
                <w:b/>
                <w:kern w:val="0"/>
                <w:szCs w:val="20"/>
                <w:lang w:val="en-US"/>
                <w14:ligatures w14:val="none"/>
              </w:rPr>
            </w:pPr>
            <w:r w:rsidRPr="005A6B10">
              <w:rPr>
                <w:rFonts w:ascii="Calibri" w:eastAsia="Times New Roman" w:hAnsi="Calibri" w:cs="Calibri"/>
                <w:b/>
                <w:kern w:val="0"/>
                <w:szCs w:val="20"/>
                <w:lang w:val="en-US"/>
                <w14:ligatures w14:val="none"/>
              </w:rPr>
              <w:t>Aim of Lesson</w:t>
            </w:r>
            <w:r w:rsidRPr="005A6B10">
              <w:rPr>
                <w:rFonts w:ascii="Calibri Light" w:eastAsia="Times New Roman" w:hAnsi="Calibri Light" w:cs="Calibri Light"/>
                <w:b/>
                <w:kern w:val="0"/>
                <w:szCs w:val="20"/>
                <w:lang w:val="en-US"/>
                <w14:ligatures w14:val="none"/>
              </w:rPr>
              <w:t>:</w:t>
            </w:r>
          </w:p>
          <w:p w14:paraId="706B6891" w14:textId="77777777" w:rsidR="005A6B10" w:rsidRPr="005A6B10" w:rsidRDefault="005A6B10" w:rsidP="005A6B10">
            <w:pPr>
              <w:spacing w:after="0" w:line="240" w:lineRule="auto"/>
              <w:jc w:val="both"/>
              <w:rPr>
                <w:rFonts w:ascii="Calibri Light" w:eastAsia="Times New Roman" w:hAnsi="Calibri Light" w:cs="Calibri Light"/>
                <w:b/>
                <w:kern w:val="0"/>
                <w:szCs w:val="20"/>
                <w:lang w:val="en-US"/>
                <w14:ligatures w14:val="none"/>
              </w:rPr>
            </w:pPr>
          </w:p>
          <w:p w14:paraId="63977098" w14:textId="77777777" w:rsidR="005A6B10" w:rsidRPr="005A6B10" w:rsidRDefault="005A6B10" w:rsidP="005A6B10">
            <w:pPr>
              <w:spacing w:after="0" w:line="240" w:lineRule="auto"/>
              <w:jc w:val="both"/>
              <w:rPr>
                <w:rFonts w:ascii="Calibri" w:eastAsia="Times New Roman" w:hAnsi="Calibri" w:cs="Calibri"/>
                <w:bCs/>
                <w:color w:val="000000"/>
                <w:kern w:val="0"/>
                <w:szCs w:val="20"/>
                <w:lang w:val="en-US"/>
                <w14:ligatures w14:val="none"/>
              </w:rPr>
            </w:pPr>
            <w:r w:rsidRPr="005A6B10">
              <w:rPr>
                <w:rFonts w:ascii="Calibri" w:eastAsia="Times New Roman" w:hAnsi="Calibri" w:cs="Calibri"/>
                <w:bCs/>
                <w:color w:val="000000"/>
                <w:kern w:val="0"/>
                <w:szCs w:val="20"/>
                <w:lang w:val="en-US"/>
                <w14:ligatures w14:val="none"/>
              </w:rPr>
              <w:t>To provide participants with a heightened awareness of word meanings, enabling them to effectively learn and comprehend everyday Arabic language usage.</w:t>
            </w:r>
          </w:p>
          <w:p w14:paraId="43C7630A" w14:textId="77777777" w:rsidR="005A6B10" w:rsidRPr="005A6B10" w:rsidRDefault="005A6B10" w:rsidP="005A6B10">
            <w:pPr>
              <w:spacing w:after="0" w:line="240" w:lineRule="auto"/>
              <w:jc w:val="both"/>
              <w:rPr>
                <w:rFonts w:ascii="Calibri" w:eastAsia="Times New Roman" w:hAnsi="Calibri" w:cs="Calibri"/>
                <w:bCs/>
                <w:color w:val="000000"/>
                <w:kern w:val="0"/>
                <w:szCs w:val="20"/>
                <w:lang w:val="en-US"/>
                <w14:ligatures w14:val="none"/>
              </w:rPr>
            </w:pPr>
            <w:r w:rsidRPr="005A6B10">
              <w:rPr>
                <w:rFonts w:ascii="Calibri" w:eastAsia="Times New Roman" w:hAnsi="Calibri" w:cs="Calibri"/>
                <w:bCs/>
                <w:color w:val="000000"/>
                <w:kern w:val="0"/>
                <w:szCs w:val="20"/>
                <w:lang w:val="en-US"/>
                <w14:ligatures w14:val="none"/>
              </w:rPr>
              <w:t>To assess the participants' proficiency in memorizing and understanding the meanings of the words taught throughout the lesson, thereby gauging their retention and comprehension levels accurately.</w:t>
            </w:r>
          </w:p>
          <w:p w14:paraId="532F5F15" w14:textId="77777777" w:rsidR="005A6B10" w:rsidRPr="005A6B10" w:rsidRDefault="005A6B10" w:rsidP="005A6B10">
            <w:pPr>
              <w:spacing w:after="0" w:line="240" w:lineRule="auto"/>
              <w:jc w:val="both"/>
              <w:rPr>
                <w:rFonts w:ascii="Calibri" w:eastAsia="Times New Roman" w:hAnsi="Calibri" w:cs="Calibri"/>
                <w:bCs/>
                <w:color w:val="000000"/>
                <w:kern w:val="0"/>
                <w:szCs w:val="20"/>
                <w:lang w:val="en-US"/>
                <w14:ligatures w14:val="none"/>
              </w:rPr>
            </w:pPr>
            <w:r w:rsidRPr="005A6B10">
              <w:rPr>
                <w:rFonts w:ascii="Calibri" w:eastAsia="Times New Roman" w:hAnsi="Calibri" w:cs="Calibri"/>
                <w:bCs/>
                <w:color w:val="000000"/>
                <w:kern w:val="0"/>
                <w:szCs w:val="20"/>
                <w:lang w:val="en-US"/>
                <w14:ligatures w14:val="none"/>
              </w:rPr>
              <w:t>To foster a deeper understanding of Arabic vocabulary within the context of daily communication, empowering participants to communicate more confidently and proficiently in real-life situations.</w:t>
            </w:r>
          </w:p>
          <w:p w14:paraId="5B5F8A69" w14:textId="77777777" w:rsidR="005A6B10" w:rsidRPr="005A6B10" w:rsidRDefault="005A6B10" w:rsidP="005A6B10">
            <w:pPr>
              <w:spacing w:after="0" w:line="240" w:lineRule="auto"/>
              <w:jc w:val="both"/>
              <w:rPr>
                <w:rFonts w:ascii="Calibri" w:eastAsia="Times New Roman" w:hAnsi="Calibri" w:cs="Calibri"/>
                <w:bCs/>
                <w:color w:val="000000"/>
                <w:kern w:val="0"/>
                <w:szCs w:val="20"/>
                <w:lang w:val="en-US"/>
                <w14:ligatures w14:val="none"/>
              </w:rPr>
            </w:pPr>
            <w:r w:rsidRPr="005A6B10">
              <w:rPr>
                <w:rFonts w:ascii="Calibri" w:eastAsia="Times New Roman" w:hAnsi="Calibri" w:cs="Calibri"/>
                <w:bCs/>
                <w:color w:val="000000"/>
                <w:kern w:val="0"/>
                <w:szCs w:val="20"/>
                <w:lang w:val="en-US"/>
                <w14:ligatures w14:val="none"/>
              </w:rPr>
              <w:t>To create a supportive and interactive learning environment where participants can actively engage with the material, reinforcing their understanding and retention of word meanings effectively.</w:t>
            </w:r>
          </w:p>
          <w:p w14:paraId="7B4DB98E"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p w14:paraId="6FD46D80"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tc>
      </w:tr>
      <w:tr w:rsidR="005A6B10" w:rsidRPr="005A6B10" w14:paraId="446752BE" w14:textId="77777777" w:rsidTr="00232986">
        <w:trPr>
          <w:cantSplit/>
        </w:trPr>
        <w:tc>
          <w:tcPr>
            <w:tcW w:w="9823" w:type="dxa"/>
            <w:gridSpan w:val="4"/>
            <w:tcBorders>
              <w:bottom w:val="nil"/>
            </w:tcBorders>
          </w:tcPr>
          <w:p w14:paraId="306827BA"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 xml:space="preserve">Learning Outcomes – The Learners Should Be Able To: </w:t>
            </w:r>
          </w:p>
          <w:p w14:paraId="26C8DBF2"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p w14:paraId="02AA906F" w14:textId="77777777" w:rsidR="005A6B10" w:rsidRPr="005A6B10" w:rsidRDefault="005A6B10" w:rsidP="005A6B10">
            <w:pPr>
              <w:spacing w:after="0" w:line="240" w:lineRule="auto"/>
              <w:jc w:val="both"/>
              <w:rPr>
                <w:rFonts w:ascii="Calibri" w:eastAsia="Times New Roman" w:hAnsi="Calibri" w:cs="Calibri"/>
                <w:bCs/>
                <w:kern w:val="0"/>
                <w:szCs w:val="20"/>
                <w:lang w:val="en-US"/>
                <w14:ligatures w14:val="none"/>
              </w:rPr>
            </w:pPr>
            <w:r w:rsidRPr="005A6B10">
              <w:rPr>
                <w:rFonts w:ascii="Calibri" w:eastAsia="Times New Roman" w:hAnsi="Calibri" w:cs="Calibri"/>
                <w:bCs/>
                <w:kern w:val="0"/>
                <w:szCs w:val="20"/>
                <w:lang w:val="en-US"/>
                <w14:ligatures w14:val="none"/>
              </w:rPr>
              <w:t>Memorize and understand the basic meaning of Arabic words they use daily, fostering not only linguistic proficiency but also cultural appreciation and cross-cultural communication skills. By delving into the meanings and contexts of commonly used Arabic vocabulary, participants will gain a deeper understanding of the language's nuances and subtleties, enhancing their ability to engage in meaningful conversations and connect with Arabic-speaking communities on a more profound level.</w:t>
            </w:r>
          </w:p>
          <w:p w14:paraId="6473AAAB"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tc>
      </w:tr>
      <w:tr w:rsidR="005A6B10" w:rsidRPr="005A6B10" w14:paraId="247CD9BD" w14:textId="77777777" w:rsidTr="00232986">
        <w:trPr>
          <w:cantSplit/>
        </w:trPr>
        <w:tc>
          <w:tcPr>
            <w:tcW w:w="9823" w:type="dxa"/>
            <w:gridSpan w:val="4"/>
            <w:tcBorders>
              <w:bottom w:val="single" w:sz="2" w:space="0" w:color="auto"/>
            </w:tcBorders>
          </w:tcPr>
          <w:p w14:paraId="4ADE0DBA"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Previous student knowledge required for the session:</w:t>
            </w:r>
            <w:r w:rsidRPr="005A6B10">
              <w:rPr>
                <w:rFonts w:ascii="Calibri" w:eastAsia="Times New Roman" w:hAnsi="Calibri" w:cs="Calibri"/>
                <w:b/>
                <w:kern w:val="0"/>
                <w:szCs w:val="20"/>
                <w:lang w:val="en-US"/>
                <w14:ligatures w14:val="none"/>
              </w:rPr>
              <w:tab/>
            </w:r>
          </w:p>
          <w:p w14:paraId="43C17615"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p w14:paraId="6FDBD17A" w14:textId="77777777" w:rsidR="005A6B10" w:rsidRPr="005A6B10" w:rsidRDefault="005A6B10" w:rsidP="005A6B10">
            <w:pPr>
              <w:spacing w:after="0" w:line="240" w:lineRule="auto"/>
              <w:rPr>
                <w:rFonts w:ascii="Calibri" w:eastAsia="Times New Roman" w:hAnsi="Calibri" w:cs="Calibri"/>
                <w:kern w:val="0"/>
                <w:szCs w:val="20"/>
                <w:lang w:val="en-US"/>
                <w14:ligatures w14:val="none"/>
              </w:rPr>
            </w:pPr>
            <w:r w:rsidRPr="005A6B10">
              <w:rPr>
                <w:rFonts w:ascii="Calibri" w:eastAsia="Times New Roman" w:hAnsi="Calibri" w:cs="Calibri"/>
                <w:kern w:val="0"/>
                <w:szCs w:val="20"/>
                <w:lang w:val="en-US"/>
                <w14:ligatures w14:val="none"/>
              </w:rPr>
              <w:t>Yes, At least Participants must know the wordings. Participants can read the word in Roman English and understand the word in Arabic so they can choose from multiple options the correct meaning, thereby promoting active engagement and reinforcing comprehension through interactive learning activities.</w:t>
            </w:r>
          </w:p>
          <w:p w14:paraId="5F002AF5" w14:textId="77777777" w:rsidR="005A6B10" w:rsidRPr="005A6B10" w:rsidRDefault="005A6B10" w:rsidP="005A6B10">
            <w:pPr>
              <w:spacing w:after="0" w:line="240" w:lineRule="auto"/>
              <w:rPr>
                <w:rFonts w:ascii="Calibri" w:eastAsia="Times New Roman" w:hAnsi="Calibri" w:cs="Calibri"/>
                <w:kern w:val="0"/>
                <w:szCs w:val="20"/>
                <w:lang w:val="en-US"/>
                <w14:ligatures w14:val="none"/>
              </w:rPr>
            </w:pPr>
          </w:p>
        </w:tc>
      </w:tr>
      <w:tr w:rsidR="005A6B10" w:rsidRPr="005A6B10" w14:paraId="0D002D8E" w14:textId="77777777" w:rsidTr="00232986">
        <w:trPr>
          <w:cantSplit/>
        </w:trPr>
        <w:tc>
          <w:tcPr>
            <w:tcW w:w="9823" w:type="dxa"/>
            <w:gridSpan w:val="4"/>
            <w:tcBorders>
              <w:top w:val="single" w:sz="2" w:space="0" w:color="auto"/>
            </w:tcBorders>
          </w:tcPr>
          <w:p w14:paraId="64B9EE3E"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Anticipated difficulties (if applicable):</w:t>
            </w:r>
          </w:p>
          <w:p w14:paraId="4BF59E68"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p w14:paraId="28CAEC7A" w14:textId="77777777" w:rsidR="005A6B10" w:rsidRPr="005A6B10" w:rsidRDefault="005A6B10" w:rsidP="005A6B10">
            <w:pPr>
              <w:spacing w:after="0" w:line="240" w:lineRule="auto"/>
              <w:jc w:val="both"/>
              <w:rPr>
                <w:rFonts w:ascii="Times New Roman" w:eastAsia="Times New Roman" w:hAnsi="Times New Roman" w:cs="Times New Roman"/>
                <w:b/>
                <w:bCs/>
                <w:kern w:val="0"/>
                <w:sz w:val="24"/>
                <w:szCs w:val="24"/>
                <w:lang w:val="en-US"/>
                <w14:ligatures w14:val="none"/>
              </w:rPr>
            </w:pPr>
            <w:r w:rsidRPr="005A6B10">
              <w:rPr>
                <w:rFonts w:ascii="Times New Roman" w:eastAsia="Times New Roman" w:hAnsi="Times New Roman" w:cs="Times New Roman"/>
                <w:kern w:val="0"/>
                <w:sz w:val="24"/>
                <w:szCs w:val="24"/>
                <w:lang w:val="en-US"/>
                <w14:ligatures w14:val="none"/>
              </w:rPr>
              <w:t>There is a possibility that everyone is not used to playing games so may be game part will make progress slowly otherwise the main part of the word meaning will be exciting for them</w:t>
            </w:r>
            <w:r w:rsidRPr="005A6B10">
              <w:rPr>
                <w:rFonts w:ascii="Times New Roman" w:eastAsia="Times New Roman" w:hAnsi="Times New Roman" w:cs="Times New Roman"/>
                <w:b/>
                <w:bCs/>
                <w:kern w:val="0"/>
                <w:sz w:val="24"/>
                <w:szCs w:val="24"/>
                <w:lang w:val="en-US"/>
                <w14:ligatures w14:val="none"/>
              </w:rPr>
              <w:t xml:space="preserve">. </w:t>
            </w:r>
          </w:p>
          <w:p w14:paraId="0BDEBEFE"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p w14:paraId="7B51D25D" w14:textId="77777777" w:rsidR="005A6B10" w:rsidRPr="005A6B10" w:rsidRDefault="005A6B10" w:rsidP="005A6B10">
            <w:pPr>
              <w:spacing w:after="0" w:line="240" w:lineRule="auto"/>
              <w:jc w:val="both"/>
              <w:rPr>
                <w:rFonts w:ascii="Calibri" w:eastAsia="Times New Roman" w:hAnsi="Calibri" w:cs="Calibri"/>
                <w:b/>
                <w:kern w:val="0"/>
                <w:szCs w:val="20"/>
                <w:lang w:val="en-US"/>
                <w14:ligatures w14:val="none"/>
              </w:rPr>
            </w:pPr>
          </w:p>
        </w:tc>
      </w:tr>
      <w:tr w:rsidR="005A6B10" w:rsidRPr="005A6B10" w14:paraId="108F2887" w14:textId="77777777" w:rsidTr="00232986">
        <w:trPr>
          <w:cantSplit/>
        </w:trPr>
        <w:tc>
          <w:tcPr>
            <w:tcW w:w="9823" w:type="dxa"/>
            <w:gridSpan w:val="4"/>
            <w:tcBorders>
              <w:top w:val="single" w:sz="2" w:space="0" w:color="auto"/>
            </w:tcBorders>
          </w:tcPr>
          <w:p w14:paraId="5AE04620" w14:textId="77777777" w:rsidR="005A6B10" w:rsidRPr="005A6B10" w:rsidRDefault="005A6B10" w:rsidP="005A6B10">
            <w:pPr>
              <w:spacing w:after="0" w:line="240" w:lineRule="auto"/>
              <w:jc w:val="both"/>
              <w:rPr>
                <w:rFonts w:ascii="Calibri" w:eastAsia="DengXian" w:hAnsi="Calibri" w:cs="Times New Roman"/>
                <w:b/>
                <w:bCs/>
                <w:kern w:val="0"/>
                <w:lang w:val="en-US"/>
                <w14:ligatures w14:val="none"/>
              </w:rPr>
            </w:pPr>
            <w:r w:rsidRPr="005A6B10">
              <w:rPr>
                <w:rFonts w:ascii="Calibri" w:eastAsia="DengXian" w:hAnsi="Calibri" w:cs="Times New Roman"/>
                <w:b/>
                <w:bCs/>
                <w:kern w:val="0"/>
                <w:lang w:val="en-US"/>
                <w14:ligatures w14:val="none"/>
              </w:rPr>
              <w:lastRenderedPageBreak/>
              <w:t>Professional Standards (where are these being met within the session)</w:t>
            </w:r>
          </w:p>
          <w:p w14:paraId="68EF1389" w14:textId="77777777" w:rsidR="005A6B10" w:rsidRPr="005A6B10" w:rsidRDefault="005A6B10" w:rsidP="005A6B10">
            <w:pPr>
              <w:spacing w:after="0" w:line="240" w:lineRule="auto"/>
              <w:contextualSpacing/>
              <w:rPr>
                <w:rFonts w:ascii="Times New Roman" w:eastAsia="Times New Roman" w:hAnsi="Times New Roman" w:cs="Times New Roman"/>
                <w:kern w:val="0"/>
                <w:sz w:val="24"/>
                <w:szCs w:val="24"/>
                <w:lang w:val="en-US"/>
                <w14:ligatures w14:val="none"/>
              </w:rPr>
            </w:pPr>
            <w:r w:rsidRPr="005A6B10">
              <w:rPr>
                <w:rFonts w:ascii="Times New Roman" w:eastAsia="Times New Roman" w:hAnsi="Times New Roman" w:cs="Times New Roman"/>
                <w:kern w:val="0"/>
                <w:sz w:val="24"/>
                <w:szCs w:val="24"/>
                <w:lang w:val="en-US"/>
                <w14:ligatures w14:val="none"/>
              </w:rPr>
              <w:t xml:space="preserve">1- </w:t>
            </w:r>
            <w:r w:rsidRPr="005A6B10">
              <w:rPr>
                <w:rFonts w:ascii="Times New Roman" w:eastAsia="Times New Roman" w:hAnsi="Times New Roman" w:cs="Times New Roman"/>
                <w:b/>
                <w:bCs/>
                <w:kern w:val="0"/>
                <w:sz w:val="24"/>
                <w:szCs w:val="24"/>
                <w:lang w:val="en-US"/>
                <w14:ligatures w14:val="none"/>
              </w:rPr>
              <w:t>Time management:</w:t>
            </w:r>
            <w:r w:rsidRPr="005A6B10">
              <w:rPr>
                <w:rFonts w:ascii="Times New Roman" w:eastAsia="Times New Roman" w:hAnsi="Times New Roman" w:cs="Times New Roman"/>
                <w:kern w:val="0"/>
                <w:sz w:val="24"/>
                <w:szCs w:val="24"/>
                <w:lang w:val="en-US"/>
                <w14:ligatures w14:val="none"/>
              </w:rPr>
              <w:t xml:space="preserve"> The participants will be informed of the designated day and times well in advance, ensuring that individuals from various time zones can synchronize their schedules to participate together seamlessly and fully engage in the gaming experience.</w:t>
            </w:r>
          </w:p>
          <w:p w14:paraId="36CD6DC6" w14:textId="77777777" w:rsidR="005A6B10" w:rsidRPr="005A6B10" w:rsidRDefault="005A6B10" w:rsidP="005A6B10">
            <w:pPr>
              <w:spacing w:after="0" w:line="240" w:lineRule="auto"/>
              <w:contextualSpacing/>
              <w:rPr>
                <w:rFonts w:ascii="Times New Roman" w:eastAsia="Times New Roman" w:hAnsi="Times New Roman" w:cs="Times New Roman"/>
                <w:kern w:val="0"/>
                <w:sz w:val="24"/>
                <w:szCs w:val="24"/>
                <w:lang w:val="en-US"/>
                <w14:ligatures w14:val="none"/>
              </w:rPr>
            </w:pPr>
          </w:p>
          <w:p w14:paraId="01F91A34" w14:textId="77777777" w:rsidR="005A6B10" w:rsidRPr="005A6B10" w:rsidRDefault="005A6B10" w:rsidP="005A6B10">
            <w:pPr>
              <w:spacing w:after="0" w:line="240" w:lineRule="auto"/>
              <w:contextualSpacing/>
              <w:rPr>
                <w:rFonts w:ascii="Times New Roman" w:eastAsia="Times New Roman" w:hAnsi="Times New Roman" w:cs="Times New Roman"/>
                <w:kern w:val="0"/>
                <w:sz w:val="24"/>
                <w:szCs w:val="24"/>
                <w:lang w:val="en-US"/>
                <w14:ligatures w14:val="none"/>
              </w:rPr>
            </w:pPr>
            <w:r w:rsidRPr="005A6B10">
              <w:rPr>
                <w:rFonts w:ascii="Times New Roman" w:eastAsia="Times New Roman" w:hAnsi="Times New Roman" w:cs="Times New Roman"/>
                <w:kern w:val="0"/>
                <w:sz w:val="24"/>
                <w:szCs w:val="24"/>
                <w:lang w:val="en-US"/>
                <w14:ligatures w14:val="none"/>
              </w:rPr>
              <w:t xml:space="preserve">2- </w:t>
            </w:r>
            <w:r w:rsidRPr="005A6B10">
              <w:rPr>
                <w:rFonts w:ascii="Times New Roman" w:eastAsia="Times New Roman" w:hAnsi="Times New Roman" w:cs="Times New Roman"/>
                <w:b/>
                <w:bCs/>
                <w:kern w:val="0"/>
                <w:sz w:val="24"/>
                <w:szCs w:val="24"/>
                <w:lang w:val="en-US"/>
                <w14:ligatures w14:val="none"/>
              </w:rPr>
              <w:t>Respect other participants:</w:t>
            </w:r>
            <w:r w:rsidRPr="005A6B10">
              <w:rPr>
                <w:rFonts w:ascii="Times New Roman" w:eastAsia="Times New Roman" w:hAnsi="Times New Roman" w:cs="Times New Roman"/>
                <w:kern w:val="0"/>
                <w:sz w:val="24"/>
                <w:szCs w:val="24"/>
                <w:lang w:val="en-US"/>
                <w14:ligatures w14:val="none"/>
              </w:rPr>
              <w:t xml:space="preserve"> Communication will be facilitated through a dedicated WhatsApp broadcast group, where all participants can interact exclusively with the teacher. This setup ensures a respectful and focused environment for collaboration without distractions from external sources.</w:t>
            </w:r>
          </w:p>
          <w:p w14:paraId="4C6EE520" w14:textId="77777777" w:rsidR="005A6B10" w:rsidRPr="005A6B10" w:rsidRDefault="005A6B10" w:rsidP="005A6B10">
            <w:pPr>
              <w:spacing w:after="0" w:line="240" w:lineRule="auto"/>
              <w:contextualSpacing/>
              <w:rPr>
                <w:rFonts w:ascii="Times New Roman" w:eastAsia="Times New Roman" w:hAnsi="Times New Roman" w:cs="Times New Roman"/>
                <w:kern w:val="0"/>
                <w:sz w:val="24"/>
                <w:szCs w:val="24"/>
                <w:lang w:val="en-US"/>
                <w14:ligatures w14:val="none"/>
              </w:rPr>
            </w:pPr>
          </w:p>
          <w:p w14:paraId="5558EB38" w14:textId="77777777" w:rsidR="005A6B10" w:rsidRPr="005A6B10" w:rsidRDefault="005A6B10" w:rsidP="005A6B10">
            <w:pPr>
              <w:spacing w:after="0" w:line="240" w:lineRule="auto"/>
              <w:contextualSpacing/>
              <w:rPr>
                <w:rFonts w:ascii="Times New Roman" w:eastAsia="Times New Roman" w:hAnsi="Times New Roman" w:cs="Times New Roman"/>
                <w:kern w:val="0"/>
                <w:sz w:val="24"/>
                <w:szCs w:val="24"/>
                <w:lang w:val="en-US"/>
                <w14:ligatures w14:val="none"/>
              </w:rPr>
            </w:pPr>
            <w:r w:rsidRPr="005A6B10">
              <w:rPr>
                <w:rFonts w:ascii="Times New Roman" w:eastAsia="Times New Roman" w:hAnsi="Times New Roman" w:cs="Times New Roman"/>
                <w:kern w:val="0"/>
                <w:sz w:val="24"/>
                <w:szCs w:val="24"/>
                <w:lang w:val="en-US"/>
                <w14:ligatures w14:val="none"/>
              </w:rPr>
              <w:t xml:space="preserve">3- </w:t>
            </w:r>
            <w:r w:rsidRPr="005A6B10">
              <w:rPr>
                <w:rFonts w:ascii="Times New Roman" w:eastAsia="Times New Roman" w:hAnsi="Times New Roman" w:cs="Times New Roman"/>
                <w:b/>
                <w:bCs/>
                <w:kern w:val="0"/>
                <w:sz w:val="24"/>
                <w:szCs w:val="24"/>
                <w:lang w:val="en-US"/>
                <w14:ligatures w14:val="none"/>
              </w:rPr>
              <w:t>Learning by utilizing this tool:</w:t>
            </w:r>
            <w:r w:rsidRPr="005A6B10">
              <w:rPr>
                <w:rFonts w:ascii="Times New Roman" w:eastAsia="Times New Roman" w:hAnsi="Times New Roman" w:cs="Times New Roman"/>
                <w:kern w:val="0"/>
                <w:sz w:val="24"/>
                <w:szCs w:val="24"/>
                <w:lang w:val="en-US"/>
                <w14:ligatures w14:val="none"/>
              </w:rPr>
              <w:t xml:space="preserve"> Within the platform of </w:t>
            </w:r>
            <w:proofErr w:type="spellStart"/>
            <w:r w:rsidRPr="005A6B10">
              <w:rPr>
                <w:rFonts w:ascii="Times New Roman" w:eastAsia="Times New Roman" w:hAnsi="Times New Roman" w:cs="Times New Roman"/>
                <w:kern w:val="0"/>
                <w:sz w:val="24"/>
                <w:szCs w:val="24"/>
                <w:lang w:val="en-US"/>
                <w14:ligatures w14:val="none"/>
              </w:rPr>
              <w:t>Blooket</w:t>
            </w:r>
            <w:proofErr w:type="spellEnd"/>
            <w:r w:rsidRPr="005A6B10">
              <w:rPr>
                <w:rFonts w:ascii="Times New Roman" w:eastAsia="Times New Roman" w:hAnsi="Times New Roman" w:cs="Times New Roman"/>
                <w:kern w:val="0"/>
                <w:sz w:val="24"/>
                <w:szCs w:val="24"/>
                <w:lang w:val="en-US"/>
                <w14:ligatures w14:val="none"/>
              </w:rPr>
              <w:t>, contestants will encounter a diverse array of interactive games designed to challenge their knowledge and skills. Through engaging with these games and answering questions, participants will not only level up but also enhance their understanding and proficiency in various subject areas.</w:t>
            </w:r>
          </w:p>
          <w:p w14:paraId="4F44B815" w14:textId="77777777" w:rsidR="005A6B10" w:rsidRPr="005A6B10" w:rsidRDefault="005A6B10" w:rsidP="005A6B10">
            <w:pPr>
              <w:spacing w:after="0" w:line="240" w:lineRule="auto"/>
              <w:contextualSpacing/>
              <w:rPr>
                <w:rFonts w:ascii="Times New Roman" w:eastAsia="Times New Roman" w:hAnsi="Times New Roman" w:cs="Times New Roman"/>
                <w:kern w:val="0"/>
                <w:sz w:val="24"/>
                <w:szCs w:val="24"/>
                <w:lang w:val="en-US"/>
                <w14:ligatures w14:val="none"/>
              </w:rPr>
            </w:pPr>
          </w:p>
          <w:p w14:paraId="1A56D752" w14:textId="77777777" w:rsidR="005A6B10" w:rsidRPr="005A6B10" w:rsidRDefault="005A6B10" w:rsidP="005A6B10">
            <w:pPr>
              <w:spacing w:after="0" w:line="240" w:lineRule="auto"/>
              <w:contextualSpacing/>
              <w:rPr>
                <w:rFonts w:ascii="Times New Roman" w:eastAsia="Times New Roman" w:hAnsi="Times New Roman" w:cs="Times New Roman"/>
                <w:b/>
                <w:bCs/>
                <w:kern w:val="0"/>
                <w:sz w:val="24"/>
                <w:szCs w:val="24"/>
                <w:lang w:val="en-US"/>
                <w14:ligatures w14:val="none"/>
              </w:rPr>
            </w:pPr>
            <w:r w:rsidRPr="005A6B10">
              <w:rPr>
                <w:rFonts w:ascii="Times New Roman" w:eastAsia="Times New Roman" w:hAnsi="Times New Roman" w:cs="Times New Roman"/>
                <w:kern w:val="0"/>
                <w:sz w:val="24"/>
                <w:szCs w:val="24"/>
                <w:lang w:val="en-US"/>
                <w14:ligatures w14:val="none"/>
              </w:rPr>
              <w:t xml:space="preserve">4- </w:t>
            </w:r>
            <w:r w:rsidRPr="005A6B10">
              <w:rPr>
                <w:rFonts w:ascii="Times New Roman" w:eastAsia="Times New Roman" w:hAnsi="Times New Roman" w:cs="Times New Roman"/>
                <w:b/>
                <w:bCs/>
                <w:kern w:val="0"/>
                <w:sz w:val="24"/>
                <w:szCs w:val="24"/>
                <w:lang w:val="en-US"/>
                <w14:ligatures w14:val="none"/>
              </w:rPr>
              <w:t>Distance learning made accessible:</w:t>
            </w:r>
            <w:r w:rsidRPr="005A6B10">
              <w:rPr>
                <w:rFonts w:ascii="Times New Roman" w:eastAsia="Times New Roman" w:hAnsi="Times New Roman" w:cs="Times New Roman"/>
                <w:kern w:val="0"/>
                <w:sz w:val="24"/>
                <w:szCs w:val="24"/>
                <w:lang w:val="en-US"/>
                <w14:ligatures w14:val="none"/>
              </w:rPr>
              <w:t xml:space="preserve"> I selected this tool due to its accessibility and inclusivity. By simply sharing a single access code, individuals from any corner of the globe can effortlessly join the learning environment, transcending geographical barriers and accommodating diverse time zones. This feature grants unparalleled convenience and flexibility to participants, enabling them to partake in the learning journey according to their unique schedules and preferences.</w:t>
            </w:r>
          </w:p>
        </w:tc>
      </w:tr>
    </w:tbl>
    <w:p w14:paraId="5F127E4F" w14:textId="77777777" w:rsidR="005A6B10" w:rsidRPr="005A6B10" w:rsidRDefault="005A6B10" w:rsidP="005A6B10">
      <w:pPr>
        <w:spacing w:after="0" w:line="240" w:lineRule="auto"/>
        <w:rPr>
          <w:rFonts w:ascii="Times New Roman" w:eastAsia="Times New Roman" w:hAnsi="Times New Roman" w:cs="Times New Roman"/>
          <w:kern w:val="0"/>
          <w:sz w:val="24"/>
          <w:szCs w:val="20"/>
          <w:lang w:val="en-US"/>
          <w14:ligatures w14:val="none"/>
        </w:rPr>
      </w:pPr>
    </w:p>
    <w:p w14:paraId="232471FD"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50D8C6FA"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33D3DDE0"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5D837195"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76D4BBEA"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7F185E7F"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214C27BB"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7CA56E49"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113E13D0"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0666901F"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32182F70"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1922AA6E"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7279B238"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26C721D5"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31922F71"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4AB1A56C"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2AE46096"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19AB3FB0"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5DD8527E"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40A99D59"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789DF536"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30FD986A"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4CB91AB1" w14:textId="77777777" w:rsidR="00F77537" w:rsidRDefault="00F77537" w:rsidP="005A6B10">
      <w:pPr>
        <w:spacing w:after="0" w:line="240" w:lineRule="auto"/>
        <w:rPr>
          <w:rFonts w:ascii="Calibri" w:eastAsia="Times New Roman" w:hAnsi="Calibri" w:cs="Calibri"/>
          <w:b/>
          <w:kern w:val="0"/>
          <w:sz w:val="24"/>
          <w:szCs w:val="24"/>
          <w:u w:val="single"/>
          <w:lang w:val="en-US"/>
          <w14:ligatures w14:val="none"/>
        </w:rPr>
      </w:pPr>
    </w:p>
    <w:p w14:paraId="18D5CD73"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31065E87"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32968184"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6106926B"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36B9F60C"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648919CA"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316FDDFB"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40AC1EA6"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4DE8AEE3"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3736BAA1"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7947E2B5" w14:textId="77777777" w:rsidR="00F77537" w:rsidRDefault="00F77537" w:rsidP="00F77537">
      <w:pPr>
        <w:spacing w:after="0" w:line="240" w:lineRule="auto"/>
        <w:ind w:left="142" w:firstLine="142"/>
        <w:rPr>
          <w:rFonts w:ascii="Calibri" w:eastAsia="Times New Roman" w:hAnsi="Calibri" w:cs="Calibri"/>
          <w:b/>
          <w:kern w:val="0"/>
          <w:sz w:val="24"/>
          <w:szCs w:val="24"/>
          <w:u w:val="single"/>
          <w:lang w:val="en-US"/>
          <w14:ligatures w14:val="none"/>
        </w:rPr>
      </w:pPr>
    </w:p>
    <w:p w14:paraId="63849089" w14:textId="49A27AA5" w:rsidR="005A6B10" w:rsidRPr="005A6B10" w:rsidRDefault="005A6B10" w:rsidP="00F77537">
      <w:pPr>
        <w:spacing w:after="0" w:line="240" w:lineRule="auto"/>
        <w:ind w:left="142" w:firstLine="142"/>
        <w:rPr>
          <w:rFonts w:ascii="Calibri" w:eastAsia="Times New Roman" w:hAnsi="Calibri" w:cs="Calibri"/>
          <w:b/>
          <w:kern w:val="0"/>
          <w:sz w:val="24"/>
          <w:szCs w:val="24"/>
          <w:u w:val="single"/>
          <w:lang w:val="en-US"/>
          <w14:ligatures w14:val="none"/>
        </w:rPr>
      </w:pPr>
      <w:r w:rsidRPr="00551013">
        <w:rPr>
          <w:rFonts w:ascii="Calibri" w:eastAsia="Times New Roman" w:hAnsi="Calibri" w:cs="Calibri"/>
          <w:b/>
          <w:kern w:val="0"/>
          <w:sz w:val="24"/>
          <w:szCs w:val="24"/>
          <w:highlight w:val="magenta"/>
          <w:u w:val="single"/>
          <w:lang w:val="en-US"/>
          <w14:ligatures w14:val="none"/>
        </w:rPr>
        <w:t>Lesson Detail:</w:t>
      </w:r>
    </w:p>
    <w:p w14:paraId="6FA9D0ED" w14:textId="77777777" w:rsidR="005A6B10" w:rsidRPr="005A6B10" w:rsidRDefault="005A6B10" w:rsidP="005A6B10">
      <w:pPr>
        <w:spacing w:after="0" w:line="240" w:lineRule="auto"/>
        <w:rPr>
          <w:rFonts w:ascii="Times New Roman" w:eastAsia="Times New Roman" w:hAnsi="Times New Roman" w:cs="Times New Roman"/>
          <w:kern w:val="0"/>
          <w:sz w:val="24"/>
          <w:szCs w:val="20"/>
          <w:lang w:val="en-US"/>
          <w14:ligatures w14:val="none"/>
        </w:rPr>
      </w:pPr>
    </w:p>
    <w:tbl>
      <w:tblPr>
        <w:tblW w:w="974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3935"/>
        <w:gridCol w:w="1241"/>
      </w:tblGrid>
      <w:tr w:rsidR="005A6B10" w:rsidRPr="005A6B10" w14:paraId="3903589A" w14:textId="77777777" w:rsidTr="00232986">
        <w:trPr>
          <w:trHeight w:val="439"/>
        </w:trPr>
        <w:tc>
          <w:tcPr>
            <w:tcW w:w="2127" w:type="dxa"/>
          </w:tcPr>
          <w:p w14:paraId="60C10949" w14:textId="77777777" w:rsidR="005A6B10" w:rsidRPr="005A6B10" w:rsidRDefault="005A6B10" w:rsidP="005A6B10">
            <w:pPr>
              <w:spacing w:after="0" w:line="240" w:lineRule="auto"/>
              <w:jc w:val="center"/>
              <w:rPr>
                <w:rFonts w:ascii="Calibri" w:eastAsia="Times New Roman" w:hAnsi="Calibri" w:cs="Calibri"/>
                <w:b/>
                <w:kern w:val="0"/>
                <w:szCs w:val="20"/>
                <w:lang w:val="en-US"/>
                <w14:ligatures w14:val="none"/>
              </w:rPr>
            </w:pPr>
          </w:p>
          <w:p w14:paraId="688E12A7" w14:textId="77777777" w:rsidR="005A6B10" w:rsidRPr="005A6B10" w:rsidRDefault="005A6B10" w:rsidP="005A6B10">
            <w:pPr>
              <w:spacing w:after="0" w:line="240" w:lineRule="auto"/>
              <w:jc w:val="center"/>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 xml:space="preserve">Stage </w:t>
            </w:r>
          </w:p>
        </w:tc>
        <w:tc>
          <w:tcPr>
            <w:tcW w:w="2444" w:type="dxa"/>
          </w:tcPr>
          <w:p w14:paraId="2D6E8868" w14:textId="77777777" w:rsidR="005A6B10" w:rsidRPr="005A6B10" w:rsidRDefault="005A6B10" w:rsidP="005A6B10">
            <w:pPr>
              <w:spacing w:after="0" w:line="240" w:lineRule="auto"/>
              <w:jc w:val="center"/>
              <w:rPr>
                <w:rFonts w:ascii="Calibri" w:eastAsia="Times New Roman" w:hAnsi="Calibri" w:cs="Calibri"/>
                <w:b/>
                <w:kern w:val="0"/>
                <w:szCs w:val="20"/>
                <w:lang w:val="en-US"/>
                <w14:ligatures w14:val="none"/>
              </w:rPr>
            </w:pPr>
          </w:p>
          <w:p w14:paraId="0473BB4D" w14:textId="77777777" w:rsidR="005A6B10" w:rsidRPr="005A6B10" w:rsidRDefault="005A6B10" w:rsidP="005A6B10">
            <w:pPr>
              <w:spacing w:after="0" w:line="240" w:lineRule="auto"/>
              <w:jc w:val="center"/>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Focus</w:t>
            </w:r>
          </w:p>
        </w:tc>
        <w:tc>
          <w:tcPr>
            <w:tcW w:w="3935" w:type="dxa"/>
          </w:tcPr>
          <w:p w14:paraId="66E53151" w14:textId="77777777" w:rsidR="005A6B10" w:rsidRPr="005A6B10" w:rsidRDefault="005A6B10" w:rsidP="005A6B10">
            <w:pPr>
              <w:spacing w:after="0" w:line="240" w:lineRule="auto"/>
              <w:jc w:val="center"/>
              <w:rPr>
                <w:rFonts w:ascii="Calibri" w:eastAsia="Times New Roman" w:hAnsi="Calibri" w:cs="Calibri"/>
                <w:b/>
                <w:kern w:val="0"/>
                <w:szCs w:val="20"/>
                <w:lang w:val="en-US"/>
                <w14:ligatures w14:val="none"/>
              </w:rPr>
            </w:pPr>
          </w:p>
          <w:p w14:paraId="01A1E10C" w14:textId="77777777" w:rsidR="005A6B10" w:rsidRPr="005A6B10" w:rsidRDefault="005A6B10" w:rsidP="005A6B10">
            <w:pPr>
              <w:spacing w:after="0" w:line="240" w:lineRule="auto"/>
              <w:jc w:val="center"/>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 xml:space="preserve">Strategy </w:t>
            </w:r>
          </w:p>
        </w:tc>
        <w:tc>
          <w:tcPr>
            <w:tcW w:w="1241" w:type="dxa"/>
          </w:tcPr>
          <w:p w14:paraId="3A433D10" w14:textId="77777777" w:rsidR="005A6B10" w:rsidRPr="005A6B10" w:rsidRDefault="005A6B10" w:rsidP="005A6B10">
            <w:pPr>
              <w:spacing w:after="0" w:line="240" w:lineRule="auto"/>
              <w:jc w:val="center"/>
              <w:rPr>
                <w:rFonts w:ascii="Calibri" w:eastAsia="Times New Roman" w:hAnsi="Calibri" w:cs="Calibri"/>
                <w:b/>
                <w:kern w:val="0"/>
                <w:szCs w:val="20"/>
                <w:lang w:val="en-US"/>
                <w14:ligatures w14:val="none"/>
              </w:rPr>
            </w:pPr>
          </w:p>
          <w:p w14:paraId="408A4F07" w14:textId="77777777" w:rsidR="005A6B10" w:rsidRPr="005A6B10" w:rsidRDefault="005A6B10" w:rsidP="005A6B10">
            <w:pPr>
              <w:spacing w:after="0" w:line="240" w:lineRule="auto"/>
              <w:jc w:val="center"/>
              <w:rPr>
                <w:rFonts w:ascii="Calibri" w:eastAsia="Times New Roman" w:hAnsi="Calibri" w:cs="Calibri"/>
                <w:b/>
                <w:kern w:val="0"/>
                <w:szCs w:val="20"/>
                <w:lang w:val="en-US"/>
                <w14:ligatures w14:val="none"/>
              </w:rPr>
            </w:pPr>
            <w:r w:rsidRPr="005A6B10">
              <w:rPr>
                <w:rFonts w:ascii="Calibri" w:eastAsia="Times New Roman" w:hAnsi="Calibri" w:cs="Calibri"/>
                <w:b/>
                <w:kern w:val="0"/>
                <w:szCs w:val="20"/>
                <w:lang w:val="en-US"/>
                <w14:ligatures w14:val="none"/>
              </w:rPr>
              <w:t xml:space="preserve">Time </w:t>
            </w:r>
          </w:p>
          <w:p w14:paraId="15069809" w14:textId="77777777" w:rsidR="005A6B10" w:rsidRPr="005A6B10" w:rsidRDefault="005A6B10" w:rsidP="005A6B10">
            <w:pPr>
              <w:spacing w:after="0" w:line="240" w:lineRule="auto"/>
              <w:jc w:val="center"/>
              <w:rPr>
                <w:rFonts w:ascii="Calibri" w:eastAsia="Times New Roman" w:hAnsi="Calibri" w:cs="Calibri"/>
                <w:b/>
                <w:kern w:val="0"/>
                <w:szCs w:val="20"/>
                <w:lang w:val="en-US"/>
                <w14:ligatures w14:val="none"/>
              </w:rPr>
            </w:pPr>
          </w:p>
        </w:tc>
      </w:tr>
      <w:tr w:rsidR="005A6B10" w:rsidRPr="005A6B10" w14:paraId="0F1F87E8" w14:textId="77777777" w:rsidTr="00232986">
        <w:trPr>
          <w:trHeight w:val="9317"/>
        </w:trPr>
        <w:tc>
          <w:tcPr>
            <w:tcW w:w="2127" w:type="dxa"/>
            <w:tcBorders>
              <w:top w:val="single" w:sz="4" w:space="0" w:color="auto"/>
              <w:left w:val="single" w:sz="4" w:space="0" w:color="auto"/>
              <w:bottom w:val="single" w:sz="4" w:space="0" w:color="auto"/>
              <w:right w:val="single" w:sz="4" w:space="0" w:color="auto"/>
            </w:tcBorders>
          </w:tcPr>
          <w:p w14:paraId="506AE2C9"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r w:rsidRPr="005A6B10">
              <w:rPr>
                <w:rFonts w:ascii="Calibri" w:eastAsia="Times New Roman" w:hAnsi="Calibri" w:cs="Calibri"/>
                <w:b/>
                <w:kern w:val="0"/>
                <w:lang w:val="en-US"/>
                <w14:ligatures w14:val="none"/>
              </w:rPr>
              <w:t>Introduction</w:t>
            </w:r>
          </w:p>
          <w:p w14:paraId="2F8B26DE"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085ED111"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3887386B"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368C2009"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38B5D7D4"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3325C2B3"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4AAB08F8"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1E83F7EC"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47CAECCE"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4EEB6D08"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38C2AFB6"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1FDBB0DC"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4A1CB64C"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4A8A5B4C"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38DD5CB5"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1F3A6D63"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1F833C71"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08B28DDA"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44F88CA8"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0E38E62C"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37E2D0FE"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13788428"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1172AAE1"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771243FD"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r w:rsidRPr="005A6B10">
              <w:rPr>
                <w:rFonts w:ascii="Calibri" w:eastAsia="Times New Roman" w:hAnsi="Calibri" w:cs="Calibri"/>
                <w:b/>
                <w:kern w:val="0"/>
                <w:lang w:val="en-US"/>
                <w14:ligatures w14:val="none"/>
              </w:rPr>
              <w:t xml:space="preserve">Development </w:t>
            </w:r>
          </w:p>
          <w:p w14:paraId="12C74157"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012266F9"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1FD5130F"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4C48ED8F"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24CE5464"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1A883C6C" w14:textId="77777777" w:rsidR="005A6B10" w:rsidRPr="005A6B10" w:rsidRDefault="005A6B10" w:rsidP="005A6B10">
            <w:pPr>
              <w:spacing w:after="0" w:line="240" w:lineRule="auto"/>
              <w:jc w:val="both"/>
              <w:rPr>
                <w:rFonts w:ascii="Calibri" w:eastAsia="Times New Roman" w:hAnsi="Calibri" w:cs="Calibri"/>
                <w:b/>
                <w:kern w:val="0"/>
                <w:lang w:val="en-US"/>
                <w14:ligatures w14:val="none"/>
              </w:rPr>
            </w:pPr>
          </w:p>
          <w:p w14:paraId="7782C8A2"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6F57E10A"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196135F2"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415F3B63"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7D7620D3"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37D63304"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2F6FFDBD"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76661AF7"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462577BB"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266F2078"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103D65C7"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1E763007"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371D40E1"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784EC463"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00D10334"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6D749178"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2BFD8F8C"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3978C2E7"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68D9F7F9"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0D0B066B" w14:textId="77777777" w:rsidR="005A6B10" w:rsidRPr="005A6B10" w:rsidRDefault="005A6B10" w:rsidP="005A6B10">
            <w:pPr>
              <w:spacing w:after="0" w:line="240" w:lineRule="auto"/>
              <w:rPr>
                <w:rFonts w:ascii="Calibri" w:eastAsia="Times New Roman" w:hAnsi="Calibri" w:cs="Calibri"/>
                <w:b/>
                <w:kern w:val="0"/>
                <w:lang w:val="en-US"/>
                <w14:ligatures w14:val="none"/>
              </w:rPr>
            </w:pPr>
          </w:p>
          <w:p w14:paraId="52862833" w14:textId="77777777" w:rsidR="00F77537" w:rsidRDefault="00F77537" w:rsidP="005A6B10">
            <w:pPr>
              <w:spacing w:after="0" w:line="240" w:lineRule="auto"/>
              <w:rPr>
                <w:rFonts w:ascii="Calibri" w:eastAsia="Times New Roman" w:hAnsi="Calibri" w:cs="Calibri"/>
                <w:b/>
                <w:kern w:val="0"/>
                <w:lang w:val="en-US"/>
                <w14:ligatures w14:val="none"/>
              </w:rPr>
            </w:pPr>
          </w:p>
          <w:p w14:paraId="7B01ED1E" w14:textId="4CFE4ABE" w:rsidR="005A6B10" w:rsidRPr="005A6B10" w:rsidRDefault="005A6B10" w:rsidP="005A6B10">
            <w:pPr>
              <w:spacing w:after="0" w:line="240" w:lineRule="auto"/>
              <w:rPr>
                <w:rFonts w:ascii="Calibri" w:eastAsia="Times New Roman" w:hAnsi="Calibri" w:cs="Calibri"/>
                <w:b/>
                <w:kern w:val="0"/>
                <w:lang w:val="en-US"/>
                <w14:ligatures w14:val="none"/>
              </w:rPr>
            </w:pPr>
            <w:r w:rsidRPr="005A6B10">
              <w:rPr>
                <w:rFonts w:ascii="Calibri" w:eastAsia="Times New Roman" w:hAnsi="Calibri" w:cs="Calibri"/>
                <w:b/>
                <w:kern w:val="0"/>
                <w:lang w:val="en-US"/>
                <w14:ligatures w14:val="none"/>
              </w:rPr>
              <w:t>Plenary/conclusion</w:t>
            </w:r>
          </w:p>
          <w:p w14:paraId="13F28539" w14:textId="77777777" w:rsidR="005A6B10" w:rsidRPr="005A6B10" w:rsidRDefault="005A6B10" w:rsidP="005A6B10">
            <w:pPr>
              <w:spacing w:after="0" w:line="240" w:lineRule="auto"/>
              <w:jc w:val="both"/>
              <w:rPr>
                <w:rFonts w:ascii="Calibri" w:eastAsia="Times New Roman" w:hAnsi="Calibri" w:cs="Calibri"/>
                <w:b/>
                <w:kern w:val="0"/>
                <w:sz w:val="30"/>
                <w:szCs w:val="20"/>
                <w:lang w:val="en-US"/>
                <w14:ligatures w14:val="none"/>
              </w:rPr>
            </w:pPr>
          </w:p>
          <w:p w14:paraId="59ED8FC8" w14:textId="77777777" w:rsidR="005A6B10" w:rsidRPr="005A6B10" w:rsidRDefault="005A6B10" w:rsidP="005A6B10">
            <w:pPr>
              <w:spacing w:after="0" w:line="240" w:lineRule="auto"/>
              <w:jc w:val="both"/>
              <w:rPr>
                <w:rFonts w:ascii="Calibri" w:eastAsia="Times New Roman" w:hAnsi="Calibri" w:cs="Calibri"/>
                <w:b/>
                <w:kern w:val="0"/>
                <w:sz w:val="30"/>
                <w:szCs w:val="20"/>
                <w:lang w:val="en-US"/>
                <w14:ligatures w14:val="none"/>
              </w:rPr>
            </w:pPr>
          </w:p>
          <w:p w14:paraId="09B1CEB7" w14:textId="77777777" w:rsidR="005A6B10" w:rsidRPr="005A6B10" w:rsidRDefault="005A6B10" w:rsidP="005A6B10">
            <w:pPr>
              <w:spacing w:after="0" w:line="240" w:lineRule="auto"/>
              <w:jc w:val="both"/>
              <w:rPr>
                <w:rFonts w:ascii="Calibri" w:eastAsia="Times New Roman" w:hAnsi="Calibri" w:cs="Calibri"/>
                <w:b/>
                <w:kern w:val="0"/>
                <w:sz w:val="30"/>
                <w:szCs w:val="20"/>
                <w:lang w:val="en-US"/>
                <w14:ligatures w14:val="none"/>
              </w:rPr>
            </w:pPr>
          </w:p>
          <w:p w14:paraId="0553FAE8" w14:textId="77777777" w:rsidR="005A6B10" w:rsidRPr="005A6B10" w:rsidRDefault="005A6B10" w:rsidP="005A6B10">
            <w:pPr>
              <w:spacing w:after="0" w:line="240" w:lineRule="auto"/>
              <w:jc w:val="both"/>
              <w:rPr>
                <w:rFonts w:ascii="Calibri" w:eastAsia="Times New Roman" w:hAnsi="Calibri" w:cs="Calibri"/>
                <w:b/>
                <w:kern w:val="0"/>
                <w:sz w:val="30"/>
                <w:szCs w:val="20"/>
                <w:lang w:val="en-US"/>
                <w14:ligatures w14:val="none"/>
              </w:rPr>
            </w:pPr>
          </w:p>
        </w:tc>
        <w:tc>
          <w:tcPr>
            <w:tcW w:w="2444" w:type="dxa"/>
            <w:tcBorders>
              <w:top w:val="single" w:sz="4" w:space="0" w:color="auto"/>
              <w:left w:val="single" w:sz="4" w:space="0" w:color="auto"/>
              <w:bottom w:val="single" w:sz="4" w:space="0" w:color="auto"/>
              <w:right w:val="single" w:sz="4" w:space="0" w:color="auto"/>
            </w:tcBorders>
          </w:tcPr>
          <w:p w14:paraId="01CD4125" w14:textId="77777777" w:rsidR="005A6B10" w:rsidRPr="005A6B10" w:rsidRDefault="005A6B10" w:rsidP="005A6B10">
            <w:pPr>
              <w:spacing w:after="0" w:line="240" w:lineRule="auto"/>
              <w:rPr>
                <w:rFonts w:ascii="Calibri" w:eastAsia="Times New Roman" w:hAnsi="Calibri" w:cs="Calibri"/>
                <w:bCs/>
                <w:kern w:val="0"/>
                <w:sz w:val="24"/>
                <w:szCs w:val="16"/>
                <w:lang w:val="en-US"/>
                <w14:ligatures w14:val="none"/>
              </w:rPr>
            </w:pPr>
            <w:r w:rsidRPr="005A6B10">
              <w:rPr>
                <w:rFonts w:ascii="Calibri" w:eastAsia="Times New Roman" w:hAnsi="Calibri" w:cs="Calibri"/>
                <w:bCs/>
                <w:kern w:val="0"/>
                <w:sz w:val="24"/>
                <w:szCs w:val="16"/>
                <w:lang w:val="en-US"/>
                <w14:ligatures w14:val="none"/>
              </w:rPr>
              <w:lastRenderedPageBreak/>
              <w:t>By leveraging this digital tool, I'll meticulously assess the participants' comprehension of word meanings and their ability to retain this knowledge. Through various interactive activities and assessments within the tool, I'll gauge their understanding and memory retention levels, enabling me to tailor subsequent learning experiences to their individual needs effectively.</w:t>
            </w:r>
          </w:p>
          <w:p w14:paraId="3A48D806" w14:textId="77777777" w:rsidR="005A6B10" w:rsidRPr="005A6B10" w:rsidRDefault="005A6B10" w:rsidP="005A6B10">
            <w:pPr>
              <w:spacing w:after="0" w:line="240" w:lineRule="auto"/>
              <w:rPr>
                <w:rFonts w:ascii="Calibri" w:eastAsia="Times New Roman" w:hAnsi="Calibri" w:cs="Calibri"/>
                <w:bCs/>
                <w:kern w:val="0"/>
                <w:sz w:val="24"/>
                <w:szCs w:val="16"/>
                <w:lang w:val="en-US"/>
                <w14:ligatures w14:val="none"/>
              </w:rPr>
            </w:pPr>
          </w:p>
          <w:p w14:paraId="17941EC6" w14:textId="1CBB0011"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r w:rsidRPr="005A6B10">
              <w:rPr>
                <w:rFonts w:ascii="Calibri" w:eastAsia="Times New Roman" w:hAnsi="Calibri" w:cs="Calibri"/>
                <w:bCs/>
                <w:kern w:val="0"/>
                <w:sz w:val="24"/>
                <w:szCs w:val="16"/>
                <w:lang w:val="en-US"/>
                <w14:ligatures w14:val="none"/>
              </w:rPr>
              <w:t xml:space="preserve">I have meticulously curated a comprehensive set of questions aimed at aiding participants in solidifying their grasp of word meanings. These questions are thoughtfully designed to encompass a wide range of vocabulary, ensuring a holistic approach to language acquisition. Through engaging with this carefully crafted question set, participants will not only enhance their </w:t>
            </w:r>
            <w:r w:rsidRPr="005A6B10">
              <w:rPr>
                <w:rFonts w:ascii="Calibri" w:eastAsia="Times New Roman" w:hAnsi="Calibri" w:cs="Calibri"/>
                <w:bCs/>
                <w:kern w:val="0"/>
                <w:sz w:val="24"/>
                <w:szCs w:val="16"/>
                <w:lang w:val="en-US"/>
                <w14:ligatures w14:val="none"/>
              </w:rPr>
              <w:lastRenderedPageBreak/>
              <w:t xml:space="preserve">memorization skills but also deepen their understanding of word meanings in a meaningful and effective </w:t>
            </w:r>
            <w:r w:rsidR="00F77537" w:rsidRPr="005A6B10">
              <w:rPr>
                <w:rFonts w:ascii="Calibri" w:eastAsia="Times New Roman" w:hAnsi="Calibri" w:cs="Calibri"/>
                <w:bCs/>
                <w:kern w:val="0"/>
                <w:sz w:val="24"/>
                <w:szCs w:val="16"/>
                <w:lang w:val="en-US"/>
                <w14:ligatures w14:val="none"/>
              </w:rPr>
              <w:t>manner.</w:t>
            </w:r>
          </w:p>
          <w:p w14:paraId="286D4C13"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040C4CF2" w14:textId="77777777" w:rsidR="005A6B10" w:rsidRPr="005A6B10" w:rsidRDefault="005A6B10" w:rsidP="005A6B10">
            <w:pPr>
              <w:spacing w:after="0" w:line="240" w:lineRule="auto"/>
              <w:rPr>
                <w:rFonts w:ascii="Calibri" w:eastAsia="Times New Roman" w:hAnsi="Calibri" w:cs="Calibri"/>
                <w:bCs/>
                <w:kern w:val="0"/>
                <w:sz w:val="24"/>
                <w:szCs w:val="16"/>
                <w:lang w:val="en-US"/>
                <w14:ligatures w14:val="none"/>
              </w:rPr>
            </w:pPr>
            <w:r w:rsidRPr="005A6B10">
              <w:rPr>
                <w:rFonts w:ascii="Calibri" w:eastAsia="Times New Roman" w:hAnsi="Calibri" w:cs="Calibri"/>
                <w:bCs/>
                <w:kern w:val="0"/>
                <w:sz w:val="24"/>
                <w:szCs w:val="16"/>
                <w:lang w:val="en-US"/>
                <w14:ligatures w14:val="none"/>
              </w:rPr>
              <w:t xml:space="preserve">During the utilization of </w:t>
            </w:r>
            <w:proofErr w:type="spellStart"/>
            <w:r w:rsidRPr="005A6B10">
              <w:rPr>
                <w:rFonts w:ascii="Calibri" w:eastAsia="Times New Roman" w:hAnsi="Calibri" w:cs="Calibri"/>
                <w:bCs/>
                <w:kern w:val="0"/>
                <w:sz w:val="24"/>
                <w:szCs w:val="16"/>
                <w:lang w:val="en-US"/>
                <w14:ligatures w14:val="none"/>
              </w:rPr>
              <w:t>Blooket</w:t>
            </w:r>
            <w:proofErr w:type="spellEnd"/>
            <w:r w:rsidRPr="005A6B10">
              <w:rPr>
                <w:rFonts w:ascii="Calibri" w:eastAsia="Times New Roman" w:hAnsi="Calibri" w:cs="Calibri"/>
                <w:bCs/>
                <w:kern w:val="0"/>
                <w:sz w:val="24"/>
                <w:szCs w:val="16"/>
                <w:lang w:val="en-US"/>
                <w14:ligatures w14:val="none"/>
              </w:rPr>
              <w:t>, I will harness the power of WhatsApp as an auxiliary tool to bolster participant engagement and foster enjoyment in the games. Additionally, I will diligently share the outcomes of each game, thereby further enhancing the collaborative learning experience and facilitating a sense of camaraderie among the participants.</w:t>
            </w:r>
          </w:p>
          <w:p w14:paraId="66F0A3CC"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tc>
        <w:tc>
          <w:tcPr>
            <w:tcW w:w="3935" w:type="dxa"/>
            <w:tcBorders>
              <w:top w:val="single" w:sz="4" w:space="0" w:color="auto"/>
              <w:left w:val="single" w:sz="4" w:space="0" w:color="auto"/>
              <w:bottom w:val="single" w:sz="4" w:space="0" w:color="auto"/>
              <w:right w:val="single" w:sz="4" w:space="0" w:color="auto"/>
            </w:tcBorders>
          </w:tcPr>
          <w:p w14:paraId="38C8B8AE" w14:textId="4F698E88"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r w:rsidRPr="005A6B10">
              <w:rPr>
                <w:rFonts w:ascii="Calibri" w:eastAsia="Times New Roman" w:hAnsi="Calibri" w:cs="Calibri"/>
                <w:bCs/>
                <w:kern w:val="0"/>
                <w:sz w:val="24"/>
                <w:szCs w:val="24"/>
                <w:lang w:val="en-US"/>
                <w14:ligatures w14:val="none"/>
              </w:rPr>
              <w:lastRenderedPageBreak/>
              <w:t xml:space="preserve">for this I will use the interactive strategy. I made </w:t>
            </w:r>
            <w:r w:rsidR="00F77537" w:rsidRPr="005A6B10">
              <w:rPr>
                <w:rFonts w:ascii="Calibri" w:eastAsia="Times New Roman" w:hAnsi="Calibri" w:cs="Calibri"/>
                <w:bCs/>
                <w:kern w:val="0"/>
                <w:sz w:val="24"/>
                <w:szCs w:val="24"/>
                <w:lang w:val="en-US"/>
                <w14:ligatures w14:val="none"/>
              </w:rPr>
              <w:t>a broadcast</w:t>
            </w:r>
            <w:r w:rsidRPr="005A6B10">
              <w:rPr>
                <w:rFonts w:ascii="Calibri" w:eastAsia="Times New Roman" w:hAnsi="Calibri" w:cs="Calibri"/>
                <w:bCs/>
                <w:kern w:val="0"/>
                <w:sz w:val="24"/>
                <w:szCs w:val="24"/>
                <w:lang w:val="en-US"/>
                <w14:ligatures w14:val="none"/>
              </w:rPr>
              <w:t xml:space="preserve"> group on what’s app to tell them about digital </w:t>
            </w:r>
            <w:proofErr w:type="gramStart"/>
            <w:r w:rsidRPr="005A6B10">
              <w:rPr>
                <w:rFonts w:ascii="Calibri" w:eastAsia="Times New Roman" w:hAnsi="Calibri" w:cs="Calibri"/>
                <w:bCs/>
                <w:kern w:val="0"/>
                <w:sz w:val="24"/>
                <w:szCs w:val="24"/>
                <w:lang w:val="en-US"/>
                <w14:ligatures w14:val="none"/>
              </w:rPr>
              <w:t>tool</w:t>
            </w:r>
            <w:proofErr w:type="gramEnd"/>
            <w:r w:rsidRPr="005A6B10">
              <w:rPr>
                <w:rFonts w:ascii="Calibri" w:eastAsia="Times New Roman" w:hAnsi="Calibri" w:cs="Calibri"/>
                <w:bCs/>
                <w:kern w:val="0"/>
                <w:sz w:val="24"/>
                <w:szCs w:val="24"/>
                <w:lang w:val="en-US"/>
                <w14:ligatures w14:val="none"/>
              </w:rPr>
              <w:t xml:space="preserve"> for assessment. </w:t>
            </w:r>
          </w:p>
          <w:p w14:paraId="0761B073"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49BAD8F5"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20221D27"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57C51518"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3EC70ED6"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75910EC4"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58F06C0A"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1A6D98C5"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798A8EEF"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539A7111"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6F077F5"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3236E997"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7FAC1BCB"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08B34811"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0E05777"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19885F47"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1FBBE19D"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05CB0E11"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59E76755"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r w:rsidRPr="005A6B10">
              <w:rPr>
                <w:rFonts w:ascii="Calibri" w:eastAsia="Times New Roman" w:hAnsi="Calibri" w:cs="Calibri"/>
                <w:bCs/>
                <w:kern w:val="0"/>
                <w:sz w:val="24"/>
                <w:szCs w:val="24"/>
                <w:lang w:val="en-US"/>
                <w14:ligatures w14:val="none"/>
              </w:rPr>
              <w:t>The strategy I used was to encourage the participants into learning in a fun way.</w:t>
            </w:r>
          </w:p>
          <w:p w14:paraId="1D741AD2"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0A35B632"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499B4FB7"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664DF81E"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58349287"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73E63A01"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24C26F5"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1E7F62BE"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17FBCF6B"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3250FEC9"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84B205C"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2525643B"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2682FA1C"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09C1D360"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BD6BD20"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282257C2"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488D6CF1"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74992D9E"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3377FEF6"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2BA24FDF" w14:textId="77777777" w:rsidR="00F77537" w:rsidRDefault="00F77537" w:rsidP="005A6B10">
            <w:pPr>
              <w:spacing w:after="0" w:line="240" w:lineRule="auto"/>
              <w:rPr>
                <w:rFonts w:ascii="Calibri" w:eastAsia="Times New Roman" w:hAnsi="Calibri" w:cs="Calibri"/>
                <w:bCs/>
                <w:kern w:val="0"/>
                <w:sz w:val="24"/>
                <w:szCs w:val="24"/>
                <w:lang w:val="en-US"/>
                <w14:ligatures w14:val="none"/>
              </w:rPr>
            </w:pPr>
          </w:p>
          <w:p w14:paraId="611C34C3" w14:textId="77777777" w:rsidR="00F77537" w:rsidRDefault="00F77537" w:rsidP="005A6B10">
            <w:pPr>
              <w:spacing w:after="0" w:line="240" w:lineRule="auto"/>
              <w:rPr>
                <w:rFonts w:ascii="Calibri" w:eastAsia="Times New Roman" w:hAnsi="Calibri" w:cs="Calibri"/>
                <w:bCs/>
                <w:kern w:val="0"/>
                <w:sz w:val="24"/>
                <w:szCs w:val="24"/>
                <w:lang w:val="en-US"/>
                <w14:ligatures w14:val="none"/>
              </w:rPr>
            </w:pPr>
          </w:p>
          <w:p w14:paraId="1D7CE0E3" w14:textId="0CDEF9A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r w:rsidRPr="005A6B10">
              <w:rPr>
                <w:rFonts w:ascii="Calibri" w:eastAsia="Times New Roman" w:hAnsi="Calibri" w:cs="Calibri"/>
                <w:bCs/>
                <w:kern w:val="0"/>
                <w:sz w:val="24"/>
                <w:szCs w:val="24"/>
                <w:lang w:val="en-US"/>
                <w14:ligatures w14:val="none"/>
              </w:rPr>
              <w:t xml:space="preserve">The strategy I used was game based learning. </w:t>
            </w:r>
          </w:p>
        </w:tc>
        <w:tc>
          <w:tcPr>
            <w:tcW w:w="1241" w:type="dxa"/>
            <w:tcBorders>
              <w:top w:val="single" w:sz="4" w:space="0" w:color="auto"/>
              <w:left w:val="single" w:sz="4" w:space="0" w:color="auto"/>
              <w:bottom w:val="single" w:sz="4" w:space="0" w:color="auto"/>
              <w:right w:val="single" w:sz="4" w:space="0" w:color="auto"/>
            </w:tcBorders>
          </w:tcPr>
          <w:p w14:paraId="5ACC1CCF"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r w:rsidRPr="005A6B10">
              <w:rPr>
                <w:rFonts w:ascii="Calibri" w:eastAsia="Times New Roman" w:hAnsi="Calibri" w:cs="Calibri"/>
                <w:bCs/>
                <w:kern w:val="0"/>
                <w:sz w:val="24"/>
                <w:szCs w:val="24"/>
                <w:lang w:val="en-US"/>
                <w14:ligatures w14:val="none"/>
              </w:rPr>
              <w:lastRenderedPageBreak/>
              <w:t>20 minutes</w:t>
            </w:r>
          </w:p>
          <w:p w14:paraId="637A21D1"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5F7028FD"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6CE1587C"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1C0C8070"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26A8180A"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19AEF8D3"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88C6B2D"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DF883D9"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71E70840"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47347929"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4318E1C0"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2C996402"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139E71BA"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407DAD9C"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307A06A0"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545CF081"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0C83708A"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29811249"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57A73E2E"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46094560"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CB74578"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4DF10561"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r w:rsidRPr="005A6B10">
              <w:rPr>
                <w:rFonts w:ascii="Calibri" w:eastAsia="Times New Roman" w:hAnsi="Calibri" w:cs="Calibri"/>
                <w:bCs/>
                <w:kern w:val="0"/>
                <w:sz w:val="24"/>
                <w:szCs w:val="24"/>
                <w:lang w:val="en-US"/>
                <w14:ligatures w14:val="none"/>
              </w:rPr>
              <w:t>1 hour</w:t>
            </w:r>
          </w:p>
          <w:p w14:paraId="32682C96"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618341DE"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0382D784"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4D928BB7"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0A06BE21"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3FB8B8E0"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2C994EC1"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106F12BD" w14:textId="77777777" w:rsidR="005A6B10" w:rsidRPr="005A6B10" w:rsidRDefault="005A6B10" w:rsidP="005A6B10">
            <w:pPr>
              <w:spacing w:after="0" w:line="240" w:lineRule="auto"/>
              <w:rPr>
                <w:rFonts w:ascii="Calibri" w:eastAsia="Times New Roman" w:hAnsi="Calibri" w:cs="Calibri"/>
                <w:b/>
                <w:kern w:val="0"/>
                <w:sz w:val="30"/>
                <w:szCs w:val="20"/>
                <w:lang w:val="en-US"/>
                <w14:ligatures w14:val="none"/>
              </w:rPr>
            </w:pPr>
          </w:p>
          <w:p w14:paraId="102EA139"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7EBC2E6"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5AA0DE6D"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881D283"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5775E067"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02EB013"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7A25AEE0"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12B2CFBF"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70D89C57"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40F29A29"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3610E7BE"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41973D7D"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621EB99A"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p>
          <w:p w14:paraId="4FC336F0" w14:textId="77777777" w:rsidR="005A6B10" w:rsidRPr="005A6B10" w:rsidRDefault="005A6B10" w:rsidP="005A6B10">
            <w:pPr>
              <w:spacing w:after="0" w:line="240" w:lineRule="auto"/>
              <w:rPr>
                <w:rFonts w:ascii="Calibri" w:eastAsia="Times New Roman" w:hAnsi="Calibri" w:cs="Calibri"/>
                <w:bCs/>
                <w:kern w:val="0"/>
                <w:sz w:val="24"/>
                <w:szCs w:val="24"/>
                <w:lang w:val="en-US"/>
                <w14:ligatures w14:val="none"/>
              </w:rPr>
            </w:pPr>
            <w:r w:rsidRPr="005A6B10">
              <w:rPr>
                <w:rFonts w:ascii="Calibri" w:eastAsia="Times New Roman" w:hAnsi="Calibri" w:cs="Calibri"/>
                <w:bCs/>
                <w:kern w:val="0"/>
                <w:sz w:val="24"/>
                <w:szCs w:val="24"/>
                <w:lang w:val="en-US"/>
                <w14:ligatures w14:val="none"/>
              </w:rPr>
              <w:t xml:space="preserve">1 hour </w:t>
            </w:r>
          </w:p>
        </w:tc>
      </w:tr>
    </w:tbl>
    <w:p w14:paraId="47AD8647" w14:textId="77777777" w:rsidR="005A6B10" w:rsidRPr="005A6B10" w:rsidRDefault="005A6B10" w:rsidP="005A6B10">
      <w:pPr>
        <w:spacing w:after="0" w:line="240" w:lineRule="auto"/>
        <w:jc w:val="both"/>
        <w:rPr>
          <w:rFonts w:ascii="Times New Roman" w:eastAsia="Times New Roman" w:hAnsi="Times New Roman" w:cs="Times New Roman"/>
          <w:b/>
          <w:kern w:val="0"/>
          <w:sz w:val="30"/>
          <w:szCs w:val="20"/>
          <w:lang w:val="en-US"/>
          <w14:ligatures w14:val="none"/>
        </w:rPr>
      </w:pPr>
    </w:p>
    <w:p w14:paraId="67053811" w14:textId="77777777" w:rsidR="005A6B10" w:rsidRPr="005A6B10" w:rsidRDefault="005A6B10" w:rsidP="005A6B10">
      <w:pPr>
        <w:spacing w:after="0" w:line="240" w:lineRule="auto"/>
        <w:jc w:val="both"/>
        <w:rPr>
          <w:rFonts w:ascii="Times New Roman" w:eastAsia="Times New Roman" w:hAnsi="Times New Roman" w:cs="Times New Roman"/>
          <w:b/>
          <w:kern w:val="0"/>
          <w:sz w:val="30"/>
          <w:szCs w:val="20"/>
          <w:lang w:val="en-US"/>
          <w14:ligatures w14:val="none"/>
        </w:rPr>
      </w:pPr>
    </w:p>
    <w:p w14:paraId="4E44E20E" w14:textId="77777777" w:rsidR="005A6B10" w:rsidRPr="005A6B10" w:rsidRDefault="005A6B10" w:rsidP="005A6B10">
      <w:pPr>
        <w:spacing w:after="0" w:line="240" w:lineRule="auto"/>
        <w:jc w:val="both"/>
        <w:rPr>
          <w:rFonts w:ascii="Times New Roman" w:eastAsia="Times New Roman" w:hAnsi="Times New Roman" w:cs="Times New Roman"/>
          <w:b/>
          <w:kern w:val="0"/>
          <w:sz w:val="24"/>
          <w:szCs w:val="24"/>
          <w:lang w:val="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7"/>
      </w:tblGrid>
      <w:tr w:rsidR="005A6B10" w:rsidRPr="005A6B10" w14:paraId="016684B6" w14:textId="77777777" w:rsidTr="00232986">
        <w:tc>
          <w:tcPr>
            <w:tcW w:w="9821" w:type="dxa"/>
            <w:shd w:val="clear" w:color="auto" w:fill="auto"/>
          </w:tcPr>
          <w:p w14:paraId="43A112EB" w14:textId="77777777" w:rsidR="005A6B10" w:rsidRPr="005A6B10" w:rsidRDefault="005A6B10" w:rsidP="005A6B10">
            <w:pPr>
              <w:spacing w:after="0" w:line="240" w:lineRule="auto"/>
              <w:jc w:val="center"/>
              <w:rPr>
                <w:rFonts w:ascii="Calibri" w:eastAsia="Times New Roman" w:hAnsi="Calibri" w:cs="Calibri"/>
                <w:b/>
                <w:kern w:val="0"/>
                <w:sz w:val="24"/>
                <w:szCs w:val="24"/>
                <w:lang w:val="en-US"/>
                <w14:ligatures w14:val="none"/>
              </w:rPr>
            </w:pPr>
            <w:r w:rsidRPr="005A6B10">
              <w:rPr>
                <w:rFonts w:ascii="Calibri" w:eastAsia="Times New Roman" w:hAnsi="Calibri" w:cs="Calibri"/>
                <w:b/>
                <w:kern w:val="0"/>
                <w:sz w:val="24"/>
                <w:szCs w:val="24"/>
                <w:lang w:val="en-US"/>
                <w14:ligatures w14:val="none"/>
              </w:rPr>
              <w:t xml:space="preserve">Assessment Strategies: when and how are they included </w:t>
            </w:r>
            <w:proofErr w:type="gramStart"/>
            <w:r w:rsidRPr="005A6B10">
              <w:rPr>
                <w:rFonts w:ascii="Calibri" w:eastAsia="Times New Roman" w:hAnsi="Calibri" w:cs="Calibri"/>
                <w:b/>
                <w:kern w:val="0"/>
                <w:sz w:val="24"/>
                <w:szCs w:val="24"/>
                <w:lang w:val="en-US"/>
                <w14:ligatures w14:val="none"/>
              </w:rPr>
              <w:t>within</w:t>
            </w:r>
            <w:proofErr w:type="gramEnd"/>
            <w:r w:rsidRPr="005A6B10">
              <w:rPr>
                <w:rFonts w:ascii="Calibri" w:eastAsia="Times New Roman" w:hAnsi="Calibri" w:cs="Calibri"/>
                <w:b/>
                <w:kern w:val="0"/>
                <w:sz w:val="24"/>
                <w:szCs w:val="24"/>
                <w:lang w:val="en-US"/>
                <w14:ligatures w14:val="none"/>
              </w:rPr>
              <w:t xml:space="preserve"> the lesson?</w:t>
            </w:r>
          </w:p>
          <w:p w14:paraId="155FA76D" w14:textId="759B3965" w:rsidR="005A6B10" w:rsidRPr="005A6B10" w:rsidRDefault="005A6B10" w:rsidP="005A6B10">
            <w:pPr>
              <w:spacing w:after="0" w:line="240" w:lineRule="auto"/>
              <w:jc w:val="both"/>
              <w:rPr>
                <w:rFonts w:ascii="Times New Roman" w:eastAsia="Times New Roman" w:hAnsi="Times New Roman" w:cs="Times New Roman"/>
                <w:bCs/>
                <w:kern w:val="0"/>
                <w:sz w:val="24"/>
                <w:szCs w:val="24"/>
                <w:lang w:val="en-US"/>
                <w14:ligatures w14:val="none"/>
              </w:rPr>
            </w:pPr>
            <w:r w:rsidRPr="005A6B10">
              <w:rPr>
                <w:rFonts w:ascii="Times New Roman" w:eastAsia="Times New Roman" w:hAnsi="Times New Roman" w:cs="Times New Roman"/>
                <w:bCs/>
                <w:kern w:val="0"/>
                <w:sz w:val="24"/>
                <w:szCs w:val="24"/>
                <w:lang w:val="en-US"/>
                <w14:ligatures w14:val="none"/>
              </w:rPr>
              <w:t xml:space="preserve">Interactive strategy was </w:t>
            </w:r>
            <w:r w:rsidR="00F77537" w:rsidRPr="005A6B10">
              <w:rPr>
                <w:rFonts w:ascii="Times New Roman" w:eastAsia="Times New Roman" w:hAnsi="Times New Roman" w:cs="Times New Roman"/>
                <w:bCs/>
                <w:kern w:val="0"/>
                <w:sz w:val="24"/>
                <w:szCs w:val="24"/>
                <w:lang w:val="en-US"/>
                <w14:ligatures w14:val="none"/>
              </w:rPr>
              <w:t>used</w:t>
            </w:r>
            <w:r w:rsidRPr="005A6B10">
              <w:rPr>
                <w:rFonts w:ascii="Times New Roman" w:eastAsia="Times New Roman" w:hAnsi="Times New Roman" w:cs="Times New Roman"/>
                <w:bCs/>
                <w:kern w:val="0"/>
                <w:sz w:val="24"/>
                <w:szCs w:val="24"/>
                <w:lang w:val="en-US"/>
                <w14:ligatures w14:val="none"/>
              </w:rPr>
              <w:t xml:space="preserve"> through the digital tool. Coordinated set of questions and process that involves assessment. Quizzes and polls </w:t>
            </w:r>
            <w:proofErr w:type="gramStart"/>
            <w:r w:rsidRPr="005A6B10">
              <w:rPr>
                <w:rFonts w:ascii="Times New Roman" w:eastAsia="Times New Roman" w:hAnsi="Times New Roman" w:cs="Times New Roman"/>
                <w:bCs/>
                <w:kern w:val="0"/>
                <w:sz w:val="24"/>
                <w:szCs w:val="24"/>
                <w:lang w:val="en-US"/>
                <w14:ligatures w14:val="none"/>
              </w:rPr>
              <w:t>is</w:t>
            </w:r>
            <w:proofErr w:type="gramEnd"/>
            <w:r w:rsidRPr="005A6B10">
              <w:rPr>
                <w:rFonts w:ascii="Times New Roman" w:eastAsia="Times New Roman" w:hAnsi="Times New Roman" w:cs="Times New Roman"/>
                <w:bCs/>
                <w:kern w:val="0"/>
                <w:sz w:val="24"/>
                <w:szCs w:val="24"/>
                <w:lang w:val="en-US"/>
                <w14:ligatures w14:val="none"/>
              </w:rPr>
              <w:t xml:space="preserve"> </w:t>
            </w:r>
            <w:r w:rsidR="00F77537" w:rsidRPr="005A6B10">
              <w:rPr>
                <w:rFonts w:ascii="Times New Roman" w:eastAsia="Times New Roman" w:hAnsi="Times New Roman" w:cs="Times New Roman"/>
                <w:bCs/>
                <w:kern w:val="0"/>
                <w:sz w:val="24"/>
                <w:szCs w:val="24"/>
                <w:lang w:val="en-US"/>
                <w14:ligatures w14:val="none"/>
              </w:rPr>
              <w:t>a good</w:t>
            </w:r>
            <w:r w:rsidRPr="005A6B10">
              <w:rPr>
                <w:rFonts w:ascii="Times New Roman" w:eastAsia="Times New Roman" w:hAnsi="Times New Roman" w:cs="Times New Roman"/>
                <w:bCs/>
                <w:kern w:val="0"/>
                <w:sz w:val="24"/>
                <w:szCs w:val="24"/>
                <w:lang w:val="en-US"/>
                <w14:ligatures w14:val="none"/>
              </w:rPr>
              <w:t xml:space="preserve"> idea to assess the ability of participants. This was the objective to make them understand the word meanings and the results will show the interest of participants will achievement of a teacher to engage them practically. </w:t>
            </w:r>
          </w:p>
          <w:p w14:paraId="11A6C336" w14:textId="77777777" w:rsidR="005A6B10" w:rsidRPr="005A6B10" w:rsidRDefault="005A6B10" w:rsidP="005A6B10">
            <w:pPr>
              <w:spacing w:after="0" w:line="240" w:lineRule="auto"/>
              <w:jc w:val="both"/>
              <w:rPr>
                <w:rFonts w:ascii="Times New Roman" w:eastAsia="Times New Roman" w:hAnsi="Times New Roman" w:cs="Times New Roman"/>
                <w:b/>
                <w:kern w:val="0"/>
                <w:sz w:val="24"/>
                <w:szCs w:val="24"/>
                <w:lang w:val="en-US"/>
                <w14:ligatures w14:val="none"/>
              </w:rPr>
            </w:pPr>
          </w:p>
          <w:p w14:paraId="459BB473" w14:textId="77777777" w:rsidR="005A6B10" w:rsidRPr="005A6B10" w:rsidRDefault="005A6B10" w:rsidP="005A6B10">
            <w:pPr>
              <w:spacing w:after="0" w:line="240" w:lineRule="auto"/>
              <w:jc w:val="both"/>
              <w:rPr>
                <w:rFonts w:ascii="Times New Roman" w:eastAsia="Times New Roman" w:hAnsi="Times New Roman" w:cs="Times New Roman"/>
                <w:b/>
                <w:kern w:val="0"/>
                <w:sz w:val="24"/>
                <w:szCs w:val="24"/>
                <w:lang w:val="en-US"/>
                <w14:ligatures w14:val="none"/>
              </w:rPr>
            </w:pPr>
          </w:p>
        </w:tc>
      </w:tr>
    </w:tbl>
    <w:p w14:paraId="54FDE0EE" w14:textId="77777777" w:rsidR="005A6B10" w:rsidRPr="005A6B10" w:rsidRDefault="005A6B10" w:rsidP="005A6B10">
      <w:pPr>
        <w:spacing w:after="0" w:line="240" w:lineRule="auto"/>
        <w:rPr>
          <w:rFonts w:ascii="Times New Roman" w:eastAsia="Times New Roman" w:hAnsi="Times New Roman" w:cs="Times New Roman"/>
          <w:kern w:val="0"/>
          <w:sz w:val="24"/>
          <w:szCs w:val="20"/>
          <w:lang w:val="en-US"/>
          <w14:ligatures w14:val="none"/>
        </w:rPr>
      </w:pPr>
    </w:p>
    <w:tbl>
      <w:tblPr>
        <w:tblStyle w:val="TableGrid"/>
        <w:tblW w:w="0" w:type="auto"/>
        <w:tblLook w:val="04A0" w:firstRow="1" w:lastRow="0" w:firstColumn="1" w:lastColumn="0" w:noHBand="0" w:noVBand="1"/>
      </w:tblPr>
      <w:tblGrid>
        <w:gridCol w:w="9016"/>
      </w:tblGrid>
      <w:tr w:rsidR="005A6B10" w:rsidRPr="005A6B10" w14:paraId="69929530" w14:textId="77777777" w:rsidTr="00232986">
        <w:tc>
          <w:tcPr>
            <w:tcW w:w="9016" w:type="dxa"/>
          </w:tcPr>
          <w:p w14:paraId="2AAAE7C0" w14:textId="77777777" w:rsidR="005A6B10" w:rsidRPr="005A6B10" w:rsidRDefault="005A6B10" w:rsidP="005A6B10">
            <w:pPr>
              <w:rPr>
                <w:rFonts w:ascii="Calibri" w:eastAsia="Times New Roman" w:hAnsi="Calibri" w:cs="Calibri"/>
                <w:b/>
                <w:lang w:val="en-US"/>
              </w:rPr>
            </w:pPr>
            <w:r w:rsidRPr="005A6B10">
              <w:rPr>
                <w:rFonts w:ascii="Calibri" w:eastAsia="Times New Roman" w:hAnsi="Calibri" w:cs="Calibri"/>
                <w:b/>
                <w:lang w:val="en-US"/>
              </w:rPr>
              <w:t>Informal reflection (to be completed after the session)</w:t>
            </w:r>
          </w:p>
          <w:p w14:paraId="79897528" w14:textId="77777777" w:rsidR="005A6B10" w:rsidRPr="005A6B10" w:rsidRDefault="005A6B10" w:rsidP="005A6B10">
            <w:pPr>
              <w:rPr>
                <w:rFonts w:ascii="Times New Roman" w:eastAsia="Times New Roman" w:hAnsi="Times New Roman" w:cs="Times New Roman"/>
                <w:b/>
                <w:lang w:val="en-US"/>
              </w:rPr>
            </w:pPr>
          </w:p>
          <w:p w14:paraId="29607984" w14:textId="77777777" w:rsidR="005A6B10" w:rsidRPr="005A6B10" w:rsidRDefault="005A6B10" w:rsidP="005A6B10">
            <w:pPr>
              <w:rPr>
                <w:rFonts w:ascii="Times New Roman" w:eastAsia="Times New Roman" w:hAnsi="Times New Roman" w:cs="Times New Roman"/>
                <w:bCs/>
                <w:lang w:val="en-US"/>
              </w:rPr>
            </w:pPr>
            <w:r w:rsidRPr="005A6B10">
              <w:rPr>
                <w:rFonts w:ascii="Times New Roman" w:eastAsia="Times New Roman" w:hAnsi="Times New Roman" w:cs="Times New Roman"/>
                <w:bCs/>
                <w:lang w:val="en-US"/>
              </w:rPr>
              <w:t xml:space="preserve">According to the Kolb reflective model, I gave my participants the words and their meanings, it was instructed for them to memorize them and practice as much as possible. I implemented the digital tool which helped me realize that some people needed questions in different languages. So </w:t>
            </w:r>
            <w:r w:rsidRPr="005A6B10">
              <w:rPr>
                <w:rFonts w:ascii="Times New Roman" w:eastAsia="Times New Roman" w:hAnsi="Times New Roman" w:cs="Times New Roman"/>
                <w:bCs/>
                <w:lang w:val="en-US"/>
              </w:rPr>
              <w:lastRenderedPageBreak/>
              <w:t xml:space="preserve">next time I will make sure that my questions are written in more than one language so that participants of different languages find it easy to understand. </w:t>
            </w:r>
          </w:p>
          <w:p w14:paraId="75228BB3" w14:textId="77777777" w:rsidR="005A6B10" w:rsidRPr="005A6B10" w:rsidRDefault="005A6B10" w:rsidP="005A6B10">
            <w:pPr>
              <w:rPr>
                <w:rFonts w:ascii="Times New Roman" w:eastAsia="Times New Roman" w:hAnsi="Times New Roman" w:cs="Times New Roman"/>
                <w:bCs/>
                <w:lang w:val="en-US"/>
              </w:rPr>
            </w:pPr>
            <w:r w:rsidRPr="005A6B10">
              <w:rPr>
                <w:rFonts w:ascii="Times New Roman" w:eastAsia="Times New Roman" w:hAnsi="Times New Roman" w:cs="Times New Roman"/>
                <w:bCs/>
                <w:lang w:val="en-US"/>
              </w:rPr>
              <w:t xml:space="preserve">Most people enjoy racing games the most because they have the most questions and make it easier for me to get the results according to their understanding. </w:t>
            </w:r>
          </w:p>
          <w:p w14:paraId="49564E8F" w14:textId="77777777" w:rsidR="005A6B10" w:rsidRPr="005A6B10" w:rsidRDefault="005A6B10" w:rsidP="005A6B10">
            <w:pPr>
              <w:rPr>
                <w:rFonts w:ascii="Times New Roman" w:eastAsia="Times New Roman" w:hAnsi="Times New Roman" w:cs="Times New Roman"/>
                <w:bCs/>
                <w:lang w:val="en-US"/>
              </w:rPr>
            </w:pPr>
            <w:proofErr w:type="spellStart"/>
            <w:r w:rsidRPr="005A6B10">
              <w:rPr>
                <w:rFonts w:ascii="Times New Roman" w:eastAsia="Times New Roman" w:hAnsi="Times New Roman" w:cs="Times New Roman"/>
                <w:bCs/>
                <w:lang w:val="en-US"/>
              </w:rPr>
              <w:t>Blooket</w:t>
            </w:r>
            <w:proofErr w:type="spellEnd"/>
            <w:r w:rsidRPr="005A6B10">
              <w:rPr>
                <w:rFonts w:ascii="Times New Roman" w:eastAsia="Times New Roman" w:hAnsi="Times New Roman" w:cs="Times New Roman"/>
                <w:bCs/>
                <w:lang w:val="en-US"/>
              </w:rPr>
              <w:t xml:space="preserve"> can sometimes be laggy when using the free version so next time I will also try to find another digital tool that is </w:t>
            </w:r>
            <w:proofErr w:type="gramStart"/>
            <w:r w:rsidRPr="005A6B10">
              <w:rPr>
                <w:rFonts w:ascii="Times New Roman" w:eastAsia="Times New Roman" w:hAnsi="Times New Roman" w:cs="Times New Roman"/>
                <w:bCs/>
                <w:lang w:val="en-US"/>
              </w:rPr>
              <w:t>similar to</w:t>
            </w:r>
            <w:proofErr w:type="gramEnd"/>
            <w:r w:rsidRPr="005A6B10">
              <w:rPr>
                <w:rFonts w:ascii="Times New Roman" w:eastAsia="Times New Roman" w:hAnsi="Times New Roman" w:cs="Times New Roman"/>
                <w:bCs/>
                <w:lang w:val="en-US"/>
              </w:rPr>
              <w:t xml:space="preserve"> this.</w:t>
            </w:r>
          </w:p>
          <w:p w14:paraId="0F109998" w14:textId="77777777" w:rsidR="005A6B10" w:rsidRPr="005A6B10" w:rsidRDefault="005A6B10" w:rsidP="005A6B10">
            <w:pPr>
              <w:jc w:val="both"/>
              <w:rPr>
                <w:rFonts w:ascii="Times New Roman" w:eastAsia="Times New Roman" w:hAnsi="Times New Roman" w:cs="Times New Roman"/>
                <w:bCs/>
                <w:lang w:val="en-US"/>
              </w:rPr>
            </w:pPr>
            <w:r w:rsidRPr="005A6B10">
              <w:rPr>
                <w:rFonts w:ascii="Times New Roman" w:eastAsia="Times New Roman" w:hAnsi="Times New Roman" w:cs="Times New Roman"/>
                <w:bCs/>
                <w:lang w:val="en-US"/>
              </w:rPr>
              <w:t>To get feedback from the participants I had to talk to them through WhatsApp and I got feedback from them verbally. Next time I will include a feedback form in the planning so that I can critically evaluate myself.</w:t>
            </w:r>
          </w:p>
          <w:p w14:paraId="0AE1274D" w14:textId="77777777" w:rsidR="005A6B10" w:rsidRPr="005A6B10" w:rsidRDefault="005A6B10" w:rsidP="005A6B10">
            <w:pPr>
              <w:jc w:val="both"/>
              <w:rPr>
                <w:rFonts w:ascii="Times New Roman" w:eastAsia="Times New Roman" w:hAnsi="Times New Roman" w:cs="Times New Roman"/>
                <w:bCs/>
                <w:lang w:val="en-US"/>
              </w:rPr>
            </w:pPr>
          </w:p>
          <w:p w14:paraId="7AAD6898" w14:textId="77777777" w:rsidR="005A6B10" w:rsidRPr="005A6B10" w:rsidRDefault="005A6B10" w:rsidP="005A6B10">
            <w:pPr>
              <w:rPr>
                <w:rFonts w:ascii="Times New Roman" w:eastAsia="Times New Roman" w:hAnsi="Times New Roman" w:cs="Times New Roman"/>
                <w:b/>
                <w:lang w:val="en-US"/>
              </w:rPr>
            </w:pPr>
          </w:p>
        </w:tc>
      </w:tr>
    </w:tbl>
    <w:p w14:paraId="377249F3" w14:textId="77777777" w:rsidR="005A6B10" w:rsidRPr="005A6B10" w:rsidRDefault="005A6B10" w:rsidP="005A6B10">
      <w:pPr>
        <w:spacing w:after="0" w:line="240" w:lineRule="auto"/>
        <w:rPr>
          <w:rFonts w:ascii="Times New Roman" w:eastAsia="Times New Roman" w:hAnsi="Times New Roman" w:cs="Times New Roman"/>
          <w:kern w:val="0"/>
          <w:sz w:val="24"/>
          <w:szCs w:val="20"/>
          <w:lang w:val="en-US"/>
          <w14:ligatures w14:val="none"/>
        </w:rPr>
      </w:pPr>
    </w:p>
    <w:p w14:paraId="368BBE41" w14:textId="77777777" w:rsidR="005A6B10" w:rsidRPr="005A6B10" w:rsidRDefault="005A6B10" w:rsidP="005A6B10">
      <w:pPr>
        <w:spacing w:after="0" w:line="240" w:lineRule="auto"/>
        <w:rPr>
          <w:rFonts w:ascii="Calibri" w:eastAsia="Calibri" w:hAnsi="Calibri" w:cs="Times New Roman"/>
          <w:b/>
          <w:bCs/>
          <w:kern w:val="0"/>
          <w:sz w:val="24"/>
          <w:szCs w:val="24"/>
          <w:u w:val="single"/>
          <w:lang w:val="en-US"/>
          <w14:ligatures w14:val="none"/>
        </w:rPr>
      </w:pPr>
    </w:p>
    <w:p w14:paraId="2A0E8853"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r w:rsidRPr="00F77537">
        <w:rPr>
          <w:rFonts w:ascii="Calibri" w:eastAsia="Calibri" w:hAnsi="Calibri" w:cs="Times New Roman"/>
          <w:b/>
          <w:bCs/>
          <w:kern w:val="0"/>
          <w:sz w:val="24"/>
          <w:szCs w:val="24"/>
          <w:highlight w:val="magenta"/>
          <w:u w:val="single"/>
          <w14:ligatures w14:val="none"/>
        </w:rPr>
        <w:t>INTRODUCTION:</w:t>
      </w:r>
    </w:p>
    <w:p w14:paraId="0A90A149"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69882BC8" w14:textId="6FF7E244"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In this assignment, we embark on an exploration of the dynamic role of digital innovation within professional practice. Digital innovation, characterized by the application of emerging technologies, catalyses transforming traditional business processes, elevating customer experiences, and fostering cultural </w:t>
      </w:r>
      <w:r w:rsidR="00F77537" w:rsidRPr="005A6B10">
        <w:rPr>
          <w:rFonts w:ascii="Calibri" w:eastAsia="Calibri" w:hAnsi="Calibri" w:cs="Times New Roman"/>
          <w:kern w:val="0"/>
          <w:sz w:val="24"/>
          <w:szCs w:val="24"/>
          <w14:ligatures w14:val="none"/>
        </w:rPr>
        <w:t>shifts.</w:t>
      </w:r>
      <w:r w:rsidRPr="005A6B10">
        <w:rPr>
          <w:rFonts w:ascii="Calibri" w:eastAsia="Calibri" w:hAnsi="Calibri" w:cs="Times New Roman"/>
          <w:kern w:val="0"/>
          <w:sz w:val="24"/>
          <w:szCs w:val="24"/>
          <w14:ligatures w14:val="none"/>
        </w:rPr>
        <w:t xml:space="preserve"> </w:t>
      </w:r>
    </w:p>
    <w:p w14:paraId="280495B0"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2EF4858" w14:textId="5BE49551"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Specifically, our focus lies on unravelling the implications of digital innovation across various professional domains, with a particular emphasis on its profound impact on education. Within the realm of education, digital innovation reshapes conventional practices by introducing novel avenues for engagement, collaboration, and efficiency. This transformation is evident in the integration of cutting-edge technologies to enhance pedagogical approaches, elevate learning outcomes, and adapt to the evolving landscape of </w:t>
      </w:r>
      <w:r w:rsidR="00F77537" w:rsidRPr="005A6B10">
        <w:rPr>
          <w:rFonts w:ascii="Calibri" w:eastAsia="Calibri" w:hAnsi="Calibri" w:cs="Times New Roman"/>
          <w:kern w:val="0"/>
          <w:sz w:val="24"/>
          <w:szCs w:val="24"/>
          <w14:ligatures w14:val="none"/>
        </w:rPr>
        <w:t>education.</w:t>
      </w:r>
      <w:r w:rsidRPr="005A6B10">
        <w:rPr>
          <w:rFonts w:ascii="Calibri" w:eastAsia="Calibri" w:hAnsi="Calibri" w:cs="Times New Roman"/>
          <w:kern w:val="0"/>
          <w:sz w:val="24"/>
          <w:szCs w:val="24"/>
          <w14:ligatures w14:val="none"/>
        </w:rPr>
        <w:t xml:space="preserve"> </w:t>
      </w:r>
    </w:p>
    <w:p w14:paraId="40B735C7"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4F96FD04" w14:textId="28DB1DEE"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Through this exploration, we endeavour to unveil the multifaceted nature of digital innovation in professional contexts. Our inquiry extends to examining how technological advancements complement traditional teaching methodologies, foster innovative learning environments, and ultimately influence creativity and pedagogy. Moreover, we undertake a critical analysis of the ethical considerations surrounding the utilization of digital innovation, emphasizing the imperative of responsible technological </w:t>
      </w:r>
      <w:r w:rsidR="00F77537" w:rsidRPr="005A6B10">
        <w:rPr>
          <w:rFonts w:ascii="Calibri" w:eastAsia="Calibri" w:hAnsi="Calibri" w:cs="Times New Roman"/>
          <w:kern w:val="0"/>
          <w:sz w:val="24"/>
          <w:szCs w:val="24"/>
          <w14:ligatures w14:val="none"/>
        </w:rPr>
        <w:t>integration.</w:t>
      </w:r>
      <w:r w:rsidRPr="005A6B10">
        <w:rPr>
          <w:rFonts w:ascii="Calibri" w:eastAsia="Calibri" w:hAnsi="Calibri" w:cs="Times New Roman"/>
          <w:kern w:val="0"/>
          <w:sz w:val="24"/>
          <w:szCs w:val="24"/>
          <w14:ligatures w14:val="none"/>
        </w:rPr>
        <w:t xml:space="preserve"> </w:t>
      </w:r>
    </w:p>
    <w:p w14:paraId="6E75679B"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9148764" w14:textId="644B8981"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Central to our approach is the synthesis of key insights gleaned from literature reviews, guiding us in the selection of appropriate teaching tools and resources. By meticulously evaluating these tools and implementing them in practical scenarios, we aim to provide a comprehensive understanding of the transformative potential of digital innovation in professional practice. Ultimately, our goal is to equip professionals with the requisite knowledge and tools to navigate the ever-evolving landscape of digital innovation </w:t>
      </w:r>
      <w:r w:rsidR="00F77537" w:rsidRPr="005A6B10">
        <w:rPr>
          <w:rFonts w:ascii="Calibri" w:eastAsia="Calibri" w:hAnsi="Calibri" w:cs="Times New Roman"/>
          <w:kern w:val="0"/>
          <w:sz w:val="24"/>
          <w:szCs w:val="24"/>
          <w14:ligatures w14:val="none"/>
        </w:rPr>
        <w:t>effectively.</w:t>
      </w:r>
    </w:p>
    <w:p w14:paraId="139AD854"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3669CF8E" w14:textId="793F599E"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r w:rsidRPr="00F77537">
        <w:rPr>
          <w:rFonts w:ascii="Calibri" w:eastAsia="Calibri" w:hAnsi="Calibri" w:cs="Times New Roman"/>
          <w:b/>
          <w:bCs/>
          <w:kern w:val="0"/>
          <w:sz w:val="24"/>
          <w:szCs w:val="24"/>
          <w:highlight w:val="magenta"/>
          <w:u w:val="single"/>
          <w14:ligatures w14:val="none"/>
        </w:rPr>
        <w:t xml:space="preserve">The role of </w:t>
      </w:r>
      <w:r w:rsidR="00F77537" w:rsidRPr="00F77537">
        <w:rPr>
          <w:rFonts w:ascii="Calibri" w:eastAsia="Calibri" w:hAnsi="Calibri" w:cs="Times New Roman"/>
          <w:b/>
          <w:bCs/>
          <w:kern w:val="0"/>
          <w:sz w:val="24"/>
          <w:szCs w:val="24"/>
          <w:highlight w:val="magenta"/>
          <w:u w:val="single"/>
          <w14:ligatures w14:val="none"/>
        </w:rPr>
        <w:t>C</w:t>
      </w:r>
      <w:r w:rsidRPr="00F77537">
        <w:rPr>
          <w:rFonts w:ascii="Calibri" w:eastAsia="Calibri" w:hAnsi="Calibri" w:cs="Times New Roman"/>
          <w:b/>
          <w:bCs/>
          <w:kern w:val="0"/>
          <w:sz w:val="24"/>
          <w:szCs w:val="24"/>
          <w:highlight w:val="magenta"/>
          <w:u w:val="single"/>
          <w14:ligatures w14:val="none"/>
        </w:rPr>
        <w:t>reativity and Digital Innovation:</w:t>
      </w:r>
    </w:p>
    <w:p w14:paraId="144C478A"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p>
    <w:p w14:paraId="4D61418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In our exploration of the intersection of creativity and digital innovation within professional practice, we embark on a multifaceted journey that transcends traditional boundaries and embraces the intersectionality of diverse disciplines. This literature review aims to navigate the complex landscape of digital innovation, </w:t>
      </w:r>
      <w:proofErr w:type="spellStart"/>
      <w:r w:rsidRPr="005A6B10">
        <w:rPr>
          <w:rFonts w:ascii="Calibri" w:eastAsia="Calibri" w:hAnsi="Calibri" w:cs="Times New Roman"/>
          <w:kern w:val="0"/>
          <w:sz w:val="24"/>
          <w:szCs w:val="24"/>
          <w14:ligatures w14:val="none"/>
        </w:rPr>
        <w:t>unraveling</w:t>
      </w:r>
      <w:proofErr w:type="spellEnd"/>
      <w:r w:rsidRPr="005A6B10">
        <w:rPr>
          <w:rFonts w:ascii="Calibri" w:eastAsia="Calibri" w:hAnsi="Calibri" w:cs="Times New Roman"/>
          <w:kern w:val="0"/>
          <w:sz w:val="24"/>
          <w:szCs w:val="24"/>
          <w14:ligatures w14:val="none"/>
        </w:rPr>
        <w:t xml:space="preserve"> its intricate connections with creativity and professional practice. By synthesizing a breadth of scholarly perspectives and practical implications, our goal is to illuminate the symbiotic relationship between technology, pedagogy, ethics, and the continually evolving landscape of digital innovation.</w:t>
      </w:r>
    </w:p>
    <w:p w14:paraId="271B2A4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83126DA"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Central to this exploration is the acknowledgment of the transformative potential inherent in the fusion of creativity and digital innovation. Creativity acts as the catalyst for innovation, </w:t>
      </w:r>
      <w:proofErr w:type="spellStart"/>
      <w:r w:rsidRPr="005A6B10">
        <w:rPr>
          <w:rFonts w:ascii="Calibri" w:eastAsia="Calibri" w:hAnsi="Calibri" w:cs="Times New Roman"/>
          <w:kern w:val="0"/>
          <w:sz w:val="24"/>
          <w:szCs w:val="24"/>
          <w14:ligatures w14:val="none"/>
        </w:rPr>
        <w:t>fueling</w:t>
      </w:r>
      <w:proofErr w:type="spellEnd"/>
      <w:r w:rsidRPr="005A6B10">
        <w:rPr>
          <w:rFonts w:ascii="Calibri" w:eastAsia="Calibri" w:hAnsi="Calibri" w:cs="Times New Roman"/>
          <w:kern w:val="0"/>
          <w:sz w:val="24"/>
          <w:szCs w:val="24"/>
          <w14:ligatures w14:val="none"/>
        </w:rPr>
        <w:t xml:space="preserve"> the imagination and resourcefulness necessary to harness the full potential of emerging technologies. Digital innovation, in turn, provides the platform upon which creativity can thrive, offering boundless opportunities for expression, experimentation, and collaboration. Together, these elements form the groundwork for a dynamic ecosystem where ideas are conceived, refined, and actualized in unprecedented ways.</w:t>
      </w:r>
    </w:p>
    <w:p w14:paraId="70AC6337"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0673602"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Through a critical lens, we endeavour to dissect the dynamic interplay between technology, pedagogy, ethics, and emerging trends in digital innovation. By unravelling the intricate web of relationships among these facets, we seek to elucidate their profound impact on professional practices across diverse domains. From education to healthcare, from business to the arts, digital innovation permeates every facet of modern society, reshaping industries, redefining norms, and revolutionizing the way we work, learn, and engage with the world.</w:t>
      </w:r>
    </w:p>
    <w:p w14:paraId="328FBC79"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4F3E4E50"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Moreover, this literature review aims to transcend theoretical abstraction and delve into the practical implications of digital innovation in professional practice. By analysing real-world case studies, identifying best practices, and examining empirical evidence, we strive to offer actionable insights and tangible recommendations for professionals navigating the complex terrain of digital transformation. Whether grappling with ethical dilemmas, exploring emerging technologies, or reimagining pedagogical approaches, this review serves as a guiding light, illuminating the path forward amidst the ever-evolving landscape of digital innovation.</w:t>
      </w:r>
    </w:p>
    <w:p w14:paraId="244F4388"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Technology-Pedagogy Integration:</w:t>
      </w:r>
    </w:p>
    <w:p w14:paraId="0FDE8489"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668F4439"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The integration of technology and pedagogy is a transformative process that revolutionizes teaching and learning methodologies. By leveraging digital tools such as interactive simulations, virtual reality environments, and collaborative platforms, educators can create dynamic and engaging learning experiences. These tools not only supplement traditional instructional methods but also offer new avenues for active participation, personalization, and creativity in the learning process.</w:t>
      </w:r>
    </w:p>
    <w:p w14:paraId="21393159"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A26F9BA"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Pedagogical theories such as constructivism and connectivism provide a solid foundation for understanding how technology can be effectively integrated into education. Constructivism emphasizes the importance of hands-on, experiential learning, where students actively construct their knowledge by interacting with the learning materials and collaborating with peers. Connectivism extends this concept further by highlighting the role of digital networks and resources in facilitating learning in a connected world. By aligning instructional strategies with these theories, educators can design technology-enhanced learning environments that foster critical thinking, problem-solving, and collaboration among students.</w:t>
      </w:r>
    </w:p>
    <w:p w14:paraId="3447189B"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687C974"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In addition to leveraging interactive simulations, virtual reality environments, and collaborative platforms, educators can harness the power of adaptive learning technologies and artificial intelligence (AI) algorithms to personalize instruction and support individualized learning pathways. Adaptive learning platforms </w:t>
      </w:r>
      <w:proofErr w:type="spellStart"/>
      <w:r w:rsidRPr="005A6B10">
        <w:rPr>
          <w:rFonts w:ascii="Calibri" w:eastAsia="Calibri" w:hAnsi="Calibri" w:cs="Times New Roman"/>
          <w:kern w:val="0"/>
          <w:sz w:val="24"/>
          <w:szCs w:val="24"/>
          <w14:ligatures w14:val="none"/>
        </w:rPr>
        <w:t>analyze</w:t>
      </w:r>
      <w:proofErr w:type="spellEnd"/>
      <w:r w:rsidRPr="005A6B10">
        <w:rPr>
          <w:rFonts w:ascii="Calibri" w:eastAsia="Calibri" w:hAnsi="Calibri" w:cs="Times New Roman"/>
          <w:kern w:val="0"/>
          <w:sz w:val="24"/>
          <w:szCs w:val="24"/>
          <w14:ligatures w14:val="none"/>
        </w:rPr>
        <w:t xml:space="preserve"> students' learning </w:t>
      </w:r>
      <w:proofErr w:type="spellStart"/>
      <w:r w:rsidRPr="005A6B10">
        <w:rPr>
          <w:rFonts w:ascii="Calibri" w:eastAsia="Calibri" w:hAnsi="Calibri" w:cs="Times New Roman"/>
          <w:kern w:val="0"/>
          <w:sz w:val="24"/>
          <w:szCs w:val="24"/>
          <w14:ligatures w14:val="none"/>
        </w:rPr>
        <w:t>behaviors</w:t>
      </w:r>
      <w:proofErr w:type="spellEnd"/>
      <w:r w:rsidRPr="005A6B10">
        <w:rPr>
          <w:rFonts w:ascii="Calibri" w:eastAsia="Calibri" w:hAnsi="Calibri" w:cs="Times New Roman"/>
          <w:kern w:val="0"/>
          <w:sz w:val="24"/>
          <w:szCs w:val="24"/>
          <w14:ligatures w14:val="none"/>
        </w:rPr>
        <w:t xml:space="preserve"> and performance data to tailor instructional content and activities to their specific needs and preferences. By providing targeted interventions and adaptive feedback, these technologies empower learners to progress at their own pace and address their unique learning challenges effectively.</w:t>
      </w:r>
    </w:p>
    <w:p w14:paraId="42482422"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649F00A5"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Moreover, the integration of technology and pedagogy extends beyond the classroom walls to encompass blended learning models and online learning environments. Blended learning combines face-to-face instruction with online resources and activities, offering flexibility and customization while maintaining the benefits of in-person interaction and guidance. Online learning platforms provide anytime, anywhere access to educational content and resources, catering to diverse learning styles and preferences. Through asynchronous and synchronous communication tools, educators can facilitate meaningful interactions and collaboration among students, fostering a sense of community and engagement in virtual learning environments.</w:t>
      </w:r>
    </w:p>
    <w:p w14:paraId="42E8A10B"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7176FA6F"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Furthermore, the integration of technology and pedagogy fosters the development of digital literacy skills essential for success in the 21st century. By incorporating digital citizenship education into the curriculum, educators can empower students to navigate the digital landscape responsibly, ethically, and safely. Digital literacy encompasses skills such as information literacy, media literacy, and technology proficiency, enabling students to critically evaluate information, communicate effectively, and harness technology for learning and productivity.</w:t>
      </w:r>
    </w:p>
    <w:p w14:paraId="7C72738D"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4DC7D28C"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In summary, the integration of technology and pedagogy is a multifaceted process that encompasses a wide range of digital tools, instructional strategies, and educational contexts. By embracing innovative technologies, aligning instructional practices with pedagogical theories, and fostering digital literacy skills, educators can create transformative learning experiences that empower students to succeed in an increasingly digital and interconnected world.</w:t>
      </w:r>
    </w:p>
    <w:p w14:paraId="05E5151D"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40679B41" w14:textId="77777777" w:rsidR="005A6B10" w:rsidRPr="00C21735" w:rsidRDefault="005A6B10" w:rsidP="005A6B10">
      <w:pPr>
        <w:spacing w:after="0" w:line="240" w:lineRule="auto"/>
        <w:rPr>
          <w:rFonts w:ascii="Calibri" w:eastAsia="Calibri" w:hAnsi="Calibri" w:cs="Times New Roman"/>
          <w:b/>
          <w:bCs/>
          <w:kern w:val="0"/>
          <w:sz w:val="24"/>
          <w:szCs w:val="24"/>
          <w14:ligatures w14:val="none"/>
        </w:rPr>
      </w:pPr>
      <w:r w:rsidRPr="00C21735">
        <w:rPr>
          <w:rFonts w:ascii="Calibri" w:eastAsia="Calibri" w:hAnsi="Calibri" w:cs="Times New Roman"/>
          <w:b/>
          <w:bCs/>
          <w:kern w:val="0"/>
          <w:sz w:val="24"/>
          <w:szCs w:val="24"/>
          <w:highlight w:val="magenta"/>
          <w14:ligatures w14:val="none"/>
        </w:rPr>
        <w:t>Ethical Considerations in Digital Innovation:</w:t>
      </w:r>
    </w:p>
    <w:p w14:paraId="61BBDC69"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7F03932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As digital technologies permeate every aspect of professional practice, ethical considerations become increasingly complex and critical [5]. Issues such as privacy, data security, and fairness must be carefully addressed to ensure that digital innovation serves the greater good and does not perpetuate harm or inequality. For example, the use of artificial intelligence in decision-making processes raises concerns about algorithmic bias and discrimination, which can have far-reaching implications for individuals and society.</w:t>
      </w:r>
    </w:p>
    <w:p w14:paraId="4730B49A"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328D60C5"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Responsible innovation frameworks provide a roadmap for navigating these ethical challenges and ensuring that digital innovation is conducted in a manner that upholds ethical principles and values. Inclusive design principles advocate for the development of digital solutions that are accessible and usable by all individuals, regardless of their abilities or backgrounds. Transparency in the design and deployment of digital technologies promotes accountability and trust, allowing stakeholders to understand how decisions are made and how algorithms function. Moreover, stakeholder engagement ensures that the voices of all relevant parties are heard and considered in the development and implementation of digital solutions, leading to more inclusive and equitable outcomes.</w:t>
      </w:r>
    </w:p>
    <w:p w14:paraId="74C643D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7524E2D2"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31E8528"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In addition to privacy, data security, and fairness, ethical considerations in digital innovation encompass broader societal impacts, including environmental sustainability and social justice. As technology evolves, it is essential to address the environmental footprint of digital infrastructure, such as data centres and electronic devices, to mitigate negative environmental consequences. Moreover, digital technologies have the potential to exacerbate existing inequalities and </w:t>
      </w:r>
      <w:r w:rsidRPr="005A6B10">
        <w:rPr>
          <w:rFonts w:ascii="Calibri" w:eastAsia="Calibri" w:hAnsi="Calibri" w:cs="Times New Roman"/>
          <w:kern w:val="0"/>
          <w:sz w:val="24"/>
          <w:szCs w:val="24"/>
          <w14:ligatures w14:val="none"/>
        </w:rPr>
        <w:lastRenderedPageBreak/>
        <w:t>inequities, highlighting the importance of designing inclusive solutions that promote diversity, equity, and inclusion.</w:t>
      </w:r>
    </w:p>
    <w:p w14:paraId="64E7148A"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100BD724"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Furthermore, ethical considerations extend beyond the design and deployment of digital technologies to encompass their ongoing use and impact. Continuous monitoring and evaluation are necessary to identify and address emerging ethical issues and unintended consequences. Additionally, ethical decision-making frameworks, such as ethical AI principles and data ethics guidelines, guide navigating complex ethical dilemmas and making ethically informed decisions in professional practice.</w:t>
      </w:r>
    </w:p>
    <w:p w14:paraId="31492DDC"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F712A16"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Collaborative efforts across disciplines and sectors are essential for addressing ethical challenges in digital innovation comprehensively. By fostering interdisciplinary dialogue and collaboration, stakeholders can collectively identify ethical priorities, develop best practices, and advocate for responsible digital innovation policies and regulations. Furthermore, global cooperation and coordination are necessary to ensure that ethical standards are upheld across borders and jurisdictions, fostering a more ethical and sustainable digital ecosystem for all.</w:t>
      </w:r>
    </w:p>
    <w:p w14:paraId="13686DAE"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8445DF7" w14:textId="77777777" w:rsidR="005A6B10" w:rsidRPr="00C21735" w:rsidRDefault="005A6B10" w:rsidP="005A6B10">
      <w:pPr>
        <w:spacing w:after="0" w:line="240" w:lineRule="auto"/>
        <w:rPr>
          <w:rFonts w:ascii="Calibri" w:eastAsia="Calibri" w:hAnsi="Calibri" w:cs="Times New Roman"/>
          <w:b/>
          <w:bCs/>
          <w:kern w:val="0"/>
          <w:sz w:val="24"/>
          <w:szCs w:val="24"/>
          <w14:ligatures w14:val="none"/>
        </w:rPr>
      </w:pPr>
      <w:r w:rsidRPr="00C21735">
        <w:rPr>
          <w:rFonts w:ascii="Calibri" w:eastAsia="Calibri" w:hAnsi="Calibri" w:cs="Times New Roman"/>
          <w:b/>
          <w:bCs/>
          <w:kern w:val="0"/>
          <w:sz w:val="24"/>
          <w:szCs w:val="24"/>
          <w:highlight w:val="magenta"/>
          <w14:ligatures w14:val="none"/>
        </w:rPr>
        <w:t>Emerging Technologies and Future Trends:</w:t>
      </w:r>
    </w:p>
    <w:p w14:paraId="61D59795"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A251A9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The rapid pace of technological advancement gives rise to a myriad of emerging technologies and future trends that have the potential to transform professional practices. Artificial intelligence, for instance, enables machines to perform tasks that typically require human intelligence, such as natural language processing, image recognition, and predictive analytics. Blockchain technology, on the other hand, offers a decentralized and tamper-proof ledger system that can revolutionize various industries, including finance, supply chain management, and healthcare.</w:t>
      </w:r>
    </w:p>
    <w:p w14:paraId="5C79655F"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3832E3E6"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Looking ahead, futuristic trends such as decentralized autonomous organizations (DAOs) and quantum computing present both opportunities and challenges for professional practice. DAOs, enabled by blockchain technology, reimagine traditional organizational structures by decentralizing decision-making and governance processes. Quantum computing, with its ability to perform complex calculations at speeds unimaginable with classical computers, holds promise for solving computationally intensive problems in fields such as cryptography, drug discovery, and materials science.</w:t>
      </w:r>
    </w:p>
    <w:p w14:paraId="135DC819"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0FD21CE2"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In summary, the dynamic interplay between technology, pedagogy, ethics, and emerging trends in digital innovation </w:t>
      </w:r>
      <w:proofErr w:type="spellStart"/>
      <w:r w:rsidRPr="005A6B10">
        <w:rPr>
          <w:rFonts w:ascii="Calibri" w:eastAsia="Calibri" w:hAnsi="Calibri" w:cs="Times New Roman"/>
          <w:kern w:val="0"/>
          <w:sz w:val="24"/>
          <w:szCs w:val="24"/>
          <w14:ligatures w14:val="none"/>
        </w:rPr>
        <w:t>catalyzes</w:t>
      </w:r>
      <w:proofErr w:type="spellEnd"/>
      <w:r w:rsidRPr="005A6B10">
        <w:rPr>
          <w:rFonts w:ascii="Calibri" w:eastAsia="Calibri" w:hAnsi="Calibri" w:cs="Times New Roman"/>
          <w:kern w:val="0"/>
          <w:sz w:val="24"/>
          <w:szCs w:val="24"/>
          <w14:ligatures w14:val="none"/>
        </w:rPr>
        <w:t xml:space="preserve"> redefining the landscape of professional practice in the 21st century. This intricate interplay not only shapes the way professionals operate within their respective fields but also influences broader societal dynamics and cultural paradigms. By recognizing and embracing the synergistic relationship between these multifaceted elements, professionals can unlock new avenues for innovation, collaboration, and societal impact.</w:t>
      </w:r>
    </w:p>
    <w:p w14:paraId="0AAACD9E"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59ECCC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At its core, ethical considerations serve as the moral compass guiding the ethical deployment and utilization of digital technologies within professional practice. By adhering to principles of transparency, equity, and social responsibility, professionals can navigate the ethical complexities inherent in the digital age and ensure that their actions uphold the highest standards of integrity and accountability. Moreover, ethical frameworks provide a framework for addressing pressing issues such as data privacy, algorithmic bias, and digital equity, fostering a more inclusive and equitable digital ecosystem for all stakeholders.</w:t>
      </w:r>
    </w:p>
    <w:p w14:paraId="48222EAE"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lastRenderedPageBreak/>
        <w:t xml:space="preserve">In essence, the dynamic interplay between technology, pedagogy, ethics, and emerging trends in digital innovation shapes the landscape of professional practice in profound ways, presenting both challenges and opportunities for professionals across diverse domains. </w:t>
      </w:r>
    </w:p>
    <w:p w14:paraId="62659AE2"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6EF3A97D"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In addition to ethical considerations, the evolving landscape of professional practice in the 21st century is also heavily influenced by emerging trends in digital innovation. Technologies such as artificial intelligence, augmented reality, blockchain, and the Internet of Things continue to revolutionize industries and professions, offering new possibilities for efficiency, productivity, and creativity. Professionals who embrace these emerging technologies and adapt their practices accordingly can gain a competitive edge in their fields and drive positive change in society.</w:t>
      </w:r>
    </w:p>
    <w:p w14:paraId="14BA1500"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41C46CC1"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Furthermore, the intersection of technology, pedagogy, ethics, and digital innovation has significant implications for education and lifelong learning. Educators must leverage technology effectively to enhance teaching and learning experiences, preparing students for success in an increasingly digital world. Moreover, they must navigate ethical considerations surrounding digital literacy, online safety, and digital citizenship to promote responsible use of technology among learners.</w:t>
      </w:r>
    </w:p>
    <w:p w14:paraId="278CF418"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657CF73C"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As professionals engage with these multifaceted elements, collaboration becomes essential. Interdisciplinary teams can harness the collective expertise of individuals from diverse backgrounds to tackle complex challenges and co-create innovative solutions. By fostering collaboration among professionals in various fields, organizations can foster a culture of continuous learning, innovation, and adaptability in response to evolving societal needs and technological advancements.</w:t>
      </w:r>
    </w:p>
    <w:p w14:paraId="0625B3AF"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6F6AEFDA" w14:textId="45C7D49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Ultimately, by recognizing the interconnected nature of technology, pedagogy, ethics, and digital innovation, professionals can navigate the complexities of the digital age with integrity, creativity, and resilience. Embracing this dynamic interplay </w:t>
      </w:r>
      <w:r w:rsidR="00F77537" w:rsidRPr="005A6B10">
        <w:rPr>
          <w:rFonts w:ascii="Calibri" w:eastAsia="Calibri" w:hAnsi="Calibri" w:cs="Times New Roman"/>
          <w:kern w:val="0"/>
          <w:sz w:val="24"/>
          <w:szCs w:val="24"/>
          <w14:ligatures w14:val="none"/>
        </w:rPr>
        <w:t>opens</w:t>
      </w:r>
      <w:r w:rsidRPr="005A6B10">
        <w:rPr>
          <w:rFonts w:ascii="Calibri" w:eastAsia="Calibri" w:hAnsi="Calibri" w:cs="Times New Roman"/>
          <w:kern w:val="0"/>
          <w:sz w:val="24"/>
          <w:szCs w:val="24"/>
          <w14:ligatures w14:val="none"/>
        </w:rPr>
        <w:t xml:space="preserve"> new possibilities for professional growth, societal impact, and the advancement of human knowledge and well-being in the 21st century.</w:t>
      </w:r>
    </w:p>
    <w:p w14:paraId="74806FA2"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p>
    <w:p w14:paraId="7E479A5A"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r w:rsidRPr="00471D03">
        <w:rPr>
          <w:rFonts w:ascii="Calibri" w:eastAsia="Calibri" w:hAnsi="Calibri" w:cs="Times New Roman"/>
          <w:b/>
          <w:bCs/>
          <w:kern w:val="0"/>
          <w:sz w:val="24"/>
          <w:szCs w:val="24"/>
          <w:highlight w:val="magenta"/>
          <w:u w:val="single"/>
          <w14:ligatures w14:val="none"/>
        </w:rPr>
        <w:t>Selection and Justification of appropriate teaching tool(s)/resources</w:t>
      </w:r>
      <w:r w:rsidRPr="005A6B10">
        <w:rPr>
          <w:rFonts w:ascii="Calibri" w:eastAsia="Calibri" w:hAnsi="Calibri" w:cs="Times New Roman"/>
          <w:b/>
          <w:bCs/>
          <w:kern w:val="0"/>
          <w:sz w:val="24"/>
          <w:szCs w:val="24"/>
          <w:u w:val="single"/>
          <w14:ligatures w14:val="none"/>
        </w:rPr>
        <w:t xml:space="preserve"> </w:t>
      </w:r>
    </w:p>
    <w:p w14:paraId="1BF95C51"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48575F60" w14:textId="50BB2C0D"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Kahoot, </w:t>
      </w:r>
      <w:proofErr w:type="spellStart"/>
      <w:r w:rsidRPr="005A6B10">
        <w:rPr>
          <w:rFonts w:ascii="Calibri" w:eastAsia="Calibri" w:hAnsi="Calibri" w:cs="Times New Roman"/>
          <w:kern w:val="0"/>
          <w:sz w:val="24"/>
          <w:szCs w:val="24"/>
          <w14:ligatures w14:val="none"/>
        </w:rPr>
        <w:t>Vevox</w:t>
      </w:r>
      <w:proofErr w:type="spellEnd"/>
      <w:r w:rsidRPr="005A6B10">
        <w:rPr>
          <w:rFonts w:ascii="Calibri" w:eastAsia="Calibri" w:hAnsi="Calibri" w:cs="Times New Roman"/>
          <w:kern w:val="0"/>
          <w:sz w:val="24"/>
          <w:szCs w:val="24"/>
          <w14:ligatures w14:val="none"/>
        </w:rPr>
        <w:t xml:space="preserve">, and Word Wall each offer unique benefits that support pedagogical theories, foster </w:t>
      </w:r>
      <w:r w:rsidR="00471D03" w:rsidRPr="005A6B10">
        <w:rPr>
          <w:rFonts w:ascii="Calibri" w:eastAsia="Calibri" w:hAnsi="Calibri" w:cs="Times New Roman"/>
          <w:kern w:val="0"/>
          <w:sz w:val="24"/>
          <w:szCs w:val="24"/>
          <w14:ligatures w14:val="none"/>
        </w:rPr>
        <w:t>innovation,</w:t>
      </w:r>
      <w:r w:rsidRPr="005A6B10">
        <w:rPr>
          <w:rFonts w:ascii="Calibri" w:eastAsia="Calibri" w:hAnsi="Calibri" w:cs="Times New Roman"/>
          <w:kern w:val="0"/>
          <w:sz w:val="24"/>
          <w:szCs w:val="24"/>
          <w14:ligatures w14:val="none"/>
        </w:rPr>
        <w:t xml:space="preserve"> and creativity, and integrate seamlessly into professional practice. Let's delve deeper into the specific advantages and potential enhancements of each tool within the educational context:</w:t>
      </w:r>
    </w:p>
    <w:p w14:paraId="5AF2B872"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C9ACDB3" w14:textId="77777777" w:rsidR="005A6B10" w:rsidRPr="00471D03" w:rsidRDefault="005A6B10" w:rsidP="005A6B10">
      <w:pPr>
        <w:spacing w:after="0" w:line="240" w:lineRule="auto"/>
        <w:rPr>
          <w:rFonts w:ascii="Calibri" w:eastAsia="Calibri" w:hAnsi="Calibri" w:cs="Times New Roman"/>
          <w:b/>
          <w:bCs/>
          <w:kern w:val="0"/>
          <w:sz w:val="24"/>
          <w:szCs w:val="24"/>
          <w:u w:val="single"/>
          <w14:ligatures w14:val="none"/>
        </w:rPr>
      </w:pPr>
      <w:r w:rsidRPr="00471D03">
        <w:rPr>
          <w:rFonts w:ascii="Calibri" w:eastAsia="Calibri" w:hAnsi="Calibri" w:cs="Times New Roman"/>
          <w:b/>
          <w:bCs/>
          <w:kern w:val="0"/>
          <w:sz w:val="24"/>
          <w:szCs w:val="24"/>
          <w:u w:val="single"/>
          <w14:ligatures w14:val="none"/>
        </w:rPr>
        <w:t>Kahoot:</w:t>
      </w:r>
    </w:p>
    <w:p w14:paraId="49D20F2A"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Pedagogical Theory Support:</w:t>
      </w:r>
    </w:p>
    <w:p w14:paraId="1A9C8E82" w14:textId="77777777" w:rsidR="005A6B10" w:rsidRPr="005A6B10" w:rsidRDefault="005A6B10" w:rsidP="005A6B10">
      <w:pPr>
        <w:numPr>
          <w:ilvl w:val="0"/>
          <w:numId w:val="1"/>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Kahoot's gamification principles align with </w:t>
      </w:r>
      <w:proofErr w:type="spellStart"/>
      <w:r w:rsidRPr="005A6B10">
        <w:rPr>
          <w:rFonts w:ascii="Calibri" w:eastAsia="Calibri" w:hAnsi="Calibri" w:cs="Times New Roman"/>
          <w:kern w:val="0"/>
          <w:sz w:val="24"/>
          <w:szCs w:val="24"/>
          <w14:ligatures w14:val="none"/>
        </w:rPr>
        <w:t>behaviorist</w:t>
      </w:r>
      <w:proofErr w:type="spellEnd"/>
      <w:r w:rsidRPr="005A6B10">
        <w:rPr>
          <w:rFonts w:ascii="Calibri" w:eastAsia="Calibri" w:hAnsi="Calibri" w:cs="Times New Roman"/>
          <w:kern w:val="0"/>
          <w:sz w:val="24"/>
          <w:szCs w:val="24"/>
          <w14:ligatures w14:val="none"/>
        </w:rPr>
        <w:t xml:space="preserve"> and constructivist theories, tapping into intrinsic motivation and fostering active learning.</w:t>
      </w:r>
    </w:p>
    <w:p w14:paraId="0313D950" w14:textId="77777777" w:rsidR="005A6B10" w:rsidRPr="005A6B10" w:rsidRDefault="005A6B10" w:rsidP="005A6B10">
      <w:pPr>
        <w:numPr>
          <w:ilvl w:val="0"/>
          <w:numId w:val="1"/>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Its interactive nature also resonates with the social constructivism theory, promoting collaborative learning and knowledge construction.</w:t>
      </w:r>
    </w:p>
    <w:p w14:paraId="2B847B80" w14:textId="77777777" w:rsidR="005A6B10" w:rsidRPr="005A6B10" w:rsidRDefault="005A6B10" w:rsidP="005A6B10">
      <w:pPr>
        <w:numPr>
          <w:ilvl w:val="0"/>
          <w:numId w:val="1"/>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By incorporating elements of competition and rewards, Kahoot stimulates students' engagement and motivation to learn, which is consistent with self-determination theory.</w:t>
      </w:r>
    </w:p>
    <w:p w14:paraId="1482A224"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Innovation and Creativity:</w:t>
      </w:r>
    </w:p>
    <w:p w14:paraId="7292F1E0" w14:textId="77777777" w:rsidR="005A6B10" w:rsidRPr="005A6B10" w:rsidRDefault="005A6B10" w:rsidP="005A6B10">
      <w:pPr>
        <w:numPr>
          <w:ilvl w:val="0"/>
          <w:numId w:val="2"/>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lastRenderedPageBreak/>
        <w:t>Kahoot's interactive quizzes and surveys provide opportunities for students to apply their knowledge, think critically, and express themselves creatively.</w:t>
      </w:r>
    </w:p>
    <w:p w14:paraId="0A56246D" w14:textId="77777777" w:rsidR="005A6B10" w:rsidRPr="005A6B10" w:rsidRDefault="005A6B10" w:rsidP="005A6B10">
      <w:pPr>
        <w:numPr>
          <w:ilvl w:val="0"/>
          <w:numId w:val="2"/>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The platform offers a variety of question types, such as multiple choice, true/false, and open-ended questions, allowing educators to design activities that encourage deeper thinking and problem-solving skills.</w:t>
      </w:r>
    </w:p>
    <w:p w14:paraId="25C01B6D" w14:textId="77777777" w:rsidR="005A6B10" w:rsidRPr="005A6B10" w:rsidRDefault="005A6B10" w:rsidP="005A6B10">
      <w:pPr>
        <w:numPr>
          <w:ilvl w:val="0"/>
          <w:numId w:val="2"/>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Educators can integrate multimedia elements, such as images, videos, and audio clips, to enhance the visual and auditory appeal of Kahoot quizzes, thus stimulating creativity and imagination.</w:t>
      </w:r>
    </w:p>
    <w:p w14:paraId="55E8F66B"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Professional Practice Integration:</w:t>
      </w:r>
    </w:p>
    <w:p w14:paraId="65424E32" w14:textId="77777777" w:rsidR="005A6B10" w:rsidRPr="005A6B10" w:rsidRDefault="005A6B10" w:rsidP="005A6B10">
      <w:pPr>
        <w:numPr>
          <w:ilvl w:val="0"/>
          <w:numId w:val="3"/>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Kahoot facilitates formative assessment by offering real-time feedback and performance insights, enabling educators to adjust instruction based on student responses.</w:t>
      </w:r>
    </w:p>
    <w:p w14:paraId="3BBEC083" w14:textId="77777777" w:rsidR="005A6B10" w:rsidRPr="005A6B10" w:rsidRDefault="005A6B10" w:rsidP="005A6B10">
      <w:pPr>
        <w:numPr>
          <w:ilvl w:val="0"/>
          <w:numId w:val="3"/>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Its data analytics features support evidence-based decision-making, informing educators about student progress and areas for improvement.</w:t>
      </w:r>
    </w:p>
    <w:p w14:paraId="1FEC2E18" w14:textId="77777777" w:rsidR="005A6B10" w:rsidRPr="005A6B10" w:rsidRDefault="005A6B10" w:rsidP="005A6B10">
      <w:pPr>
        <w:numPr>
          <w:ilvl w:val="0"/>
          <w:numId w:val="3"/>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Educators can use Kahoot as a diagnostic tool to identify misconceptions, gaps in understanding, and areas of student interest, allowing for targeted instruction and differentiation.</w:t>
      </w:r>
    </w:p>
    <w:p w14:paraId="42B113A7" w14:textId="77777777" w:rsidR="005A6B10" w:rsidRPr="005A6B10" w:rsidRDefault="005A6B10" w:rsidP="005A6B10">
      <w:pPr>
        <w:numPr>
          <w:ilvl w:val="0"/>
          <w:numId w:val="3"/>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Kahoot's compatibility with various devices and learning management systems enhances its accessibility and integration into existing teaching practices.</w:t>
      </w:r>
    </w:p>
    <w:p w14:paraId="1E4BCBB5" w14:textId="77777777" w:rsidR="005A6B10" w:rsidRPr="00471D03" w:rsidRDefault="005A6B10" w:rsidP="005A6B10">
      <w:pPr>
        <w:spacing w:after="0" w:line="240" w:lineRule="auto"/>
        <w:rPr>
          <w:rFonts w:ascii="Calibri" w:eastAsia="Calibri" w:hAnsi="Calibri" w:cs="Times New Roman"/>
          <w:b/>
          <w:bCs/>
          <w:kern w:val="0"/>
          <w:sz w:val="24"/>
          <w:szCs w:val="24"/>
          <w:u w:val="single"/>
          <w14:ligatures w14:val="none"/>
        </w:rPr>
      </w:pPr>
      <w:proofErr w:type="spellStart"/>
      <w:r w:rsidRPr="00471D03">
        <w:rPr>
          <w:rFonts w:ascii="Calibri" w:eastAsia="Calibri" w:hAnsi="Calibri" w:cs="Times New Roman"/>
          <w:b/>
          <w:bCs/>
          <w:kern w:val="0"/>
          <w:sz w:val="24"/>
          <w:szCs w:val="24"/>
          <w:u w:val="single"/>
          <w14:ligatures w14:val="none"/>
        </w:rPr>
        <w:t>Vevox</w:t>
      </w:r>
      <w:proofErr w:type="spellEnd"/>
      <w:r w:rsidRPr="00471D03">
        <w:rPr>
          <w:rFonts w:ascii="Calibri" w:eastAsia="Calibri" w:hAnsi="Calibri" w:cs="Times New Roman"/>
          <w:b/>
          <w:bCs/>
          <w:kern w:val="0"/>
          <w:sz w:val="24"/>
          <w:szCs w:val="24"/>
          <w:u w:val="single"/>
          <w14:ligatures w14:val="none"/>
        </w:rPr>
        <w:t>:</w:t>
      </w:r>
    </w:p>
    <w:p w14:paraId="5CD290A8" w14:textId="77777777" w:rsidR="005A6B10" w:rsidRPr="005A6B10" w:rsidRDefault="005A6B10" w:rsidP="005A6B10">
      <w:pPr>
        <w:spacing w:after="0" w:line="240" w:lineRule="auto"/>
        <w:rPr>
          <w:rFonts w:ascii="Calibri" w:eastAsia="Calibri" w:hAnsi="Calibri" w:cs="Times New Roman"/>
          <w:kern w:val="0"/>
          <w:sz w:val="24"/>
          <w:szCs w:val="24"/>
          <w:u w:val="single"/>
          <w14:ligatures w14:val="none"/>
        </w:rPr>
      </w:pPr>
    </w:p>
    <w:p w14:paraId="150455D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Pedagogical Theory Support:</w:t>
      </w:r>
    </w:p>
    <w:p w14:paraId="625D3C7E" w14:textId="630C4467" w:rsidR="005A6B10" w:rsidRPr="005A6B10" w:rsidRDefault="005A6B10" w:rsidP="005A6B10">
      <w:pPr>
        <w:numPr>
          <w:ilvl w:val="0"/>
          <w:numId w:val="4"/>
        </w:numPr>
        <w:spacing w:after="0" w:line="240" w:lineRule="auto"/>
        <w:contextualSpacing/>
        <w:rPr>
          <w:rFonts w:ascii="Calibri" w:eastAsia="Calibri" w:hAnsi="Calibri" w:cs="Times New Roman"/>
          <w:kern w:val="0"/>
          <w:sz w:val="24"/>
          <w:szCs w:val="24"/>
          <w14:ligatures w14:val="none"/>
        </w:rPr>
      </w:pPr>
      <w:proofErr w:type="spellStart"/>
      <w:r w:rsidRPr="005A6B10">
        <w:rPr>
          <w:rFonts w:ascii="Calibri" w:eastAsia="Calibri" w:hAnsi="Calibri" w:cs="Times New Roman"/>
          <w:kern w:val="0"/>
          <w:sz w:val="24"/>
          <w:szCs w:val="24"/>
          <w14:ligatures w14:val="none"/>
        </w:rPr>
        <w:t>Vevox's</w:t>
      </w:r>
      <w:proofErr w:type="spellEnd"/>
      <w:r w:rsidRPr="005A6B10">
        <w:rPr>
          <w:rFonts w:ascii="Calibri" w:eastAsia="Calibri" w:hAnsi="Calibri" w:cs="Times New Roman"/>
          <w:kern w:val="0"/>
          <w:sz w:val="24"/>
          <w:szCs w:val="24"/>
          <w14:ligatures w14:val="none"/>
        </w:rPr>
        <w:t xml:space="preserve"> real-time interaction and feedback features resonate with constructivist and connectiv</w:t>
      </w:r>
      <w:r w:rsidR="00471D03">
        <w:rPr>
          <w:rFonts w:ascii="Calibri" w:eastAsia="Calibri" w:hAnsi="Calibri" w:cs="Times New Roman"/>
          <w:kern w:val="0"/>
          <w:sz w:val="24"/>
          <w:szCs w:val="24"/>
          <w14:ligatures w14:val="none"/>
        </w:rPr>
        <w:t>e</w:t>
      </w:r>
      <w:r w:rsidRPr="005A6B10">
        <w:rPr>
          <w:rFonts w:ascii="Calibri" w:eastAsia="Calibri" w:hAnsi="Calibri" w:cs="Times New Roman"/>
          <w:kern w:val="0"/>
          <w:sz w:val="24"/>
          <w:szCs w:val="24"/>
          <w14:ligatures w14:val="none"/>
        </w:rPr>
        <w:t xml:space="preserve"> theories, promoting active learning and knowledge co-construction.</w:t>
      </w:r>
    </w:p>
    <w:p w14:paraId="2DE69A7F" w14:textId="77777777" w:rsidR="005A6B10" w:rsidRPr="005A6B10" w:rsidRDefault="005A6B10" w:rsidP="005A6B10">
      <w:pPr>
        <w:numPr>
          <w:ilvl w:val="0"/>
          <w:numId w:val="4"/>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Its asynchronous polling and discussion options also cater to the principles of connectivism, enabling students to engage in self-directed learning and collaborative knowledge sharing.</w:t>
      </w:r>
    </w:p>
    <w:p w14:paraId="02C1C31F" w14:textId="77777777" w:rsidR="005A6B10" w:rsidRPr="005A6B10" w:rsidRDefault="005A6B10" w:rsidP="005A6B10">
      <w:pPr>
        <w:numPr>
          <w:ilvl w:val="0"/>
          <w:numId w:val="4"/>
        </w:numPr>
        <w:spacing w:after="0" w:line="240" w:lineRule="auto"/>
        <w:contextualSpacing/>
        <w:rPr>
          <w:rFonts w:ascii="Calibri" w:eastAsia="Calibri" w:hAnsi="Calibri" w:cs="Times New Roman"/>
          <w:kern w:val="0"/>
          <w:sz w:val="24"/>
          <w:szCs w:val="24"/>
          <w14:ligatures w14:val="none"/>
        </w:rPr>
      </w:pPr>
      <w:proofErr w:type="spellStart"/>
      <w:r w:rsidRPr="005A6B10">
        <w:rPr>
          <w:rFonts w:ascii="Calibri" w:eastAsia="Calibri" w:hAnsi="Calibri" w:cs="Times New Roman"/>
          <w:kern w:val="0"/>
          <w:sz w:val="24"/>
          <w:szCs w:val="24"/>
          <w14:ligatures w14:val="none"/>
        </w:rPr>
        <w:t>Vevox's</w:t>
      </w:r>
      <w:proofErr w:type="spellEnd"/>
      <w:r w:rsidRPr="005A6B10">
        <w:rPr>
          <w:rFonts w:ascii="Calibri" w:eastAsia="Calibri" w:hAnsi="Calibri" w:cs="Times New Roman"/>
          <w:kern w:val="0"/>
          <w:sz w:val="24"/>
          <w:szCs w:val="24"/>
          <w14:ligatures w14:val="none"/>
        </w:rPr>
        <w:t xml:space="preserve"> integration with learning management systems allows educators to track student participation and engagement, facilitating the application of </w:t>
      </w:r>
      <w:proofErr w:type="spellStart"/>
      <w:r w:rsidRPr="005A6B10">
        <w:rPr>
          <w:rFonts w:ascii="Calibri" w:eastAsia="Calibri" w:hAnsi="Calibri" w:cs="Times New Roman"/>
          <w:kern w:val="0"/>
          <w:sz w:val="24"/>
          <w:szCs w:val="24"/>
          <w14:ligatures w14:val="none"/>
        </w:rPr>
        <w:t>behaviorist</w:t>
      </w:r>
      <w:proofErr w:type="spellEnd"/>
      <w:r w:rsidRPr="005A6B10">
        <w:rPr>
          <w:rFonts w:ascii="Calibri" w:eastAsia="Calibri" w:hAnsi="Calibri" w:cs="Times New Roman"/>
          <w:kern w:val="0"/>
          <w:sz w:val="24"/>
          <w:szCs w:val="24"/>
          <w14:ligatures w14:val="none"/>
        </w:rPr>
        <w:t xml:space="preserve"> principles such as reinforcement and feedback.</w:t>
      </w:r>
    </w:p>
    <w:p w14:paraId="5E672C97"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Innovation and Creativity:</w:t>
      </w:r>
    </w:p>
    <w:p w14:paraId="37267CC4" w14:textId="77777777" w:rsidR="005A6B10" w:rsidRPr="005A6B10" w:rsidRDefault="005A6B10" w:rsidP="005A6B10">
      <w:pPr>
        <w:numPr>
          <w:ilvl w:val="0"/>
          <w:numId w:val="5"/>
        </w:numPr>
        <w:spacing w:after="0" w:line="240" w:lineRule="auto"/>
        <w:contextualSpacing/>
        <w:rPr>
          <w:rFonts w:ascii="Calibri" w:eastAsia="Calibri" w:hAnsi="Calibri" w:cs="Times New Roman"/>
          <w:kern w:val="0"/>
          <w:sz w:val="24"/>
          <w:szCs w:val="24"/>
          <w14:ligatures w14:val="none"/>
        </w:rPr>
      </w:pPr>
      <w:proofErr w:type="spellStart"/>
      <w:r w:rsidRPr="005A6B10">
        <w:rPr>
          <w:rFonts w:ascii="Calibri" w:eastAsia="Calibri" w:hAnsi="Calibri" w:cs="Times New Roman"/>
          <w:kern w:val="0"/>
          <w:sz w:val="24"/>
          <w:szCs w:val="24"/>
          <w14:ligatures w14:val="none"/>
        </w:rPr>
        <w:t>Vevox's</w:t>
      </w:r>
      <w:proofErr w:type="spellEnd"/>
      <w:r w:rsidRPr="005A6B10">
        <w:rPr>
          <w:rFonts w:ascii="Calibri" w:eastAsia="Calibri" w:hAnsi="Calibri" w:cs="Times New Roman"/>
          <w:kern w:val="0"/>
          <w:sz w:val="24"/>
          <w:szCs w:val="24"/>
          <w14:ligatures w14:val="none"/>
        </w:rPr>
        <w:t xml:space="preserve"> interactive polling, word clouds, and open-ended question formats stimulate creativity and critical thinking among students.</w:t>
      </w:r>
    </w:p>
    <w:p w14:paraId="5A8D48DD" w14:textId="77777777" w:rsidR="005A6B10" w:rsidRPr="005A6B10" w:rsidRDefault="005A6B10" w:rsidP="005A6B10">
      <w:pPr>
        <w:numPr>
          <w:ilvl w:val="0"/>
          <w:numId w:val="5"/>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The platform encourages students to express their opinions, ideas, and perspectives through live discussions and feedback sessions, fostering a culture of creativity and innovation.</w:t>
      </w:r>
    </w:p>
    <w:p w14:paraId="79312212" w14:textId="77777777" w:rsidR="005A6B10" w:rsidRPr="005A6B10" w:rsidRDefault="005A6B10" w:rsidP="005A6B10">
      <w:pPr>
        <w:numPr>
          <w:ilvl w:val="0"/>
          <w:numId w:val="5"/>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Educators can use </w:t>
      </w:r>
      <w:proofErr w:type="spellStart"/>
      <w:r w:rsidRPr="005A6B10">
        <w:rPr>
          <w:rFonts w:ascii="Calibri" w:eastAsia="Calibri" w:hAnsi="Calibri" w:cs="Times New Roman"/>
          <w:kern w:val="0"/>
          <w:sz w:val="24"/>
          <w:szCs w:val="24"/>
          <w14:ligatures w14:val="none"/>
        </w:rPr>
        <w:t>Vevox</w:t>
      </w:r>
      <w:proofErr w:type="spellEnd"/>
      <w:r w:rsidRPr="005A6B10">
        <w:rPr>
          <w:rFonts w:ascii="Calibri" w:eastAsia="Calibri" w:hAnsi="Calibri" w:cs="Times New Roman"/>
          <w:kern w:val="0"/>
          <w:sz w:val="24"/>
          <w:szCs w:val="24"/>
          <w14:ligatures w14:val="none"/>
        </w:rPr>
        <w:t xml:space="preserve"> to promote divergent thinking and problem-solving skills by posing open-ended questions and encouraging exploration of multiple perspectives.</w:t>
      </w:r>
    </w:p>
    <w:p w14:paraId="6CF4F9EF"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Professional Practice Integration:</w:t>
      </w:r>
    </w:p>
    <w:p w14:paraId="0D252729" w14:textId="77777777" w:rsidR="005A6B10" w:rsidRPr="005A6B10" w:rsidRDefault="005A6B10" w:rsidP="005A6B10">
      <w:pPr>
        <w:numPr>
          <w:ilvl w:val="0"/>
          <w:numId w:val="6"/>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Integrating </w:t>
      </w:r>
      <w:proofErr w:type="spellStart"/>
      <w:r w:rsidRPr="005A6B10">
        <w:rPr>
          <w:rFonts w:ascii="Calibri" w:eastAsia="Calibri" w:hAnsi="Calibri" w:cs="Times New Roman"/>
          <w:kern w:val="0"/>
          <w:sz w:val="24"/>
          <w:szCs w:val="24"/>
          <w14:ligatures w14:val="none"/>
        </w:rPr>
        <w:t>Vevox</w:t>
      </w:r>
      <w:proofErr w:type="spellEnd"/>
      <w:r w:rsidRPr="005A6B10">
        <w:rPr>
          <w:rFonts w:ascii="Calibri" w:eastAsia="Calibri" w:hAnsi="Calibri" w:cs="Times New Roman"/>
          <w:kern w:val="0"/>
          <w:sz w:val="24"/>
          <w:szCs w:val="24"/>
          <w14:ligatures w14:val="none"/>
        </w:rPr>
        <w:t xml:space="preserve"> into classroom instruction enhances student engagement and participation, leading to more meaningful learning experiences.</w:t>
      </w:r>
    </w:p>
    <w:p w14:paraId="655C0192" w14:textId="77777777" w:rsidR="005A6B10" w:rsidRPr="005A6B10" w:rsidRDefault="005A6B10" w:rsidP="005A6B10">
      <w:pPr>
        <w:numPr>
          <w:ilvl w:val="0"/>
          <w:numId w:val="6"/>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Its integration with presentation tools streamlines the teaching process and allows educators to seamlessly incorporate interactive elements into their lessons.</w:t>
      </w:r>
    </w:p>
    <w:p w14:paraId="15B5284A" w14:textId="77777777" w:rsidR="005A6B10" w:rsidRPr="005A6B10" w:rsidRDefault="005A6B10" w:rsidP="005A6B10">
      <w:pPr>
        <w:numPr>
          <w:ilvl w:val="0"/>
          <w:numId w:val="6"/>
        </w:numPr>
        <w:spacing w:after="0" w:line="240" w:lineRule="auto"/>
        <w:contextualSpacing/>
        <w:rPr>
          <w:rFonts w:ascii="Calibri" w:eastAsia="Calibri" w:hAnsi="Calibri" w:cs="Times New Roman"/>
          <w:kern w:val="0"/>
          <w:sz w:val="24"/>
          <w:szCs w:val="24"/>
          <w14:ligatures w14:val="none"/>
        </w:rPr>
      </w:pPr>
      <w:proofErr w:type="spellStart"/>
      <w:r w:rsidRPr="005A6B10">
        <w:rPr>
          <w:rFonts w:ascii="Calibri" w:eastAsia="Calibri" w:hAnsi="Calibri" w:cs="Times New Roman"/>
          <w:kern w:val="0"/>
          <w:sz w:val="24"/>
          <w:szCs w:val="24"/>
          <w14:ligatures w14:val="none"/>
        </w:rPr>
        <w:t>Vevox's</w:t>
      </w:r>
      <w:proofErr w:type="spellEnd"/>
      <w:r w:rsidRPr="005A6B10">
        <w:rPr>
          <w:rFonts w:ascii="Calibri" w:eastAsia="Calibri" w:hAnsi="Calibri" w:cs="Times New Roman"/>
          <w:kern w:val="0"/>
          <w:sz w:val="24"/>
          <w:szCs w:val="24"/>
          <w14:ligatures w14:val="none"/>
        </w:rPr>
        <w:t xml:space="preserve"> real-time analytics and reporting features enable educators to monitor student progress and assess learning outcomes, facilitating evidence-based decision-making and instructional improvement.</w:t>
      </w:r>
    </w:p>
    <w:p w14:paraId="61D76816" w14:textId="77777777" w:rsidR="005A6B10" w:rsidRPr="005A6B10" w:rsidRDefault="005A6B10" w:rsidP="005A6B10">
      <w:pPr>
        <w:numPr>
          <w:ilvl w:val="0"/>
          <w:numId w:val="6"/>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The platform's accessibility and user-friendly interface make it easy for educators to integrate </w:t>
      </w:r>
      <w:proofErr w:type="spellStart"/>
      <w:r w:rsidRPr="005A6B10">
        <w:rPr>
          <w:rFonts w:ascii="Calibri" w:eastAsia="Calibri" w:hAnsi="Calibri" w:cs="Times New Roman"/>
          <w:kern w:val="0"/>
          <w:sz w:val="24"/>
          <w:szCs w:val="24"/>
          <w14:ligatures w14:val="none"/>
        </w:rPr>
        <w:t>Vevox</w:t>
      </w:r>
      <w:proofErr w:type="spellEnd"/>
      <w:r w:rsidRPr="005A6B10">
        <w:rPr>
          <w:rFonts w:ascii="Calibri" w:eastAsia="Calibri" w:hAnsi="Calibri" w:cs="Times New Roman"/>
          <w:kern w:val="0"/>
          <w:sz w:val="24"/>
          <w:szCs w:val="24"/>
          <w14:ligatures w14:val="none"/>
        </w:rPr>
        <w:t xml:space="preserve"> into various teaching contexts, from traditional classrooms to online learning environments.</w:t>
      </w:r>
    </w:p>
    <w:p w14:paraId="1FC0FF97" w14:textId="77777777" w:rsidR="005A6B10" w:rsidRPr="005A6B10" w:rsidRDefault="005A6B10" w:rsidP="005A6B10">
      <w:pPr>
        <w:spacing w:after="0" w:line="240" w:lineRule="auto"/>
        <w:ind w:left="720"/>
        <w:contextualSpacing/>
        <w:rPr>
          <w:rFonts w:ascii="Calibri" w:eastAsia="Calibri" w:hAnsi="Calibri" w:cs="Times New Roman"/>
          <w:kern w:val="0"/>
          <w:sz w:val="24"/>
          <w:szCs w:val="24"/>
          <w14:ligatures w14:val="none"/>
        </w:rPr>
      </w:pPr>
    </w:p>
    <w:p w14:paraId="4A1A1766" w14:textId="77777777" w:rsidR="005A6B10" w:rsidRPr="00471D03" w:rsidRDefault="005A6B10" w:rsidP="005A6B10">
      <w:pPr>
        <w:spacing w:after="0" w:line="240" w:lineRule="auto"/>
        <w:rPr>
          <w:rFonts w:ascii="Calibri" w:eastAsia="Calibri" w:hAnsi="Calibri" w:cs="Times New Roman"/>
          <w:b/>
          <w:bCs/>
          <w:kern w:val="0"/>
          <w:sz w:val="24"/>
          <w:szCs w:val="24"/>
          <w:u w:val="single"/>
          <w14:ligatures w14:val="none"/>
        </w:rPr>
      </w:pPr>
      <w:r w:rsidRPr="00471D03">
        <w:rPr>
          <w:rFonts w:ascii="Calibri" w:eastAsia="Calibri" w:hAnsi="Calibri" w:cs="Times New Roman"/>
          <w:b/>
          <w:bCs/>
          <w:kern w:val="0"/>
          <w:sz w:val="24"/>
          <w:szCs w:val="24"/>
          <w:u w:val="single"/>
          <w14:ligatures w14:val="none"/>
        </w:rPr>
        <w:t>Word Wall:</w:t>
      </w:r>
    </w:p>
    <w:p w14:paraId="6600923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Pedagogical Theory Support:</w:t>
      </w:r>
    </w:p>
    <w:p w14:paraId="3EF588D1" w14:textId="77777777" w:rsidR="005A6B10" w:rsidRPr="005A6B10" w:rsidRDefault="005A6B10" w:rsidP="005A6B10">
      <w:pPr>
        <w:numPr>
          <w:ilvl w:val="0"/>
          <w:numId w:val="7"/>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Word Wall's visual representation of concepts and vocabulary aligns with the principles of constructivism, facilitating active engagement and knowledge construction.</w:t>
      </w:r>
    </w:p>
    <w:p w14:paraId="6C8E8F0B" w14:textId="77777777" w:rsidR="005A6B10" w:rsidRPr="005A6B10" w:rsidRDefault="005A6B10" w:rsidP="005A6B10">
      <w:pPr>
        <w:numPr>
          <w:ilvl w:val="0"/>
          <w:numId w:val="7"/>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Its interactive features promote experiential learning and sensory stimulation, catering to diverse learning styles and preferences.</w:t>
      </w:r>
    </w:p>
    <w:p w14:paraId="34128006" w14:textId="77777777" w:rsidR="005A6B10" w:rsidRPr="005A6B10" w:rsidRDefault="005A6B10" w:rsidP="005A6B10">
      <w:pPr>
        <w:numPr>
          <w:ilvl w:val="0"/>
          <w:numId w:val="7"/>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Word Wall's integration with digital learning platforms allows educators to design interactive lessons that promote active exploration and discovery, supporting constructivist principles such as inquiry-based learning.</w:t>
      </w:r>
    </w:p>
    <w:p w14:paraId="44C636BA"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Innovation and Creativity:</w:t>
      </w:r>
    </w:p>
    <w:p w14:paraId="032E6187" w14:textId="77777777" w:rsidR="005A6B10" w:rsidRPr="005A6B10" w:rsidRDefault="005A6B10" w:rsidP="005A6B10">
      <w:pPr>
        <w:numPr>
          <w:ilvl w:val="0"/>
          <w:numId w:val="8"/>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By encouraging brainstorming and mind mapping, Word Wall promotes creative thinking and collaboration among students.</w:t>
      </w:r>
    </w:p>
    <w:p w14:paraId="2560375C" w14:textId="77777777" w:rsidR="005A6B10" w:rsidRPr="005A6B10" w:rsidRDefault="005A6B10" w:rsidP="005A6B10">
      <w:pPr>
        <w:numPr>
          <w:ilvl w:val="0"/>
          <w:numId w:val="8"/>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The platform's collaborative features enable students to work together to generate ideas, solve problems, and create visually engaging content, fostering a culture of innovation and creativity.</w:t>
      </w:r>
    </w:p>
    <w:p w14:paraId="77388A8E" w14:textId="77777777" w:rsidR="005A6B10" w:rsidRPr="005A6B10" w:rsidRDefault="005A6B10" w:rsidP="005A6B10">
      <w:pPr>
        <w:numPr>
          <w:ilvl w:val="0"/>
          <w:numId w:val="8"/>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Educators can use Word Wall to design interactive activities that promote exploration, experimentation, and discovery, encouraging students to think creatively and express themselves in new and imaginative ways.</w:t>
      </w:r>
    </w:p>
    <w:p w14:paraId="4F285B07"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Professional Practice Integration:</w:t>
      </w:r>
    </w:p>
    <w:p w14:paraId="5A38F5AE" w14:textId="77777777" w:rsidR="005A6B10" w:rsidRPr="005A6B10" w:rsidRDefault="005A6B10" w:rsidP="005A6B10">
      <w:pPr>
        <w:numPr>
          <w:ilvl w:val="0"/>
          <w:numId w:val="9"/>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Incorporating Word Wall into lesson plans supports differentiated instruction by providing customizable activities and assessments.</w:t>
      </w:r>
    </w:p>
    <w:p w14:paraId="563601C1" w14:textId="77777777" w:rsidR="005A6B10" w:rsidRPr="005A6B10" w:rsidRDefault="005A6B10" w:rsidP="005A6B10">
      <w:pPr>
        <w:numPr>
          <w:ilvl w:val="0"/>
          <w:numId w:val="9"/>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Its integration with learning management systems and educational apps enhances instructional efficiency and allows educators to monitor student progress more effectively.</w:t>
      </w:r>
    </w:p>
    <w:p w14:paraId="70EE3861" w14:textId="77777777" w:rsidR="005A6B10" w:rsidRPr="005A6B10" w:rsidRDefault="005A6B10" w:rsidP="005A6B10">
      <w:pPr>
        <w:numPr>
          <w:ilvl w:val="0"/>
          <w:numId w:val="9"/>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Word Wall's compatibility with mobile devices and tablets enables educators to create interactive learning experiences that can be accessed anytime, anywhere, facilitating seamless integration into existing teaching practices.</w:t>
      </w:r>
    </w:p>
    <w:p w14:paraId="7DF5D752" w14:textId="77777777" w:rsidR="005A6B10" w:rsidRPr="005A6B10" w:rsidRDefault="005A6B10" w:rsidP="005A6B10">
      <w:pPr>
        <w:numPr>
          <w:ilvl w:val="0"/>
          <w:numId w:val="9"/>
        </w:numPr>
        <w:spacing w:after="0" w:line="240" w:lineRule="auto"/>
        <w:contextualSpacing/>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The platform's built-in analytics and reporting features enable educators to track student engagement, participation, and progress, providing valuable insights that inform instructional decision-making and support student success.</w:t>
      </w:r>
    </w:p>
    <w:p w14:paraId="5B526F2E" w14:textId="77777777" w:rsidR="005A6B10" w:rsidRPr="005A6B10" w:rsidRDefault="005A6B10" w:rsidP="005A6B10">
      <w:pPr>
        <w:spacing w:after="0" w:line="240" w:lineRule="auto"/>
        <w:ind w:left="720"/>
        <w:contextualSpacing/>
        <w:rPr>
          <w:rFonts w:ascii="Calibri" w:eastAsia="Calibri" w:hAnsi="Calibri" w:cs="Times New Roman"/>
          <w:kern w:val="0"/>
          <w:sz w:val="24"/>
          <w:szCs w:val="24"/>
          <w14:ligatures w14:val="none"/>
        </w:rPr>
      </w:pPr>
    </w:p>
    <w:p w14:paraId="04802470"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In implementing the RAT (Relevance, Appropriateness, Transfer) model, educators can optimize the integration of these tools into their teaching practices:</w:t>
      </w:r>
    </w:p>
    <w:p w14:paraId="43027F4E"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1DAAA07"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Educators can evaluate the integration of digital learning tools like Kahoot, </w:t>
      </w:r>
      <w:proofErr w:type="spellStart"/>
      <w:r w:rsidRPr="005A6B10">
        <w:rPr>
          <w:rFonts w:ascii="Calibri" w:eastAsia="Calibri" w:hAnsi="Calibri" w:cs="Times New Roman"/>
          <w:kern w:val="0"/>
          <w:sz w:val="24"/>
          <w:szCs w:val="24"/>
          <w14:ligatures w14:val="none"/>
        </w:rPr>
        <w:t>Vevox</w:t>
      </w:r>
      <w:proofErr w:type="spellEnd"/>
      <w:r w:rsidRPr="005A6B10">
        <w:rPr>
          <w:rFonts w:ascii="Calibri" w:eastAsia="Calibri" w:hAnsi="Calibri" w:cs="Times New Roman"/>
          <w:kern w:val="0"/>
          <w:sz w:val="24"/>
          <w:szCs w:val="24"/>
          <w14:ligatures w14:val="none"/>
        </w:rPr>
        <w:t>, and Word Wall using the RAT (Replacement, Amplification, Transformation) model:</w:t>
      </w:r>
    </w:p>
    <w:p w14:paraId="4CB9AE7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0A665ECD"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Replacement: In assessing replacement, educators examine whether the digital tools merely substitute traditional teaching methods without significantly altering the learning experience. This involves considering whether Kahoot, </w:t>
      </w:r>
      <w:proofErr w:type="spellStart"/>
      <w:r w:rsidRPr="005A6B10">
        <w:rPr>
          <w:rFonts w:ascii="Calibri" w:eastAsia="Calibri" w:hAnsi="Calibri" w:cs="Times New Roman"/>
          <w:kern w:val="0"/>
          <w:sz w:val="24"/>
          <w:szCs w:val="24"/>
          <w14:ligatures w14:val="none"/>
        </w:rPr>
        <w:t>Vevox</w:t>
      </w:r>
      <w:proofErr w:type="spellEnd"/>
      <w:r w:rsidRPr="005A6B10">
        <w:rPr>
          <w:rFonts w:ascii="Calibri" w:eastAsia="Calibri" w:hAnsi="Calibri" w:cs="Times New Roman"/>
          <w:kern w:val="0"/>
          <w:sz w:val="24"/>
          <w:szCs w:val="24"/>
          <w14:ligatures w14:val="none"/>
        </w:rPr>
        <w:t>, or Word Wall merely replicate existing practices or if they offer added value through their digital format.</w:t>
      </w:r>
    </w:p>
    <w:p w14:paraId="144F9CF7"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4D4575F0"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Amplification: Amplification evaluation involves determining the extent to which these tools enhance existing teaching practices. Educators should look at how Kahoot, </w:t>
      </w:r>
      <w:proofErr w:type="spellStart"/>
      <w:r w:rsidRPr="005A6B10">
        <w:rPr>
          <w:rFonts w:ascii="Calibri" w:eastAsia="Calibri" w:hAnsi="Calibri" w:cs="Times New Roman"/>
          <w:kern w:val="0"/>
          <w:sz w:val="24"/>
          <w:szCs w:val="24"/>
          <w14:ligatures w14:val="none"/>
        </w:rPr>
        <w:t>Vevox</w:t>
      </w:r>
      <w:proofErr w:type="spellEnd"/>
      <w:r w:rsidRPr="005A6B10">
        <w:rPr>
          <w:rFonts w:ascii="Calibri" w:eastAsia="Calibri" w:hAnsi="Calibri" w:cs="Times New Roman"/>
          <w:kern w:val="0"/>
          <w:sz w:val="24"/>
          <w:szCs w:val="24"/>
          <w14:ligatures w14:val="none"/>
        </w:rPr>
        <w:t>, and Word Wall amplify engagement, interaction, and assessment methods compared to traditional approaches. For instance, do they increase student participation, provide immediate feedback, or offer new avenues for collaborative learning?</w:t>
      </w:r>
    </w:p>
    <w:p w14:paraId="7CCA5997"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79DBFB26"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Transformation: Transformation assessment delves into whether the integration of these tools results in transformative changes in teaching and learning paradigms. Educators should evaluate if Kahoot, </w:t>
      </w:r>
      <w:proofErr w:type="spellStart"/>
      <w:r w:rsidRPr="005A6B10">
        <w:rPr>
          <w:rFonts w:ascii="Calibri" w:eastAsia="Calibri" w:hAnsi="Calibri" w:cs="Times New Roman"/>
          <w:kern w:val="0"/>
          <w:sz w:val="24"/>
          <w:szCs w:val="24"/>
          <w14:ligatures w14:val="none"/>
        </w:rPr>
        <w:t>Vevox</w:t>
      </w:r>
      <w:proofErr w:type="spellEnd"/>
      <w:r w:rsidRPr="005A6B10">
        <w:rPr>
          <w:rFonts w:ascii="Calibri" w:eastAsia="Calibri" w:hAnsi="Calibri" w:cs="Times New Roman"/>
          <w:kern w:val="0"/>
          <w:sz w:val="24"/>
          <w:szCs w:val="24"/>
          <w14:ligatures w14:val="none"/>
        </w:rPr>
        <w:t>, and Word Wall foster innovation, creativity, and personalized learning experiences. This includes examining whether they empower students to take ownership of their learning, promote critical thinking skills, and facilitate deeper understanding of concepts.</w:t>
      </w:r>
    </w:p>
    <w:p w14:paraId="073EE668"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1319D22A"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By thoroughly evaluating each tool's integration through the lens of RAT, educators can gain insights into their effectiveness in driving meaningful changes in instructional practices and student outcomes.</w:t>
      </w:r>
    </w:p>
    <w:p w14:paraId="60A05971"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02942922"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Lev Vygotsky's theory of cognitive development, particularly the Zone of Proximal Development, is relevant to the integration of educational these tools. Vygotsky emphasized the importance of social interaction and scaffolding in learning. These tools, by promoting interaction, feedback, and collaboration among students, align with Vygotsky's ideas. Kahoot's gamification principles can engage students in social learning experiences, akin to Vygotsky's emphasis on social interaction. </w:t>
      </w:r>
      <w:proofErr w:type="spellStart"/>
      <w:r w:rsidRPr="005A6B10">
        <w:rPr>
          <w:rFonts w:ascii="Calibri" w:eastAsia="Calibri" w:hAnsi="Calibri" w:cs="Times New Roman"/>
          <w:kern w:val="0"/>
          <w:sz w:val="24"/>
          <w:szCs w:val="24"/>
          <w14:ligatures w14:val="none"/>
        </w:rPr>
        <w:t>Vevox's</w:t>
      </w:r>
      <w:proofErr w:type="spellEnd"/>
      <w:r w:rsidRPr="005A6B10">
        <w:rPr>
          <w:rFonts w:ascii="Calibri" w:eastAsia="Calibri" w:hAnsi="Calibri" w:cs="Times New Roman"/>
          <w:kern w:val="0"/>
          <w:sz w:val="24"/>
          <w:szCs w:val="24"/>
          <w14:ligatures w14:val="none"/>
        </w:rPr>
        <w:t xml:space="preserve"> real-time interaction and feedback features support students' learning within their ZPD, allowing for scaffolded learning experiences. Word Wall's visual representation of concepts and collaborative features encourage peer interaction, mirroring Vygotsky's view of learning as a social activity. Integrating these tools effectively involves aligning them with Vygotsky's theories to optimize student learning outcomes.</w:t>
      </w:r>
    </w:p>
    <w:p w14:paraId="12566E9A" w14:textId="77777777" w:rsidR="00DD7D80" w:rsidRDefault="00DD7D80" w:rsidP="00DD7D80">
      <w:pPr>
        <w:spacing w:after="0" w:line="240" w:lineRule="auto"/>
        <w:jc w:val="center"/>
        <w:rPr>
          <w:rFonts w:ascii="Calibri" w:eastAsia="Calibri" w:hAnsi="Calibri" w:cs="Times New Roman"/>
          <w:b/>
          <w:bCs/>
          <w:kern w:val="0"/>
          <w:sz w:val="24"/>
          <w:szCs w:val="24"/>
          <w:u w:val="single"/>
          <w14:ligatures w14:val="none"/>
        </w:rPr>
      </w:pPr>
    </w:p>
    <w:p w14:paraId="148F647F" w14:textId="32E4E5F3" w:rsidR="005A6B10" w:rsidRPr="005A6B10" w:rsidRDefault="005A6B10" w:rsidP="00DD7D80">
      <w:pPr>
        <w:spacing w:after="0" w:line="240" w:lineRule="auto"/>
        <w:jc w:val="center"/>
        <w:rPr>
          <w:rFonts w:ascii="Calibri" w:eastAsia="Calibri" w:hAnsi="Calibri" w:cs="Times New Roman"/>
          <w:b/>
          <w:bCs/>
          <w:kern w:val="0"/>
          <w:sz w:val="24"/>
          <w:szCs w:val="24"/>
          <w:u w:val="single"/>
          <w14:ligatures w14:val="none"/>
        </w:rPr>
      </w:pPr>
      <w:r w:rsidRPr="00DD7D80">
        <w:rPr>
          <w:rFonts w:ascii="Calibri" w:eastAsia="Calibri" w:hAnsi="Calibri" w:cs="Times New Roman"/>
          <w:b/>
          <w:bCs/>
          <w:kern w:val="0"/>
          <w:sz w:val="24"/>
          <w:szCs w:val="24"/>
          <w:highlight w:val="magenta"/>
          <w:u w:val="single"/>
          <w14:ligatures w14:val="none"/>
        </w:rPr>
        <w:t xml:space="preserve">Application of the </w:t>
      </w:r>
      <w:proofErr w:type="spellStart"/>
      <w:r w:rsidR="00471D03" w:rsidRPr="00DD7D80">
        <w:rPr>
          <w:rFonts w:ascii="Calibri" w:eastAsia="Calibri" w:hAnsi="Calibri" w:cs="Times New Roman"/>
          <w:b/>
          <w:bCs/>
          <w:kern w:val="0"/>
          <w:sz w:val="24"/>
          <w:szCs w:val="24"/>
          <w:highlight w:val="magenta"/>
          <w:u w:val="single"/>
          <w14:ligatures w14:val="none"/>
        </w:rPr>
        <w:t>Blooket</w:t>
      </w:r>
      <w:proofErr w:type="spellEnd"/>
      <w:r w:rsidR="00471D03" w:rsidRPr="00DD7D80">
        <w:rPr>
          <w:rFonts w:ascii="Calibri" w:eastAsia="Calibri" w:hAnsi="Calibri" w:cs="Times New Roman"/>
          <w:b/>
          <w:bCs/>
          <w:kern w:val="0"/>
          <w:sz w:val="24"/>
          <w:szCs w:val="24"/>
          <w:highlight w:val="magenta"/>
          <w:u w:val="single"/>
          <w14:ligatures w14:val="none"/>
        </w:rPr>
        <w:t xml:space="preserve"> as </w:t>
      </w:r>
      <w:r w:rsidRPr="00DD7D80">
        <w:rPr>
          <w:rFonts w:ascii="Calibri" w:eastAsia="Calibri" w:hAnsi="Calibri" w:cs="Times New Roman"/>
          <w:b/>
          <w:bCs/>
          <w:kern w:val="0"/>
          <w:sz w:val="24"/>
          <w:szCs w:val="24"/>
          <w:highlight w:val="magenta"/>
          <w:u w:val="single"/>
          <w14:ligatures w14:val="none"/>
        </w:rPr>
        <w:t xml:space="preserve">learning </w:t>
      </w:r>
      <w:proofErr w:type="spellStart"/>
      <w:r w:rsidRPr="00DD7D80">
        <w:rPr>
          <w:rFonts w:ascii="Calibri" w:eastAsia="Calibri" w:hAnsi="Calibri" w:cs="Times New Roman"/>
          <w:b/>
          <w:bCs/>
          <w:kern w:val="0"/>
          <w:sz w:val="24"/>
          <w:szCs w:val="24"/>
          <w:highlight w:val="magenta"/>
          <w:u w:val="single"/>
          <w14:ligatures w14:val="none"/>
        </w:rPr>
        <w:t>tool</w:t>
      </w:r>
      <w:r w:rsidR="00DD7D80" w:rsidRPr="00DD7D80">
        <w:rPr>
          <w:rFonts w:ascii="Calibri" w:eastAsia="Calibri" w:hAnsi="Calibri" w:cs="Times New Roman"/>
          <w:b/>
          <w:bCs/>
          <w:kern w:val="0"/>
          <w:sz w:val="24"/>
          <w:szCs w:val="24"/>
          <w:highlight w:val="magenta"/>
          <w:u w:val="single"/>
          <w14:ligatures w14:val="none"/>
        </w:rPr>
        <w:t>and</w:t>
      </w:r>
      <w:proofErr w:type="spellEnd"/>
      <w:r w:rsidR="00DD7D80" w:rsidRPr="00DD7D80">
        <w:rPr>
          <w:rFonts w:ascii="Calibri" w:eastAsia="Calibri" w:hAnsi="Calibri" w:cs="Times New Roman"/>
          <w:b/>
          <w:bCs/>
          <w:kern w:val="0"/>
          <w:sz w:val="24"/>
          <w:szCs w:val="24"/>
          <w:highlight w:val="magenta"/>
          <w:u w:val="single"/>
          <w14:ligatures w14:val="none"/>
        </w:rPr>
        <w:t xml:space="preserve"> What’s app as supportive tool</w:t>
      </w:r>
      <w:r w:rsidRPr="00DD7D80">
        <w:rPr>
          <w:rFonts w:ascii="Calibri" w:eastAsia="Calibri" w:hAnsi="Calibri" w:cs="Times New Roman"/>
          <w:b/>
          <w:bCs/>
          <w:kern w:val="0"/>
          <w:sz w:val="24"/>
          <w:szCs w:val="24"/>
          <w:highlight w:val="magenta"/>
          <w:u w:val="single"/>
          <w14:ligatures w14:val="none"/>
        </w:rPr>
        <w:t>:</w:t>
      </w:r>
    </w:p>
    <w:p w14:paraId="5C0F0676"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p>
    <w:p w14:paraId="7AE9F4D3" w14:textId="77777777" w:rsidR="00C21735" w:rsidRDefault="00C21735" w:rsidP="005A6B10">
      <w:pPr>
        <w:spacing w:after="0" w:line="240" w:lineRule="auto"/>
        <w:rPr>
          <w:rFonts w:ascii="Calibri" w:eastAsia="Calibri" w:hAnsi="Calibri" w:cs="Times New Roman"/>
          <w:kern w:val="0"/>
          <w:sz w:val="24"/>
          <w:szCs w:val="24"/>
          <w14:ligatures w14:val="none"/>
        </w:rPr>
      </w:pPr>
    </w:p>
    <w:p w14:paraId="34D14240" w14:textId="17123822" w:rsidR="00DD7D80" w:rsidRDefault="00DD7D8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noProof/>
          <w:kern w:val="0"/>
          <w:sz w:val="24"/>
          <w:szCs w:val="24"/>
          <w14:ligatures w14:val="none"/>
        </w:rPr>
        <w:drawing>
          <wp:anchor distT="0" distB="0" distL="114300" distR="114300" simplePos="0" relativeHeight="251659264" behindDoc="1" locked="0" layoutInCell="1" allowOverlap="1" wp14:anchorId="0F35A388" wp14:editId="4706D7EB">
            <wp:simplePos x="0" y="0"/>
            <wp:positionH relativeFrom="column">
              <wp:posOffset>15240</wp:posOffset>
            </wp:positionH>
            <wp:positionV relativeFrom="paragraph">
              <wp:posOffset>3175</wp:posOffset>
            </wp:positionV>
            <wp:extent cx="2312670" cy="1446530"/>
            <wp:effectExtent l="0" t="0" r="0" b="1270"/>
            <wp:wrapTight wrapText="bothSides">
              <wp:wrapPolygon edited="0">
                <wp:start x="0" y="0"/>
                <wp:lineTo x="0" y="21335"/>
                <wp:lineTo x="21351" y="21335"/>
                <wp:lineTo x="21351" y="0"/>
                <wp:lineTo x="0" y="0"/>
              </wp:wrapPolygon>
            </wp:wrapTight>
            <wp:docPr id="1869933926" name="Picture 19" descr="A computer screen with a few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33926" name="Picture 19" descr="A computer screen with a few icon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2670" cy="1446530"/>
                    </a:xfrm>
                    <a:prstGeom prst="rect">
                      <a:avLst/>
                    </a:prstGeom>
                    <a:noFill/>
                    <a:ln>
                      <a:noFill/>
                    </a:ln>
                  </pic:spPr>
                </pic:pic>
              </a:graphicData>
            </a:graphic>
            <wp14:sizeRelH relativeFrom="page">
              <wp14:pctWidth>0</wp14:pctWidth>
            </wp14:sizeRelH>
            <wp14:sizeRelV relativeFrom="page">
              <wp14:pctHeight>0</wp14:pctHeight>
            </wp14:sizeRelV>
          </wp:anchor>
        </w:drawing>
      </w:r>
      <w:r w:rsidR="005A6B10" w:rsidRPr="005A6B10">
        <w:rPr>
          <w:rFonts w:ascii="Calibri" w:eastAsia="Calibri" w:hAnsi="Calibri" w:cs="Times New Roman"/>
          <w:kern w:val="0"/>
          <w:sz w:val="24"/>
          <w:szCs w:val="24"/>
          <w14:ligatures w14:val="none"/>
        </w:rPr>
        <w:t xml:space="preserve">Objective: My purpose in selecting this tool was to </w:t>
      </w:r>
    </w:p>
    <w:p w14:paraId="0C927F96" w14:textId="25040D6D" w:rsidR="007D7B00" w:rsidRDefault="00C21735" w:rsidP="005A6B10">
      <w:pPr>
        <w:spacing w:after="0" w:line="240" w:lineRule="auto"/>
        <w:rPr>
          <w:rFonts w:ascii="Calibri" w:eastAsia="Calibri" w:hAnsi="Calibri" w:cs="Times New Roman"/>
          <w:b/>
          <w:bCs/>
          <w:kern w:val="0"/>
          <w:sz w:val="24"/>
          <w:szCs w:val="24"/>
          <w:u w:val="single"/>
          <w14:ligatures w14:val="none"/>
        </w:rPr>
      </w:pPr>
      <w:r w:rsidRPr="005A6B10">
        <w:rPr>
          <w:rFonts w:ascii="Calibri" w:eastAsia="Calibri" w:hAnsi="Calibri" w:cs="Times New Roman"/>
          <w:noProof/>
          <w:kern w:val="0"/>
          <w:sz w:val="24"/>
          <w:szCs w:val="24"/>
          <w14:ligatures w14:val="none"/>
        </w:rPr>
        <w:drawing>
          <wp:anchor distT="0" distB="0" distL="114300" distR="114300" simplePos="0" relativeHeight="251660288" behindDoc="1" locked="0" layoutInCell="1" allowOverlap="1" wp14:anchorId="7C84B71B" wp14:editId="6998B9C9">
            <wp:simplePos x="0" y="0"/>
            <wp:positionH relativeFrom="margin">
              <wp:posOffset>14018</wp:posOffset>
            </wp:positionH>
            <wp:positionV relativeFrom="paragraph">
              <wp:posOffset>2546568</wp:posOffset>
            </wp:positionV>
            <wp:extent cx="2147570" cy="1461770"/>
            <wp:effectExtent l="0" t="0" r="5080" b="5080"/>
            <wp:wrapTight wrapText="bothSides">
              <wp:wrapPolygon edited="0">
                <wp:start x="0" y="0"/>
                <wp:lineTo x="0" y="21394"/>
                <wp:lineTo x="21459" y="21394"/>
                <wp:lineTo x="21459" y="0"/>
                <wp:lineTo x="0" y="0"/>
              </wp:wrapPolygon>
            </wp:wrapTight>
            <wp:docPr id="1397623979" name="Picture 18" descr="A computer screen with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7516" name="Picture 18" descr="A computer screen with a computer screen&#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47570" cy="1461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6B10">
        <w:rPr>
          <w:rFonts w:ascii="Calibri" w:eastAsia="Calibri" w:hAnsi="Calibri" w:cs="Times New Roman"/>
          <w:noProof/>
          <w:kern w:val="0"/>
          <w:sz w:val="24"/>
          <w:szCs w:val="24"/>
          <w14:ligatures w14:val="none"/>
        </w:rPr>
        <w:drawing>
          <wp:anchor distT="0" distB="0" distL="114300" distR="114300" simplePos="0" relativeHeight="251661312" behindDoc="1" locked="0" layoutInCell="1" allowOverlap="1" wp14:anchorId="3F107E87" wp14:editId="0BB45566">
            <wp:simplePos x="0" y="0"/>
            <wp:positionH relativeFrom="margin">
              <wp:align>right</wp:align>
            </wp:positionH>
            <wp:positionV relativeFrom="paragraph">
              <wp:posOffset>842389</wp:posOffset>
            </wp:positionV>
            <wp:extent cx="2203450" cy="1377315"/>
            <wp:effectExtent l="0" t="0" r="6350" b="0"/>
            <wp:wrapTight wrapText="bothSides">
              <wp:wrapPolygon edited="0">
                <wp:start x="0" y="0"/>
                <wp:lineTo x="0" y="21212"/>
                <wp:lineTo x="21476" y="21212"/>
                <wp:lineTo x="21476" y="0"/>
                <wp:lineTo x="0" y="0"/>
              </wp:wrapPolygon>
            </wp:wrapTight>
            <wp:docPr id="479064660" name="Picture 16" descr="A computer screen with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64660" name="Picture 16" descr="A computer screen with a computer screen&#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3450" cy="1377315"/>
                    </a:xfrm>
                    <a:prstGeom prst="rect">
                      <a:avLst/>
                    </a:prstGeom>
                    <a:noFill/>
                    <a:ln>
                      <a:noFill/>
                    </a:ln>
                  </pic:spPr>
                </pic:pic>
              </a:graphicData>
            </a:graphic>
            <wp14:sizeRelH relativeFrom="page">
              <wp14:pctWidth>0</wp14:pctWidth>
            </wp14:sizeRelH>
            <wp14:sizeRelV relativeFrom="page">
              <wp14:pctHeight>0</wp14:pctHeight>
            </wp14:sizeRelV>
          </wp:anchor>
        </w:drawing>
      </w:r>
      <w:r w:rsidR="005A6B10" w:rsidRPr="005A6B10">
        <w:rPr>
          <w:rFonts w:ascii="Calibri" w:eastAsia="Calibri" w:hAnsi="Calibri" w:cs="Times New Roman"/>
          <w:kern w:val="0"/>
          <w:sz w:val="24"/>
          <w:szCs w:val="24"/>
          <w14:ligatures w14:val="none"/>
        </w:rPr>
        <w:t xml:space="preserve">specifically enrich the comprehension of word meanings in a thoroughly enjoyable manner. By </w:t>
      </w:r>
      <w:r>
        <w:rPr>
          <w:rFonts w:ascii="Calibri" w:eastAsia="Calibri" w:hAnsi="Calibri" w:cs="Times New Roman"/>
          <w:kern w:val="0"/>
          <w:sz w:val="24"/>
          <w:szCs w:val="24"/>
          <w14:ligatures w14:val="none"/>
        </w:rPr>
        <w:t xml:space="preserve">   </w:t>
      </w:r>
      <w:r w:rsidR="005A6B10" w:rsidRPr="005A6B10">
        <w:rPr>
          <w:rFonts w:ascii="Calibri" w:eastAsia="Calibri" w:hAnsi="Calibri" w:cs="Times New Roman"/>
          <w:kern w:val="0"/>
          <w:sz w:val="24"/>
          <w:szCs w:val="24"/>
          <w14:ligatures w14:val="none"/>
        </w:rPr>
        <w:t>harnessing the power of gamification, it metamorphoses what could potentially be perceived as a mundane task into an exhilarating journey of exploration and expertise. As participants immerse themselves in this captivating gaming experience, they not only encounter a plethora of new words but also deepen their understanding through practical application within various contexts. Each level within the game offers a golden opportunity to expand one's vocabulary while simultaneously reinforcing comprehension through interactive challenges and quizzes. By instilling a profound sense of accomplishment and advancement, this innovative approach inspires learners to actively immerse themselves in the material, cultivating a genuine enthusiasm for language acquisition. Through the seamless fusion of gaming mechanics and educational content, this digital learning tool heralds a paradigm shift in our approach to language learning, rendering it both remarkably effective and undeniably</w:t>
      </w:r>
      <w:r w:rsidR="005A6B10" w:rsidRPr="005A6B10">
        <w:rPr>
          <w:rFonts w:ascii="Calibri" w:eastAsia="Calibri" w:hAnsi="Calibri" w:cs="Times New Roman"/>
          <w:b/>
          <w:bCs/>
          <w:kern w:val="0"/>
          <w:sz w:val="24"/>
          <w:szCs w:val="24"/>
          <w:u w:val="single"/>
          <w14:ligatures w14:val="none"/>
        </w:rPr>
        <w:t xml:space="preserve"> </w:t>
      </w:r>
      <w:r w:rsidR="005A6B10" w:rsidRPr="007D7B00">
        <w:rPr>
          <w:rFonts w:ascii="Calibri" w:eastAsia="Calibri" w:hAnsi="Calibri" w:cs="Times New Roman"/>
          <w:kern w:val="0"/>
          <w:sz w:val="24"/>
          <w:szCs w:val="24"/>
          <w14:ligatures w14:val="none"/>
        </w:rPr>
        <w:t>entertaining.</w:t>
      </w:r>
      <w:r w:rsidR="007D7B00" w:rsidRPr="007D7B00">
        <w:rPr>
          <w:rFonts w:ascii="Calibri" w:eastAsia="Calibri" w:hAnsi="Calibri" w:cs="Times New Roman"/>
          <w:b/>
          <w:bCs/>
          <w:kern w:val="0"/>
          <w:sz w:val="24"/>
          <w:szCs w:val="24"/>
          <w:u w:val="single"/>
          <w14:ligatures w14:val="none"/>
        </w:rPr>
        <w:t xml:space="preserve"> </w:t>
      </w:r>
    </w:p>
    <w:p w14:paraId="451B091E" w14:textId="77777777" w:rsidR="001C10DD" w:rsidRDefault="001C10DD" w:rsidP="005A6B10">
      <w:pPr>
        <w:spacing w:after="0" w:line="240" w:lineRule="auto"/>
        <w:rPr>
          <w:rFonts w:ascii="Calibri" w:eastAsia="Calibri" w:hAnsi="Calibri" w:cs="Times New Roman"/>
          <w:b/>
          <w:bCs/>
          <w:kern w:val="0"/>
          <w:sz w:val="24"/>
          <w:szCs w:val="24"/>
          <w:u w:val="single"/>
          <w14:ligatures w14:val="none"/>
        </w:rPr>
      </w:pPr>
    </w:p>
    <w:p w14:paraId="49797FBD" w14:textId="77777777" w:rsidR="001C10DD" w:rsidRPr="007D7B00" w:rsidRDefault="001C10DD" w:rsidP="005A6B10">
      <w:pPr>
        <w:spacing w:after="0" w:line="240" w:lineRule="auto"/>
        <w:rPr>
          <w:rFonts w:ascii="Calibri" w:eastAsia="Calibri" w:hAnsi="Calibri" w:cs="Times New Roman"/>
          <w:b/>
          <w:bCs/>
          <w:kern w:val="0"/>
          <w:sz w:val="24"/>
          <w:szCs w:val="24"/>
          <w:u w:val="single"/>
          <w14:ligatures w14:val="none"/>
        </w:rPr>
      </w:pPr>
    </w:p>
    <w:p w14:paraId="7761AC69" w14:textId="77777777" w:rsidR="007D7B00" w:rsidRDefault="007D7B00" w:rsidP="005A6B10">
      <w:pPr>
        <w:spacing w:after="0" w:line="240" w:lineRule="auto"/>
        <w:rPr>
          <w:rFonts w:ascii="Calibri" w:eastAsia="Calibri" w:hAnsi="Calibri" w:cs="Times New Roman"/>
          <w:b/>
          <w:bCs/>
          <w:kern w:val="0"/>
          <w:sz w:val="24"/>
          <w:szCs w:val="24"/>
          <w:u w:val="single"/>
          <w14:ligatures w14:val="none"/>
        </w:rPr>
      </w:pPr>
    </w:p>
    <w:p w14:paraId="192C4D6E" w14:textId="6B35509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r w:rsidRPr="007D7B00">
        <w:rPr>
          <w:rFonts w:ascii="Calibri" w:eastAsia="Calibri" w:hAnsi="Calibri" w:cs="Times New Roman"/>
          <w:b/>
          <w:bCs/>
          <w:kern w:val="0"/>
          <w:sz w:val="24"/>
          <w:szCs w:val="24"/>
          <w:highlight w:val="magenta"/>
          <w:u w:val="single"/>
          <w14:ligatures w14:val="none"/>
        </w:rPr>
        <w:t>Methodology:</w:t>
      </w:r>
      <w:r w:rsidRPr="005A6B10">
        <w:rPr>
          <w:rFonts w:ascii="Calibri" w:eastAsia="Calibri" w:hAnsi="Calibri" w:cs="Times New Roman"/>
          <w:b/>
          <w:bCs/>
          <w:kern w:val="0"/>
          <w:sz w:val="24"/>
          <w:szCs w:val="24"/>
          <w14:ligatures w14:val="none"/>
        </w:rPr>
        <w:t xml:space="preserve">                             </w:t>
      </w:r>
    </w:p>
    <w:p w14:paraId="53A327C3"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p>
    <w:p w14:paraId="35394386"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r w:rsidRPr="005A6B10">
        <w:rPr>
          <w:rFonts w:ascii="Calibri" w:eastAsia="Calibri" w:hAnsi="Calibri" w:cs="Times New Roman"/>
          <w:noProof/>
          <w:kern w:val="0"/>
          <w:sz w:val="24"/>
          <w:szCs w:val="24"/>
          <w14:ligatures w14:val="none"/>
        </w:rPr>
        <w:t xml:space="preserve">         </w:t>
      </w:r>
    </w:p>
    <w:p w14:paraId="55BCA275" w14:textId="77777777" w:rsidR="007D7B0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 prepared my set of questions and uploaded them into the app. To upload my set of questions, I needed to create my account as a teacher. My objective was to teach word meanings to the participants and send them a link to join, so I used WhatsApp messaging to inform them about game timings. Every time I invited people to play this game, I had to manage the days according to the participants' availability. Most people were free to play on Saturday, and since participants were from different countries, I had to consider different time zones as well. After discussing with everyone, the timings were set for 10 AM UK time and 2 PM Pakistan time. </w:t>
      </w:r>
    </w:p>
    <w:p w14:paraId="2A12BDE0" w14:textId="77777777" w:rsidR="007D7B00" w:rsidRDefault="007D7B00" w:rsidP="005A6B10">
      <w:pPr>
        <w:spacing w:after="0" w:line="240" w:lineRule="auto"/>
        <w:rPr>
          <w:rFonts w:ascii="Calibri" w:eastAsia="Calibri" w:hAnsi="Calibri" w:cs="Times New Roman"/>
          <w:kern w:val="0"/>
          <w:sz w:val="24"/>
          <w:szCs w:val="24"/>
          <w14:ligatures w14:val="none"/>
        </w:rPr>
      </w:pPr>
    </w:p>
    <w:p w14:paraId="69A1566F" w14:textId="01A42B7F" w:rsidR="007D7B00" w:rsidRDefault="007D7B0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noProof/>
          <w:kern w:val="0"/>
          <w:sz w:val="24"/>
          <w:szCs w:val="24"/>
          <w14:ligatures w14:val="none"/>
        </w:rPr>
        <w:drawing>
          <wp:inline distT="0" distB="0" distL="0" distR="0" wp14:anchorId="00534A46" wp14:editId="16550379">
            <wp:extent cx="2052739" cy="2212126"/>
            <wp:effectExtent l="0" t="0" r="5080" b="0"/>
            <wp:docPr id="1682858616"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858616" name="Picture 23" descr="A screenshot of a cell phon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739" cy="2212126"/>
                    </a:xfrm>
                    <a:prstGeom prst="rect">
                      <a:avLst/>
                    </a:prstGeom>
                    <a:noFill/>
                    <a:ln>
                      <a:noFill/>
                    </a:ln>
                  </pic:spPr>
                </pic:pic>
              </a:graphicData>
            </a:graphic>
          </wp:inline>
        </w:drawing>
      </w:r>
      <w:r>
        <w:rPr>
          <w:rFonts w:ascii="Calibri" w:eastAsia="Calibri" w:hAnsi="Calibri" w:cs="Times New Roman"/>
          <w:kern w:val="0"/>
          <w:sz w:val="24"/>
          <w:szCs w:val="24"/>
          <w14:ligatures w14:val="none"/>
        </w:rPr>
        <w:t xml:space="preserve">            </w:t>
      </w:r>
      <w:r w:rsidRPr="005A6B10">
        <w:rPr>
          <w:rFonts w:ascii="Calibri" w:eastAsia="Calibri" w:hAnsi="Calibri" w:cs="Times New Roman"/>
          <w:noProof/>
          <w:kern w:val="0"/>
          <w:sz w:val="24"/>
          <w:szCs w:val="24"/>
          <w14:ligatures w14:val="none"/>
        </w:rPr>
        <w:drawing>
          <wp:inline distT="0" distB="0" distL="0" distR="0" wp14:anchorId="3EC2F9A0" wp14:editId="38108210">
            <wp:extent cx="1979195" cy="2234461"/>
            <wp:effectExtent l="0" t="0" r="2540" b="0"/>
            <wp:docPr id="1709570386" name="Picture 2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70386" name="Picture 24" descr="A screenshot of a phon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85776" cy="2241891"/>
                    </a:xfrm>
                    <a:prstGeom prst="rect">
                      <a:avLst/>
                    </a:prstGeom>
                    <a:noFill/>
                    <a:ln>
                      <a:noFill/>
                    </a:ln>
                  </pic:spPr>
                </pic:pic>
              </a:graphicData>
            </a:graphic>
          </wp:inline>
        </w:drawing>
      </w:r>
      <w:r>
        <w:rPr>
          <w:rFonts w:ascii="Calibri" w:eastAsia="Calibri" w:hAnsi="Calibri" w:cs="Times New Roman"/>
          <w:kern w:val="0"/>
          <w:sz w:val="24"/>
          <w:szCs w:val="24"/>
          <w14:ligatures w14:val="none"/>
        </w:rPr>
        <w:t xml:space="preserve">  </w:t>
      </w:r>
    </w:p>
    <w:p w14:paraId="0D0ADB89" w14:textId="2D208761" w:rsidR="007D7B00" w:rsidRDefault="007D7B00" w:rsidP="005A6B10">
      <w:pPr>
        <w:spacing w:after="0" w:line="240" w:lineRule="auto"/>
        <w:rPr>
          <w:rFonts w:ascii="Calibri" w:eastAsia="Calibri" w:hAnsi="Calibri" w:cs="Times New Roman"/>
          <w:kern w:val="0"/>
          <w:sz w:val="24"/>
          <w:szCs w:val="24"/>
          <w14:ligatures w14:val="none"/>
        </w:rPr>
      </w:pPr>
    </w:p>
    <w:p w14:paraId="0A67ACD7" w14:textId="77777777" w:rsidR="007D7B00" w:rsidRDefault="007D7B00" w:rsidP="005A6B10">
      <w:pPr>
        <w:spacing w:after="0" w:line="240" w:lineRule="auto"/>
        <w:rPr>
          <w:rFonts w:ascii="Calibri" w:eastAsia="Calibri" w:hAnsi="Calibri" w:cs="Times New Roman"/>
          <w:kern w:val="0"/>
          <w:sz w:val="24"/>
          <w:szCs w:val="24"/>
          <w14:ligatures w14:val="none"/>
        </w:rPr>
      </w:pPr>
    </w:p>
    <w:p w14:paraId="2DF51999" w14:textId="77777777" w:rsidR="007D7B00" w:rsidRDefault="007D7B00" w:rsidP="005A6B10">
      <w:pPr>
        <w:spacing w:after="0" w:line="240" w:lineRule="auto"/>
        <w:rPr>
          <w:rFonts w:ascii="Calibri" w:eastAsia="Calibri" w:hAnsi="Calibri" w:cs="Times New Roman"/>
          <w:kern w:val="0"/>
          <w:sz w:val="24"/>
          <w:szCs w:val="24"/>
          <w14:ligatures w14:val="none"/>
        </w:rPr>
      </w:pPr>
    </w:p>
    <w:p w14:paraId="6119BCBB" w14:textId="77777777" w:rsidR="00677EB6"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After finalizing the timings, I created a WhatsApp broadcast group so that everyone would receive the information simultaneously about the game, including the timings, motivating messages to encourage their participation, and sharing screenshots of gaming results so everyone could see the scores and their progress.</w:t>
      </w:r>
      <w:r w:rsidR="00677EB6">
        <w:rPr>
          <w:rFonts w:ascii="Calibri" w:eastAsia="Calibri" w:hAnsi="Calibri" w:cs="Times New Roman"/>
          <w:kern w:val="0"/>
          <w:sz w:val="24"/>
          <w:szCs w:val="24"/>
          <w14:ligatures w14:val="none"/>
        </w:rPr>
        <w:t xml:space="preserve">  </w:t>
      </w:r>
    </w:p>
    <w:p w14:paraId="44AEAC1B" w14:textId="023F711F" w:rsidR="00677EB6" w:rsidRDefault="00677EB6" w:rsidP="005A6B10">
      <w:pPr>
        <w:spacing w:after="0" w:line="240" w:lineRule="auto"/>
        <w:rPr>
          <w:rFonts w:ascii="Calibri" w:eastAsia="Calibri" w:hAnsi="Calibri" w:cs="Times New Roman"/>
          <w:kern w:val="0"/>
          <w:sz w:val="24"/>
          <w:szCs w:val="24"/>
          <w14:ligatures w14:val="none"/>
        </w:rPr>
      </w:pPr>
    </w:p>
    <w:p w14:paraId="6695B3F6" w14:textId="0F42FF5B" w:rsidR="005A6B10" w:rsidRPr="005A6B10" w:rsidRDefault="00A369DC" w:rsidP="005A6B10">
      <w:pPr>
        <w:spacing w:after="0" w:line="240" w:lineRule="auto"/>
        <w:rPr>
          <w:rFonts w:ascii="Calibri" w:eastAsia="Calibri" w:hAnsi="Calibri" w:cs="Times New Roman"/>
          <w:kern w:val="0"/>
          <w:sz w:val="24"/>
          <w:szCs w:val="24"/>
          <w14:ligatures w14:val="none"/>
        </w:rPr>
      </w:pPr>
      <w:r w:rsidRPr="00A369DC">
        <w:rPr>
          <w:rFonts w:ascii="Calibri" w:eastAsia="Calibri" w:hAnsi="Calibri" w:cs="Times New Roman"/>
          <w:noProof/>
          <w:kern w:val="0"/>
          <w:sz w:val="24"/>
          <w:szCs w:val="24"/>
          <w:lang w:eastAsia="en-GB"/>
          <w14:ligatures w14:val="none"/>
        </w:rPr>
        <w:drawing>
          <wp:anchor distT="0" distB="0" distL="114300" distR="114300" simplePos="0" relativeHeight="251668480" behindDoc="1" locked="0" layoutInCell="1" allowOverlap="1" wp14:anchorId="3A84C18A" wp14:editId="269F9677">
            <wp:simplePos x="0" y="0"/>
            <wp:positionH relativeFrom="margin">
              <wp:align>left</wp:align>
            </wp:positionH>
            <wp:positionV relativeFrom="paragraph">
              <wp:posOffset>5171</wp:posOffset>
            </wp:positionV>
            <wp:extent cx="1774657" cy="1183640"/>
            <wp:effectExtent l="0" t="0" r="0" b="0"/>
            <wp:wrapTight wrapText="bothSides">
              <wp:wrapPolygon edited="0">
                <wp:start x="0" y="0"/>
                <wp:lineTo x="0" y="21206"/>
                <wp:lineTo x="21337" y="21206"/>
                <wp:lineTo x="21337" y="0"/>
                <wp:lineTo x="0" y="0"/>
              </wp:wrapPolygon>
            </wp:wrapTight>
            <wp:docPr id="1549948215" name="Picture 1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33822" name="Picture 12" descr="A screen 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4657" cy="1183640"/>
                    </a:xfrm>
                    <a:prstGeom prst="rect">
                      <a:avLst/>
                    </a:prstGeom>
                    <a:noFill/>
                    <a:ln>
                      <a:noFill/>
                    </a:ln>
                  </pic:spPr>
                </pic:pic>
              </a:graphicData>
            </a:graphic>
            <wp14:sizeRelH relativeFrom="page">
              <wp14:pctWidth>0</wp14:pctWidth>
            </wp14:sizeRelH>
            <wp14:sizeRelV relativeFrom="page">
              <wp14:pctHeight>0</wp14:pctHeight>
            </wp14:sizeRelV>
          </wp:anchor>
        </w:drawing>
      </w:r>
      <w:r w:rsidR="005A6B10" w:rsidRPr="005A6B10">
        <w:rPr>
          <w:rFonts w:ascii="Calibri" w:eastAsia="Calibri" w:hAnsi="Calibri" w:cs="Times New Roman"/>
          <w:noProof/>
          <w:kern w:val="0"/>
          <w:sz w:val="24"/>
          <w:szCs w:val="24"/>
          <w14:ligatures w14:val="none"/>
        </w:rPr>
        <w:drawing>
          <wp:anchor distT="0" distB="0" distL="114300" distR="114300" simplePos="0" relativeHeight="251665408" behindDoc="1" locked="0" layoutInCell="1" allowOverlap="1" wp14:anchorId="0F32D5ED" wp14:editId="3CAA72D8">
            <wp:simplePos x="0" y="0"/>
            <wp:positionH relativeFrom="column">
              <wp:posOffset>1944370</wp:posOffset>
            </wp:positionH>
            <wp:positionV relativeFrom="paragraph">
              <wp:posOffset>-635</wp:posOffset>
            </wp:positionV>
            <wp:extent cx="1773555" cy="1165860"/>
            <wp:effectExtent l="0" t="0" r="0" b="0"/>
            <wp:wrapTight wrapText="bothSides">
              <wp:wrapPolygon edited="0">
                <wp:start x="0" y="0"/>
                <wp:lineTo x="0" y="21176"/>
                <wp:lineTo x="21345" y="21176"/>
                <wp:lineTo x="21345" y="0"/>
                <wp:lineTo x="0" y="0"/>
              </wp:wrapPolygon>
            </wp:wrapTight>
            <wp:docPr id="216284968" name="Picture 2"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84968" name="Picture 2" descr="A screenshot of a gam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3555"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00677EB6">
        <w:rPr>
          <w:rFonts w:ascii="Calibri" w:eastAsia="Calibri" w:hAnsi="Calibri" w:cs="Times New Roman"/>
          <w:kern w:val="0"/>
          <w:sz w:val="24"/>
          <w:szCs w:val="24"/>
          <w14:ligatures w14:val="none"/>
        </w:rPr>
        <w:t xml:space="preserve"> </w:t>
      </w:r>
      <w:r w:rsidR="005A6B10" w:rsidRPr="005A6B10">
        <w:rPr>
          <w:rFonts w:ascii="Calibri" w:eastAsia="Calibri" w:hAnsi="Calibri" w:cs="Times New Roman"/>
          <w:kern w:val="0"/>
          <w:sz w:val="24"/>
          <w:szCs w:val="24"/>
          <w14:ligatures w14:val="none"/>
        </w:rPr>
        <w:t xml:space="preserve">As we had decided </w:t>
      </w:r>
      <w:r w:rsidR="001C10DD">
        <w:rPr>
          <w:rFonts w:ascii="Calibri" w:eastAsia="Calibri" w:hAnsi="Calibri" w:cs="Times New Roman"/>
          <w:kern w:val="0"/>
          <w:sz w:val="24"/>
          <w:szCs w:val="24"/>
          <w14:ligatures w14:val="none"/>
        </w:rPr>
        <w:t xml:space="preserve">what day we are going to </w:t>
      </w:r>
      <w:r>
        <w:rPr>
          <w:rFonts w:ascii="Calibri" w:eastAsia="Calibri" w:hAnsi="Calibri" w:cs="Times New Roman"/>
          <w:kern w:val="0"/>
          <w:sz w:val="24"/>
          <w:szCs w:val="24"/>
          <w14:ligatures w14:val="none"/>
        </w:rPr>
        <w:t>play,</w:t>
      </w:r>
      <w:r w:rsidR="005A6B10" w:rsidRPr="005A6B10">
        <w:rPr>
          <w:rFonts w:ascii="Calibri" w:eastAsia="Calibri" w:hAnsi="Calibri" w:cs="Times New Roman"/>
          <w:kern w:val="0"/>
          <w:sz w:val="24"/>
          <w:szCs w:val="24"/>
          <w14:ligatures w14:val="none"/>
        </w:rPr>
        <w:t xml:space="preserve"> I reminded everyone by messaging in the group and occasionally calling individuals to ensure they knew the games had begun. Each participant accessed the game by searching for </w:t>
      </w:r>
      <w:proofErr w:type="spellStart"/>
      <w:r w:rsidR="005A6B10" w:rsidRPr="005A6B10">
        <w:rPr>
          <w:rFonts w:ascii="Calibri" w:eastAsia="Calibri" w:hAnsi="Calibri" w:cs="Times New Roman"/>
          <w:kern w:val="0"/>
          <w:sz w:val="24"/>
          <w:szCs w:val="24"/>
          <w14:ligatures w14:val="none"/>
        </w:rPr>
        <w:t>Blooket</w:t>
      </w:r>
      <w:proofErr w:type="spellEnd"/>
      <w:r w:rsidR="005A6B10" w:rsidRPr="005A6B10">
        <w:rPr>
          <w:rFonts w:ascii="Calibri" w:eastAsia="Calibri" w:hAnsi="Calibri" w:cs="Times New Roman"/>
          <w:kern w:val="0"/>
          <w:sz w:val="24"/>
          <w:szCs w:val="24"/>
          <w14:ligatures w14:val="none"/>
        </w:rPr>
        <w:t xml:space="preserve"> on Google and inputting the game ID provided by me. The game then automatically generated a code, which I shared with everyone to join the game, ensuring that all participants were part of the same group. After entering the code into their </w:t>
      </w:r>
      <w:proofErr w:type="spellStart"/>
      <w:r w:rsidR="005A6B10" w:rsidRPr="005A6B10">
        <w:rPr>
          <w:rFonts w:ascii="Calibri" w:eastAsia="Calibri" w:hAnsi="Calibri" w:cs="Times New Roman"/>
          <w:kern w:val="0"/>
          <w:sz w:val="24"/>
          <w:szCs w:val="24"/>
          <w14:ligatures w14:val="none"/>
        </w:rPr>
        <w:t>Blooket</w:t>
      </w:r>
      <w:proofErr w:type="spellEnd"/>
      <w:r w:rsidR="005A6B10" w:rsidRPr="005A6B10">
        <w:rPr>
          <w:rFonts w:ascii="Calibri" w:eastAsia="Calibri" w:hAnsi="Calibri" w:cs="Times New Roman"/>
          <w:kern w:val="0"/>
          <w:sz w:val="24"/>
          <w:szCs w:val="24"/>
          <w14:ligatures w14:val="none"/>
        </w:rPr>
        <w:t xml:space="preserve"> screens, participants selected their names. As they joined the game, their presence appeared on my screen, which I captured with a screenshot and shared in the group chat so that everyone could see who was participating.</w:t>
      </w:r>
    </w:p>
    <w:p w14:paraId="1825CFE4"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6C8430A8" w14:textId="77777777" w:rsidR="001C10DD"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lastRenderedPageBreak/>
        <w:t>I chose this tool because of its simplicity and my belief that learning is more effective and engaging when it's enjoyable. Since my participants were families, it served as a delightful activity where both children and parents could learn while playing games. To progress to new levels, participants needed to answer questions correctly, maintaining a certain percentage. Incorrect answers prevented them from advancing, motivating them to practice in their free time to memorize the answers for future games. This technique significantly contributed to achieving my goal of teaching the meanings of various words effectively.</w:t>
      </w:r>
    </w:p>
    <w:p w14:paraId="7DA52A67" w14:textId="46F97ED9"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noProof/>
          <w:kern w:val="0"/>
          <w:sz w:val="24"/>
          <w:szCs w:val="24"/>
          <w14:ligatures w14:val="none"/>
        </w:rPr>
        <w:drawing>
          <wp:anchor distT="0" distB="0" distL="114300" distR="114300" simplePos="0" relativeHeight="251662336" behindDoc="1" locked="0" layoutInCell="1" allowOverlap="1" wp14:anchorId="41966375" wp14:editId="73C0D006">
            <wp:simplePos x="0" y="0"/>
            <wp:positionH relativeFrom="column">
              <wp:posOffset>1270</wp:posOffset>
            </wp:positionH>
            <wp:positionV relativeFrom="paragraph">
              <wp:posOffset>1298575</wp:posOffset>
            </wp:positionV>
            <wp:extent cx="2380615" cy="2688590"/>
            <wp:effectExtent l="0" t="0" r="635" b="0"/>
            <wp:wrapTight wrapText="bothSides">
              <wp:wrapPolygon edited="0">
                <wp:start x="0" y="0"/>
                <wp:lineTo x="0" y="21427"/>
                <wp:lineTo x="21433" y="21427"/>
                <wp:lineTo x="21433" y="0"/>
                <wp:lineTo x="0" y="0"/>
              </wp:wrapPolygon>
            </wp:wrapTight>
            <wp:docPr id="1105695321" name="Picture 25" descr="A screenshot of a video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10093" name="Picture 25" descr="A screenshot of a video cha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80615" cy="2688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58A3AF"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 utilized WhatsApp as a tool to motivate them to join for the new levels and games. I carefully curated a selection of interesting and exciting games to maximize the fun factor. While some participants played individually, others engaged as a whole family. However, it was evident that not all participants were equally adept at the games, prompting them to collaborate and assist each other in navigating through the questions. This collaborative effort, coupled with dedication and perseverance, enabled me to effectively teach and engage numerous individuals, ensuring they enjoyed the learning process. This </w:t>
      </w:r>
      <w:proofErr w:type="spellStart"/>
      <w:r w:rsidRPr="005A6B10">
        <w:rPr>
          <w:rFonts w:ascii="Calibri" w:eastAsia="Calibri" w:hAnsi="Calibri" w:cs="Times New Roman"/>
          <w:kern w:val="0"/>
          <w:sz w:val="24"/>
          <w:szCs w:val="24"/>
          <w14:ligatures w14:val="none"/>
        </w:rPr>
        <w:t>endeavor</w:t>
      </w:r>
      <w:proofErr w:type="spellEnd"/>
      <w:r w:rsidRPr="005A6B10">
        <w:rPr>
          <w:rFonts w:ascii="Calibri" w:eastAsia="Calibri" w:hAnsi="Calibri" w:cs="Times New Roman"/>
          <w:kern w:val="0"/>
          <w:sz w:val="24"/>
          <w:szCs w:val="24"/>
          <w14:ligatures w14:val="none"/>
        </w:rPr>
        <w:t xml:space="preserve"> provided me with the opportunity to educate not only my own family but also friends of the family and my personal acquaintances.</w:t>
      </w:r>
    </w:p>
    <w:p w14:paraId="178C4A91"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7C1555EB"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In terms of activity, I applied the tools to engage with more than 15 participants. As participants began joining the game, their presence was visible on my screen, allowing me to track their participation. Given that it was a timed activity, previously discussed during the teaching sessions, all participants were aware that joining the game promptly was essential to participate. Occasionally, participants requested to replay the same activity, showcasing their enthusiasm and engagement. At times, as depicted in the screenshots, up to 9 or 10 participants would join the game simultaneously.</w:t>
      </w:r>
    </w:p>
    <w:p w14:paraId="598E0FE1"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3A042027" w14:textId="5DC9A723"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As illustrated on the screen, the questions would appear, requiring participants to read and answer them correctly to progress to the next level. This interactive and engaging format ensured active participation and reinforced learning objectives effectively.</w:t>
      </w:r>
    </w:p>
    <w:p w14:paraId="4B5243D8" w14:textId="41C5D4F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 </w:t>
      </w:r>
    </w:p>
    <w:p w14:paraId="0F45D1A0" w14:textId="77777777" w:rsidR="00A369DC" w:rsidRDefault="00A369DC" w:rsidP="005A6B10">
      <w:pPr>
        <w:spacing w:after="0" w:line="240" w:lineRule="auto"/>
        <w:rPr>
          <w:rFonts w:ascii="Calibri" w:eastAsia="Calibri" w:hAnsi="Calibri" w:cs="Times New Roman"/>
          <w:kern w:val="0"/>
          <w:sz w:val="24"/>
          <w:szCs w:val="24"/>
          <w14:ligatures w14:val="none"/>
        </w:rPr>
      </w:pPr>
    </w:p>
    <w:p w14:paraId="62652A8E" w14:textId="77777777" w:rsidR="00A369DC" w:rsidRDefault="00A369DC" w:rsidP="005A6B10">
      <w:pPr>
        <w:spacing w:after="0" w:line="240" w:lineRule="auto"/>
        <w:rPr>
          <w:rFonts w:ascii="Calibri" w:eastAsia="Calibri" w:hAnsi="Calibri" w:cs="Times New Roman"/>
          <w:kern w:val="0"/>
          <w:sz w:val="24"/>
          <w:szCs w:val="24"/>
          <w14:ligatures w14:val="none"/>
        </w:rPr>
      </w:pPr>
    </w:p>
    <w:p w14:paraId="4FA53516" w14:textId="77777777" w:rsidR="00A369DC" w:rsidRDefault="00A369DC" w:rsidP="005A6B10">
      <w:pPr>
        <w:spacing w:after="0" w:line="240" w:lineRule="auto"/>
        <w:rPr>
          <w:rFonts w:ascii="Calibri" w:eastAsia="Calibri" w:hAnsi="Calibri" w:cs="Times New Roman"/>
          <w:kern w:val="0"/>
          <w:sz w:val="24"/>
          <w:szCs w:val="24"/>
          <w14:ligatures w14:val="none"/>
        </w:rPr>
      </w:pPr>
    </w:p>
    <w:p w14:paraId="63739320" w14:textId="77777777" w:rsidR="00A369DC" w:rsidRDefault="00A369DC" w:rsidP="005A6B10">
      <w:pPr>
        <w:spacing w:after="0" w:line="240" w:lineRule="auto"/>
        <w:rPr>
          <w:rFonts w:ascii="Calibri" w:eastAsia="Calibri" w:hAnsi="Calibri" w:cs="Times New Roman"/>
          <w:kern w:val="0"/>
          <w:sz w:val="24"/>
          <w:szCs w:val="24"/>
          <w14:ligatures w14:val="none"/>
        </w:rPr>
      </w:pPr>
    </w:p>
    <w:p w14:paraId="58A7F38A" w14:textId="31416988" w:rsidR="005A6B10" w:rsidRPr="005A6B10" w:rsidRDefault="00A369DC" w:rsidP="005A6B10">
      <w:pPr>
        <w:spacing w:after="0" w:line="240" w:lineRule="auto"/>
        <w:rPr>
          <w:rFonts w:ascii="Calibri" w:eastAsia="Calibri" w:hAnsi="Calibri" w:cs="Times New Roman"/>
          <w:kern w:val="0"/>
          <w:sz w:val="24"/>
          <w:szCs w:val="24"/>
          <w14:ligatures w14:val="none"/>
        </w:rPr>
      </w:pPr>
      <w:r w:rsidRPr="00A369DC">
        <w:rPr>
          <w:rFonts w:ascii="Calibri" w:eastAsia="Calibri" w:hAnsi="Calibri" w:cs="Times New Roman"/>
          <w:noProof/>
          <w:kern w:val="0"/>
          <w:sz w:val="24"/>
          <w:szCs w:val="24"/>
          <w:lang w:eastAsia="en-GB"/>
          <w14:ligatures w14:val="none"/>
        </w:rPr>
        <w:drawing>
          <wp:anchor distT="0" distB="0" distL="114300" distR="114300" simplePos="0" relativeHeight="251666432" behindDoc="1" locked="0" layoutInCell="1" allowOverlap="1" wp14:anchorId="357A481F" wp14:editId="359E6B13">
            <wp:simplePos x="0" y="0"/>
            <wp:positionH relativeFrom="column">
              <wp:posOffset>726</wp:posOffset>
            </wp:positionH>
            <wp:positionV relativeFrom="paragraph">
              <wp:posOffset>-2540</wp:posOffset>
            </wp:positionV>
            <wp:extent cx="2163403" cy="1216645"/>
            <wp:effectExtent l="0" t="0" r="8890" b="3175"/>
            <wp:wrapTight wrapText="bothSides">
              <wp:wrapPolygon edited="0">
                <wp:start x="0" y="0"/>
                <wp:lineTo x="0" y="21318"/>
                <wp:lineTo x="21499" y="21318"/>
                <wp:lineTo x="21499" y="0"/>
                <wp:lineTo x="0" y="0"/>
              </wp:wrapPolygon>
            </wp:wrapTight>
            <wp:docPr id="453162700" name="Picture 1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62700" name="Picture 14" descr="A screenshot of a video gam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63403" cy="1216645"/>
                    </a:xfrm>
                    <a:prstGeom prst="rect">
                      <a:avLst/>
                    </a:prstGeom>
                    <a:noFill/>
                    <a:ln>
                      <a:noFill/>
                    </a:ln>
                  </pic:spPr>
                </pic:pic>
              </a:graphicData>
            </a:graphic>
            <wp14:sizeRelH relativeFrom="page">
              <wp14:pctWidth>0</wp14:pctWidth>
            </wp14:sizeRelH>
            <wp14:sizeRelV relativeFrom="page">
              <wp14:pctHeight>0</wp14:pctHeight>
            </wp14:sizeRelV>
          </wp:anchor>
        </w:drawing>
      </w:r>
      <w:r w:rsidR="005A6B10" w:rsidRPr="005A6B10">
        <w:rPr>
          <w:rFonts w:ascii="Calibri" w:eastAsia="Calibri" w:hAnsi="Calibri" w:cs="Times New Roman"/>
          <w:kern w:val="0"/>
          <w:sz w:val="24"/>
          <w:szCs w:val="24"/>
          <w14:ligatures w14:val="none"/>
        </w:rPr>
        <w:t xml:space="preserve">In the top-right corner of the interface, a dynamic display showcased the performance of each participant in real-time, offering a comprehensive overview of their progress throughout the game. This interactive feature injected an additional layer of excitement and competitiveness into the activity, as participants eagerly monitored their standings and strategized to improve their scores. Moreover, it fostered a sense of friendly rivalry among the players, despite their lack of personal acquaintance. Throughout the game, there was a palpable sense of anticipation as participants </w:t>
      </w:r>
      <w:r w:rsidR="005A6B10" w:rsidRPr="005A6B10">
        <w:rPr>
          <w:rFonts w:ascii="Calibri" w:eastAsia="Calibri" w:hAnsi="Calibri" w:cs="Times New Roman"/>
          <w:kern w:val="0"/>
          <w:sz w:val="24"/>
          <w:szCs w:val="24"/>
          <w14:ligatures w14:val="none"/>
        </w:rPr>
        <w:lastRenderedPageBreak/>
        <w:t xml:space="preserve">eagerly awaited updates on the current leader's identity, adding a thrilling element of suspense and intrigue to the experience. This dynamic aspect of the game not only heightened the overall enjoyment and engagement but also nurtured a profound sense of connection and community among the participants, transcending geographical boundaries and bridging gaps of unfamiliarity.       </w:t>
      </w:r>
    </w:p>
    <w:p w14:paraId="3E36CD40"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76CDB1A"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145DF421" w14:textId="77777777" w:rsidR="00A369DC" w:rsidRDefault="005A6B10" w:rsidP="005A6B10">
      <w:pPr>
        <w:spacing w:after="0" w:line="240" w:lineRule="auto"/>
        <w:rPr>
          <w:rFonts w:ascii="Calibri" w:eastAsia="Calibri" w:hAnsi="Calibri" w:cs="Times New Roman"/>
          <w:noProof/>
          <w:kern w:val="0"/>
          <w:sz w:val="24"/>
          <w:szCs w:val="24"/>
          <w14:ligatures w14:val="none"/>
        </w:rPr>
      </w:pPr>
      <w:r w:rsidRPr="005A6B10">
        <w:rPr>
          <w:rFonts w:ascii="Calibri" w:eastAsia="Calibri" w:hAnsi="Calibri" w:cs="Times New Roman"/>
          <w:noProof/>
          <w:kern w:val="0"/>
          <w:sz w:val="24"/>
          <w:szCs w:val="24"/>
          <w14:ligatures w14:val="none"/>
        </w:rPr>
        <w:t xml:space="preserve"> </w:t>
      </w:r>
      <w:r w:rsidR="00677EB6">
        <w:rPr>
          <w:rFonts w:ascii="Calibri" w:eastAsia="Calibri" w:hAnsi="Calibri" w:cs="Times New Roman"/>
          <w:noProof/>
          <w:kern w:val="0"/>
          <w:sz w:val="24"/>
          <w:szCs w:val="24"/>
          <w14:ligatures w14:val="none"/>
        </w:rPr>
        <w:t xml:space="preserve">  </w:t>
      </w:r>
      <w:r w:rsidRPr="005A6B10">
        <w:rPr>
          <w:rFonts w:ascii="Calibri" w:eastAsia="Calibri" w:hAnsi="Calibri" w:cs="Times New Roman"/>
          <w:noProof/>
          <w:kern w:val="0"/>
          <w:sz w:val="24"/>
          <w:szCs w:val="24"/>
          <w14:ligatures w14:val="none"/>
        </w:rPr>
        <w:t xml:space="preserve"> </w:t>
      </w:r>
      <w:r w:rsidR="00A369DC" w:rsidRPr="005A6B10">
        <w:rPr>
          <w:rFonts w:ascii="Calibri" w:eastAsia="Calibri" w:hAnsi="Calibri" w:cs="Times New Roman"/>
          <w:noProof/>
          <w:kern w:val="0"/>
          <w:sz w:val="24"/>
          <w:szCs w:val="24"/>
          <w14:ligatures w14:val="none"/>
        </w:rPr>
        <w:drawing>
          <wp:inline distT="0" distB="0" distL="0" distR="0" wp14:anchorId="3D9A78B2" wp14:editId="6A1521F3">
            <wp:extent cx="2104222" cy="1183363"/>
            <wp:effectExtent l="0" t="0" r="0" b="0"/>
            <wp:docPr id="132595737" name="Picture 1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5737" name="Picture 11" descr="A screenshot of a video gam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2215" cy="1199106"/>
                    </a:xfrm>
                    <a:prstGeom prst="rect">
                      <a:avLst/>
                    </a:prstGeom>
                    <a:noFill/>
                    <a:ln>
                      <a:noFill/>
                    </a:ln>
                  </pic:spPr>
                </pic:pic>
              </a:graphicData>
            </a:graphic>
          </wp:inline>
        </w:drawing>
      </w:r>
      <w:r w:rsidR="00677EB6">
        <w:rPr>
          <w:rFonts w:ascii="Calibri" w:eastAsia="Calibri" w:hAnsi="Calibri" w:cs="Times New Roman"/>
          <w:noProof/>
          <w:kern w:val="0"/>
          <w:sz w:val="24"/>
          <w:szCs w:val="24"/>
          <w14:ligatures w14:val="none"/>
        </w:rPr>
        <w:t xml:space="preserve">  </w:t>
      </w:r>
      <w:r w:rsidRPr="005A6B10">
        <w:rPr>
          <w:rFonts w:ascii="Calibri" w:eastAsia="Calibri" w:hAnsi="Calibri" w:cs="Times New Roman"/>
          <w:noProof/>
          <w:kern w:val="0"/>
          <w:sz w:val="24"/>
          <w:szCs w:val="24"/>
          <w14:ligatures w14:val="none"/>
        </w:rPr>
        <w:t xml:space="preserve">      </w:t>
      </w:r>
      <w:r w:rsidR="00A369DC">
        <w:rPr>
          <w:rFonts w:ascii="Calibri" w:eastAsia="Calibri" w:hAnsi="Calibri" w:cs="Times New Roman"/>
          <w:noProof/>
          <w:kern w:val="0"/>
          <w:sz w:val="24"/>
          <w:szCs w:val="24"/>
          <w14:ligatures w14:val="none"/>
        </w:rPr>
        <w:t xml:space="preserve"> </w:t>
      </w:r>
      <w:r w:rsidRPr="005A6B10">
        <w:rPr>
          <w:rFonts w:ascii="Calibri" w:eastAsia="Calibri" w:hAnsi="Calibri" w:cs="Times New Roman"/>
          <w:noProof/>
          <w:kern w:val="0"/>
          <w:sz w:val="24"/>
          <w:szCs w:val="24"/>
          <w14:ligatures w14:val="none"/>
        </w:rPr>
        <w:drawing>
          <wp:inline distT="0" distB="0" distL="0" distR="0" wp14:anchorId="16A808DD" wp14:editId="6245BBA4">
            <wp:extent cx="2175510" cy="1195070"/>
            <wp:effectExtent l="0" t="0" r="0" b="5080"/>
            <wp:docPr id="1721194687"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94687" name="Picture 10"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06912" cy="1212320"/>
                    </a:xfrm>
                    <a:prstGeom prst="rect">
                      <a:avLst/>
                    </a:prstGeom>
                    <a:noFill/>
                    <a:ln>
                      <a:noFill/>
                    </a:ln>
                  </pic:spPr>
                </pic:pic>
              </a:graphicData>
            </a:graphic>
          </wp:inline>
        </w:drawing>
      </w:r>
      <w:r w:rsidRPr="005A6B10">
        <w:rPr>
          <w:rFonts w:ascii="Calibri" w:eastAsia="Calibri" w:hAnsi="Calibri" w:cs="Times New Roman"/>
          <w:noProof/>
          <w:kern w:val="0"/>
          <w:sz w:val="24"/>
          <w:szCs w:val="24"/>
          <w14:ligatures w14:val="none"/>
        </w:rPr>
        <w:t xml:space="preserve"> </w:t>
      </w:r>
      <w:r w:rsidR="00677EB6">
        <w:rPr>
          <w:rFonts w:ascii="Calibri" w:eastAsia="Calibri" w:hAnsi="Calibri" w:cs="Times New Roman"/>
          <w:noProof/>
          <w:kern w:val="0"/>
          <w:sz w:val="24"/>
          <w:szCs w:val="24"/>
          <w14:ligatures w14:val="none"/>
        </w:rPr>
        <w:t xml:space="preserve">   </w:t>
      </w:r>
    </w:p>
    <w:p w14:paraId="78668F73" w14:textId="77777777" w:rsidR="00A369DC" w:rsidRDefault="00A369DC" w:rsidP="005A6B10">
      <w:pPr>
        <w:spacing w:after="0" w:line="240" w:lineRule="auto"/>
        <w:rPr>
          <w:rFonts w:ascii="Calibri" w:eastAsia="Calibri" w:hAnsi="Calibri" w:cs="Times New Roman"/>
          <w:noProof/>
          <w:kern w:val="0"/>
          <w:sz w:val="24"/>
          <w:szCs w:val="24"/>
          <w14:ligatures w14:val="none"/>
        </w:rPr>
      </w:pPr>
    </w:p>
    <w:p w14:paraId="5F978E3E" w14:textId="77777777" w:rsidR="00A369DC" w:rsidRDefault="00677EB6" w:rsidP="005A6B10">
      <w:pPr>
        <w:spacing w:after="0" w:line="240" w:lineRule="auto"/>
        <w:rPr>
          <w:rFonts w:ascii="Calibri" w:eastAsia="Calibri" w:hAnsi="Calibri" w:cs="Times New Roman"/>
          <w:noProof/>
          <w:kern w:val="0"/>
          <w:sz w:val="24"/>
          <w:szCs w:val="24"/>
          <w14:ligatures w14:val="none"/>
        </w:rPr>
      </w:pPr>
      <w:r>
        <w:rPr>
          <w:rFonts w:ascii="Calibri" w:eastAsia="Calibri" w:hAnsi="Calibri" w:cs="Times New Roman"/>
          <w:noProof/>
          <w:kern w:val="0"/>
          <w:sz w:val="24"/>
          <w:szCs w:val="24"/>
          <w14:ligatures w14:val="none"/>
        </w:rPr>
        <w:t xml:space="preserve">       </w:t>
      </w:r>
      <w:r w:rsidRPr="005A6B10">
        <w:rPr>
          <w:rFonts w:ascii="Calibri" w:eastAsia="Calibri" w:hAnsi="Calibri" w:cs="Times New Roman"/>
          <w:noProof/>
          <w:kern w:val="0"/>
          <w:sz w:val="24"/>
          <w:szCs w:val="24"/>
          <w14:ligatures w14:val="none"/>
        </w:rPr>
        <w:drawing>
          <wp:inline distT="0" distB="0" distL="0" distR="0" wp14:anchorId="5A5E4517" wp14:editId="6D8D7385">
            <wp:extent cx="2142781" cy="1205047"/>
            <wp:effectExtent l="0" t="0" r="0" b="0"/>
            <wp:docPr id="148597633" name="Picture 9"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97633" name="Picture 9" descr="A screenshot of a gam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86770" cy="1229785"/>
                    </a:xfrm>
                    <a:prstGeom prst="rect">
                      <a:avLst/>
                    </a:prstGeom>
                    <a:noFill/>
                    <a:ln>
                      <a:noFill/>
                    </a:ln>
                  </pic:spPr>
                </pic:pic>
              </a:graphicData>
            </a:graphic>
          </wp:inline>
        </w:drawing>
      </w:r>
      <w:r>
        <w:rPr>
          <w:rFonts w:ascii="Calibri" w:eastAsia="Calibri" w:hAnsi="Calibri" w:cs="Times New Roman"/>
          <w:noProof/>
          <w:kern w:val="0"/>
          <w:sz w:val="24"/>
          <w:szCs w:val="24"/>
          <w14:ligatures w14:val="none"/>
        </w:rPr>
        <w:t xml:space="preserve">  </w:t>
      </w:r>
      <w:r w:rsidR="00A369DC">
        <w:rPr>
          <w:rFonts w:ascii="Calibri" w:eastAsia="Calibri" w:hAnsi="Calibri" w:cs="Times New Roman"/>
          <w:noProof/>
          <w:kern w:val="0"/>
          <w:sz w:val="24"/>
          <w:szCs w:val="24"/>
          <w14:ligatures w14:val="none"/>
        </w:rPr>
        <w:t xml:space="preserve"> </w:t>
      </w:r>
      <w:r w:rsidR="005A6B10" w:rsidRPr="005A6B10">
        <w:rPr>
          <w:rFonts w:ascii="Calibri" w:eastAsia="Calibri" w:hAnsi="Calibri" w:cs="Times New Roman"/>
          <w:noProof/>
          <w:kern w:val="0"/>
          <w:sz w:val="24"/>
          <w:szCs w:val="24"/>
          <w14:ligatures w14:val="none"/>
        </w:rPr>
        <w:t xml:space="preserve"> </w:t>
      </w:r>
      <w:r>
        <w:rPr>
          <w:rFonts w:ascii="Calibri" w:eastAsia="Calibri" w:hAnsi="Calibri" w:cs="Times New Roman"/>
          <w:noProof/>
          <w:kern w:val="0"/>
          <w:sz w:val="24"/>
          <w:szCs w:val="24"/>
          <w14:ligatures w14:val="none"/>
        </w:rPr>
        <w:t xml:space="preserve"> </w:t>
      </w:r>
      <w:r w:rsidRPr="005A6B10">
        <w:rPr>
          <w:rFonts w:ascii="Calibri" w:eastAsia="Calibri" w:hAnsi="Calibri" w:cs="Times New Roman"/>
          <w:noProof/>
          <w:kern w:val="0"/>
          <w:sz w:val="24"/>
          <w:szCs w:val="24"/>
          <w14:ligatures w14:val="none"/>
        </w:rPr>
        <w:drawing>
          <wp:inline distT="0" distB="0" distL="0" distR="0" wp14:anchorId="237B7FF1" wp14:editId="1BDA8B50">
            <wp:extent cx="2080115" cy="1256866"/>
            <wp:effectExtent l="0" t="0" r="0" b="635"/>
            <wp:docPr id="16127435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74351" name="Picture 3" descr="A screenshot of a compute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30966" cy="1287592"/>
                    </a:xfrm>
                    <a:prstGeom prst="rect">
                      <a:avLst/>
                    </a:prstGeom>
                    <a:noFill/>
                    <a:ln>
                      <a:noFill/>
                    </a:ln>
                  </pic:spPr>
                </pic:pic>
              </a:graphicData>
            </a:graphic>
          </wp:inline>
        </w:drawing>
      </w:r>
      <w:r>
        <w:rPr>
          <w:rFonts w:ascii="Calibri" w:eastAsia="Calibri" w:hAnsi="Calibri" w:cs="Times New Roman"/>
          <w:noProof/>
          <w:kern w:val="0"/>
          <w:sz w:val="24"/>
          <w:szCs w:val="24"/>
          <w14:ligatures w14:val="none"/>
        </w:rPr>
        <w:t xml:space="preserve">  </w:t>
      </w:r>
    </w:p>
    <w:p w14:paraId="5C7F5A62" w14:textId="77777777" w:rsidR="00A369DC" w:rsidRDefault="00A369DC" w:rsidP="005A6B10">
      <w:pPr>
        <w:spacing w:after="0" w:line="240" w:lineRule="auto"/>
        <w:rPr>
          <w:rFonts w:ascii="Calibri" w:eastAsia="Calibri" w:hAnsi="Calibri" w:cs="Times New Roman"/>
          <w:noProof/>
          <w:kern w:val="0"/>
          <w:sz w:val="24"/>
          <w:szCs w:val="24"/>
          <w14:ligatures w14:val="none"/>
        </w:rPr>
      </w:pPr>
    </w:p>
    <w:p w14:paraId="1B266AAE" w14:textId="488E29D5" w:rsidR="005A6B10" w:rsidRPr="005A6B10" w:rsidRDefault="00677EB6"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noProof/>
          <w:kern w:val="0"/>
          <w:sz w:val="24"/>
          <w:szCs w:val="24"/>
          <w14:ligatures w14:val="none"/>
        </w:rPr>
        <w:drawing>
          <wp:anchor distT="0" distB="0" distL="114300" distR="114300" simplePos="0" relativeHeight="251669504" behindDoc="1" locked="0" layoutInCell="1" allowOverlap="1" wp14:anchorId="116D8FE2" wp14:editId="1D9E3582">
            <wp:simplePos x="0" y="0"/>
            <wp:positionH relativeFrom="column">
              <wp:posOffset>278130</wp:posOffset>
            </wp:positionH>
            <wp:positionV relativeFrom="paragraph">
              <wp:posOffset>-1270</wp:posOffset>
            </wp:positionV>
            <wp:extent cx="2016760" cy="1273175"/>
            <wp:effectExtent l="0" t="0" r="2540" b="3175"/>
            <wp:wrapTight wrapText="bothSides">
              <wp:wrapPolygon edited="0">
                <wp:start x="0" y="0"/>
                <wp:lineTo x="0" y="21331"/>
                <wp:lineTo x="21423" y="21331"/>
                <wp:lineTo x="21423" y="0"/>
                <wp:lineTo x="0" y="0"/>
              </wp:wrapPolygon>
            </wp:wrapTight>
            <wp:docPr id="1792807617"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07617" name="Picture 1" descr="A screenshot of a gam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16760" cy="127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6B10" w:rsidRPr="005A6B10">
        <w:rPr>
          <w:rFonts w:ascii="Calibri" w:eastAsia="Calibri" w:hAnsi="Calibri" w:cs="Times New Roman"/>
          <w:kern w:val="0"/>
          <w:sz w:val="24"/>
          <w:szCs w:val="24"/>
          <w14:ligatures w14:val="none"/>
        </w:rPr>
        <w:t xml:space="preserve">Here are some pictures showcasing various game results that I would regularly share with the WhatsApp group chat. This practice served </w:t>
      </w:r>
      <w:r w:rsidR="001B53E2" w:rsidRPr="005A6B10">
        <w:rPr>
          <w:rFonts w:ascii="Calibri" w:eastAsia="Calibri" w:hAnsi="Calibri" w:cs="Times New Roman"/>
          <w:kern w:val="0"/>
          <w:sz w:val="24"/>
          <w:szCs w:val="24"/>
          <w14:ligatures w14:val="none"/>
        </w:rPr>
        <w:t>to</w:t>
      </w:r>
      <w:r w:rsidR="005A6B10" w:rsidRPr="005A6B10">
        <w:rPr>
          <w:rFonts w:ascii="Calibri" w:eastAsia="Calibri" w:hAnsi="Calibri" w:cs="Times New Roman"/>
          <w:kern w:val="0"/>
          <w:sz w:val="24"/>
          <w:szCs w:val="24"/>
          <w14:ligatures w14:val="none"/>
        </w:rPr>
        <w:t xml:space="preserve"> inspire participants to engage more actively and concentrate on the questions, with the goal of achieving victory in subsequent rounds. Alongside these snapshots, I also provided glimpses of the leaderboard, fostering a sense of competition and camaraderie among participants as they tracked their progress throughout the games.</w:t>
      </w:r>
    </w:p>
    <w:p w14:paraId="2BD74B0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2EA12F9" w14:textId="77777777" w:rsidR="00A369DC" w:rsidRDefault="00A369DC" w:rsidP="005A6B10">
      <w:pPr>
        <w:spacing w:after="0" w:line="240" w:lineRule="auto"/>
        <w:rPr>
          <w:rFonts w:ascii="Calibri" w:eastAsia="Calibri" w:hAnsi="Calibri" w:cs="Times New Roman"/>
          <w:b/>
          <w:bCs/>
          <w:kern w:val="0"/>
          <w:sz w:val="24"/>
          <w:szCs w:val="24"/>
          <w:highlight w:val="magenta"/>
          <w:u w:val="single"/>
          <w14:ligatures w14:val="none"/>
        </w:rPr>
      </w:pPr>
    </w:p>
    <w:p w14:paraId="1477869B" w14:textId="77777777" w:rsidR="00A369DC" w:rsidRDefault="00A369DC" w:rsidP="005A6B10">
      <w:pPr>
        <w:spacing w:after="0" w:line="240" w:lineRule="auto"/>
        <w:rPr>
          <w:rFonts w:ascii="Calibri" w:eastAsia="Calibri" w:hAnsi="Calibri" w:cs="Times New Roman"/>
          <w:b/>
          <w:bCs/>
          <w:kern w:val="0"/>
          <w:sz w:val="24"/>
          <w:szCs w:val="24"/>
          <w:highlight w:val="magenta"/>
          <w:u w:val="single"/>
          <w14:ligatures w14:val="none"/>
        </w:rPr>
      </w:pPr>
    </w:p>
    <w:p w14:paraId="7D657599" w14:textId="08E6AC95"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r w:rsidRPr="00034465">
        <w:rPr>
          <w:rFonts w:ascii="Calibri" w:eastAsia="Calibri" w:hAnsi="Calibri" w:cs="Times New Roman"/>
          <w:b/>
          <w:bCs/>
          <w:kern w:val="0"/>
          <w:sz w:val="24"/>
          <w:szCs w:val="24"/>
          <w:highlight w:val="magenta"/>
          <w:u w:val="single"/>
          <w14:ligatures w14:val="none"/>
        </w:rPr>
        <w:t>Evaluation and Reflection</w:t>
      </w:r>
    </w:p>
    <w:p w14:paraId="385D61AC"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p>
    <w:p w14:paraId="44CF8AD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690D9A31"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Both the Kolb cycle and the Gibbs Reflective Cycle offer valuable frameworks for </w:t>
      </w:r>
      <w:proofErr w:type="spellStart"/>
      <w:r w:rsidRPr="005A6B10">
        <w:rPr>
          <w:rFonts w:ascii="Calibri" w:eastAsia="Calibri" w:hAnsi="Calibri" w:cs="Times New Roman"/>
          <w:kern w:val="0"/>
          <w:sz w:val="24"/>
          <w:szCs w:val="24"/>
          <w14:ligatures w14:val="none"/>
        </w:rPr>
        <w:t>analyzing</w:t>
      </w:r>
      <w:proofErr w:type="spellEnd"/>
      <w:r w:rsidRPr="005A6B10">
        <w:rPr>
          <w:rFonts w:ascii="Calibri" w:eastAsia="Calibri" w:hAnsi="Calibri" w:cs="Times New Roman"/>
          <w:kern w:val="0"/>
          <w:sz w:val="24"/>
          <w:szCs w:val="24"/>
          <w14:ligatures w14:val="none"/>
        </w:rPr>
        <w:t xml:space="preserve"> learning experiences, but they serve different purposes and have distinct strengths.</w:t>
      </w:r>
    </w:p>
    <w:p w14:paraId="49E125F6"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D7A383D"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The application of the Kolb cycle in the provided analysis of </w:t>
      </w:r>
      <w:proofErr w:type="spellStart"/>
      <w:r w:rsidRPr="005A6B10">
        <w:rPr>
          <w:rFonts w:ascii="Calibri" w:eastAsia="Calibri" w:hAnsi="Calibri" w:cs="Times New Roman"/>
          <w:kern w:val="0"/>
          <w:sz w:val="24"/>
          <w:szCs w:val="24"/>
          <w14:ligatures w14:val="none"/>
        </w:rPr>
        <w:t>Blooket's</w:t>
      </w:r>
      <w:proofErr w:type="spellEnd"/>
      <w:r w:rsidRPr="005A6B10">
        <w:rPr>
          <w:rFonts w:ascii="Calibri" w:eastAsia="Calibri" w:hAnsi="Calibri" w:cs="Times New Roman"/>
          <w:kern w:val="0"/>
          <w:sz w:val="24"/>
          <w:szCs w:val="24"/>
          <w14:ligatures w14:val="none"/>
        </w:rPr>
        <w:t xml:space="preserve"> effectiveness focuses on the process of experiential learning, emphasizing how learners engage with the material, conceptualize new information, and actively apply their knowledge and skills. It highlights the adaptability of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in catering to diverse learning styles and its transformative impact on education through active engagement, reflection, conceptualization, and experimentation. The Kolb cycle is particularly useful for understanding how learners interact with learning environments and how they integrate new experiences into their existing knowledge frameworks.</w:t>
      </w:r>
    </w:p>
    <w:p w14:paraId="34CC6F40"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1D4C417"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lastRenderedPageBreak/>
        <w:t>On the other hand, the Gibbs Reflective Cycle emphasizes a more introspective approach to learning analysis, focusing on personal feelings, evaluation of experiences, and drawing conclusions for future actions. While the Gibbs cycle provides a structured framework for self-reflection and critical analysis, it may not capture the same level of detail regarding the learning process and its impact on knowledge acquisition and skill development as the Kolb cycle does.</w:t>
      </w:r>
    </w:p>
    <w:p w14:paraId="7A737806"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3AD07DEF"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Therefore, the provided analysis using the Kolb cycle offers a comprehensive understanding of </w:t>
      </w:r>
      <w:proofErr w:type="spellStart"/>
      <w:r w:rsidRPr="005A6B10">
        <w:rPr>
          <w:rFonts w:ascii="Calibri" w:eastAsia="Calibri" w:hAnsi="Calibri" w:cs="Times New Roman"/>
          <w:kern w:val="0"/>
          <w:sz w:val="24"/>
          <w:szCs w:val="24"/>
          <w14:ligatures w14:val="none"/>
        </w:rPr>
        <w:t>Blooket's</w:t>
      </w:r>
      <w:proofErr w:type="spellEnd"/>
      <w:r w:rsidRPr="005A6B10">
        <w:rPr>
          <w:rFonts w:ascii="Calibri" w:eastAsia="Calibri" w:hAnsi="Calibri" w:cs="Times New Roman"/>
          <w:kern w:val="0"/>
          <w:sz w:val="24"/>
          <w:szCs w:val="24"/>
          <w14:ligatures w14:val="none"/>
        </w:rPr>
        <w:t xml:space="preserve"> effectiveness in facilitating experiential learning and fostering active engagement among participants. It effectively highlights the platform's adaptability, transformative impact, and its ability to create a supportive learning environment conducive to holistic skill development.</w:t>
      </w:r>
    </w:p>
    <w:p w14:paraId="6B7C081F"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10508659" w14:textId="77777777" w:rsidR="005A6B10" w:rsidRPr="005A6B10" w:rsidRDefault="005A6B10" w:rsidP="005A6B10">
      <w:pPr>
        <w:spacing w:after="0" w:line="240" w:lineRule="auto"/>
        <w:rPr>
          <w:rFonts w:ascii="Calibri" w:eastAsia="Calibri" w:hAnsi="Calibri" w:cs="Times New Roman"/>
          <w:b/>
          <w:bCs/>
          <w:kern w:val="0"/>
          <w:sz w:val="24"/>
          <w:szCs w:val="24"/>
          <w:u w:val="single"/>
          <w14:ligatures w14:val="none"/>
        </w:rPr>
      </w:pPr>
      <w:r w:rsidRPr="00A369DC">
        <w:rPr>
          <w:rFonts w:ascii="Calibri" w:eastAsia="Calibri" w:hAnsi="Calibri" w:cs="Times New Roman"/>
          <w:b/>
          <w:bCs/>
          <w:kern w:val="0"/>
          <w:sz w:val="24"/>
          <w:szCs w:val="24"/>
          <w:highlight w:val="magenta"/>
          <w:u w:val="single"/>
          <w14:ligatures w14:val="none"/>
        </w:rPr>
        <w:t>Critical Evaluation</w:t>
      </w:r>
      <w:r w:rsidRPr="005A6B10">
        <w:rPr>
          <w:rFonts w:ascii="Calibri" w:eastAsia="Calibri" w:hAnsi="Calibri" w:cs="Times New Roman"/>
          <w:b/>
          <w:bCs/>
          <w:kern w:val="0"/>
          <w:sz w:val="24"/>
          <w:szCs w:val="24"/>
          <w:u w:val="single"/>
          <w14:ligatures w14:val="none"/>
        </w:rPr>
        <w:t xml:space="preserve">: </w:t>
      </w:r>
    </w:p>
    <w:p w14:paraId="7C3ECC2F"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stands out as a meticulously designed digital tool, tailor-made to meet the specific needs of participants aged 16 years and older. What truly distinguishes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is its remarkable capacity to handle extensive sets of questions, ensuring a thorough assessment experience. While some other tools may be content with smaller question sets,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thrives on its inclusion of a substantial question bank, carefully curated to </w:t>
      </w:r>
      <w:proofErr w:type="gramStart"/>
      <w:r w:rsidRPr="005A6B10">
        <w:rPr>
          <w:rFonts w:ascii="Calibri" w:eastAsia="Calibri" w:hAnsi="Calibri" w:cs="Times New Roman"/>
          <w:kern w:val="0"/>
          <w:sz w:val="24"/>
          <w:szCs w:val="24"/>
          <w14:ligatures w14:val="none"/>
        </w:rPr>
        <w:t>challenge</w:t>
      </w:r>
      <w:proofErr w:type="gramEnd"/>
      <w:r w:rsidRPr="005A6B10">
        <w:rPr>
          <w:rFonts w:ascii="Calibri" w:eastAsia="Calibri" w:hAnsi="Calibri" w:cs="Times New Roman"/>
          <w:kern w:val="0"/>
          <w:sz w:val="24"/>
          <w:szCs w:val="24"/>
          <w14:ligatures w14:val="none"/>
        </w:rPr>
        <w:t xml:space="preserve"> and engage participants at a profound level. This emphasis on both depth and breadth in assessment not only encourages critical thinking but also enhances knowledge retention among older participants.</w:t>
      </w:r>
    </w:p>
    <w:p w14:paraId="102C2EB3"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0A0833D1"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A key highlight of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is its unmatched adaptability, seamlessly catering to both individual study sessions and lively group competitions. Whether participants prefer solo learning sessions or enjoy the excitement of collaborative challenges,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provides a versatile learning environment that caters to diverse preferences and study habits. This adaptability underscores </w:t>
      </w:r>
      <w:proofErr w:type="spellStart"/>
      <w:r w:rsidRPr="005A6B10">
        <w:rPr>
          <w:rFonts w:ascii="Calibri" w:eastAsia="Calibri" w:hAnsi="Calibri" w:cs="Times New Roman"/>
          <w:kern w:val="0"/>
          <w:sz w:val="24"/>
          <w:szCs w:val="24"/>
          <w14:ligatures w14:val="none"/>
        </w:rPr>
        <w:t>Blooket's</w:t>
      </w:r>
      <w:proofErr w:type="spellEnd"/>
      <w:r w:rsidRPr="005A6B10">
        <w:rPr>
          <w:rFonts w:ascii="Calibri" w:eastAsia="Calibri" w:hAnsi="Calibri" w:cs="Times New Roman"/>
          <w:kern w:val="0"/>
          <w:sz w:val="24"/>
          <w:szCs w:val="24"/>
          <w14:ligatures w14:val="none"/>
        </w:rPr>
        <w:t xml:space="preserve"> commitment to delivering a dynamic and engaging learning experience that resonates with learners of varying needs and inclinations.</w:t>
      </w:r>
    </w:p>
    <w:p w14:paraId="77B88189"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7C4E4FD7" w14:textId="5C158EC8"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However, despite its numerous advantages, it's crucial to acknowledge one limitation: the absence of direct communication between participants within the platform. Nevertheless, this apparent limitation has been </w:t>
      </w:r>
      <w:r w:rsidR="00E34C09" w:rsidRPr="005A6B10">
        <w:rPr>
          <w:rFonts w:ascii="Calibri" w:eastAsia="Calibri" w:hAnsi="Calibri" w:cs="Times New Roman"/>
          <w:kern w:val="0"/>
          <w:sz w:val="24"/>
          <w:szCs w:val="24"/>
          <w14:ligatures w14:val="none"/>
        </w:rPr>
        <w:t>skilfully</w:t>
      </w:r>
      <w:r w:rsidRPr="005A6B10">
        <w:rPr>
          <w:rFonts w:ascii="Calibri" w:eastAsia="Calibri" w:hAnsi="Calibri" w:cs="Times New Roman"/>
          <w:kern w:val="0"/>
          <w:sz w:val="24"/>
          <w:szCs w:val="24"/>
          <w14:ligatures w14:val="none"/>
        </w:rPr>
        <w:t xml:space="preserve"> turned into an advantage. By avoiding the potential for interpersonal conflicts or cyberbullying,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fosters a safe and conducive learning environment where participants can fully immerse themselves in the learning experience without any distractions or negative interactions commonly found on online communication platforms. This strategic approach not only enriches the overall learning atmosphere but also fosters a sense of mutual respect and cooperation among participants, nurturing a supportive and collaborative learning community.</w:t>
      </w:r>
    </w:p>
    <w:p w14:paraId="6359DAAC"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0926E429"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In essence,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is more than just a tool; it's a catalyst for educational transformation. With its robust assessment capabilities,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empowers educators and learners alike to delve deeper into subjects, encouraging critical thinking and knowledge retention. Its adaptability ensures that it meets the varied needs of learners, whether they prefer independent study or collaborative learning experiences. It doesn't just stop at assessment; it ignites a passion for learning. By engaging participants in immersive experiences that challenge them to think critically and solve problems creatively, </w:t>
      </w:r>
      <w:proofErr w:type="gramStart"/>
      <w:r w:rsidRPr="005A6B10">
        <w:rPr>
          <w:rFonts w:ascii="Calibri" w:eastAsia="Calibri" w:hAnsi="Calibri" w:cs="Times New Roman"/>
          <w:kern w:val="0"/>
          <w:sz w:val="24"/>
          <w:szCs w:val="24"/>
          <w14:ligatures w14:val="none"/>
        </w:rPr>
        <w:t>It</w:t>
      </w:r>
      <w:proofErr w:type="gramEnd"/>
      <w:r w:rsidRPr="005A6B10">
        <w:rPr>
          <w:rFonts w:ascii="Calibri" w:eastAsia="Calibri" w:hAnsi="Calibri" w:cs="Times New Roman"/>
          <w:kern w:val="0"/>
          <w:sz w:val="24"/>
          <w:szCs w:val="24"/>
          <w14:ligatures w14:val="none"/>
        </w:rPr>
        <w:t xml:space="preserve"> transforms learning into an exciting journey of exploration and growth, where participants are actively involved in shaping their educational experiences. At its core, </w:t>
      </w:r>
      <w:proofErr w:type="gramStart"/>
      <w:r w:rsidRPr="005A6B10">
        <w:rPr>
          <w:rFonts w:ascii="Calibri" w:eastAsia="Calibri" w:hAnsi="Calibri" w:cs="Times New Roman"/>
          <w:kern w:val="0"/>
          <w:sz w:val="24"/>
          <w:szCs w:val="24"/>
          <w14:ligatures w14:val="none"/>
        </w:rPr>
        <w:t>It</w:t>
      </w:r>
      <w:proofErr w:type="gramEnd"/>
      <w:r w:rsidRPr="005A6B10">
        <w:rPr>
          <w:rFonts w:ascii="Calibri" w:eastAsia="Calibri" w:hAnsi="Calibri" w:cs="Times New Roman"/>
          <w:kern w:val="0"/>
          <w:sz w:val="24"/>
          <w:szCs w:val="24"/>
          <w14:ligatures w14:val="none"/>
        </w:rPr>
        <w:t xml:space="preserve"> fosters a learning environment where participants feel empowered to take ownership of their educational journey, fostering confidence and enthusiasm for academic </w:t>
      </w:r>
      <w:r w:rsidRPr="005A6B10">
        <w:rPr>
          <w:rFonts w:ascii="Calibri" w:eastAsia="Calibri" w:hAnsi="Calibri" w:cs="Times New Roman"/>
          <w:kern w:val="0"/>
          <w:sz w:val="24"/>
          <w:szCs w:val="24"/>
          <w14:ligatures w14:val="none"/>
        </w:rPr>
        <w:lastRenderedPageBreak/>
        <w:t xml:space="preserve">pursuits. By reimagining learning as an exhilarating adventure filled with endless possibilities,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paves the way for a new era in education, where learning is not just a task, but a thrilling endeavour brimming with opportunities for discovery and achievement.</w:t>
      </w:r>
    </w:p>
    <w:p w14:paraId="340BAD0C"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3EFA6905" w14:textId="441B2300" w:rsidR="005A6B10" w:rsidRDefault="005A6B10" w:rsidP="005A6B10">
      <w:pPr>
        <w:spacing w:after="0" w:line="240" w:lineRule="auto"/>
        <w:rPr>
          <w:rFonts w:ascii="Calibri" w:eastAsia="Calibri" w:hAnsi="Calibri" w:cs="Times New Roman"/>
          <w:b/>
          <w:bCs/>
          <w:kern w:val="0"/>
          <w:sz w:val="24"/>
          <w:szCs w:val="24"/>
          <w:u w:val="single"/>
          <w14:ligatures w14:val="none"/>
        </w:rPr>
      </w:pPr>
      <w:r w:rsidRPr="00034465">
        <w:rPr>
          <w:rFonts w:ascii="Calibri" w:eastAsia="Calibri" w:hAnsi="Calibri" w:cs="Times New Roman"/>
          <w:b/>
          <w:bCs/>
          <w:kern w:val="0"/>
          <w:sz w:val="24"/>
          <w:szCs w:val="24"/>
          <w:highlight w:val="magenta"/>
          <w:u w:val="single"/>
          <w14:ligatures w14:val="none"/>
        </w:rPr>
        <w:t>Feedback</w:t>
      </w:r>
      <w:r w:rsidR="00034465" w:rsidRPr="00034465">
        <w:rPr>
          <w:rFonts w:ascii="Calibri" w:eastAsia="Calibri" w:hAnsi="Calibri" w:cs="Times New Roman"/>
          <w:b/>
          <w:bCs/>
          <w:kern w:val="0"/>
          <w:sz w:val="24"/>
          <w:szCs w:val="24"/>
          <w:highlight w:val="magenta"/>
          <w:u w:val="single"/>
          <w14:ligatures w14:val="none"/>
        </w:rPr>
        <w:t xml:space="preserve"> of Participants</w:t>
      </w:r>
      <w:r w:rsidRPr="00034465">
        <w:rPr>
          <w:rFonts w:ascii="Calibri" w:eastAsia="Calibri" w:hAnsi="Calibri" w:cs="Times New Roman"/>
          <w:b/>
          <w:bCs/>
          <w:kern w:val="0"/>
          <w:sz w:val="24"/>
          <w:szCs w:val="24"/>
          <w:highlight w:val="magenta"/>
          <w:u w:val="single"/>
          <w14:ligatures w14:val="none"/>
        </w:rPr>
        <w:t>:</w:t>
      </w:r>
      <w:r w:rsidRPr="005A6B10">
        <w:rPr>
          <w:rFonts w:ascii="Calibri" w:eastAsia="Calibri" w:hAnsi="Calibri" w:cs="Times New Roman"/>
          <w:b/>
          <w:bCs/>
          <w:kern w:val="0"/>
          <w:sz w:val="24"/>
          <w:szCs w:val="24"/>
          <w:u w:val="single"/>
          <w14:ligatures w14:val="none"/>
        </w:rPr>
        <w:t xml:space="preserve"> </w:t>
      </w:r>
    </w:p>
    <w:p w14:paraId="77BD3F0F" w14:textId="77777777" w:rsidR="00034465" w:rsidRPr="005A6B10" w:rsidRDefault="00034465" w:rsidP="005A6B10">
      <w:pPr>
        <w:spacing w:after="0" w:line="240" w:lineRule="auto"/>
        <w:rPr>
          <w:rFonts w:ascii="Calibri" w:eastAsia="Calibri" w:hAnsi="Calibri" w:cs="Times New Roman"/>
          <w:b/>
          <w:bCs/>
          <w:kern w:val="0"/>
          <w:sz w:val="24"/>
          <w:szCs w:val="24"/>
          <w:u w:val="single"/>
          <w14:ligatures w14:val="none"/>
        </w:rPr>
      </w:pPr>
    </w:p>
    <w:p w14:paraId="279BBF7B"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Upon seeking feedback from the participants regarding their experience with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their responses provided invaluable insights into the platform's effectiveness and appeal. Universally, participants expressed their gratitude for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as an accessible and captivating learning tool. They commended its innovative approach, emphasizing how its gamified format transformed learning into an enjoyable and engaging experience. Unlike traditional methods like reading textbooks or attending lectures,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offered a fresh perspective by presenting educational content through interactive games. This dynamic approach not only captured their interest but also prevented monotony, ensuring sustained engagement throughout the learning process.</w:t>
      </w:r>
    </w:p>
    <w:p w14:paraId="1D0DA348"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2F3DD394" w14:textId="153A192B"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Participants eagerly awaited each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session, </w:t>
      </w:r>
      <w:r w:rsidR="00034465" w:rsidRPr="005A6B10">
        <w:rPr>
          <w:rFonts w:ascii="Calibri" w:eastAsia="Calibri" w:hAnsi="Calibri" w:cs="Times New Roman"/>
          <w:kern w:val="0"/>
          <w:sz w:val="24"/>
          <w:szCs w:val="24"/>
          <w14:ligatures w14:val="none"/>
        </w:rPr>
        <w:t>fuelled</w:t>
      </w:r>
      <w:r w:rsidRPr="005A6B10">
        <w:rPr>
          <w:rFonts w:ascii="Calibri" w:eastAsia="Calibri" w:hAnsi="Calibri" w:cs="Times New Roman"/>
          <w:kern w:val="0"/>
          <w:sz w:val="24"/>
          <w:szCs w:val="24"/>
          <w14:ligatures w14:val="none"/>
        </w:rPr>
        <w:t xml:space="preserve"> by the excitement of friendly competition and the opportunity to challenge their knowledge against their peers. The competitive aspect added an extra layer of motivation, inspiring participants to strive for excellence and actively participate in the games. Furthermore, the presence of levels and character upgrades served as potent incentives, encouraging participants to concentrate and exert their best effort to advance through the game. The desire to enhance their characters and surpass their friends </w:t>
      </w:r>
      <w:r w:rsidR="00034465" w:rsidRPr="005A6B10">
        <w:rPr>
          <w:rFonts w:ascii="Calibri" w:eastAsia="Calibri" w:hAnsi="Calibri" w:cs="Times New Roman"/>
          <w:kern w:val="0"/>
          <w:sz w:val="24"/>
          <w:szCs w:val="24"/>
          <w14:ligatures w14:val="none"/>
        </w:rPr>
        <w:t>fuelled</w:t>
      </w:r>
      <w:r w:rsidRPr="005A6B10">
        <w:rPr>
          <w:rFonts w:ascii="Calibri" w:eastAsia="Calibri" w:hAnsi="Calibri" w:cs="Times New Roman"/>
          <w:kern w:val="0"/>
          <w:sz w:val="24"/>
          <w:szCs w:val="24"/>
          <w14:ligatures w14:val="none"/>
        </w:rPr>
        <w:t xml:space="preserve"> their determination, prompting them to approach each question with diligence and precision.</w:t>
      </w:r>
    </w:p>
    <w:p w14:paraId="71EAA71C"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219CEEA"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r w:rsidRPr="005A6B10">
        <w:rPr>
          <w:rFonts w:ascii="Calibri" w:eastAsia="Calibri" w:hAnsi="Calibri" w:cs="Times New Roman"/>
          <w:kern w:val="0"/>
          <w:sz w:val="24"/>
          <w:szCs w:val="24"/>
          <w14:ligatures w14:val="none"/>
        </w:rPr>
        <w:t xml:space="preserve">In summary, participants overwhelmingly praised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as an invaluable asset in their learning journey, citing its gamified format, competitive elements, and incentives for progression as key factors in their positive experiences. The gamification of learning content breathed new life into educational activities, transforming them into exciting challenges that participants eagerly embraced. By infusing elements of competition,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motivated learners to actively engage with the material, fostering a spirit of healthy rivalry that encouraged them to push their boundaries and strive for improvement. The platform's structured progression system, with its levels and character upgrades, provided a tangible sense of achievement and advancement for participants. This system not only incentivized consistent participation but also facilitated knowledge retention by reinforcing concepts memorably and engagingly. Participants felt a genuine sense of accomplishment as they progressed through the levels, bolstering their confidence and enthusiasm for continued learning. The overwhelmingly positive feedback from participants served as a testament to </w:t>
      </w:r>
      <w:proofErr w:type="spellStart"/>
      <w:r w:rsidRPr="005A6B10">
        <w:rPr>
          <w:rFonts w:ascii="Calibri" w:eastAsia="Calibri" w:hAnsi="Calibri" w:cs="Times New Roman"/>
          <w:kern w:val="0"/>
          <w:sz w:val="24"/>
          <w:szCs w:val="24"/>
          <w14:ligatures w14:val="none"/>
        </w:rPr>
        <w:t>Blooket's</w:t>
      </w:r>
      <w:proofErr w:type="spellEnd"/>
      <w:r w:rsidRPr="005A6B10">
        <w:rPr>
          <w:rFonts w:ascii="Calibri" w:eastAsia="Calibri" w:hAnsi="Calibri" w:cs="Times New Roman"/>
          <w:kern w:val="0"/>
          <w:sz w:val="24"/>
          <w:szCs w:val="24"/>
          <w14:ligatures w14:val="none"/>
        </w:rPr>
        <w:t xml:space="preserve"> effectiveness in fostering engagement, retention, and active participation among learners of all ages. Its innovative approach to education resonated deeply with participants, inspiring a newfound passion for learning and a desire to excel in their academic pursuits. As a result, </w:t>
      </w:r>
      <w:proofErr w:type="spellStart"/>
      <w:r w:rsidRPr="005A6B10">
        <w:rPr>
          <w:rFonts w:ascii="Calibri" w:eastAsia="Calibri" w:hAnsi="Calibri" w:cs="Times New Roman"/>
          <w:kern w:val="0"/>
          <w:sz w:val="24"/>
          <w:szCs w:val="24"/>
          <w14:ligatures w14:val="none"/>
        </w:rPr>
        <w:t>Blooket</w:t>
      </w:r>
      <w:proofErr w:type="spellEnd"/>
      <w:r w:rsidRPr="005A6B10">
        <w:rPr>
          <w:rFonts w:ascii="Calibri" w:eastAsia="Calibri" w:hAnsi="Calibri" w:cs="Times New Roman"/>
          <w:kern w:val="0"/>
          <w:sz w:val="24"/>
          <w:szCs w:val="24"/>
          <w14:ligatures w14:val="none"/>
        </w:rPr>
        <w:t xml:space="preserve"> emerged as not just a tool for learning, but a catalyst for personal growth and academic success.</w:t>
      </w:r>
    </w:p>
    <w:p w14:paraId="4323B6A8"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037192F2" w14:textId="77777777" w:rsidR="005A6B10" w:rsidRDefault="005A6B10" w:rsidP="005A6B10">
      <w:pPr>
        <w:spacing w:after="0" w:line="240" w:lineRule="auto"/>
        <w:jc w:val="center"/>
        <w:rPr>
          <w:rFonts w:ascii="Calibri" w:eastAsia="Calibri" w:hAnsi="Calibri" w:cs="Times New Roman"/>
          <w:kern w:val="0"/>
          <w:sz w:val="24"/>
          <w:szCs w:val="24"/>
          <w14:ligatures w14:val="none"/>
        </w:rPr>
      </w:pPr>
    </w:p>
    <w:p w14:paraId="1679DC34" w14:textId="77777777" w:rsidR="00A369DC" w:rsidRDefault="00A369DC" w:rsidP="005A6B10">
      <w:pPr>
        <w:spacing w:after="0" w:line="240" w:lineRule="auto"/>
        <w:jc w:val="center"/>
        <w:rPr>
          <w:rFonts w:ascii="Calibri" w:eastAsia="Calibri" w:hAnsi="Calibri" w:cs="Times New Roman"/>
          <w:kern w:val="0"/>
          <w:sz w:val="24"/>
          <w:szCs w:val="24"/>
          <w14:ligatures w14:val="none"/>
        </w:rPr>
      </w:pPr>
    </w:p>
    <w:p w14:paraId="3DDBC400" w14:textId="77777777" w:rsidR="00A369DC" w:rsidRDefault="00A369DC" w:rsidP="005A6B10">
      <w:pPr>
        <w:spacing w:after="0" w:line="240" w:lineRule="auto"/>
        <w:jc w:val="center"/>
        <w:rPr>
          <w:rFonts w:ascii="Calibri" w:eastAsia="Calibri" w:hAnsi="Calibri" w:cs="Times New Roman"/>
          <w:kern w:val="0"/>
          <w:sz w:val="24"/>
          <w:szCs w:val="24"/>
          <w14:ligatures w14:val="none"/>
        </w:rPr>
      </w:pPr>
    </w:p>
    <w:p w14:paraId="6531D88F" w14:textId="77777777" w:rsidR="00A369DC" w:rsidRDefault="00A369DC" w:rsidP="005A6B10">
      <w:pPr>
        <w:spacing w:after="0" w:line="240" w:lineRule="auto"/>
        <w:jc w:val="center"/>
        <w:rPr>
          <w:rFonts w:ascii="Calibri" w:eastAsia="Calibri" w:hAnsi="Calibri" w:cs="Times New Roman"/>
          <w:kern w:val="0"/>
          <w:sz w:val="24"/>
          <w:szCs w:val="24"/>
          <w14:ligatures w14:val="none"/>
        </w:rPr>
      </w:pPr>
    </w:p>
    <w:p w14:paraId="78A638D1" w14:textId="77777777" w:rsidR="00A369DC" w:rsidRDefault="00A369DC" w:rsidP="005A6B10">
      <w:pPr>
        <w:spacing w:after="0" w:line="240" w:lineRule="auto"/>
        <w:jc w:val="center"/>
        <w:rPr>
          <w:rFonts w:ascii="Calibri" w:eastAsia="Calibri" w:hAnsi="Calibri" w:cs="Times New Roman"/>
          <w:kern w:val="0"/>
          <w:sz w:val="24"/>
          <w:szCs w:val="24"/>
          <w14:ligatures w14:val="none"/>
        </w:rPr>
      </w:pPr>
    </w:p>
    <w:p w14:paraId="44A24ECE" w14:textId="77777777" w:rsidR="00A369DC" w:rsidRDefault="00A369DC" w:rsidP="005A6B10">
      <w:pPr>
        <w:spacing w:after="0" w:line="240" w:lineRule="auto"/>
        <w:jc w:val="center"/>
        <w:rPr>
          <w:rFonts w:ascii="Calibri" w:eastAsia="Calibri" w:hAnsi="Calibri" w:cs="Times New Roman"/>
          <w:kern w:val="0"/>
          <w:sz w:val="24"/>
          <w:szCs w:val="24"/>
          <w14:ligatures w14:val="none"/>
        </w:rPr>
      </w:pPr>
    </w:p>
    <w:p w14:paraId="62B0D9BF" w14:textId="77777777" w:rsidR="00A369DC" w:rsidRPr="005A6B10" w:rsidRDefault="00A369DC" w:rsidP="005A6B10">
      <w:pPr>
        <w:spacing w:after="0" w:line="240" w:lineRule="auto"/>
        <w:jc w:val="center"/>
        <w:rPr>
          <w:rFonts w:ascii="Calibri" w:eastAsia="Calibri" w:hAnsi="Calibri" w:cs="Times New Roman"/>
          <w:kern w:val="0"/>
          <w:sz w:val="24"/>
          <w:szCs w:val="24"/>
          <w14:ligatures w14:val="none"/>
        </w:rPr>
      </w:pPr>
    </w:p>
    <w:p w14:paraId="371F0E47" w14:textId="77777777" w:rsidR="005A6B10" w:rsidRPr="00034465" w:rsidRDefault="005A6B10" w:rsidP="005A6B10">
      <w:pPr>
        <w:spacing w:after="0" w:line="240" w:lineRule="auto"/>
        <w:jc w:val="center"/>
        <w:rPr>
          <w:rFonts w:ascii="Calibri" w:eastAsia="Calibri" w:hAnsi="Calibri" w:cs="Times New Roman"/>
          <w:b/>
          <w:bCs/>
          <w:kern w:val="0"/>
          <w:sz w:val="24"/>
          <w:szCs w:val="24"/>
          <w:u w:val="single"/>
          <w14:ligatures w14:val="none"/>
        </w:rPr>
      </w:pPr>
      <w:r w:rsidRPr="00034465">
        <w:rPr>
          <w:rFonts w:ascii="Calibri" w:eastAsia="Calibri" w:hAnsi="Calibri" w:cs="Times New Roman"/>
          <w:kern w:val="0"/>
          <w:sz w:val="24"/>
          <w:szCs w:val="24"/>
          <w:highlight w:val="magenta"/>
          <w14:ligatures w14:val="none"/>
        </w:rPr>
        <w:t>Reference:</w:t>
      </w:r>
    </w:p>
    <w:p w14:paraId="3D7394C2"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161E9D96"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Boche, B. (2019) </w:t>
      </w:r>
      <w:r w:rsidRPr="005A6B10">
        <w:rPr>
          <w:rFonts w:ascii="Times New Roman" w:eastAsia="Times New Roman" w:hAnsi="Times New Roman" w:cs="Times New Roman"/>
          <w:i/>
          <w:iCs/>
          <w:kern w:val="0"/>
          <w:sz w:val="24"/>
          <w:szCs w:val="24"/>
          <w:lang w:eastAsia="en-GB"/>
          <w14:ligatures w14:val="none"/>
        </w:rPr>
        <w:t xml:space="preserve">The Journal of Values-based leadership - </w:t>
      </w:r>
      <w:proofErr w:type="spellStart"/>
      <w:r w:rsidRPr="005A6B10">
        <w:rPr>
          <w:rFonts w:ascii="Times New Roman" w:eastAsia="Times New Roman" w:hAnsi="Times New Roman" w:cs="Times New Roman"/>
          <w:i/>
          <w:iCs/>
          <w:kern w:val="0"/>
          <w:sz w:val="24"/>
          <w:szCs w:val="24"/>
          <w:lang w:eastAsia="en-GB"/>
          <w14:ligatures w14:val="none"/>
        </w:rPr>
        <w:t>valparaiso</w:t>
      </w:r>
      <w:proofErr w:type="spellEnd"/>
      <w:r w:rsidRPr="005A6B10">
        <w:rPr>
          <w:rFonts w:ascii="Times New Roman" w:eastAsia="Times New Roman" w:hAnsi="Times New Roman" w:cs="Times New Roman"/>
          <w:i/>
          <w:iCs/>
          <w:kern w:val="0"/>
          <w:sz w:val="24"/>
          <w:szCs w:val="24"/>
          <w:lang w:eastAsia="en-GB"/>
          <w14:ligatures w14:val="none"/>
        </w:rPr>
        <w:t xml:space="preserve"> university</w:t>
      </w:r>
      <w:r w:rsidRPr="005A6B10">
        <w:rPr>
          <w:rFonts w:ascii="Times New Roman" w:eastAsia="Times New Roman" w:hAnsi="Times New Roman" w:cs="Times New Roman"/>
          <w:kern w:val="0"/>
          <w:sz w:val="24"/>
          <w:szCs w:val="24"/>
          <w:lang w:eastAsia="en-GB"/>
          <w14:ligatures w14:val="none"/>
        </w:rPr>
        <w:t xml:space="preserve">. Available at: https://scholar.valpo.edu/cgi/viewcontent.cgi?article=1053&amp;context=ed_fac_pubs (Accessed: 10 February 2024). </w:t>
      </w:r>
    </w:p>
    <w:p w14:paraId="2F90456E"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Dempsey, P.R. (2021) </w:t>
      </w:r>
      <w:r w:rsidRPr="005A6B10">
        <w:rPr>
          <w:rFonts w:ascii="Times New Roman" w:eastAsia="Times New Roman" w:hAnsi="Times New Roman" w:cs="Times New Roman"/>
          <w:i/>
          <w:iCs/>
          <w:kern w:val="0"/>
          <w:sz w:val="24"/>
          <w:szCs w:val="24"/>
          <w:lang w:eastAsia="en-GB"/>
          <w14:ligatures w14:val="none"/>
        </w:rPr>
        <w:t>Creating transformative online communities in higher education: The amplification framework</w:t>
      </w:r>
      <w:r w:rsidRPr="005A6B10">
        <w:rPr>
          <w:rFonts w:ascii="Times New Roman" w:eastAsia="Times New Roman" w:hAnsi="Times New Roman" w:cs="Times New Roman"/>
          <w:kern w:val="0"/>
          <w:sz w:val="24"/>
          <w:szCs w:val="24"/>
          <w:lang w:eastAsia="en-GB"/>
          <w14:ligatures w14:val="none"/>
        </w:rPr>
        <w:t xml:space="preserve">. New York, NY: Routledge. </w:t>
      </w:r>
    </w:p>
    <w:p w14:paraId="4CC460CE"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Eady, M.J. and Lockyer, L. (2013) </w:t>
      </w:r>
      <w:r w:rsidRPr="005A6B10">
        <w:rPr>
          <w:rFonts w:ascii="Times New Roman" w:eastAsia="Times New Roman" w:hAnsi="Times New Roman" w:cs="Times New Roman"/>
          <w:i/>
          <w:iCs/>
          <w:kern w:val="0"/>
          <w:sz w:val="24"/>
          <w:szCs w:val="24"/>
          <w:lang w:eastAsia="en-GB"/>
          <w14:ligatures w14:val="none"/>
        </w:rPr>
        <w:t>University of Wollongong Research Online</w:t>
      </w:r>
      <w:r w:rsidRPr="005A6B10">
        <w:rPr>
          <w:rFonts w:ascii="Times New Roman" w:eastAsia="Times New Roman" w:hAnsi="Times New Roman" w:cs="Times New Roman"/>
          <w:kern w:val="0"/>
          <w:sz w:val="24"/>
          <w:szCs w:val="24"/>
          <w:lang w:eastAsia="en-GB"/>
          <w14:ligatures w14:val="none"/>
        </w:rPr>
        <w:t xml:space="preserve">, </w:t>
      </w:r>
      <w:r w:rsidRPr="005A6B10">
        <w:rPr>
          <w:rFonts w:ascii="Times New Roman" w:eastAsia="Times New Roman" w:hAnsi="Times New Roman" w:cs="Times New Roman"/>
          <w:i/>
          <w:iCs/>
          <w:kern w:val="0"/>
          <w:sz w:val="24"/>
          <w:szCs w:val="24"/>
          <w:lang w:eastAsia="en-GB"/>
          <w14:ligatures w14:val="none"/>
        </w:rPr>
        <w:t>University of Wollongong</w:t>
      </w:r>
      <w:r w:rsidRPr="005A6B10">
        <w:rPr>
          <w:rFonts w:ascii="Times New Roman" w:eastAsia="Times New Roman" w:hAnsi="Times New Roman" w:cs="Times New Roman"/>
          <w:kern w:val="0"/>
          <w:sz w:val="24"/>
          <w:szCs w:val="24"/>
          <w:lang w:eastAsia="en-GB"/>
          <w14:ligatures w14:val="none"/>
        </w:rPr>
        <w:t xml:space="preserve">. Available at: https://ro.uow.edu.au/cgi/viewcontent.cgi?article=1413&amp;context=asdpapers (Accessed: 10 February 2024). </w:t>
      </w:r>
    </w:p>
    <w:p w14:paraId="24C2A27E"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Haleem, A. </w:t>
      </w:r>
      <w:r w:rsidRPr="005A6B10">
        <w:rPr>
          <w:rFonts w:ascii="Times New Roman" w:eastAsia="Times New Roman" w:hAnsi="Times New Roman" w:cs="Times New Roman"/>
          <w:i/>
          <w:iCs/>
          <w:kern w:val="0"/>
          <w:sz w:val="24"/>
          <w:szCs w:val="24"/>
          <w:lang w:eastAsia="en-GB"/>
          <w14:ligatures w14:val="none"/>
        </w:rPr>
        <w:t>et al.</w:t>
      </w:r>
      <w:r w:rsidRPr="005A6B10">
        <w:rPr>
          <w:rFonts w:ascii="Times New Roman" w:eastAsia="Times New Roman" w:hAnsi="Times New Roman" w:cs="Times New Roman"/>
          <w:kern w:val="0"/>
          <w:sz w:val="24"/>
          <w:szCs w:val="24"/>
          <w:lang w:eastAsia="en-GB"/>
          <w14:ligatures w14:val="none"/>
        </w:rPr>
        <w:t xml:space="preserve"> (2022) </w:t>
      </w:r>
      <w:r w:rsidRPr="005A6B10">
        <w:rPr>
          <w:rFonts w:ascii="Times New Roman" w:eastAsia="Times New Roman" w:hAnsi="Times New Roman" w:cs="Times New Roman"/>
          <w:i/>
          <w:iCs/>
          <w:kern w:val="0"/>
          <w:sz w:val="24"/>
          <w:szCs w:val="24"/>
          <w:lang w:eastAsia="en-GB"/>
          <w14:ligatures w14:val="none"/>
        </w:rPr>
        <w:t>Understanding the role of digital technologies in education: A Review</w:t>
      </w:r>
      <w:r w:rsidRPr="005A6B10">
        <w:rPr>
          <w:rFonts w:ascii="Times New Roman" w:eastAsia="Times New Roman" w:hAnsi="Times New Roman" w:cs="Times New Roman"/>
          <w:kern w:val="0"/>
          <w:sz w:val="24"/>
          <w:szCs w:val="24"/>
          <w:lang w:eastAsia="en-GB"/>
          <w14:ligatures w14:val="none"/>
        </w:rPr>
        <w:t xml:space="preserve">, </w:t>
      </w:r>
      <w:r w:rsidRPr="005A6B10">
        <w:rPr>
          <w:rFonts w:ascii="Times New Roman" w:eastAsia="Times New Roman" w:hAnsi="Times New Roman" w:cs="Times New Roman"/>
          <w:i/>
          <w:iCs/>
          <w:kern w:val="0"/>
          <w:sz w:val="24"/>
          <w:szCs w:val="24"/>
          <w:lang w:eastAsia="en-GB"/>
          <w14:ligatures w14:val="none"/>
        </w:rPr>
        <w:t>Sustainable Operations and Computers</w:t>
      </w:r>
      <w:r w:rsidRPr="005A6B10">
        <w:rPr>
          <w:rFonts w:ascii="Times New Roman" w:eastAsia="Times New Roman" w:hAnsi="Times New Roman" w:cs="Times New Roman"/>
          <w:kern w:val="0"/>
          <w:sz w:val="24"/>
          <w:szCs w:val="24"/>
          <w:lang w:eastAsia="en-GB"/>
          <w14:ligatures w14:val="none"/>
        </w:rPr>
        <w:t xml:space="preserve">. Available at: https://www.sciencedirect.com/science/article/pii/S2666412722000137 (Accessed: 10 February 2024). </w:t>
      </w:r>
    </w:p>
    <w:p w14:paraId="59E08594"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Hund, A. </w:t>
      </w:r>
      <w:r w:rsidRPr="005A6B10">
        <w:rPr>
          <w:rFonts w:ascii="Times New Roman" w:eastAsia="Times New Roman" w:hAnsi="Times New Roman" w:cs="Times New Roman"/>
          <w:i/>
          <w:iCs/>
          <w:kern w:val="0"/>
          <w:sz w:val="24"/>
          <w:szCs w:val="24"/>
          <w:lang w:eastAsia="en-GB"/>
          <w14:ligatures w14:val="none"/>
        </w:rPr>
        <w:t>et al.</w:t>
      </w:r>
      <w:r w:rsidRPr="005A6B10">
        <w:rPr>
          <w:rFonts w:ascii="Times New Roman" w:eastAsia="Times New Roman" w:hAnsi="Times New Roman" w:cs="Times New Roman"/>
          <w:kern w:val="0"/>
          <w:sz w:val="24"/>
          <w:szCs w:val="24"/>
          <w:lang w:eastAsia="en-GB"/>
          <w14:ligatures w14:val="none"/>
        </w:rPr>
        <w:t xml:space="preserve"> (2021) </w:t>
      </w:r>
      <w:r w:rsidRPr="005A6B10">
        <w:rPr>
          <w:rFonts w:ascii="Times New Roman" w:eastAsia="Times New Roman" w:hAnsi="Times New Roman" w:cs="Times New Roman"/>
          <w:i/>
          <w:iCs/>
          <w:kern w:val="0"/>
          <w:sz w:val="24"/>
          <w:szCs w:val="24"/>
          <w:lang w:eastAsia="en-GB"/>
          <w14:ligatures w14:val="none"/>
        </w:rPr>
        <w:t>Digital Innovation: Review and novel perspective</w:t>
      </w:r>
      <w:r w:rsidRPr="005A6B10">
        <w:rPr>
          <w:rFonts w:ascii="Times New Roman" w:eastAsia="Times New Roman" w:hAnsi="Times New Roman" w:cs="Times New Roman"/>
          <w:kern w:val="0"/>
          <w:sz w:val="24"/>
          <w:szCs w:val="24"/>
          <w:lang w:eastAsia="en-GB"/>
          <w14:ligatures w14:val="none"/>
        </w:rPr>
        <w:t xml:space="preserve">, </w:t>
      </w:r>
      <w:r w:rsidRPr="005A6B10">
        <w:rPr>
          <w:rFonts w:ascii="Times New Roman" w:eastAsia="Times New Roman" w:hAnsi="Times New Roman" w:cs="Times New Roman"/>
          <w:i/>
          <w:iCs/>
          <w:kern w:val="0"/>
          <w:sz w:val="24"/>
          <w:szCs w:val="24"/>
          <w:lang w:eastAsia="en-GB"/>
          <w14:ligatures w14:val="none"/>
        </w:rPr>
        <w:t>The Journal of Strategic Information Systems</w:t>
      </w:r>
      <w:r w:rsidRPr="005A6B10">
        <w:rPr>
          <w:rFonts w:ascii="Times New Roman" w:eastAsia="Times New Roman" w:hAnsi="Times New Roman" w:cs="Times New Roman"/>
          <w:kern w:val="0"/>
          <w:sz w:val="24"/>
          <w:szCs w:val="24"/>
          <w:lang w:eastAsia="en-GB"/>
          <w14:ligatures w14:val="none"/>
        </w:rPr>
        <w:t xml:space="preserve">. Available at: https://www.sciencedirect.com/science/article/pii/S0963868721000421 (Accessed: 10 February 2024). </w:t>
      </w:r>
    </w:p>
    <w:p w14:paraId="15715563"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Katie1 </w:t>
      </w:r>
      <w:r w:rsidRPr="005A6B10">
        <w:rPr>
          <w:rFonts w:ascii="Times New Roman" w:eastAsia="Times New Roman" w:hAnsi="Times New Roman" w:cs="Times New Roman"/>
          <w:i/>
          <w:iCs/>
          <w:kern w:val="0"/>
          <w:sz w:val="24"/>
          <w:szCs w:val="24"/>
          <w:lang w:eastAsia="en-GB"/>
          <w14:ligatures w14:val="none"/>
        </w:rPr>
        <w:t>et al.</w:t>
      </w:r>
      <w:r w:rsidRPr="005A6B10">
        <w:rPr>
          <w:rFonts w:ascii="Times New Roman" w:eastAsia="Times New Roman" w:hAnsi="Times New Roman" w:cs="Times New Roman"/>
          <w:kern w:val="0"/>
          <w:sz w:val="24"/>
          <w:szCs w:val="24"/>
          <w:lang w:eastAsia="en-GB"/>
          <w14:ligatures w14:val="none"/>
        </w:rPr>
        <w:t xml:space="preserve"> (2023) </w:t>
      </w:r>
      <w:r w:rsidRPr="005A6B10">
        <w:rPr>
          <w:rFonts w:ascii="Times New Roman" w:eastAsia="Times New Roman" w:hAnsi="Times New Roman" w:cs="Times New Roman"/>
          <w:i/>
          <w:iCs/>
          <w:kern w:val="0"/>
          <w:sz w:val="24"/>
          <w:szCs w:val="24"/>
          <w:lang w:eastAsia="en-GB"/>
          <w14:ligatures w14:val="none"/>
        </w:rPr>
        <w:t>Kolb’s and Gibb’s reflective practices</w:t>
      </w:r>
      <w:r w:rsidRPr="005A6B10">
        <w:rPr>
          <w:rFonts w:ascii="Times New Roman" w:eastAsia="Times New Roman" w:hAnsi="Times New Roman" w:cs="Times New Roman"/>
          <w:kern w:val="0"/>
          <w:sz w:val="24"/>
          <w:szCs w:val="24"/>
          <w:lang w:eastAsia="en-GB"/>
          <w14:ligatures w14:val="none"/>
        </w:rPr>
        <w:t xml:space="preserve">, </w:t>
      </w:r>
      <w:r w:rsidRPr="005A6B10">
        <w:rPr>
          <w:rFonts w:ascii="Times New Roman" w:eastAsia="Times New Roman" w:hAnsi="Times New Roman" w:cs="Times New Roman"/>
          <w:i/>
          <w:iCs/>
          <w:kern w:val="0"/>
          <w:sz w:val="24"/>
          <w:szCs w:val="24"/>
          <w:lang w:eastAsia="en-GB"/>
          <w14:ligatures w14:val="none"/>
        </w:rPr>
        <w:t>The Foundation Stage Forum Ltd</w:t>
      </w:r>
      <w:r w:rsidRPr="005A6B10">
        <w:rPr>
          <w:rFonts w:ascii="Times New Roman" w:eastAsia="Times New Roman" w:hAnsi="Times New Roman" w:cs="Times New Roman"/>
          <w:kern w:val="0"/>
          <w:sz w:val="24"/>
          <w:szCs w:val="24"/>
          <w:lang w:eastAsia="en-GB"/>
          <w14:ligatures w14:val="none"/>
        </w:rPr>
        <w:t xml:space="preserve">. Available at: https://eyfs.info/forums/topic/54591-kolbs-and-gibbs-reflective-practices/#:~:text=Gibb%27s%20reflective%20cycle%20is%20similar,through%20the%20process%20of%20reflection. (Accessed: 16 February 2024). </w:t>
      </w:r>
    </w:p>
    <w:p w14:paraId="37E5698B"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Loveless, A. (2006) </w:t>
      </w:r>
      <w:r w:rsidRPr="005A6B10">
        <w:rPr>
          <w:rFonts w:ascii="Times New Roman" w:eastAsia="Times New Roman" w:hAnsi="Times New Roman" w:cs="Times New Roman"/>
          <w:i/>
          <w:iCs/>
          <w:kern w:val="0"/>
          <w:sz w:val="24"/>
          <w:szCs w:val="24"/>
          <w:lang w:eastAsia="en-GB"/>
          <w14:ligatures w14:val="none"/>
        </w:rPr>
        <w:t>Literature review in creativity, new technologies and learning</w:t>
      </w:r>
      <w:r w:rsidRPr="005A6B10">
        <w:rPr>
          <w:rFonts w:ascii="Times New Roman" w:eastAsia="Times New Roman" w:hAnsi="Times New Roman" w:cs="Times New Roman"/>
          <w:kern w:val="0"/>
          <w:sz w:val="24"/>
          <w:szCs w:val="24"/>
          <w:lang w:eastAsia="en-GB"/>
          <w14:ligatures w14:val="none"/>
        </w:rPr>
        <w:t xml:space="preserve">, </w:t>
      </w:r>
      <w:r w:rsidRPr="005A6B10">
        <w:rPr>
          <w:rFonts w:ascii="Times New Roman" w:eastAsia="Times New Roman" w:hAnsi="Times New Roman" w:cs="Times New Roman"/>
          <w:i/>
          <w:iCs/>
          <w:kern w:val="0"/>
          <w:sz w:val="24"/>
          <w:szCs w:val="24"/>
          <w:lang w:eastAsia="en-GB"/>
          <w14:ligatures w14:val="none"/>
        </w:rPr>
        <w:t>Research Gate</w:t>
      </w:r>
      <w:r w:rsidRPr="005A6B10">
        <w:rPr>
          <w:rFonts w:ascii="Times New Roman" w:eastAsia="Times New Roman" w:hAnsi="Times New Roman" w:cs="Times New Roman"/>
          <w:kern w:val="0"/>
          <w:sz w:val="24"/>
          <w:szCs w:val="24"/>
          <w:lang w:eastAsia="en-GB"/>
          <w14:ligatures w14:val="none"/>
        </w:rPr>
        <w:t xml:space="preserve">. Available at: https://www.researchgate.net/publication/32231354_Literature_Review_in_Creativity_New_Technologies_and_Learning (Accessed: 10 February 2024). </w:t>
      </w:r>
    </w:p>
    <w:p w14:paraId="770EC446"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Read, M.F. (2022) </w:t>
      </w:r>
      <w:r w:rsidRPr="005A6B10">
        <w:rPr>
          <w:rFonts w:ascii="Times New Roman" w:eastAsia="Times New Roman" w:hAnsi="Times New Roman" w:cs="Times New Roman"/>
          <w:i/>
          <w:iCs/>
          <w:kern w:val="0"/>
          <w:sz w:val="24"/>
          <w:szCs w:val="24"/>
          <w:lang w:eastAsia="en-GB"/>
          <w14:ligatures w14:val="none"/>
        </w:rPr>
        <w:t>Rat</w:t>
      </w:r>
      <w:r w:rsidRPr="005A6B10">
        <w:rPr>
          <w:rFonts w:ascii="Times New Roman" w:eastAsia="Times New Roman" w:hAnsi="Times New Roman" w:cs="Times New Roman"/>
          <w:kern w:val="0"/>
          <w:sz w:val="24"/>
          <w:szCs w:val="24"/>
          <w:lang w:eastAsia="en-GB"/>
          <w14:ligatures w14:val="none"/>
        </w:rPr>
        <w:t xml:space="preserve">, </w:t>
      </w:r>
      <w:proofErr w:type="spellStart"/>
      <w:r w:rsidRPr="005A6B10">
        <w:rPr>
          <w:rFonts w:ascii="Times New Roman" w:eastAsia="Times New Roman" w:hAnsi="Times New Roman" w:cs="Times New Roman"/>
          <w:i/>
          <w:iCs/>
          <w:kern w:val="0"/>
          <w:sz w:val="24"/>
          <w:szCs w:val="24"/>
          <w:lang w:eastAsia="en-GB"/>
          <w14:ligatures w14:val="none"/>
        </w:rPr>
        <w:t>EdTechnica</w:t>
      </w:r>
      <w:proofErr w:type="spellEnd"/>
      <w:r w:rsidRPr="005A6B10">
        <w:rPr>
          <w:rFonts w:ascii="Times New Roman" w:eastAsia="Times New Roman" w:hAnsi="Times New Roman" w:cs="Times New Roman"/>
          <w:kern w:val="0"/>
          <w:sz w:val="24"/>
          <w:szCs w:val="24"/>
          <w:lang w:eastAsia="en-GB"/>
          <w14:ligatures w14:val="none"/>
        </w:rPr>
        <w:t xml:space="preserve">. Available at: https://edtechbooks.org/encyclopedia/rat (Accessed: 10 February 2024). </w:t>
      </w:r>
    </w:p>
    <w:p w14:paraId="0C8C95E9"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Reichert-Schlax, J. </w:t>
      </w:r>
      <w:r w:rsidRPr="005A6B10">
        <w:rPr>
          <w:rFonts w:ascii="Times New Roman" w:eastAsia="Times New Roman" w:hAnsi="Times New Roman" w:cs="Times New Roman"/>
          <w:i/>
          <w:iCs/>
          <w:kern w:val="0"/>
          <w:sz w:val="24"/>
          <w:szCs w:val="24"/>
          <w:lang w:eastAsia="en-GB"/>
          <w14:ligatures w14:val="none"/>
        </w:rPr>
        <w:t>et al.</w:t>
      </w:r>
      <w:r w:rsidRPr="005A6B10">
        <w:rPr>
          <w:rFonts w:ascii="Times New Roman" w:eastAsia="Times New Roman" w:hAnsi="Times New Roman" w:cs="Times New Roman"/>
          <w:kern w:val="0"/>
          <w:sz w:val="24"/>
          <w:szCs w:val="24"/>
          <w:lang w:eastAsia="en-GB"/>
          <w14:ligatures w14:val="none"/>
        </w:rPr>
        <w:t xml:space="preserve"> (2023) </w:t>
      </w:r>
      <w:r w:rsidRPr="005A6B10">
        <w:rPr>
          <w:rFonts w:ascii="Times New Roman" w:eastAsia="Times New Roman" w:hAnsi="Times New Roman" w:cs="Times New Roman"/>
          <w:i/>
          <w:iCs/>
          <w:kern w:val="0"/>
          <w:sz w:val="24"/>
          <w:szCs w:val="24"/>
          <w:lang w:eastAsia="en-GB"/>
          <w14:ligatures w14:val="none"/>
        </w:rPr>
        <w:t>Development and evaluation of digital learning tools promoting applicable knowledge in economics and German teacher education</w:t>
      </w:r>
      <w:r w:rsidRPr="005A6B10">
        <w:rPr>
          <w:rFonts w:ascii="Times New Roman" w:eastAsia="Times New Roman" w:hAnsi="Times New Roman" w:cs="Times New Roman"/>
          <w:kern w:val="0"/>
          <w:sz w:val="24"/>
          <w:szCs w:val="24"/>
          <w:lang w:eastAsia="en-GB"/>
          <w14:ligatures w14:val="none"/>
        </w:rPr>
        <w:t xml:space="preserve">, </w:t>
      </w:r>
      <w:r w:rsidRPr="005A6B10">
        <w:rPr>
          <w:rFonts w:ascii="Times New Roman" w:eastAsia="Times New Roman" w:hAnsi="Times New Roman" w:cs="Times New Roman"/>
          <w:i/>
          <w:iCs/>
          <w:kern w:val="0"/>
          <w:sz w:val="24"/>
          <w:szCs w:val="24"/>
          <w:lang w:eastAsia="en-GB"/>
          <w14:ligatures w14:val="none"/>
        </w:rPr>
        <w:t>MDPI</w:t>
      </w:r>
      <w:r w:rsidRPr="005A6B10">
        <w:rPr>
          <w:rFonts w:ascii="Times New Roman" w:eastAsia="Times New Roman" w:hAnsi="Times New Roman" w:cs="Times New Roman"/>
          <w:kern w:val="0"/>
          <w:sz w:val="24"/>
          <w:szCs w:val="24"/>
          <w:lang w:eastAsia="en-GB"/>
          <w14:ligatures w14:val="none"/>
        </w:rPr>
        <w:t xml:space="preserve">. Available at: https://www.mdpi.com/2227-7102/13/5/481 (Accessed: 10 February 2024). </w:t>
      </w:r>
    </w:p>
    <w:p w14:paraId="085FD574"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roofErr w:type="spellStart"/>
      <w:r w:rsidRPr="005A6B10">
        <w:rPr>
          <w:rFonts w:ascii="Times New Roman" w:eastAsia="Times New Roman" w:hAnsi="Times New Roman" w:cs="Times New Roman"/>
          <w:kern w:val="0"/>
          <w:sz w:val="24"/>
          <w:szCs w:val="24"/>
          <w:lang w:eastAsia="en-GB"/>
          <w14:ligatures w14:val="none"/>
        </w:rPr>
        <w:t>Sarooghi</w:t>
      </w:r>
      <w:proofErr w:type="spellEnd"/>
      <w:r w:rsidRPr="005A6B10">
        <w:rPr>
          <w:rFonts w:ascii="Times New Roman" w:eastAsia="Times New Roman" w:hAnsi="Times New Roman" w:cs="Times New Roman"/>
          <w:kern w:val="0"/>
          <w:sz w:val="24"/>
          <w:szCs w:val="24"/>
          <w:lang w:eastAsia="en-GB"/>
          <w14:ligatures w14:val="none"/>
        </w:rPr>
        <w:t xml:space="preserve">, H., </w:t>
      </w:r>
      <w:proofErr w:type="spellStart"/>
      <w:r w:rsidRPr="005A6B10">
        <w:rPr>
          <w:rFonts w:ascii="Times New Roman" w:eastAsia="Times New Roman" w:hAnsi="Times New Roman" w:cs="Times New Roman"/>
          <w:kern w:val="0"/>
          <w:sz w:val="24"/>
          <w:szCs w:val="24"/>
          <w:lang w:eastAsia="en-GB"/>
          <w14:ligatures w14:val="none"/>
        </w:rPr>
        <w:t>Libaers</w:t>
      </w:r>
      <w:proofErr w:type="spellEnd"/>
      <w:r w:rsidRPr="005A6B10">
        <w:rPr>
          <w:rFonts w:ascii="Times New Roman" w:eastAsia="Times New Roman" w:hAnsi="Times New Roman" w:cs="Times New Roman"/>
          <w:kern w:val="0"/>
          <w:sz w:val="24"/>
          <w:szCs w:val="24"/>
          <w:lang w:eastAsia="en-GB"/>
          <w14:ligatures w14:val="none"/>
        </w:rPr>
        <w:t xml:space="preserve">, D. and Burkemper, A. (2015) </w:t>
      </w:r>
      <w:r w:rsidRPr="005A6B10">
        <w:rPr>
          <w:rFonts w:ascii="Times New Roman" w:eastAsia="Times New Roman" w:hAnsi="Times New Roman" w:cs="Times New Roman"/>
          <w:i/>
          <w:iCs/>
          <w:kern w:val="0"/>
          <w:sz w:val="24"/>
          <w:szCs w:val="24"/>
          <w:lang w:eastAsia="en-GB"/>
          <w14:ligatures w14:val="none"/>
        </w:rPr>
        <w:t>Examining the relationship between creativity and innovation: A meta-analysis of organizational, cultural, and environmental factors</w:t>
      </w:r>
      <w:r w:rsidRPr="005A6B10">
        <w:rPr>
          <w:rFonts w:ascii="Times New Roman" w:eastAsia="Times New Roman" w:hAnsi="Times New Roman" w:cs="Times New Roman"/>
          <w:kern w:val="0"/>
          <w:sz w:val="24"/>
          <w:szCs w:val="24"/>
          <w:lang w:eastAsia="en-GB"/>
          <w14:ligatures w14:val="none"/>
        </w:rPr>
        <w:t xml:space="preserve">, </w:t>
      </w:r>
      <w:r w:rsidRPr="005A6B10">
        <w:rPr>
          <w:rFonts w:ascii="Times New Roman" w:eastAsia="Times New Roman" w:hAnsi="Times New Roman" w:cs="Times New Roman"/>
          <w:i/>
          <w:iCs/>
          <w:kern w:val="0"/>
          <w:sz w:val="24"/>
          <w:szCs w:val="24"/>
          <w:lang w:eastAsia="en-GB"/>
          <w14:ligatures w14:val="none"/>
        </w:rPr>
        <w:t>Journal of Business Venturing</w:t>
      </w:r>
      <w:r w:rsidRPr="005A6B10">
        <w:rPr>
          <w:rFonts w:ascii="Times New Roman" w:eastAsia="Times New Roman" w:hAnsi="Times New Roman" w:cs="Times New Roman"/>
          <w:kern w:val="0"/>
          <w:sz w:val="24"/>
          <w:szCs w:val="24"/>
          <w:lang w:eastAsia="en-GB"/>
          <w14:ligatures w14:val="none"/>
        </w:rPr>
        <w:t xml:space="preserve">. Available at: https://www.sciencedirect.com/science/article/abs/pii/S0883902614001098 (Accessed: 10 February 2024). </w:t>
      </w:r>
    </w:p>
    <w:p w14:paraId="5F8C7365"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roofErr w:type="spellStart"/>
      <w:r w:rsidRPr="005A6B10">
        <w:rPr>
          <w:rFonts w:ascii="Times New Roman" w:eastAsia="Times New Roman" w:hAnsi="Times New Roman" w:cs="Times New Roman"/>
          <w:kern w:val="0"/>
          <w:sz w:val="24"/>
          <w:szCs w:val="24"/>
          <w:lang w:eastAsia="en-GB"/>
          <w14:ligatures w14:val="none"/>
        </w:rPr>
        <w:t>TheScottishGovernment</w:t>
      </w:r>
      <w:proofErr w:type="spellEnd"/>
      <w:r w:rsidRPr="005A6B10">
        <w:rPr>
          <w:rFonts w:ascii="Times New Roman" w:eastAsia="Times New Roman" w:hAnsi="Times New Roman" w:cs="Times New Roman"/>
          <w:kern w:val="0"/>
          <w:sz w:val="24"/>
          <w:szCs w:val="24"/>
          <w:lang w:eastAsia="en-GB"/>
          <w14:ligatures w14:val="none"/>
        </w:rPr>
        <w:t xml:space="preserve"> (2019) </w:t>
      </w:r>
      <w:r w:rsidRPr="005A6B10">
        <w:rPr>
          <w:rFonts w:ascii="Times New Roman" w:eastAsia="Times New Roman" w:hAnsi="Times New Roman" w:cs="Times New Roman"/>
          <w:i/>
          <w:iCs/>
          <w:kern w:val="0"/>
          <w:sz w:val="24"/>
          <w:szCs w:val="24"/>
          <w:lang w:eastAsia="en-GB"/>
          <w14:ligatures w14:val="none"/>
        </w:rPr>
        <w:t>Literature review on the impact of digital technology on learning and teaching</w:t>
      </w:r>
      <w:r w:rsidRPr="005A6B10">
        <w:rPr>
          <w:rFonts w:ascii="Times New Roman" w:eastAsia="Times New Roman" w:hAnsi="Times New Roman" w:cs="Times New Roman"/>
          <w:kern w:val="0"/>
          <w:sz w:val="24"/>
          <w:szCs w:val="24"/>
          <w:lang w:eastAsia="en-GB"/>
          <w14:ligatures w14:val="none"/>
        </w:rPr>
        <w:t xml:space="preserve">, </w:t>
      </w:r>
      <w:r w:rsidRPr="005A6B10">
        <w:rPr>
          <w:rFonts w:ascii="Times New Roman" w:eastAsia="Times New Roman" w:hAnsi="Times New Roman" w:cs="Times New Roman"/>
          <w:i/>
          <w:iCs/>
          <w:kern w:val="0"/>
          <w:sz w:val="24"/>
          <w:szCs w:val="24"/>
          <w:lang w:eastAsia="en-GB"/>
          <w14:ligatures w14:val="none"/>
        </w:rPr>
        <w:t>Scottish Government</w:t>
      </w:r>
      <w:r w:rsidRPr="005A6B10">
        <w:rPr>
          <w:rFonts w:ascii="Times New Roman" w:eastAsia="Times New Roman" w:hAnsi="Times New Roman" w:cs="Times New Roman"/>
          <w:kern w:val="0"/>
          <w:sz w:val="24"/>
          <w:szCs w:val="24"/>
          <w:lang w:eastAsia="en-GB"/>
          <w14:ligatures w14:val="none"/>
        </w:rPr>
        <w:t xml:space="preserve">. Available at: </w:t>
      </w:r>
      <w:r w:rsidRPr="005A6B10">
        <w:rPr>
          <w:rFonts w:ascii="Times New Roman" w:eastAsia="Times New Roman" w:hAnsi="Times New Roman" w:cs="Times New Roman"/>
          <w:kern w:val="0"/>
          <w:sz w:val="24"/>
          <w:szCs w:val="24"/>
          <w:lang w:eastAsia="en-GB"/>
          <w14:ligatures w14:val="none"/>
        </w:rPr>
        <w:lastRenderedPageBreak/>
        <w:t xml:space="preserve">https://www.gov.scot/publications/literature-review-impact-digital-technology-learning-teaching/ (Accessed: 10 February 2024). </w:t>
      </w:r>
    </w:p>
    <w:p w14:paraId="2A33C2A2"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kern w:val="0"/>
          <w:sz w:val="24"/>
          <w:szCs w:val="24"/>
          <w:lang w:eastAsia="en-GB"/>
          <w14:ligatures w14:val="none"/>
        </w:rPr>
        <w:t xml:space="preserve">Waugh, B. (2023) </w:t>
      </w:r>
      <w:r w:rsidRPr="005A6B10">
        <w:rPr>
          <w:rFonts w:ascii="Times New Roman" w:eastAsia="Times New Roman" w:hAnsi="Times New Roman" w:cs="Times New Roman"/>
          <w:i/>
          <w:iCs/>
          <w:kern w:val="0"/>
          <w:sz w:val="24"/>
          <w:szCs w:val="24"/>
          <w:lang w:eastAsia="en-GB"/>
          <w14:ligatures w14:val="none"/>
        </w:rPr>
        <w:t xml:space="preserve">What is active learning and how to implement </w:t>
      </w:r>
      <w:proofErr w:type="gramStart"/>
      <w:r w:rsidRPr="005A6B10">
        <w:rPr>
          <w:rFonts w:ascii="Times New Roman" w:eastAsia="Times New Roman" w:hAnsi="Times New Roman" w:cs="Times New Roman"/>
          <w:i/>
          <w:iCs/>
          <w:kern w:val="0"/>
          <w:sz w:val="24"/>
          <w:szCs w:val="24"/>
          <w:lang w:eastAsia="en-GB"/>
          <w14:ligatures w14:val="none"/>
        </w:rPr>
        <w:t>it?</w:t>
      </w:r>
      <w:r w:rsidRPr="005A6B10">
        <w:rPr>
          <w:rFonts w:ascii="Times New Roman" w:eastAsia="Times New Roman" w:hAnsi="Times New Roman" w:cs="Times New Roman"/>
          <w:kern w:val="0"/>
          <w:sz w:val="24"/>
          <w:szCs w:val="24"/>
          <w:lang w:eastAsia="en-GB"/>
          <w14:ligatures w14:val="none"/>
        </w:rPr>
        <w:t>,</w:t>
      </w:r>
      <w:proofErr w:type="gramEnd"/>
      <w:r w:rsidRPr="005A6B10">
        <w:rPr>
          <w:rFonts w:ascii="Times New Roman" w:eastAsia="Times New Roman" w:hAnsi="Times New Roman" w:cs="Times New Roman"/>
          <w:kern w:val="0"/>
          <w:sz w:val="24"/>
          <w:szCs w:val="24"/>
          <w:lang w:eastAsia="en-GB"/>
          <w14:ligatures w14:val="none"/>
        </w:rPr>
        <w:t xml:space="preserve"> </w:t>
      </w:r>
      <w:r w:rsidRPr="005A6B10">
        <w:rPr>
          <w:rFonts w:ascii="Times New Roman" w:eastAsia="Times New Roman" w:hAnsi="Times New Roman" w:cs="Times New Roman"/>
          <w:i/>
          <w:iCs/>
          <w:kern w:val="0"/>
          <w:sz w:val="24"/>
          <w:szCs w:val="24"/>
          <w:lang w:eastAsia="en-GB"/>
          <w14:ligatures w14:val="none"/>
        </w:rPr>
        <w:t>what is active learning and how to implement it?</w:t>
      </w:r>
      <w:r w:rsidRPr="005A6B10">
        <w:rPr>
          <w:rFonts w:ascii="Times New Roman" w:eastAsia="Times New Roman" w:hAnsi="Times New Roman" w:cs="Times New Roman"/>
          <w:kern w:val="0"/>
          <w:sz w:val="24"/>
          <w:szCs w:val="24"/>
          <w:lang w:eastAsia="en-GB"/>
          <w14:ligatures w14:val="none"/>
        </w:rPr>
        <w:t xml:space="preserve"> Available at: https://www.vevox.com/blog/what-is-active-learning-and-how-to-implement-it (Accessed: 10 February 2024). </w:t>
      </w:r>
    </w:p>
    <w:p w14:paraId="1EBE8BA2" w14:textId="77777777" w:rsidR="005A6B10" w:rsidRPr="005A6B10" w:rsidRDefault="005A6B10" w:rsidP="005A6B1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A6B10">
        <w:rPr>
          <w:rFonts w:ascii="Times New Roman" w:eastAsia="Times New Roman" w:hAnsi="Times New Roman" w:cs="Times New Roman"/>
          <w:i/>
          <w:iCs/>
          <w:kern w:val="0"/>
          <w:sz w:val="24"/>
          <w:szCs w:val="24"/>
          <w:lang w:eastAsia="en-GB"/>
          <w14:ligatures w14:val="none"/>
        </w:rPr>
        <w:t>What is Digital Innovation?</w:t>
      </w:r>
      <w:r w:rsidRPr="005A6B10">
        <w:rPr>
          <w:rFonts w:ascii="Times New Roman" w:eastAsia="Times New Roman" w:hAnsi="Times New Roman" w:cs="Times New Roman"/>
          <w:kern w:val="0"/>
          <w:sz w:val="24"/>
          <w:szCs w:val="24"/>
          <w:lang w:eastAsia="en-GB"/>
          <w14:ligatures w14:val="none"/>
        </w:rPr>
        <w:t xml:space="preserve"> (2023) </w:t>
      </w:r>
      <w:proofErr w:type="spellStart"/>
      <w:r w:rsidRPr="005A6B10">
        <w:rPr>
          <w:rFonts w:ascii="Times New Roman" w:eastAsia="Times New Roman" w:hAnsi="Times New Roman" w:cs="Times New Roman"/>
          <w:i/>
          <w:iCs/>
          <w:kern w:val="0"/>
          <w:sz w:val="24"/>
          <w:szCs w:val="24"/>
          <w:lang w:eastAsia="en-GB"/>
          <w14:ligatures w14:val="none"/>
        </w:rPr>
        <w:t>WalkMe</w:t>
      </w:r>
      <w:proofErr w:type="spellEnd"/>
      <w:r w:rsidRPr="005A6B10">
        <w:rPr>
          <w:rFonts w:ascii="Times New Roman" w:eastAsia="Times New Roman" w:hAnsi="Times New Roman" w:cs="Times New Roman"/>
          <w:kern w:val="0"/>
          <w:sz w:val="24"/>
          <w:szCs w:val="24"/>
          <w:lang w:eastAsia="en-GB"/>
          <w14:ligatures w14:val="none"/>
        </w:rPr>
        <w:t xml:space="preserve">. Available at: https://www.walkme.com/glossary/digital-innovation/ (Accessed: 10 February 2024). </w:t>
      </w:r>
    </w:p>
    <w:p w14:paraId="0EFF83F8" w14:textId="77777777" w:rsidR="005A6B10" w:rsidRPr="005A6B10" w:rsidRDefault="005A6B10" w:rsidP="005A6B10">
      <w:pPr>
        <w:spacing w:after="0" w:line="240" w:lineRule="auto"/>
        <w:rPr>
          <w:rFonts w:ascii="Calibri" w:eastAsia="Calibri" w:hAnsi="Calibri" w:cs="Times New Roman"/>
          <w:kern w:val="0"/>
          <w:sz w:val="24"/>
          <w:szCs w:val="24"/>
          <w14:ligatures w14:val="none"/>
        </w:rPr>
      </w:pPr>
    </w:p>
    <w:p w14:paraId="5683A596" w14:textId="77777777" w:rsidR="00A41C62" w:rsidRDefault="00A41C62"/>
    <w:sectPr w:rsidR="00A41C62" w:rsidSect="000B235B">
      <w:headerReference w:type="default" r:id="rId23"/>
      <w:footerReference w:type="default" r:id="rId24"/>
      <w:pgSz w:w="11906" w:h="16838"/>
      <w:pgMar w:top="709" w:right="1133"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D0B48" w14:textId="77777777" w:rsidR="000B235B" w:rsidRDefault="000B235B" w:rsidP="00551013">
      <w:pPr>
        <w:spacing w:after="0" w:line="240" w:lineRule="auto"/>
      </w:pPr>
      <w:r>
        <w:separator/>
      </w:r>
    </w:p>
  </w:endnote>
  <w:endnote w:type="continuationSeparator" w:id="0">
    <w:p w14:paraId="7985238B" w14:textId="77777777" w:rsidR="000B235B" w:rsidRDefault="000B235B" w:rsidP="00551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490416"/>
      <w:docPartObj>
        <w:docPartGallery w:val="Page Numbers (Bottom of Page)"/>
        <w:docPartUnique/>
      </w:docPartObj>
    </w:sdtPr>
    <w:sdtEndPr>
      <w:rPr>
        <w:noProof/>
      </w:rPr>
    </w:sdtEndPr>
    <w:sdtContent>
      <w:p w14:paraId="1BE7D147" w14:textId="348A3063" w:rsidR="001C10DD" w:rsidRDefault="001C10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02B7A3" w14:textId="77777777" w:rsidR="001C10DD" w:rsidRDefault="001C1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1C61B" w14:textId="77777777" w:rsidR="000B235B" w:rsidRDefault="000B235B" w:rsidP="00551013">
      <w:pPr>
        <w:spacing w:after="0" w:line="240" w:lineRule="auto"/>
      </w:pPr>
      <w:r>
        <w:separator/>
      </w:r>
    </w:p>
  </w:footnote>
  <w:footnote w:type="continuationSeparator" w:id="0">
    <w:p w14:paraId="0A31420D" w14:textId="77777777" w:rsidR="000B235B" w:rsidRDefault="000B235B" w:rsidP="005510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rPr>
      <w:alias w:val="Title"/>
      <w:tag w:val=""/>
      <w:id w:val="1116400235"/>
      <w:placeholder>
        <w:docPart w:val="8B71A5A0F37B40C49E248972E33A0ED2"/>
      </w:placeholder>
      <w:dataBinding w:prefixMappings="xmlns:ns0='http://purl.org/dc/elements/1.1/' xmlns:ns1='http://schemas.openxmlformats.org/package/2006/metadata/core-properties' " w:xpath="/ns1:coreProperties[1]/ns0:title[1]" w:storeItemID="{6C3C8BC8-F283-45AE-878A-BAB7291924A1}"/>
      <w:text/>
    </w:sdtPr>
    <w:sdtContent>
      <w:p w14:paraId="5575081F" w14:textId="434E1377" w:rsidR="00551013" w:rsidRDefault="00551013">
        <w:pPr>
          <w:pStyle w:val="Header"/>
          <w:jc w:val="right"/>
          <w:rPr>
            <w:color w:val="7F7F7F" w:themeColor="text1" w:themeTint="80"/>
          </w:rPr>
        </w:pPr>
        <w:r w:rsidRPr="00551013">
          <w:rPr>
            <w:color w:val="7F7F7F" w:themeColor="text1" w:themeTint="80"/>
          </w:rPr>
          <w:t>A critical evaluation of the role of digital innovation in professional practice</w:t>
        </w:r>
      </w:p>
    </w:sdtContent>
  </w:sdt>
  <w:p w14:paraId="2D16D0E8" w14:textId="77777777" w:rsidR="00551013" w:rsidRDefault="005510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E0E0A"/>
    <w:multiLevelType w:val="hybridMultilevel"/>
    <w:tmpl w:val="7BEA3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4655E6"/>
    <w:multiLevelType w:val="hybridMultilevel"/>
    <w:tmpl w:val="4CA00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C58B4"/>
    <w:multiLevelType w:val="hybridMultilevel"/>
    <w:tmpl w:val="642C8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53FA6"/>
    <w:multiLevelType w:val="hybridMultilevel"/>
    <w:tmpl w:val="26A0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65EBB"/>
    <w:multiLevelType w:val="hybridMultilevel"/>
    <w:tmpl w:val="F80E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C75AE6"/>
    <w:multiLevelType w:val="hybridMultilevel"/>
    <w:tmpl w:val="018EF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B94CB4"/>
    <w:multiLevelType w:val="hybridMultilevel"/>
    <w:tmpl w:val="9148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6B7FD2"/>
    <w:multiLevelType w:val="hybridMultilevel"/>
    <w:tmpl w:val="BE681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64160D"/>
    <w:multiLevelType w:val="hybridMultilevel"/>
    <w:tmpl w:val="27EA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901320">
    <w:abstractNumId w:val="3"/>
  </w:num>
  <w:num w:numId="2" w16cid:durableId="358745953">
    <w:abstractNumId w:val="7"/>
  </w:num>
  <w:num w:numId="3" w16cid:durableId="399403330">
    <w:abstractNumId w:val="2"/>
  </w:num>
  <w:num w:numId="4" w16cid:durableId="1303459946">
    <w:abstractNumId w:val="0"/>
  </w:num>
  <w:num w:numId="5" w16cid:durableId="914171748">
    <w:abstractNumId w:val="5"/>
  </w:num>
  <w:num w:numId="6" w16cid:durableId="1480076393">
    <w:abstractNumId w:val="8"/>
  </w:num>
  <w:num w:numId="7" w16cid:durableId="617219297">
    <w:abstractNumId w:val="6"/>
  </w:num>
  <w:num w:numId="8" w16cid:durableId="583345831">
    <w:abstractNumId w:val="1"/>
  </w:num>
  <w:num w:numId="9" w16cid:durableId="1994211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F71"/>
    <w:rsid w:val="00034465"/>
    <w:rsid w:val="000A22A4"/>
    <w:rsid w:val="000B235B"/>
    <w:rsid w:val="001B53E2"/>
    <w:rsid w:val="001C10DD"/>
    <w:rsid w:val="00241FA4"/>
    <w:rsid w:val="003F7443"/>
    <w:rsid w:val="00471D03"/>
    <w:rsid w:val="00551013"/>
    <w:rsid w:val="005A6B10"/>
    <w:rsid w:val="00677EB6"/>
    <w:rsid w:val="00746F71"/>
    <w:rsid w:val="007D7B00"/>
    <w:rsid w:val="00A143C6"/>
    <w:rsid w:val="00A369DC"/>
    <w:rsid w:val="00A41C62"/>
    <w:rsid w:val="00B92F14"/>
    <w:rsid w:val="00C21735"/>
    <w:rsid w:val="00DB7649"/>
    <w:rsid w:val="00DD7D80"/>
    <w:rsid w:val="00E34C09"/>
    <w:rsid w:val="00F77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C4B23"/>
  <w15:chartTrackingRefBased/>
  <w15:docId w15:val="{7830034C-BA53-4733-BD5C-9BC5C6008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F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6F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6F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6F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6F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6F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F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F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F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F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6F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6F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6F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F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F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F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F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F71"/>
    <w:rPr>
      <w:rFonts w:eastAsiaTheme="majorEastAsia" w:cstheme="majorBidi"/>
      <w:color w:val="272727" w:themeColor="text1" w:themeTint="D8"/>
    </w:rPr>
  </w:style>
  <w:style w:type="paragraph" w:styleId="Title">
    <w:name w:val="Title"/>
    <w:basedOn w:val="Normal"/>
    <w:next w:val="Normal"/>
    <w:link w:val="TitleChar"/>
    <w:uiPriority w:val="10"/>
    <w:qFormat/>
    <w:rsid w:val="00746F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F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F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F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F71"/>
    <w:pPr>
      <w:spacing w:before="160"/>
      <w:jc w:val="center"/>
    </w:pPr>
    <w:rPr>
      <w:i/>
      <w:iCs/>
      <w:color w:val="404040" w:themeColor="text1" w:themeTint="BF"/>
    </w:rPr>
  </w:style>
  <w:style w:type="character" w:customStyle="1" w:styleId="QuoteChar">
    <w:name w:val="Quote Char"/>
    <w:basedOn w:val="DefaultParagraphFont"/>
    <w:link w:val="Quote"/>
    <w:uiPriority w:val="29"/>
    <w:rsid w:val="00746F71"/>
    <w:rPr>
      <w:i/>
      <w:iCs/>
      <w:color w:val="404040" w:themeColor="text1" w:themeTint="BF"/>
    </w:rPr>
  </w:style>
  <w:style w:type="paragraph" w:styleId="ListParagraph">
    <w:name w:val="List Paragraph"/>
    <w:basedOn w:val="Normal"/>
    <w:uiPriority w:val="34"/>
    <w:qFormat/>
    <w:rsid w:val="00746F71"/>
    <w:pPr>
      <w:ind w:left="720"/>
      <w:contextualSpacing/>
    </w:pPr>
  </w:style>
  <w:style w:type="character" w:styleId="IntenseEmphasis">
    <w:name w:val="Intense Emphasis"/>
    <w:basedOn w:val="DefaultParagraphFont"/>
    <w:uiPriority w:val="21"/>
    <w:qFormat/>
    <w:rsid w:val="00746F71"/>
    <w:rPr>
      <w:i/>
      <w:iCs/>
      <w:color w:val="0F4761" w:themeColor="accent1" w:themeShade="BF"/>
    </w:rPr>
  </w:style>
  <w:style w:type="paragraph" w:styleId="IntenseQuote">
    <w:name w:val="Intense Quote"/>
    <w:basedOn w:val="Normal"/>
    <w:next w:val="Normal"/>
    <w:link w:val="IntenseQuoteChar"/>
    <w:uiPriority w:val="30"/>
    <w:qFormat/>
    <w:rsid w:val="00746F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6F71"/>
    <w:rPr>
      <w:i/>
      <w:iCs/>
      <w:color w:val="0F4761" w:themeColor="accent1" w:themeShade="BF"/>
    </w:rPr>
  </w:style>
  <w:style w:type="character" w:styleId="IntenseReference">
    <w:name w:val="Intense Reference"/>
    <w:basedOn w:val="DefaultParagraphFont"/>
    <w:uiPriority w:val="32"/>
    <w:qFormat/>
    <w:rsid w:val="00746F71"/>
    <w:rPr>
      <w:b/>
      <w:bCs/>
      <w:smallCaps/>
      <w:color w:val="0F4761" w:themeColor="accent1" w:themeShade="BF"/>
      <w:spacing w:val="5"/>
    </w:rPr>
  </w:style>
  <w:style w:type="table" w:styleId="TableGrid">
    <w:name w:val="Table Grid"/>
    <w:basedOn w:val="TableNormal"/>
    <w:uiPriority w:val="39"/>
    <w:rsid w:val="005A6B1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10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013"/>
  </w:style>
  <w:style w:type="paragraph" w:styleId="Footer">
    <w:name w:val="footer"/>
    <w:basedOn w:val="Normal"/>
    <w:link w:val="FooterChar"/>
    <w:uiPriority w:val="99"/>
    <w:unhideWhenUsed/>
    <w:rsid w:val="005510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71A5A0F37B40C49E248972E33A0ED2"/>
        <w:category>
          <w:name w:val="General"/>
          <w:gallery w:val="placeholder"/>
        </w:category>
        <w:types>
          <w:type w:val="bbPlcHdr"/>
        </w:types>
        <w:behaviors>
          <w:behavior w:val="content"/>
        </w:behaviors>
        <w:guid w:val="{CE582D69-81DE-4767-8811-7506B4FAC322}"/>
      </w:docPartPr>
      <w:docPartBody>
        <w:p w:rsidR="00000000" w:rsidRDefault="00613538" w:rsidP="00613538">
          <w:pPr>
            <w:pStyle w:val="8B71A5A0F37B40C49E248972E33A0ED2"/>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538"/>
    <w:rsid w:val="00613538"/>
    <w:rsid w:val="00F55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71A5A0F37B40C49E248972E33A0ED2">
    <w:name w:val="8B71A5A0F37B40C49E248972E33A0ED2"/>
    <w:rsid w:val="006135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E1616-CBAD-4D17-8F03-EBFAC197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19</Pages>
  <Words>7286</Words>
  <Characters>41532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role of digital innovation in professional practice</dc:title>
  <dc:subject/>
  <dc:creator>Ghurnata Tabbusum</dc:creator>
  <cp:keywords/>
  <dc:description/>
  <cp:lastModifiedBy>Ghurnata Tabbusum</cp:lastModifiedBy>
  <cp:revision>11</cp:revision>
  <dcterms:created xsi:type="dcterms:W3CDTF">2024-02-16T15:58:00Z</dcterms:created>
  <dcterms:modified xsi:type="dcterms:W3CDTF">2024-02-16T23:04:00Z</dcterms:modified>
</cp:coreProperties>
</file>