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31122057"/>
        <w:docPartObj>
          <w:docPartGallery w:val="Cover Pages"/>
          <w:docPartUnique/>
        </w:docPartObj>
      </w:sdtPr>
      <w:sdtEndPr>
        <w:rPr>
          <w:rFonts w:ascii="Arial Black" w:hAnsi="Arial Black" w:cs="Arial"/>
          <w:u w:val="thick"/>
        </w:rPr>
      </w:sdtEndPr>
      <w:sdtContent>
        <w:p w14:paraId="502DC862" w14:textId="29C92584" w:rsidR="00701D3C" w:rsidRDefault="00701D3C"/>
        <w:tbl>
          <w:tblPr>
            <w:tblpPr w:leftFromText="187" w:rightFromText="187" w:horzAnchor="margin" w:tblpXSpec="center" w:tblpYSpec="bottom"/>
            <w:tblW w:w="3857" w:type="pct"/>
            <w:tblLook w:val="04A0" w:firstRow="1" w:lastRow="0" w:firstColumn="1" w:lastColumn="0" w:noHBand="0" w:noVBand="1"/>
          </w:tblPr>
          <w:tblGrid>
            <w:gridCol w:w="6963"/>
          </w:tblGrid>
          <w:tr w:rsidR="00701D3C" w14:paraId="1F57E740" w14:textId="77777777" w:rsidTr="00701D3C">
            <w:tc>
              <w:tcPr>
                <w:tcW w:w="6963" w:type="dxa"/>
                <w:tcMar>
                  <w:top w:w="216" w:type="dxa"/>
                  <w:left w:w="115" w:type="dxa"/>
                  <w:bottom w:w="216" w:type="dxa"/>
                  <w:right w:w="115" w:type="dxa"/>
                </w:tcMar>
              </w:tcPr>
              <w:p w14:paraId="21529C5C" w14:textId="410AC96F" w:rsidR="00701D3C" w:rsidRDefault="00701D3C">
                <w:pPr>
                  <w:pStyle w:val="NoSpacing"/>
                  <w:rPr>
                    <w:color w:val="156082" w:themeColor="accent1"/>
                    <w:sz w:val="28"/>
                    <w:szCs w:val="28"/>
                  </w:rPr>
                </w:pPr>
              </w:p>
              <w:sdt>
                <w:sdtPr>
                  <w:rPr>
                    <w:rFonts w:ascii="Arial Black" w:hAnsi="Arial Black"/>
                    <w:color w:val="156082" w:themeColor="accent1"/>
                    <w:sz w:val="28"/>
                    <w:szCs w:val="28"/>
                  </w:rPr>
                  <w:alias w:val="Date"/>
                  <w:tag w:val="Date"/>
                  <w:id w:val="13406932"/>
                  <w:placeholder>
                    <w:docPart w:val="06A3B5DA690742EFABFABA7E00CCC0ED"/>
                  </w:placeholder>
                  <w:dataBinding w:prefixMappings="xmlns:ns0='http://schemas.microsoft.com/office/2006/coverPageProps'" w:xpath="/ns0:CoverPageProperties[1]/ns0:PublishDate[1]" w:storeItemID="{55AF091B-3C7A-41E3-B477-F2FDAA23CFDA}"/>
                  <w:date w:fullDate="2025-04-11T00:00:00Z">
                    <w:dateFormat w:val="M-d-yyyy"/>
                    <w:lid w:val="en-US"/>
                    <w:storeMappedDataAs w:val="dateTime"/>
                    <w:calendar w:val="gregorian"/>
                  </w:date>
                </w:sdtPr>
                <w:sdtContent>
                  <w:p w14:paraId="79453F13" w14:textId="08EFA460" w:rsidR="00701D3C" w:rsidRPr="00701D3C" w:rsidRDefault="00701D3C">
                    <w:pPr>
                      <w:pStyle w:val="NoSpacing"/>
                      <w:rPr>
                        <w:rFonts w:ascii="Arial Black" w:hAnsi="Arial Black"/>
                        <w:color w:val="156082" w:themeColor="accent1"/>
                        <w:sz w:val="28"/>
                        <w:szCs w:val="28"/>
                      </w:rPr>
                    </w:pPr>
                    <w:r w:rsidRPr="00701D3C">
                      <w:rPr>
                        <w:rFonts w:ascii="Arial Black" w:hAnsi="Arial Black"/>
                        <w:color w:val="156082" w:themeColor="accent1"/>
                        <w:sz w:val="28"/>
                        <w:szCs w:val="28"/>
                      </w:rPr>
                      <w:t>4-11-2025</w:t>
                    </w:r>
                  </w:p>
                </w:sdtContent>
              </w:sdt>
              <w:p w14:paraId="7091AAF2" w14:textId="77777777" w:rsidR="00701D3C" w:rsidRDefault="00701D3C">
                <w:pPr>
                  <w:pStyle w:val="NoSpacing"/>
                  <w:rPr>
                    <w:color w:val="156082" w:themeColor="accent1"/>
                  </w:rPr>
                </w:pPr>
              </w:p>
            </w:tc>
          </w:tr>
        </w:tbl>
        <w:tbl>
          <w:tblPr>
            <w:tblpPr w:leftFromText="187" w:rightFromText="187" w:vertAnchor="page" w:horzAnchor="margin" w:tblpXSpec="center" w:tblpY="7543"/>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701D3C" w14:paraId="054BE197" w14:textId="77777777" w:rsidTr="00701D3C">
            <w:tc>
              <w:tcPr>
                <w:tcW w:w="7209" w:type="dxa"/>
                <w:tcMar>
                  <w:top w:w="216" w:type="dxa"/>
                  <w:left w:w="115" w:type="dxa"/>
                  <w:bottom w:w="216" w:type="dxa"/>
                  <w:right w:w="115" w:type="dxa"/>
                </w:tcMar>
              </w:tcPr>
              <w:p w14:paraId="27F1E0DA" w14:textId="77777777" w:rsidR="00701D3C" w:rsidRDefault="00701D3C" w:rsidP="00701D3C">
                <w:pPr>
                  <w:pStyle w:val="NoSpacing"/>
                  <w:rPr>
                    <w:color w:val="0F4761" w:themeColor="accent1" w:themeShade="BF"/>
                    <w:sz w:val="24"/>
                  </w:rPr>
                </w:pPr>
              </w:p>
            </w:tc>
          </w:tr>
          <w:tr w:rsidR="00701D3C" w14:paraId="4492FEF8" w14:textId="77777777" w:rsidTr="00701D3C">
            <w:tc>
              <w:tcPr>
                <w:tcW w:w="7209" w:type="dxa"/>
              </w:tcPr>
              <w:sdt>
                <w:sdtPr>
                  <w:rPr>
                    <w:rFonts w:ascii="Arial Black" w:eastAsiaTheme="majorEastAsia" w:hAnsi="Arial Black" w:cstheme="majorBidi"/>
                    <w:color w:val="156082" w:themeColor="accent1"/>
                    <w:sz w:val="56"/>
                    <w:szCs w:val="56"/>
                    <w:u w:val="thick"/>
                  </w:rPr>
                  <w:alias w:val="Title"/>
                  <w:id w:val="13406919"/>
                  <w:placeholder>
                    <w:docPart w:val="079CCE910C664A78B144DF221130342C"/>
                  </w:placeholder>
                  <w:dataBinding w:prefixMappings="xmlns:ns0='http://schemas.openxmlformats.org/package/2006/metadata/core-properties' xmlns:ns1='http://purl.org/dc/elements/1.1/'" w:xpath="/ns0:coreProperties[1]/ns1:title[1]" w:storeItemID="{6C3C8BC8-F283-45AE-878A-BAB7291924A1}"/>
                  <w:text/>
                </w:sdtPr>
                <w:sdtContent>
                  <w:p w14:paraId="4B1A21E4" w14:textId="77777777" w:rsidR="00701D3C" w:rsidRPr="00701D3C" w:rsidRDefault="00701D3C" w:rsidP="00701D3C">
                    <w:pPr>
                      <w:pStyle w:val="NoSpacing"/>
                      <w:spacing w:line="216" w:lineRule="auto"/>
                      <w:rPr>
                        <w:rFonts w:ascii="Arial Black" w:eastAsiaTheme="majorEastAsia" w:hAnsi="Arial Black" w:cstheme="majorBidi"/>
                        <w:color w:val="156082" w:themeColor="accent1"/>
                        <w:sz w:val="56"/>
                        <w:szCs w:val="56"/>
                        <w:u w:val="thick"/>
                      </w:rPr>
                    </w:pPr>
                    <w:r w:rsidRPr="00701D3C">
                      <w:rPr>
                        <w:rFonts w:ascii="Arial Black" w:eastAsiaTheme="majorEastAsia" w:hAnsi="Arial Black" w:cstheme="majorBidi"/>
                        <w:color w:val="156082" w:themeColor="accent1"/>
                        <w:sz w:val="56"/>
                        <w:szCs w:val="56"/>
                        <w:u w:val="thick"/>
                      </w:rPr>
                      <w:t>Financial Analysis</w:t>
                    </w:r>
                  </w:p>
                </w:sdtContent>
              </w:sdt>
            </w:tc>
          </w:tr>
          <w:tr w:rsidR="00701D3C" w14:paraId="492A3712" w14:textId="77777777" w:rsidTr="00701D3C">
            <w:tc>
              <w:tcPr>
                <w:tcW w:w="7209" w:type="dxa"/>
                <w:tcMar>
                  <w:top w:w="216" w:type="dxa"/>
                  <w:left w:w="115" w:type="dxa"/>
                  <w:bottom w:w="216" w:type="dxa"/>
                  <w:right w:w="115" w:type="dxa"/>
                </w:tcMar>
              </w:tcPr>
              <w:p w14:paraId="564C5373" w14:textId="77777777" w:rsidR="00701D3C" w:rsidRPr="00701D3C" w:rsidRDefault="00701D3C" w:rsidP="00701D3C">
                <w:pPr>
                  <w:pStyle w:val="NoSpacing"/>
                  <w:rPr>
                    <w:rFonts w:ascii="Arial Black" w:hAnsi="Arial Black"/>
                    <w:color w:val="0F4761" w:themeColor="accent1" w:themeShade="BF"/>
                    <w:sz w:val="56"/>
                    <w:szCs w:val="56"/>
                    <w:u w:val="thick"/>
                  </w:rPr>
                </w:pPr>
              </w:p>
            </w:tc>
          </w:tr>
        </w:tbl>
        <w:p w14:paraId="60490BCD" w14:textId="49419E2D" w:rsidR="00701D3C" w:rsidRPr="00701D3C" w:rsidRDefault="00701D3C" w:rsidP="00701D3C">
          <w:pPr>
            <w:rPr>
              <w:rFonts w:ascii="Arial Black" w:hAnsi="Arial Black" w:cs="Arial"/>
              <w:u w:val="thick"/>
            </w:rPr>
          </w:pPr>
          <w:r w:rsidRPr="00701D3C">
            <w:rPr>
              <w:rFonts w:ascii="Arial Black" w:hAnsi="Arial Black" w:cs="Arial"/>
              <w:u w:val="thick"/>
            </w:rPr>
            <w:t>Student name:</w:t>
          </w:r>
          <w:r>
            <w:rPr>
              <w:rFonts w:ascii="Arial Black" w:hAnsi="Arial Black" w:cs="Arial"/>
              <w:u w:val="thick"/>
            </w:rPr>
            <w:t xml:space="preserve"> Viorica Voicu</w:t>
          </w:r>
          <w:r w:rsidRPr="00701D3C">
            <w:rPr>
              <w:rFonts w:ascii="Arial Black" w:hAnsi="Arial Black" w:cs="Arial"/>
              <w:u w:val="thick"/>
            </w:rPr>
            <w:t xml:space="preserve">     </w:t>
          </w:r>
        </w:p>
        <w:p w14:paraId="6D56AD1C" w14:textId="33183BA9" w:rsidR="00701D3C" w:rsidRPr="00701D3C" w:rsidRDefault="00701D3C" w:rsidP="00701D3C">
          <w:pPr>
            <w:rPr>
              <w:rFonts w:ascii="Arial Black" w:hAnsi="Arial Black" w:cs="Arial"/>
              <w:u w:val="thick"/>
            </w:rPr>
          </w:pPr>
          <w:r w:rsidRPr="00701D3C">
            <w:rPr>
              <w:rFonts w:ascii="Arial Black" w:hAnsi="Arial Black" w:cs="Arial"/>
              <w:u w:val="thick"/>
            </w:rPr>
            <w:t>Programme:</w:t>
          </w:r>
          <w:r>
            <w:rPr>
              <w:rFonts w:ascii="Arial Black" w:hAnsi="Arial Black" w:cs="Arial"/>
              <w:u w:val="thick"/>
            </w:rPr>
            <w:t xml:space="preserve"> </w:t>
          </w:r>
          <w:r w:rsidRPr="00701D3C">
            <w:rPr>
              <w:rFonts w:ascii="Arial Black" w:hAnsi="Arial Black" w:cs="Arial"/>
              <w:u w:val="thick"/>
            </w:rPr>
            <w:t>BA/HND Business and Management</w:t>
          </w:r>
        </w:p>
        <w:p w14:paraId="313BEBC1" w14:textId="282F075E" w:rsidR="00701D3C" w:rsidRPr="00701D3C" w:rsidRDefault="00701D3C" w:rsidP="00701D3C">
          <w:pPr>
            <w:rPr>
              <w:rFonts w:ascii="Arial Black" w:hAnsi="Arial Black" w:cs="Arial"/>
              <w:u w:val="thick"/>
            </w:rPr>
          </w:pPr>
          <w:r w:rsidRPr="00701D3C">
            <w:rPr>
              <w:rFonts w:ascii="Arial Black" w:hAnsi="Arial Black" w:cs="Arial"/>
              <w:u w:val="thick"/>
            </w:rPr>
            <w:t>Module:</w:t>
          </w:r>
          <w:r>
            <w:rPr>
              <w:rFonts w:ascii="Arial Black" w:hAnsi="Arial Black" w:cs="Arial"/>
              <w:u w:val="thick"/>
            </w:rPr>
            <w:t xml:space="preserve"> </w:t>
          </w:r>
          <w:r w:rsidRPr="00701D3C">
            <w:rPr>
              <w:rFonts w:ascii="Arial Black" w:hAnsi="Arial Black" w:cs="Arial"/>
              <w:u w:val="thick"/>
            </w:rPr>
            <w:t xml:space="preserve">Financial Management </w:t>
          </w:r>
          <w:proofErr w:type="gramStart"/>
          <w:r w:rsidRPr="00701D3C">
            <w:rPr>
              <w:rFonts w:ascii="Arial Black" w:hAnsi="Arial Black" w:cs="Arial"/>
              <w:u w:val="thick"/>
            </w:rPr>
            <w:t>For</w:t>
          </w:r>
          <w:proofErr w:type="gramEnd"/>
          <w:r w:rsidRPr="00701D3C">
            <w:rPr>
              <w:rFonts w:ascii="Arial Black" w:hAnsi="Arial Black" w:cs="Arial"/>
              <w:u w:val="thick"/>
            </w:rPr>
            <w:t xml:space="preserve"> Business Sustainability</w:t>
          </w:r>
        </w:p>
        <w:p w14:paraId="7B5D9519" w14:textId="70CF561D" w:rsidR="00701D3C" w:rsidRDefault="00701D3C" w:rsidP="00701D3C">
          <w:pPr>
            <w:rPr>
              <w:rFonts w:ascii="Arial Black" w:hAnsi="Arial Black" w:cs="Arial"/>
              <w:u w:val="thick"/>
            </w:rPr>
          </w:pPr>
          <w:r w:rsidRPr="00701D3C">
            <w:rPr>
              <w:rFonts w:ascii="Arial Black" w:hAnsi="Arial Black" w:cs="Arial"/>
              <w:u w:val="thick"/>
            </w:rPr>
            <w:t>Module code:</w:t>
          </w:r>
          <w:r>
            <w:rPr>
              <w:rFonts w:ascii="Arial Black" w:hAnsi="Arial Black" w:cs="Arial"/>
              <w:u w:val="thick"/>
            </w:rPr>
            <w:t xml:space="preserve"> </w:t>
          </w:r>
          <w:r w:rsidRPr="00701D3C">
            <w:rPr>
              <w:rFonts w:ascii="Arial Black" w:hAnsi="Arial Black" w:cs="Arial"/>
              <w:u w:val="thick"/>
            </w:rPr>
            <w:t>BMSP4011D</w:t>
          </w:r>
          <w:r>
            <w:rPr>
              <w:rFonts w:ascii="Arial Black" w:hAnsi="Arial Black" w:cs="Arial"/>
              <w:u w:val="thick"/>
            </w:rPr>
            <w:br w:type="page"/>
          </w:r>
        </w:p>
      </w:sdtContent>
    </w:sdt>
    <w:p w14:paraId="77F382E5" w14:textId="55676A15" w:rsidR="0027763B" w:rsidRPr="00335D22" w:rsidRDefault="0027763B" w:rsidP="0027763B">
      <w:pPr>
        <w:spacing w:line="480" w:lineRule="auto"/>
        <w:rPr>
          <w:rFonts w:ascii="Arial Black" w:hAnsi="Arial Black" w:cs="Arial"/>
          <w:u w:val="thick"/>
        </w:rPr>
      </w:pPr>
      <w:r w:rsidRPr="00335D22">
        <w:rPr>
          <w:rFonts w:ascii="Arial Black" w:hAnsi="Arial Black" w:cs="Arial"/>
          <w:u w:val="thick"/>
        </w:rPr>
        <w:lastRenderedPageBreak/>
        <w:t xml:space="preserve">Introduction </w:t>
      </w:r>
    </w:p>
    <w:p w14:paraId="0CFCDF5D" w14:textId="77777777" w:rsidR="0027763B" w:rsidRDefault="0027763B" w:rsidP="0027763B">
      <w:pPr>
        <w:spacing w:line="480" w:lineRule="auto"/>
        <w:rPr>
          <w:rFonts w:ascii="Arial" w:hAnsi="Arial" w:cs="Arial"/>
        </w:rPr>
      </w:pPr>
      <w:r w:rsidRPr="0027763B">
        <w:rPr>
          <w:rFonts w:ascii="Arial" w:hAnsi="Arial" w:cs="Arial"/>
        </w:rPr>
        <w:t>Financial ratios are integral to understanding a company’s operating performance, profitability, liquidity, and solvency.</w:t>
      </w:r>
      <w:r>
        <w:rPr>
          <w:rFonts w:ascii="Arial" w:hAnsi="Arial" w:cs="Arial"/>
        </w:rPr>
        <w:t xml:space="preserve"> </w:t>
      </w:r>
      <w:r w:rsidRPr="0027763B">
        <w:rPr>
          <w:rFonts w:ascii="Arial" w:hAnsi="Arial" w:cs="Arial"/>
        </w:rPr>
        <w:t>This report assesses Apple Inc., one of the dominant technology companies globally, by looking across data from its official SEC-10 K filing for fiscal year 2022 (Apple Inc. 2022), and fiscal year 2023 (Apple Inc., 2023), comparing the resulting financial performance. Both the calculation of liquidity, profitability, efficiency, and solvency ratios, offered insight into operating performance across comparable years while identifying efficiency in resource utili</w:t>
      </w:r>
      <w:r>
        <w:rPr>
          <w:rFonts w:ascii="Arial" w:hAnsi="Arial" w:cs="Arial"/>
        </w:rPr>
        <w:t>s</w:t>
      </w:r>
      <w:r w:rsidRPr="0027763B">
        <w:rPr>
          <w:rFonts w:ascii="Arial" w:hAnsi="Arial" w:cs="Arial"/>
        </w:rPr>
        <w:t>ation, enabled recommendations to produce ongoing sustainable performance.</w:t>
      </w:r>
    </w:p>
    <w:p w14:paraId="31F5C5C0" w14:textId="4BB58003" w:rsidR="0027763B" w:rsidRPr="00335D22" w:rsidRDefault="0027763B" w:rsidP="0027763B">
      <w:pPr>
        <w:spacing w:line="480" w:lineRule="auto"/>
        <w:rPr>
          <w:rFonts w:ascii="Arial Black" w:hAnsi="Arial Black" w:cs="Arial"/>
          <w:u w:val="thick"/>
        </w:rPr>
      </w:pPr>
      <w:r w:rsidRPr="00335D22">
        <w:rPr>
          <w:rFonts w:ascii="Arial Black" w:hAnsi="Arial Black" w:cs="Arial"/>
          <w:u w:val="thick"/>
        </w:rPr>
        <w:t xml:space="preserve">Data and Methodology </w:t>
      </w:r>
    </w:p>
    <w:p w14:paraId="2ED8EAD8" w14:textId="339542A2" w:rsidR="0027763B" w:rsidRDefault="0027763B" w:rsidP="0027763B">
      <w:pPr>
        <w:spacing w:line="480" w:lineRule="auto"/>
        <w:rPr>
          <w:rFonts w:ascii="Arial" w:hAnsi="Arial" w:cs="Arial"/>
        </w:rPr>
      </w:pPr>
      <w:r w:rsidRPr="0027763B">
        <w:rPr>
          <w:rFonts w:ascii="Arial" w:hAnsi="Arial" w:cs="Arial"/>
        </w:rPr>
        <w:t>Data in the analysis is sourced directly from Apple audited 10-K reports for fiscal year 2022 and fiscal year 2023. Key markers reported (in billion U.S. Dollars), are</w:t>
      </w:r>
      <w:r>
        <w:rPr>
          <w:rFonts w:ascii="Arial" w:hAnsi="Arial" w:cs="Arial"/>
        </w:rPr>
        <w:t xml:space="preserve">: </w:t>
      </w:r>
    </w:p>
    <w:tbl>
      <w:tblPr>
        <w:tblW w:w="6593" w:type="dxa"/>
        <w:tblCellSpacing w:w="15" w:type="dxa"/>
        <w:tblInd w:w="75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15" w:type="dxa"/>
          <w:left w:w="15" w:type="dxa"/>
          <w:bottom w:w="15" w:type="dxa"/>
          <w:right w:w="15" w:type="dxa"/>
        </w:tblCellMar>
        <w:tblLook w:val="04A0" w:firstRow="1" w:lastRow="0" w:firstColumn="1" w:lastColumn="0" w:noHBand="0" w:noVBand="1"/>
      </w:tblPr>
      <w:tblGrid>
        <w:gridCol w:w="2697"/>
        <w:gridCol w:w="1948"/>
        <w:gridCol w:w="1948"/>
      </w:tblGrid>
      <w:tr w:rsidR="0027763B" w:rsidRPr="0027763B" w14:paraId="4F0F4A50" w14:textId="77777777" w:rsidTr="00335D22">
        <w:trPr>
          <w:trHeight w:val="341"/>
          <w:tblHeader/>
          <w:tblCellSpacing w:w="15" w:type="dxa"/>
        </w:trPr>
        <w:tc>
          <w:tcPr>
            <w:tcW w:w="2652" w:type="dxa"/>
            <w:shd w:val="clear" w:color="auto" w:fill="A5C9EB" w:themeFill="text2" w:themeFillTint="40"/>
            <w:vAlign w:val="center"/>
            <w:hideMark/>
          </w:tcPr>
          <w:p w14:paraId="25818F49" w14:textId="77777777" w:rsidR="0027763B" w:rsidRPr="0027763B" w:rsidRDefault="0027763B" w:rsidP="0027763B">
            <w:pPr>
              <w:spacing w:after="0" w:line="240" w:lineRule="auto"/>
              <w:jc w:val="center"/>
              <w:rPr>
                <w:rFonts w:ascii="Arial" w:eastAsia="Times New Roman" w:hAnsi="Arial" w:cs="Arial"/>
                <w:b/>
                <w:bCs/>
                <w:kern w:val="0"/>
                <w:lang w:eastAsia="en-GB"/>
                <w14:ligatures w14:val="none"/>
              </w:rPr>
            </w:pPr>
            <w:r w:rsidRPr="0027763B">
              <w:rPr>
                <w:rFonts w:ascii="Arial" w:eastAsia="Times New Roman" w:hAnsi="Arial" w:cs="Arial"/>
                <w:b/>
                <w:bCs/>
                <w:kern w:val="0"/>
                <w:lang w:eastAsia="en-GB"/>
                <w14:ligatures w14:val="none"/>
              </w:rPr>
              <w:t>Item</w:t>
            </w:r>
          </w:p>
        </w:tc>
        <w:tc>
          <w:tcPr>
            <w:tcW w:w="1918" w:type="dxa"/>
            <w:shd w:val="clear" w:color="auto" w:fill="A5C9EB" w:themeFill="text2" w:themeFillTint="40"/>
            <w:vAlign w:val="center"/>
            <w:hideMark/>
          </w:tcPr>
          <w:p w14:paraId="7662AB73" w14:textId="77777777" w:rsidR="0027763B" w:rsidRPr="0027763B" w:rsidRDefault="0027763B" w:rsidP="0027763B">
            <w:pPr>
              <w:spacing w:after="0" w:line="240" w:lineRule="auto"/>
              <w:jc w:val="center"/>
              <w:rPr>
                <w:rFonts w:ascii="Arial" w:eastAsia="Times New Roman" w:hAnsi="Arial" w:cs="Arial"/>
                <w:b/>
                <w:bCs/>
                <w:kern w:val="0"/>
                <w:lang w:eastAsia="en-GB"/>
                <w14:ligatures w14:val="none"/>
              </w:rPr>
            </w:pPr>
            <w:r w:rsidRPr="0027763B">
              <w:rPr>
                <w:rFonts w:ascii="Arial" w:eastAsia="Times New Roman" w:hAnsi="Arial" w:cs="Arial"/>
                <w:b/>
                <w:bCs/>
                <w:kern w:val="0"/>
                <w:lang w:eastAsia="en-GB"/>
                <w14:ligatures w14:val="none"/>
              </w:rPr>
              <w:t>FY2022</w:t>
            </w:r>
          </w:p>
        </w:tc>
        <w:tc>
          <w:tcPr>
            <w:tcW w:w="1903" w:type="dxa"/>
            <w:shd w:val="clear" w:color="auto" w:fill="A5C9EB" w:themeFill="text2" w:themeFillTint="40"/>
            <w:vAlign w:val="center"/>
            <w:hideMark/>
          </w:tcPr>
          <w:p w14:paraId="42584301" w14:textId="77777777" w:rsidR="0027763B" w:rsidRPr="0027763B" w:rsidRDefault="0027763B" w:rsidP="0027763B">
            <w:pPr>
              <w:spacing w:after="0" w:line="240" w:lineRule="auto"/>
              <w:jc w:val="center"/>
              <w:rPr>
                <w:rFonts w:ascii="Arial" w:eastAsia="Times New Roman" w:hAnsi="Arial" w:cs="Arial"/>
                <w:b/>
                <w:bCs/>
                <w:kern w:val="0"/>
                <w:lang w:eastAsia="en-GB"/>
                <w14:ligatures w14:val="none"/>
              </w:rPr>
            </w:pPr>
            <w:r w:rsidRPr="0027763B">
              <w:rPr>
                <w:rFonts w:ascii="Arial" w:eastAsia="Times New Roman" w:hAnsi="Arial" w:cs="Arial"/>
                <w:b/>
                <w:bCs/>
                <w:kern w:val="0"/>
                <w:lang w:eastAsia="en-GB"/>
                <w14:ligatures w14:val="none"/>
              </w:rPr>
              <w:t>FY2023</w:t>
            </w:r>
          </w:p>
        </w:tc>
      </w:tr>
      <w:tr w:rsidR="0027763B" w:rsidRPr="0027763B" w14:paraId="445FB8AF" w14:textId="77777777" w:rsidTr="00335D22">
        <w:trPr>
          <w:trHeight w:val="328"/>
          <w:tblCellSpacing w:w="15" w:type="dxa"/>
        </w:trPr>
        <w:tc>
          <w:tcPr>
            <w:tcW w:w="2652" w:type="dxa"/>
            <w:shd w:val="clear" w:color="auto" w:fill="A5C9EB" w:themeFill="text2" w:themeFillTint="40"/>
            <w:vAlign w:val="center"/>
            <w:hideMark/>
          </w:tcPr>
          <w:p w14:paraId="18A2CDCF"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Revenue</w:t>
            </w:r>
          </w:p>
        </w:tc>
        <w:tc>
          <w:tcPr>
            <w:tcW w:w="1918" w:type="dxa"/>
            <w:shd w:val="clear" w:color="auto" w:fill="A5C9EB" w:themeFill="text2" w:themeFillTint="40"/>
            <w:vAlign w:val="center"/>
            <w:hideMark/>
          </w:tcPr>
          <w:p w14:paraId="38BE4382"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$394.3</w:t>
            </w:r>
          </w:p>
        </w:tc>
        <w:tc>
          <w:tcPr>
            <w:tcW w:w="1903" w:type="dxa"/>
            <w:shd w:val="clear" w:color="auto" w:fill="A5C9EB" w:themeFill="text2" w:themeFillTint="40"/>
            <w:vAlign w:val="center"/>
            <w:hideMark/>
          </w:tcPr>
          <w:p w14:paraId="7630ACBD"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$383.3</w:t>
            </w:r>
          </w:p>
        </w:tc>
      </w:tr>
      <w:tr w:rsidR="0027763B" w:rsidRPr="0027763B" w14:paraId="5A3A671A" w14:textId="77777777" w:rsidTr="00335D22">
        <w:trPr>
          <w:trHeight w:val="341"/>
          <w:tblCellSpacing w:w="15" w:type="dxa"/>
        </w:trPr>
        <w:tc>
          <w:tcPr>
            <w:tcW w:w="2652" w:type="dxa"/>
            <w:shd w:val="clear" w:color="auto" w:fill="A5C9EB" w:themeFill="text2" w:themeFillTint="40"/>
            <w:vAlign w:val="center"/>
            <w:hideMark/>
          </w:tcPr>
          <w:p w14:paraId="273CEC50"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Net Income</w:t>
            </w:r>
          </w:p>
        </w:tc>
        <w:tc>
          <w:tcPr>
            <w:tcW w:w="1918" w:type="dxa"/>
            <w:shd w:val="clear" w:color="auto" w:fill="A5C9EB" w:themeFill="text2" w:themeFillTint="40"/>
            <w:vAlign w:val="center"/>
            <w:hideMark/>
          </w:tcPr>
          <w:p w14:paraId="674291A0"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$99.8</w:t>
            </w:r>
          </w:p>
        </w:tc>
        <w:tc>
          <w:tcPr>
            <w:tcW w:w="1903" w:type="dxa"/>
            <w:shd w:val="clear" w:color="auto" w:fill="A5C9EB" w:themeFill="text2" w:themeFillTint="40"/>
            <w:vAlign w:val="center"/>
            <w:hideMark/>
          </w:tcPr>
          <w:p w14:paraId="7FD99BC9"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$97.0</w:t>
            </w:r>
          </w:p>
        </w:tc>
      </w:tr>
      <w:tr w:rsidR="0027763B" w:rsidRPr="0027763B" w14:paraId="12514E2E" w14:textId="77777777" w:rsidTr="00335D22">
        <w:trPr>
          <w:trHeight w:val="341"/>
          <w:tblCellSpacing w:w="15" w:type="dxa"/>
        </w:trPr>
        <w:tc>
          <w:tcPr>
            <w:tcW w:w="2652" w:type="dxa"/>
            <w:shd w:val="clear" w:color="auto" w:fill="A5C9EB" w:themeFill="text2" w:themeFillTint="40"/>
            <w:vAlign w:val="center"/>
            <w:hideMark/>
          </w:tcPr>
          <w:p w14:paraId="0D923EAB"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Total Assets (avg.)</w:t>
            </w:r>
          </w:p>
        </w:tc>
        <w:tc>
          <w:tcPr>
            <w:tcW w:w="1918" w:type="dxa"/>
            <w:shd w:val="clear" w:color="auto" w:fill="A5C9EB" w:themeFill="text2" w:themeFillTint="40"/>
            <w:vAlign w:val="center"/>
            <w:hideMark/>
          </w:tcPr>
          <w:p w14:paraId="3E7AE104"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$352.8</w:t>
            </w:r>
          </w:p>
        </w:tc>
        <w:tc>
          <w:tcPr>
            <w:tcW w:w="1903" w:type="dxa"/>
            <w:shd w:val="clear" w:color="auto" w:fill="A5C9EB" w:themeFill="text2" w:themeFillTint="40"/>
            <w:vAlign w:val="center"/>
            <w:hideMark/>
          </w:tcPr>
          <w:p w14:paraId="0B172774"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$352.7</w:t>
            </w:r>
          </w:p>
        </w:tc>
      </w:tr>
      <w:tr w:rsidR="0027763B" w:rsidRPr="0027763B" w14:paraId="2821E78E" w14:textId="77777777" w:rsidTr="00335D22">
        <w:trPr>
          <w:trHeight w:val="328"/>
          <w:tblCellSpacing w:w="15" w:type="dxa"/>
        </w:trPr>
        <w:tc>
          <w:tcPr>
            <w:tcW w:w="2652" w:type="dxa"/>
            <w:shd w:val="clear" w:color="auto" w:fill="A5C9EB" w:themeFill="text2" w:themeFillTint="40"/>
            <w:vAlign w:val="center"/>
            <w:hideMark/>
          </w:tcPr>
          <w:p w14:paraId="543107A9"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Current Assets</w:t>
            </w:r>
          </w:p>
        </w:tc>
        <w:tc>
          <w:tcPr>
            <w:tcW w:w="1918" w:type="dxa"/>
            <w:shd w:val="clear" w:color="auto" w:fill="A5C9EB" w:themeFill="text2" w:themeFillTint="40"/>
            <w:vAlign w:val="center"/>
            <w:hideMark/>
          </w:tcPr>
          <w:p w14:paraId="77FFCD23"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$135.4</w:t>
            </w:r>
          </w:p>
        </w:tc>
        <w:tc>
          <w:tcPr>
            <w:tcW w:w="1903" w:type="dxa"/>
            <w:shd w:val="clear" w:color="auto" w:fill="A5C9EB" w:themeFill="text2" w:themeFillTint="40"/>
            <w:vAlign w:val="center"/>
            <w:hideMark/>
          </w:tcPr>
          <w:p w14:paraId="2B6DA363"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$143.6</w:t>
            </w:r>
          </w:p>
        </w:tc>
      </w:tr>
      <w:tr w:rsidR="0027763B" w:rsidRPr="0027763B" w14:paraId="5AE70891" w14:textId="77777777" w:rsidTr="00335D22">
        <w:trPr>
          <w:trHeight w:val="341"/>
          <w:tblCellSpacing w:w="15" w:type="dxa"/>
        </w:trPr>
        <w:tc>
          <w:tcPr>
            <w:tcW w:w="2652" w:type="dxa"/>
            <w:shd w:val="clear" w:color="auto" w:fill="A5C9EB" w:themeFill="text2" w:themeFillTint="40"/>
            <w:vAlign w:val="center"/>
            <w:hideMark/>
          </w:tcPr>
          <w:p w14:paraId="37BCFD37"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Current Liabilities</w:t>
            </w:r>
          </w:p>
        </w:tc>
        <w:tc>
          <w:tcPr>
            <w:tcW w:w="1918" w:type="dxa"/>
            <w:shd w:val="clear" w:color="auto" w:fill="A5C9EB" w:themeFill="text2" w:themeFillTint="40"/>
            <w:vAlign w:val="center"/>
            <w:hideMark/>
          </w:tcPr>
          <w:p w14:paraId="684AFD85"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$154.0</w:t>
            </w:r>
          </w:p>
        </w:tc>
        <w:tc>
          <w:tcPr>
            <w:tcW w:w="1903" w:type="dxa"/>
            <w:shd w:val="clear" w:color="auto" w:fill="A5C9EB" w:themeFill="text2" w:themeFillTint="40"/>
            <w:vAlign w:val="center"/>
            <w:hideMark/>
          </w:tcPr>
          <w:p w14:paraId="1FECCFA7"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$145.3</w:t>
            </w:r>
          </w:p>
        </w:tc>
      </w:tr>
      <w:tr w:rsidR="0027763B" w:rsidRPr="0027763B" w14:paraId="695C95D4" w14:textId="77777777" w:rsidTr="00335D22">
        <w:trPr>
          <w:trHeight w:val="341"/>
          <w:tblCellSpacing w:w="15" w:type="dxa"/>
        </w:trPr>
        <w:tc>
          <w:tcPr>
            <w:tcW w:w="2652" w:type="dxa"/>
            <w:shd w:val="clear" w:color="auto" w:fill="A5C9EB" w:themeFill="text2" w:themeFillTint="40"/>
            <w:vAlign w:val="center"/>
            <w:hideMark/>
          </w:tcPr>
          <w:p w14:paraId="6C4086C7"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Inventory</w:t>
            </w:r>
          </w:p>
        </w:tc>
        <w:tc>
          <w:tcPr>
            <w:tcW w:w="1918" w:type="dxa"/>
            <w:shd w:val="clear" w:color="auto" w:fill="A5C9EB" w:themeFill="text2" w:themeFillTint="40"/>
            <w:vAlign w:val="center"/>
            <w:hideMark/>
          </w:tcPr>
          <w:p w14:paraId="027F73E9"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$5.76</w:t>
            </w:r>
          </w:p>
        </w:tc>
        <w:tc>
          <w:tcPr>
            <w:tcW w:w="1903" w:type="dxa"/>
            <w:shd w:val="clear" w:color="auto" w:fill="A5C9EB" w:themeFill="text2" w:themeFillTint="40"/>
            <w:vAlign w:val="center"/>
            <w:hideMark/>
          </w:tcPr>
          <w:p w14:paraId="6E8E6F9C"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$5.64</w:t>
            </w:r>
          </w:p>
        </w:tc>
      </w:tr>
      <w:tr w:rsidR="0027763B" w:rsidRPr="0027763B" w14:paraId="73416C0E" w14:textId="77777777" w:rsidTr="00335D22">
        <w:trPr>
          <w:trHeight w:val="328"/>
          <w:tblCellSpacing w:w="15" w:type="dxa"/>
        </w:trPr>
        <w:tc>
          <w:tcPr>
            <w:tcW w:w="2652" w:type="dxa"/>
            <w:shd w:val="clear" w:color="auto" w:fill="A5C9EB" w:themeFill="text2" w:themeFillTint="40"/>
            <w:vAlign w:val="center"/>
            <w:hideMark/>
          </w:tcPr>
          <w:p w14:paraId="1FECD4FD"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Product COGS</w:t>
            </w:r>
          </w:p>
        </w:tc>
        <w:tc>
          <w:tcPr>
            <w:tcW w:w="1918" w:type="dxa"/>
            <w:shd w:val="clear" w:color="auto" w:fill="A5C9EB" w:themeFill="text2" w:themeFillTint="40"/>
            <w:vAlign w:val="center"/>
            <w:hideMark/>
          </w:tcPr>
          <w:p w14:paraId="5BB3A1C2"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$201.5</w:t>
            </w:r>
          </w:p>
        </w:tc>
        <w:tc>
          <w:tcPr>
            <w:tcW w:w="1903" w:type="dxa"/>
            <w:shd w:val="clear" w:color="auto" w:fill="A5C9EB" w:themeFill="text2" w:themeFillTint="40"/>
            <w:vAlign w:val="center"/>
            <w:hideMark/>
          </w:tcPr>
          <w:p w14:paraId="155183FE"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$189.3</w:t>
            </w:r>
          </w:p>
        </w:tc>
      </w:tr>
      <w:tr w:rsidR="0027763B" w:rsidRPr="0027763B" w14:paraId="259B6594" w14:textId="77777777" w:rsidTr="00335D22">
        <w:trPr>
          <w:trHeight w:val="341"/>
          <w:tblCellSpacing w:w="15" w:type="dxa"/>
        </w:trPr>
        <w:tc>
          <w:tcPr>
            <w:tcW w:w="2652" w:type="dxa"/>
            <w:shd w:val="clear" w:color="auto" w:fill="A5C9EB" w:themeFill="text2" w:themeFillTint="40"/>
            <w:vAlign w:val="center"/>
            <w:hideMark/>
          </w:tcPr>
          <w:p w14:paraId="2FDB4B8D"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Interest-bearing Debt</w:t>
            </w:r>
          </w:p>
        </w:tc>
        <w:tc>
          <w:tcPr>
            <w:tcW w:w="1918" w:type="dxa"/>
            <w:shd w:val="clear" w:color="auto" w:fill="A5C9EB" w:themeFill="text2" w:themeFillTint="40"/>
            <w:vAlign w:val="center"/>
            <w:hideMark/>
          </w:tcPr>
          <w:p w14:paraId="0AEE1A72"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$120.1</w:t>
            </w:r>
          </w:p>
        </w:tc>
        <w:tc>
          <w:tcPr>
            <w:tcW w:w="1903" w:type="dxa"/>
            <w:shd w:val="clear" w:color="auto" w:fill="A5C9EB" w:themeFill="text2" w:themeFillTint="40"/>
            <w:vAlign w:val="center"/>
            <w:hideMark/>
          </w:tcPr>
          <w:p w14:paraId="6B79400F"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$111.1</w:t>
            </w:r>
          </w:p>
        </w:tc>
      </w:tr>
      <w:tr w:rsidR="0027763B" w:rsidRPr="0027763B" w14:paraId="55AB42D4" w14:textId="77777777" w:rsidTr="00335D22">
        <w:trPr>
          <w:trHeight w:val="328"/>
          <w:tblCellSpacing w:w="15" w:type="dxa"/>
        </w:trPr>
        <w:tc>
          <w:tcPr>
            <w:tcW w:w="2652" w:type="dxa"/>
            <w:shd w:val="clear" w:color="auto" w:fill="A5C9EB" w:themeFill="text2" w:themeFillTint="40"/>
            <w:vAlign w:val="center"/>
            <w:hideMark/>
          </w:tcPr>
          <w:p w14:paraId="5594A86B"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Shareholders’ Equity</w:t>
            </w:r>
          </w:p>
        </w:tc>
        <w:tc>
          <w:tcPr>
            <w:tcW w:w="1918" w:type="dxa"/>
            <w:shd w:val="clear" w:color="auto" w:fill="A5C9EB" w:themeFill="text2" w:themeFillTint="40"/>
            <w:vAlign w:val="center"/>
            <w:hideMark/>
          </w:tcPr>
          <w:p w14:paraId="430DFFEA"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$50.7</w:t>
            </w:r>
          </w:p>
        </w:tc>
        <w:tc>
          <w:tcPr>
            <w:tcW w:w="1903" w:type="dxa"/>
            <w:shd w:val="clear" w:color="auto" w:fill="A5C9EB" w:themeFill="text2" w:themeFillTint="40"/>
            <w:vAlign w:val="center"/>
            <w:hideMark/>
          </w:tcPr>
          <w:p w14:paraId="0B1F9532"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$62.1</w:t>
            </w:r>
          </w:p>
        </w:tc>
      </w:tr>
      <w:tr w:rsidR="0027763B" w:rsidRPr="0027763B" w14:paraId="0F613FBC" w14:textId="77777777" w:rsidTr="00335D22">
        <w:trPr>
          <w:trHeight w:val="341"/>
          <w:tblCellSpacing w:w="15" w:type="dxa"/>
        </w:trPr>
        <w:tc>
          <w:tcPr>
            <w:tcW w:w="2652" w:type="dxa"/>
            <w:shd w:val="clear" w:color="auto" w:fill="A5C9EB" w:themeFill="text2" w:themeFillTint="40"/>
            <w:vAlign w:val="center"/>
            <w:hideMark/>
          </w:tcPr>
          <w:p w14:paraId="262FAA8A"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EBIT</w:t>
            </w:r>
          </w:p>
        </w:tc>
        <w:tc>
          <w:tcPr>
            <w:tcW w:w="1918" w:type="dxa"/>
            <w:shd w:val="clear" w:color="auto" w:fill="A5C9EB" w:themeFill="text2" w:themeFillTint="40"/>
            <w:vAlign w:val="center"/>
            <w:hideMark/>
          </w:tcPr>
          <w:p w14:paraId="0DAE3CB7"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$119.4</w:t>
            </w:r>
          </w:p>
        </w:tc>
        <w:tc>
          <w:tcPr>
            <w:tcW w:w="1903" w:type="dxa"/>
            <w:shd w:val="clear" w:color="auto" w:fill="A5C9EB" w:themeFill="text2" w:themeFillTint="40"/>
            <w:vAlign w:val="center"/>
            <w:hideMark/>
          </w:tcPr>
          <w:p w14:paraId="705BDE04"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$114.3</w:t>
            </w:r>
          </w:p>
        </w:tc>
      </w:tr>
      <w:tr w:rsidR="0027763B" w:rsidRPr="0027763B" w14:paraId="5EF6B639" w14:textId="77777777" w:rsidTr="00335D22">
        <w:trPr>
          <w:trHeight w:val="341"/>
          <w:tblCellSpacing w:w="15" w:type="dxa"/>
        </w:trPr>
        <w:tc>
          <w:tcPr>
            <w:tcW w:w="2652" w:type="dxa"/>
            <w:shd w:val="clear" w:color="auto" w:fill="A5C9EB" w:themeFill="text2" w:themeFillTint="40"/>
            <w:vAlign w:val="center"/>
            <w:hideMark/>
          </w:tcPr>
          <w:p w14:paraId="20D6C193"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Interest Expense</w:t>
            </w:r>
          </w:p>
        </w:tc>
        <w:tc>
          <w:tcPr>
            <w:tcW w:w="1918" w:type="dxa"/>
            <w:shd w:val="clear" w:color="auto" w:fill="A5C9EB" w:themeFill="text2" w:themeFillTint="40"/>
            <w:vAlign w:val="center"/>
            <w:hideMark/>
          </w:tcPr>
          <w:p w14:paraId="69CCF9AB"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$2.93</w:t>
            </w:r>
          </w:p>
        </w:tc>
        <w:tc>
          <w:tcPr>
            <w:tcW w:w="1903" w:type="dxa"/>
            <w:shd w:val="clear" w:color="auto" w:fill="A5C9EB" w:themeFill="text2" w:themeFillTint="40"/>
            <w:vAlign w:val="center"/>
            <w:hideMark/>
          </w:tcPr>
          <w:p w14:paraId="77930A15" w14:textId="77777777" w:rsidR="0027763B" w:rsidRPr="0027763B" w:rsidRDefault="0027763B" w:rsidP="0027763B">
            <w:pPr>
              <w:spacing w:after="0" w:line="240" w:lineRule="auto"/>
              <w:rPr>
                <w:rFonts w:ascii="Arial" w:eastAsia="Times New Roman" w:hAnsi="Arial" w:cs="Arial"/>
                <w:kern w:val="0"/>
                <w:lang w:eastAsia="en-GB"/>
                <w14:ligatures w14:val="none"/>
              </w:rPr>
            </w:pPr>
            <w:r w:rsidRPr="0027763B">
              <w:rPr>
                <w:rFonts w:ascii="Arial" w:eastAsia="Times New Roman" w:hAnsi="Arial" w:cs="Arial"/>
                <w:kern w:val="0"/>
                <w:lang w:eastAsia="en-GB"/>
                <w14:ligatures w14:val="none"/>
              </w:rPr>
              <w:t>$3.93</w:t>
            </w:r>
          </w:p>
        </w:tc>
      </w:tr>
    </w:tbl>
    <w:p w14:paraId="3E2F8435" w14:textId="77777777" w:rsidR="0027763B" w:rsidRDefault="0027763B" w:rsidP="0027763B">
      <w:pPr>
        <w:spacing w:line="480" w:lineRule="auto"/>
        <w:rPr>
          <w:rFonts w:ascii="Arial" w:hAnsi="Arial" w:cs="Arial"/>
        </w:rPr>
      </w:pPr>
      <w:r w:rsidRPr="0027763B">
        <w:rPr>
          <w:rFonts w:ascii="Arial" w:hAnsi="Arial" w:cs="Arial"/>
        </w:rPr>
        <w:t>Note:</w:t>
      </w:r>
      <w:r w:rsidRPr="0027763B">
        <w:rPr>
          <w:rFonts w:ascii="Arial" w:hAnsi="Arial" w:cs="Arial"/>
        </w:rPr>
        <w:tab/>
        <w:t xml:space="preserve">All values are estimates </w:t>
      </w:r>
      <w:r w:rsidRPr="0027763B">
        <w:rPr>
          <w:rFonts w:ascii="Arial" w:hAnsi="Arial" w:cs="Arial"/>
        </w:rPr>
        <w:t>generated</w:t>
      </w:r>
      <w:r w:rsidRPr="0027763B">
        <w:rPr>
          <w:rFonts w:ascii="Arial" w:hAnsi="Arial" w:cs="Arial"/>
        </w:rPr>
        <w:t xml:space="preserve"> from Apple’ 10-K filing (Apple Inc., 2022; Apple Inc. 2023). </w:t>
      </w:r>
    </w:p>
    <w:p w14:paraId="6863B157" w14:textId="77777777" w:rsidR="0027763B" w:rsidRDefault="0027763B" w:rsidP="0027763B">
      <w:pPr>
        <w:spacing w:line="480" w:lineRule="auto"/>
        <w:rPr>
          <w:rFonts w:ascii="Arial" w:hAnsi="Arial" w:cs="Arial"/>
        </w:rPr>
      </w:pPr>
      <w:r w:rsidRPr="0027763B">
        <w:rPr>
          <w:rFonts w:ascii="Arial" w:hAnsi="Arial" w:cs="Arial"/>
        </w:rPr>
        <w:lastRenderedPageBreak/>
        <w:t>The formulas shown below are commonly used to evaluate and assess specific ratios within the financial components of operations and cash directives:</w:t>
      </w:r>
    </w:p>
    <w:p w14:paraId="52D0F700" w14:textId="77777777" w:rsidR="0027763B" w:rsidRPr="00335D22" w:rsidRDefault="0027763B" w:rsidP="0027763B">
      <w:pPr>
        <w:spacing w:line="480" w:lineRule="auto"/>
        <w:rPr>
          <w:rFonts w:ascii="Arial Black" w:hAnsi="Arial Black" w:cs="Arial"/>
          <w:u w:val="thick"/>
        </w:rPr>
      </w:pPr>
      <w:r w:rsidRPr="00335D22">
        <w:rPr>
          <w:rFonts w:ascii="Arial Black" w:hAnsi="Arial Black" w:cs="Arial"/>
          <w:u w:val="thick"/>
        </w:rPr>
        <w:t>Current Ratio:</w:t>
      </w:r>
    </w:p>
    <w:p w14:paraId="6B8678C5" w14:textId="77777777" w:rsidR="0027763B" w:rsidRDefault="0027763B" w:rsidP="0027763B">
      <w:pPr>
        <w:spacing w:line="480" w:lineRule="auto"/>
        <w:rPr>
          <w:rFonts w:ascii="Arial" w:hAnsi="Arial" w:cs="Arial"/>
        </w:rPr>
      </w:pPr>
      <w:r w:rsidRPr="0027763B">
        <w:rPr>
          <w:rFonts w:ascii="Arial" w:hAnsi="Arial" w:cs="Arial"/>
        </w:rPr>
        <w:t xml:space="preserve">Current Ratio = Current Assets / Current Liabilities  </w:t>
      </w:r>
    </w:p>
    <w:p w14:paraId="7F48D0DB" w14:textId="77777777" w:rsidR="0027763B" w:rsidRPr="00335D22" w:rsidRDefault="0027763B" w:rsidP="0027763B">
      <w:pPr>
        <w:spacing w:line="480" w:lineRule="auto"/>
        <w:rPr>
          <w:rFonts w:ascii="Arial Black" w:hAnsi="Arial Black" w:cs="Arial"/>
          <w:u w:val="thick"/>
        </w:rPr>
      </w:pPr>
      <w:r w:rsidRPr="00335D22">
        <w:rPr>
          <w:rFonts w:ascii="Arial Black" w:hAnsi="Arial Black" w:cs="Arial"/>
          <w:u w:val="thick"/>
        </w:rPr>
        <w:t>Quick Ratio:</w:t>
      </w:r>
    </w:p>
    <w:p w14:paraId="2B4533EE" w14:textId="77777777" w:rsidR="0027763B" w:rsidRDefault="0027763B" w:rsidP="0027763B">
      <w:pPr>
        <w:spacing w:line="480" w:lineRule="auto"/>
        <w:rPr>
          <w:rFonts w:ascii="Arial" w:hAnsi="Arial" w:cs="Arial"/>
        </w:rPr>
      </w:pPr>
      <w:r w:rsidRPr="0027763B">
        <w:rPr>
          <w:rFonts w:ascii="Arial" w:hAnsi="Arial" w:cs="Arial"/>
        </w:rPr>
        <w:t xml:space="preserve">Quick Ratio = (Current Assets - Inventory) / Current Liabilities  </w:t>
      </w:r>
    </w:p>
    <w:p w14:paraId="6CD13BAD" w14:textId="77777777" w:rsidR="0027763B" w:rsidRPr="00335D22" w:rsidRDefault="0027763B" w:rsidP="0027763B">
      <w:pPr>
        <w:spacing w:line="480" w:lineRule="auto"/>
        <w:rPr>
          <w:rFonts w:ascii="Arial Black" w:hAnsi="Arial Black" w:cs="Arial"/>
          <w:u w:val="thick"/>
        </w:rPr>
      </w:pPr>
      <w:r w:rsidRPr="00335D22">
        <w:rPr>
          <w:rFonts w:ascii="Arial Black" w:hAnsi="Arial Black" w:cs="Arial"/>
          <w:u w:val="thick"/>
        </w:rPr>
        <w:t>Net Profit Margin:</w:t>
      </w:r>
    </w:p>
    <w:p w14:paraId="7A62FABB" w14:textId="77777777" w:rsidR="0027763B" w:rsidRDefault="0027763B" w:rsidP="0027763B">
      <w:pPr>
        <w:spacing w:line="480" w:lineRule="auto"/>
        <w:rPr>
          <w:rFonts w:ascii="Arial" w:hAnsi="Arial" w:cs="Arial"/>
        </w:rPr>
      </w:pPr>
      <w:r w:rsidRPr="0027763B">
        <w:rPr>
          <w:rFonts w:ascii="Arial" w:hAnsi="Arial" w:cs="Arial"/>
        </w:rPr>
        <w:t xml:space="preserve">Net Profit Margin = Net Income / Revenue </w:t>
      </w:r>
      <w:r>
        <w:rPr>
          <w:rFonts w:ascii="Arial" w:hAnsi="Arial" w:cs="Arial"/>
        </w:rPr>
        <w:t>x</w:t>
      </w:r>
      <w:r w:rsidRPr="0027763B">
        <w:rPr>
          <w:rFonts w:ascii="Arial" w:hAnsi="Arial" w:cs="Arial"/>
        </w:rPr>
        <w:t xml:space="preserve"> 100 %  </w:t>
      </w:r>
    </w:p>
    <w:p w14:paraId="55012755" w14:textId="77777777" w:rsidR="0027763B" w:rsidRPr="00335D22" w:rsidRDefault="0027763B" w:rsidP="0027763B">
      <w:pPr>
        <w:spacing w:line="480" w:lineRule="auto"/>
        <w:rPr>
          <w:rFonts w:ascii="Arial Black" w:hAnsi="Arial Black" w:cs="Arial"/>
          <w:u w:val="thick"/>
        </w:rPr>
      </w:pPr>
      <w:r w:rsidRPr="00335D22">
        <w:rPr>
          <w:rFonts w:ascii="Arial Black" w:hAnsi="Arial Black" w:cs="Arial"/>
          <w:u w:val="thick"/>
        </w:rPr>
        <w:t>Return on Assets (ROA):</w:t>
      </w:r>
    </w:p>
    <w:p w14:paraId="5D526F39" w14:textId="77777777" w:rsidR="0027763B" w:rsidRDefault="0027763B" w:rsidP="0027763B">
      <w:pPr>
        <w:spacing w:line="480" w:lineRule="auto"/>
        <w:rPr>
          <w:rFonts w:ascii="Arial" w:hAnsi="Arial" w:cs="Arial"/>
        </w:rPr>
      </w:pPr>
      <w:r w:rsidRPr="0027763B">
        <w:rPr>
          <w:rFonts w:ascii="Arial" w:hAnsi="Arial" w:cs="Arial"/>
        </w:rPr>
        <w:t xml:space="preserve">ROA = Net Income / Average Total Assets </w:t>
      </w:r>
      <w:r>
        <w:rPr>
          <w:rFonts w:ascii="Arial" w:hAnsi="Arial" w:cs="Arial"/>
        </w:rPr>
        <w:t>x</w:t>
      </w:r>
      <w:r w:rsidRPr="0027763B">
        <w:rPr>
          <w:rFonts w:ascii="Arial" w:hAnsi="Arial" w:cs="Arial"/>
        </w:rPr>
        <w:t xml:space="preserve">100 %  </w:t>
      </w:r>
    </w:p>
    <w:p w14:paraId="61FB32FE" w14:textId="3DB51415" w:rsidR="0027763B" w:rsidRPr="00335D22" w:rsidRDefault="0027763B" w:rsidP="0027763B">
      <w:pPr>
        <w:spacing w:line="480" w:lineRule="auto"/>
        <w:rPr>
          <w:rFonts w:ascii="Arial Black" w:hAnsi="Arial Black" w:cs="Arial"/>
          <w:u w:val="thick"/>
        </w:rPr>
      </w:pPr>
      <w:r w:rsidRPr="00335D22">
        <w:rPr>
          <w:rFonts w:ascii="Arial Black" w:hAnsi="Arial Black" w:cs="Arial"/>
          <w:u w:val="thick"/>
        </w:rPr>
        <w:t>Return on Equity (ROE)</w:t>
      </w:r>
      <w:r w:rsidRPr="00335D22">
        <w:rPr>
          <w:rFonts w:ascii="Arial Black" w:hAnsi="Arial Black" w:cs="Arial"/>
          <w:u w:val="thick"/>
        </w:rPr>
        <w:t>:</w:t>
      </w:r>
    </w:p>
    <w:p w14:paraId="625F4CF8" w14:textId="77777777" w:rsidR="00FA1B7C" w:rsidRDefault="0027763B" w:rsidP="0027763B">
      <w:pPr>
        <w:spacing w:line="480" w:lineRule="auto"/>
        <w:rPr>
          <w:rFonts w:ascii="Arial" w:hAnsi="Arial" w:cs="Arial"/>
        </w:rPr>
      </w:pPr>
      <w:r w:rsidRPr="0027763B">
        <w:rPr>
          <w:rFonts w:ascii="Arial" w:hAnsi="Arial" w:cs="Arial"/>
        </w:rPr>
        <w:t xml:space="preserve">ROE = Net Income / Shareholders’ Equity </w:t>
      </w:r>
      <w:r w:rsidR="00FA1B7C">
        <w:rPr>
          <w:rFonts w:ascii="Arial" w:hAnsi="Arial" w:cs="Arial"/>
        </w:rPr>
        <w:t>x</w:t>
      </w:r>
      <w:r w:rsidRPr="0027763B">
        <w:rPr>
          <w:rFonts w:ascii="Arial" w:hAnsi="Arial" w:cs="Arial"/>
        </w:rPr>
        <w:t xml:space="preserve"> 100 %  </w:t>
      </w:r>
    </w:p>
    <w:p w14:paraId="79C6F0CC" w14:textId="77777777" w:rsidR="00FA1B7C" w:rsidRPr="00335D22" w:rsidRDefault="0027763B" w:rsidP="0027763B">
      <w:pPr>
        <w:spacing w:line="480" w:lineRule="auto"/>
        <w:rPr>
          <w:rFonts w:ascii="Arial Black" w:hAnsi="Arial Black" w:cs="Arial"/>
          <w:u w:val="thick"/>
        </w:rPr>
      </w:pPr>
      <w:r w:rsidRPr="00335D22">
        <w:rPr>
          <w:rFonts w:ascii="Arial Black" w:hAnsi="Arial Black" w:cs="Arial"/>
          <w:u w:val="thick"/>
        </w:rPr>
        <w:t>Asset Turnover:</w:t>
      </w:r>
    </w:p>
    <w:p w14:paraId="7A57F2B5" w14:textId="77777777" w:rsidR="00FA1B7C" w:rsidRDefault="0027763B" w:rsidP="0027763B">
      <w:pPr>
        <w:spacing w:line="480" w:lineRule="auto"/>
        <w:rPr>
          <w:rFonts w:ascii="Arial" w:hAnsi="Arial" w:cs="Arial"/>
        </w:rPr>
      </w:pPr>
      <w:r w:rsidRPr="0027763B">
        <w:rPr>
          <w:rFonts w:ascii="Arial" w:hAnsi="Arial" w:cs="Arial"/>
        </w:rPr>
        <w:t xml:space="preserve">Asset Turnover = Revenue / Average Total Assets  </w:t>
      </w:r>
    </w:p>
    <w:p w14:paraId="67A87311" w14:textId="77777777" w:rsidR="00FA1B7C" w:rsidRPr="00335D22" w:rsidRDefault="0027763B" w:rsidP="0027763B">
      <w:pPr>
        <w:spacing w:line="480" w:lineRule="auto"/>
        <w:rPr>
          <w:rFonts w:ascii="Arial Black" w:hAnsi="Arial Black" w:cs="Arial"/>
          <w:u w:val="thick"/>
        </w:rPr>
      </w:pPr>
      <w:r w:rsidRPr="00335D22">
        <w:rPr>
          <w:rFonts w:ascii="Arial Black" w:hAnsi="Arial Black" w:cs="Arial"/>
          <w:u w:val="thick"/>
        </w:rPr>
        <w:t>Inventory Turnover:</w:t>
      </w:r>
    </w:p>
    <w:p w14:paraId="473A7562" w14:textId="77777777" w:rsidR="00FA1B7C" w:rsidRDefault="0027763B" w:rsidP="0027763B">
      <w:pPr>
        <w:spacing w:line="480" w:lineRule="auto"/>
        <w:rPr>
          <w:rFonts w:ascii="Arial" w:hAnsi="Arial" w:cs="Arial"/>
        </w:rPr>
      </w:pPr>
      <w:r w:rsidRPr="0027763B">
        <w:rPr>
          <w:rFonts w:ascii="Arial" w:hAnsi="Arial" w:cs="Arial"/>
        </w:rPr>
        <w:t xml:space="preserve">Inventory Turnover = Product COGS / Inventory </w:t>
      </w:r>
    </w:p>
    <w:p w14:paraId="0DAD5D0C" w14:textId="77777777" w:rsidR="00FA1B7C" w:rsidRPr="00335D22" w:rsidRDefault="0027763B" w:rsidP="0027763B">
      <w:pPr>
        <w:spacing w:line="480" w:lineRule="auto"/>
        <w:rPr>
          <w:rFonts w:ascii="Arial Black" w:hAnsi="Arial Black" w:cs="Arial"/>
        </w:rPr>
      </w:pPr>
      <w:r w:rsidRPr="00335D22">
        <w:rPr>
          <w:rFonts w:ascii="Arial Black" w:hAnsi="Arial Black" w:cs="Arial"/>
        </w:rPr>
        <w:t>Debt-to-Equity (D/E) Ratio:</w:t>
      </w:r>
    </w:p>
    <w:p w14:paraId="32A21BF8" w14:textId="77777777" w:rsidR="00FA1B7C" w:rsidRDefault="0027763B" w:rsidP="0027763B">
      <w:pPr>
        <w:spacing w:line="480" w:lineRule="auto"/>
        <w:rPr>
          <w:rFonts w:ascii="Arial" w:hAnsi="Arial" w:cs="Arial"/>
        </w:rPr>
      </w:pPr>
      <w:r w:rsidRPr="0027763B">
        <w:rPr>
          <w:rFonts w:ascii="Arial" w:hAnsi="Arial" w:cs="Arial"/>
        </w:rPr>
        <w:t xml:space="preserve">D/E Ratio = Interest-bearing Debt / Shareholders’ Equity  </w:t>
      </w:r>
    </w:p>
    <w:p w14:paraId="187A172D" w14:textId="77777777" w:rsidR="00FA1B7C" w:rsidRPr="00335D22" w:rsidRDefault="0027763B" w:rsidP="0027763B">
      <w:pPr>
        <w:spacing w:line="480" w:lineRule="auto"/>
        <w:rPr>
          <w:rFonts w:ascii="Arial Black" w:hAnsi="Arial Black" w:cs="Arial"/>
          <w:u w:val="thick"/>
        </w:rPr>
      </w:pPr>
      <w:r w:rsidRPr="00335D22">
        <w:rPr>
          <w:rFonts w:ascii="Arial Black" w:hAnsi="Arial Black" w:cs="Arial"/>
          <w:u w:val="thick"/>
        </w:rPr>
        <w:lastRenderedPageBreak/>
        <w:t>Interest Coverage Ratio:</w:t>
      </w:r>
    </w:p>
    <w:p w14:paraId="70B8CD93" w14:textId="77777777" w:rsidR="00FA1B7C" w:rsidRDefault="0027763B" w:rsidP="0027763B">
      <w:pPr>
        <w:spacing w:line="480" w:lineRule="auto"/>
        <w:rPr>
          <w:rFonts w:ascii="Arial" w:hAnsi="Arial" w:cs="Arial"/>
        </w:rPr>
      </w:pPr>
      <w:r w:rsidRPr="0027763B">
        <w:rPr>
          <w:rFonts w:ascii="Arial" w:hAnsi="Arial" w:cs="Arial"/>
        </w:rPr>
        <w:t xml:space="preserve">Interest Coverage = EBIT / interest expense  </w:t>
      </w:r>
    </w:p>
    <w:p w14:paraId="0CFAB067" w14:textId="77777777" w:rsidR="00FA1B7C" w:rsidRPr="00335D22" w:rsidRDefault="0027763B" w:rsidP="0027763B">
      <w:pPr>
        <w:spacing w:line="480" w:lineRule="auto"/>
        <w:rPr>
          <w:rFonts w:ascii="Arial Black" w:hAnsi="Arial Black" w:cs="Arial"/>
          <w:u w:val="thick"/>
        </w:rPr>
      </w:pPr>
      <w:r w:rsidRPr="00335D22">
        <w:rPr>
          <w:rFonts w:ascii="Arial Black" w:hAnsi="Arial Black" w:cs="Arial"/>
          <w:u w:val="thick"/>
        </w:rPr>
        <w:t>Results and Ratios</w:t>
      </w:r>
    </w:p>
    <w:p w14:paraId="35A23397" w14:textId="2AA1F15D" w:rsidR="00FA1B7C" w:rsidRPr="00335D22" w:rsidRDefault="0027763B" w:rsidP="00FA1B7C">
      <w:pPr>
        <w:pStyle w:val="ListParagraph"/>
        <w:numPr>
          <w:ilvl w:val="0"/>
          <w:numId w:val="1"/>
        </w:numPr>
        <w:spacing w:line="480" w:lineRule="auto"/>
        <w:rPr>
          <w:rFonts w:ascii="Arial Black" w:hAnsi="Arial Black" w:cs="Arial"/>
          <w:u w:val="thick"/>
        </w:rPr>
      </w:pPr>
      <w:r w:rsidRPr="00335D22">
        <w:rPr>
          <w:rFonts w:ascii="Arial Black" w:hAnsi="Arial Black" w:cs="Arial"/>
          <w:u w:val="thick"/>
        </w:rPr>
        <w:t>Liquidity Ratios</w:t>
      </w:r>
    </w:p>
    <w:p w14:paraId="6655898A" w14:textId="77777777" w:rsidR="00FA1B7C" w:rsidRPr="00335D22" w:rsidRDefault="0027763B" w:rsidP="00FA1B7C">
      <w:pPr>
        <w:spacing w:line="480" w:lineRule="auto"/>
        <w:rPr>
          <w:rFonts w:ascii="Arial Black" w:hAnsi="Arial Black" w:cs="Arial"/>
          <w:u w:val="thick"/>
        </w:rPr>
      </w:pPr>
      <w:r w:rsidRPr="00335D22">
        <w:rPr>
          <w:rFonts w:ascii="Arial Black" w:hAnsi="Arial Black" w:cs="Arial"/>
          <w:u w:val="thick"/>
        </w:rPr>
        <w:t>Current Ratio</w:t>
      </w:r>
    </w:p>
    <w:p w14:paraId="27083A82" w14:textId="77777777" w:rsidR="00FA1B7C" w:rsidRDefault="0027763B" w:rsidP="00FA1B7C">
      <w:pPr>
        <w:spacing w:line="480" w:lineRule="auto"/>
        <w:rPr>
          <w:rFonts w:ascii="Arial" w:hAnsi="Arial" w:cs="Arial"/>
        </w:rPr>
      </w:pPr>
      <w:r w:rsidRPr="00FA1B7C">
        <w:rPr>
          <w:rFonts w:ascii="Arial" w:hAnsi="Arial" w:cs="Arial"/>
        </w:rPr>
        <w:t xml:space="preserve">FY 2022: 135.4 / 154.0 = 0.88  </w:t>
      </w:r>
    </w:p>
    <w:p w14:paraId="5BF21C50" w14:textId="77777777" w:rsidR="00FA1B7C" w:rsidRDefault="0027763B" w:rsidP="00FA1B7C">
      <w:pPr>
        <w:spacing w:line="480" w:lineRule="auto"/>
        <w:rPr>
          <w:rFonts w:ascii="Arial" w:hAnsi="Arial" w:cs="Arial"/>
        </w:rPr>
      </w:pPr>
      <w:r w:rsidRPr="00FA1B7C">
        <w:rPr>
          <w:rFonts w:ascii="Arial" w:hAnsi="Arial" w:cs="Arial"/>
        </w:rPr>
        <w:t xml:space="preserve">FY 2023: 143.6 / 145.3 = 0.99  </w:t>
      </w:r>
    </w:p>
    <w:p w14:paraId="0AE985B0" w14:textId="77777777" w:rsidR="00FA1B7C" w:rsidRPr="00335D22" w:rsidRDefault="0027763B" w:rsidP="00FA1B7C">
      <w:pPr>
        <w:spacing w:line="480" w:lineRule="auto"/>
        <w:rPr>
          <w:rFonts w:ascii="Arial Black" w:hAnsi="Arial Black" w:cs="Arial"/>
          <w:u w:val="thick"/>
        </w:rPr>
      </w:pPr>
      <w:r w:rsidRPr="00335D22">
        <w:rPr>
          <w:rFonts w:ascii="Arial Black" w:hAnsi="Arial Black" w:cs="Arial"/>
          <w:u w:val="thick"/>
        </w:rPr>
        <w:t xml:space="preserve">Quick Ratio </w:t>
      </w:r>
    </w:p>
    <w:p w14:paraId="06279EB8" w14:textId="74E92469" w:rsidR="00FA1B7C" w:rsidRDefault="0027763B" w:rsidP="00FA1B7C">
      <w:pPr>
        <w:spacing w:line="480" w:lineRule="auto"/>
        <w:rPr>
          <w:rFonts w:ascii="Arial" w:hAnsi="Arial" w:cs="Arial"/>
        </w:rPr>
      </w:pPr>
      <w:r w:rsidRPr="00FA1B7C">
        <w:rPr>
          <w:rFonts w:ascii="Arial" w:hAnsi="Arial" w:cs="Arial"/>
        </w:rPr>
        <w:t>FY 2022</w:t>
      </w:r>
      <w:r w:rsidR="00FA1B7C" w:rsidRPr="00FA1B7C">
        <w:rPr>
          <w:rFonts w:ascii="Arial" w:hAnsi="Arial" w:cs="Arial"/>
        </w:rPr>
        <w:t>: (</w:t>
      </w:r>
      <w:r w:rsidRPr="00FA1B7C">
        <w:rPr>
          <w:rFonts w:ascii="Arial" w:hAnsi="Arial" w:cs="Arial"/>
        </w:rPr>
        <w:t xml:space="preserve">135.4 - 5.76) / 154.0 = 129.64 / 154.0 = 0.84  </w:t>
      </w:r>
    </w:p>
    <w:p w14:paraId="7AC77D2E" w14:textId="77777777" w:rsidR="00FA1B7C" w:rsidRDefault="0027763B" w:rsidP="00FA1B7C">
      <w:pPr>
        <w:spacing w:line="480" w:lineRule="auto"/>
        <w:rPr>
          <w:rFonts w:ascii="Arial" w:hAnsi="Arial" w:cs="Arial"/>
        </w:rPr>
      </w:pPr>
      <w:r w:rsidRPr="00FA1B7C">
        <w:rPr>
          <w:rFonts w:ascii="Arial" w:hAnsi="Arial" w:cs="Arial"/>
        </w:rPr>
        <w:t xml:space="preserve">FY 2023: (143.6 - 5.64) / 145.3 = 137.96 / 145.3 = 0.95 </w:t>
      </w:r>
    </w:p>
    <w:p w14:paraId="51E6C67F" w14:textId="50118A5A" w:rsidR="00FA1B7C" w:rsidRDefault="00B92474" w:rsidP="00FA1B7C">
      <w:pPr>
        <w:spacing w:line="480" w:lineRule="auto"/>
        <w:rPr>
          <w:rFonts w:ascii="Arial" w:hAnsi="Arial" w:cs="Arial"/>
        </w:rPr>
      </w:pPr>
      <w:r>
        <w:rPr>
          <w:rFonts w:ascii="Arial" w:hAnsi="Arial" w:cs="Arial"/>
        </w:rPr>
        <w:t>Interpretation</w:t>
      </w:r>
      <w:r w:rsidR="0027763B" w:rsidRPr="00FA1B7C">
        <w:rPr>
          <w:rFonts w:ascii="Arial" w:hAnsi="Arial" w:cs="Arial"/>
        </w:rPr>
        <w:t xml:space="preserve">:  The current and quick ratios for both years were indicated as less than 1.0, which means that Apple is still operating under negative working capital model. However, the sign is evident that liquidly profile is improving (0.99 vs. 0.88 for current ratio and 0.95 vs. 0.84 for quick ratio), and Apple is much better off in the short term </w:t>
      </w:r>
      <w:r w:rsidR="00FA1B7C" w:rsidRPr="00FA1B7C">
        <w:rPr>
          <w:rFonts w:ascii="Arial" w:hAnsi="Arial" w:cs="Arial"/>
        </w:rPr>
        <w:t>based</w:t>
      </w:r>
      <w:r w:rsidR="00FA1B7C">
        <w:rPr>
          <w:rFonts w:ascii="Arial" w:hAnsi="Arial" w:cs="Arial"/>
        </w:rPr>
        <w:t>.</w:t>
      </w:r>
      <w:r w:rsidR="00FA1B7C" w:rsidRPr="00FA1B7C">
        <w:rPr>
          <w:rFonts w:ascii="Arial" w:hAnsi="Arial" w:cs="Arial"/>
        </w:rPr>
        <w:t xml:space="preserve"> The</w:t>
      </w:r>
      <w:r w:rsidR="0027763B" w:rsidRPr="00FA1B7C">
        <w:rPr>
          <w:rFonts w:ascii="Arial" w:hAnsi="Arial" w:cs="Arial"/>
        </w:rPr>
        <w:t xml:space="preserve"> increase is </w:t>
      </w:r>
      <w:r w:rsidR="00FA1B7C">
        <w:rPr>
          <w:rFonts w:ascii="Arial" w:hAnsi="Arial" w:cs="Arial"/>
        </w:rPr>
        <w:t>allocated</w:t>
      </w:r>
      <w:r w:rsidR="0027763B" w:rsidRPr="00FA1B7C">
        <w:rPr>
          <w:rFonts w:ascii="Arial" w:hAnsi="Arial" w:cs="Arial"/>
        </w:rPr>
        <w:t xml:space="preserve"> to a greater amount of current assets and lower amounts of current liabilities, mainly due to the increase of cash reserves and not as much short-term debt (Apple Inc., 2023).</w:t>
      </w:r>
    </w:p>
    <w:p w14:paraId="59E6D7A4" w14:textId="77777777" w:rsidR="00FA1B7C" w:rsidRPr="00335D22" w:rsidRDefault="0027763B" w:rsidP="00FA1B7C">
      <w:pPr>
        <w:pStyle w:val="ListParagraph"/>
        <w:numPr>
          <w:ilvl w:val="0"/>
          <w:numId w:val="1"/>
        </w:numPr>
        <w:spacing w:line="480" w:lineRule="auto"/>
        <w:rPr>
          <w:rFonts w:ascii="Arial Black" w:hAnsi="Arial Black" w:cs="Arial"/>
          <w:u w:val="thick"/>
        </w:rPr>
      </w:pPr>
      <w:r w:rsidRPr="00335D22">
        <w:rPr>
          <w:rFonts w:ascii="Arial Black" w:hAnsi="Arial Black" w:cs="Arial"/>
          <w:u w:val="thick"/>
        </w:rPr>
        <w:t>Profitability Ratios</w:t>
      </w:r>
    </w:p>
    <w:p w14:paraId="5A004520" w14:textId="77777777" w:rsidR="00FA1B7C" w:rsidRPr="00335D22" w:rsidRDefault="0027763B" w:rsidP="00FA1B7C">
      <w:pPr>
        <w:spacing w:line="480" w:lineRule="auto"/>
        <w:rPr>
          <w:rFonts w:ascii="Arial Black" w:hAnsi="Arial Black" w:cs="Arial"/>
          <w:u w:val="thick"/>
        </w:rPr>
      </w:pPr>
      <w:r w:rsidRPr="00335D22">
        <w:rPr>
          <w:rFonts w:ascii="Arial Black" w:hAnsi="Arial Black" w:cs="Arial"/>
          <w:u w:val="thick"/>
        </w:rPr>
        <w:t>Net Profit Margin</w:t>
      </w:r>
    </w:p>
    <w:p w14:paraId="7F71D5D5" w14:textId="0126C015" w:rsidR="00FA1B7C" w:rsidRDefault="0027763B" w:rsidP="00FA1B7C">
      <w:pPr>
        <w:spacing w:line="480" w:lineRule="auto"/>
        <w:rPr>
          <w:rFonts w:ascii="Arial" w:hAnsi="Arial" w:cs="Arial"/>
        </w:rPr>
      </w:pPr>
      <w:r w:rsidRPr="00FA1B7C">
        <w:rPr>
          <w:rFonts w:ascii="Arial" w:hAnsi="Arial" w:cs="Arial"/>
        </w:rPr>
        <w:t>FY2022:</w:t>
      </w:r>
      <w:r w:rsidR="00FA1B7C">
        <w:rPr>
          <w:rFonts w:ascii="Arial" w:hAnsi="Arial" w:cs="Arial"/>
        </w:rPr>
        <w:t xml:space="preserve"> </w:t>
      </w:r>
      <w:r w:rsidRPr="00FA1B7C">
        <w:rPr>
          <w:rFonts w:ascii="Arial" w:hAnsi="Arial" w:cs="Arial"/>
        </w:rPr>
        <w:t>99.8</w:t>
      </w:r>
      <w:r w:rsidR="00FA1B7C">
        <w:rPr>
          <w:rFonts w:ascii="Arial" w:hAnsi="Arial" w:cs="Arial"/>
        </w:rPr>
        <w:t>/</w:t>
      </w:r>
      <w:r w:rsidRPr="00FA1B7C">
        <w:rPr>
          <w:rFonts w:ascii="Arial" w:hAnsi="Arial" w:cs="Arial"/>
        </w:rPr>
        <w:t>394.3×100</w:t>
      </w:r>
      <w:r w:rsidR="00FA1B7C">
        <w:rPr>
          <w:rFonts w:ascii="Arial" w:hAnsi="Arial" w:cs="Arial"/>
        </w:rPr>
        <w:t>=</w:t>
      </w:r>
      <w:r w:rsidRPr="00FA1B7C">
        <w:rPr>
          <w:rFonts w:ascii="Arial" w:hAnsi="Arial" w:cs="Arial"/>
        </w:rPr>
        <w:t>25.3%</w:t>
      </w:r>
    </w:p>
    <w:p w14:paraId="2030AF30" w14:textId="64023C57" w:rsidR="00FA1B7C" w:rsidRDefault="0027763B" w:rsidP="00FA1B7C">
      <w:pPr>
        <w:spacing w:line="480" w:lineRule="auto"/>
        <w:rPr>
          <w:rFonts w:ascii="Arial" w:hAnsi="Arial" w:cs="Arial"/>
        </w:rPr>
      </w:pPr>
      <w:r w:rsidRPr="00FA1B7C">
        <w:rPr>
          <w:rFonts w:ascii="Arial" w:hAnsi="Arial" w:cs="Arial"/>
        </w:rPr>
        <w:lastRenderedPageBreak/>
        <w:t>FY2023:</w:t>
      </w:r>
      <w:r w:rsidR="00FA1B7C">
        <w:rPr>
          <w:rFonts w:ascii="Arial" w:hAnsi="Arial" w:cs="Arial"/>
        </w:rPr>
        <w:t xml:space="preserve"> </w:t>
      </w:r>
      <w:r w:rsidRPr="00FA1B7C">
        <w:rPr>
          <w:rFonts w:ascii="Arial" w:hAnsi="Arial" w:cs="Arial"/>
        </w:rPr>
        <w:t>97.0</w:t>
      </w:r>
      <w:r w:rsidR="00FA1B7C">
        <w:rPr>
          <w:rFonts w:ascii="Arial" w:hAnsi="Arial" w:cs="Arial"/>
        </w:rPr>
        <w:t>/</w:t>
      </w:r>
      <w:r w:rsidRPr="00FA1B7C">
        <w:rPr>
          <w:rFonts w:ascii="Arial" w:hAnsi="Arial" w:cs="Arial"/>
        </w:rPr>
        <w:t>383.3×100</w:t>
      </w:r>
      <w:r w:rsidR="00FA1B7C">
        <w:rPr>
          <w:rFonts w:ascii="Arial" w:hAnsi="Arial" w:cs="Arial"/>
        </w:rPr>
        <w:t>=</w:t>
      </w:r>
      <w:r w:rsidRPr="00FA1B7C">
        <w:rPr>
          <w:rFonts w:ascii="Arial" w:hAnsi="Arial" w:cs="Arial"/>
        </w:rPr>
        <w:t>25.3%</w:t>
      </w:r>
    </w:p>
    <w:p w14:paraId="149C7F8B" w14:textId="77777777" w:rsidR="00FA1B7C" w:rsidRPr="00335D22" w:rsidRDefault="0027763B" w:rsidP="00FA1B7C">
      <w:pPr>
        <w:spacing w:line="480" w:lineRule="auto"/>
        <w:rPr>
          <w:rFonts w:ascii="Arial Black" w:hAnsi="Arial Black" w:cs="Arial"/>
          <w:u w:val="thick"/>
        </w:rPr>
      </w:pPr>
      <w:r w:rsidRPr="00335D22">
        <w:rPr>
          <w:rFonts w:ascii="Arial Black" w:hAnsi="Arial Black" w:cs="Arial"/>
          <w:u w:val="thick"/>
        </w:rPr>
        <w:t>Return on Assets (ROA)</w:t>
      </w:r>
    </w:p>
    <w:p w14:paraId="31386DE9" w14:textId="6EC48686" w:rsidR="00FA1B7C" w:rsidRDefault="0027763B" w:rsidP="00FA1B7C">
      <w:pPr>
        <w:spacing w:line="480" w:lineRule="auto"/>
        <w:rPr>
          <w:rFonts w:ascii="Arial" w:hAnsi="Arial" w:cs="Arial"/>
        </w:rPr>
      </w:pPr>
      <w:r w:rsidRPr="00FA1B7C">
        <w:rPr>
          <w:rFonts w:ascii="Arial" w:hAnsi="Arial" w:cs="Arial"/>
        </w:rPr>
        <w:t>FY2022:</w:t>
      </w:r>
      <w:r w:rsidR="00FA1B7C">
        <w:rPr>
          <w:rFonts w:ascii="Arial" w:hAnsi="Arial" w:cs="Arial"/>
        </w:rPr>
        <w:t xml:space="preserve"> </w:t>
      </w:r>
      <w:r w:rsidRPr="00FA1B7C">
        <w:rPr>
          <w:rFonts w:ascii="Arial" w:hAnsi="Arial" w:cs="Arial"/>
        </w:rPr>
        <w:t>99.8</w:t>
      </w:r>
      <w:r w:rsidR="00FA1B7C">
        <w:rPr>
          <w:rFonts w:ascii="Arial" w:hAnsi="Arial" w:cs="Arial"/>
        </w:rPr>
        <w:t>/</w:t>
      </w:r>
      <w:r w:rsidRPr="00FA1B7C">
        <w:rPr>
          <w:rFonts w:ascii="Arial" w:hAnsi="Arial" w:cs="Arial"/>
        </w:rPr>
        <w:t>352.8×100</w:t>
      </w:r>
      <w:r w:rsidR="00FA1B7C">
        <w:rPr>
          <w:rFonts w:ascii="Arial" w:hAnsi="Arial" w:cs="Arial"/>
        </w:rPr>
        <w:t>=</w:t>
      </w:r>
      <w:r w:rsidRPr="00FA1B7C">
        <w:rPr>
          <w:rFonts w:ascii="Arial" w:hAnsi="Arial" w:cs="Arial"/>
        </w:rPr>
        <w:t>28.3%</w:t>
      </w:r>
    </w:p>
    <w:p w14:paraId="61CF27D0" w14:textId="37F95F25" w:rsidR="00FA1B7C" w:rsidRDefault="0027763B" w:rsidP="00FA1B7C">
      <w:pPr>
        <w:spacing w:line="480" w:lineRule="auto"/>
        <w:rPr>
          <w:rFonts w:ascii="Arial" w:hAnsi="Arial" w:cs="Arial"/>
        </w:rPr>
      </w:pPr>
      <w:r w:rsidRPr="00FA1B7C">
        <w:rPr>
          <w:rFonts w:ascii="Arial" w:hAnsi="Arial" w:cs="Arial"/>
        </w:rPr>
        <w:t>FY2023:</w:t>
      </w:r>
      <w:r w:rsidR="00FA1B7C">
        <w:rPr>
          <w:rFonts w:ascii="Arial" w:hAnsi="Arial" w:cs="Arial"/>
        </w:rPr>
        <w:t xml:space="preserve"> </w:t>
      </w:r>
      <w:r w:rsidRPr="00FA1B7C">
        <w:rPr>
          <w:rFonts w:ascii="Arial" w:hAnsi="Arial" w:cs="Arial"/>
        </w:rPr>
        <w:t>97.0</w:t>
      </w:r>
      <w:r w:rsidR="00FA1B7C">
        <w:rPr>
          <w:rFonts w:ascii="Arial" w:hAnsi="Arial" w:cs="Arial"/>
        </w:rPr>
        <w:t>/</w:t>
      </w:r>
      <w:r w:rsidRPr="00FA1B7C">
        <w:rPr>
          <w:rFonts w:ascii="Arial" w:hAnsi="Arial" w:cs="Arial"/>
        </w:rPr>
        <w:t>352.7×100</w:t>
      </w:r>
      <w:r w:rsidR="00FA1B7C">
        <w:rPr>
          <w:rFonts w:ascii="Arial" w:hAnsi="Arial" w:cs="Arial"/>
        </w:rPr>
        <w:t>=</w:t>
      </w:r>
      <w:r w:rsidRPr="00FA1B7C">
        <w:rPr>
          <w:rFonts w:ascii="Arial" w:hAnsi="Arial" w:cs="Arial"/>
        </w:rPr>
        <w:t>27.5%</w:t>
      </w:r>
    </w:p>
    <w:p w14:paraId="05DCB9A4" w14:textId="77777777" w:rsidR="00FA1B7C" w:rsidRPr="00335D22" w:rsidRDefault="0027763B" w:rsidP="00FA1B7C">
      <w:pPr>
        <w:spacing w:line="480" w:lineRule="auto"/>
        <w:rPr>
          <w:rFonts w:ascii="Arial Black" w:hAnsi="Arial Black" w:cs="Arial"/>
          <w:u w:val="thick"/>
        </w:rPr>
      </w:pPr>
      <w:r w:rsidRPr="00335D22">
        <w:rPr>
          <w:rFonts w:ascii="Arial Black" w:hAnsi="Arial Black" w:cs="Arial"/>
          <w:u w:val="thick"/>
        </w:rPr>
        <w:t>Return on Equity (ROE)</w:t>
      </w:r>
    </w:p>
    <w:p w14:paraId="18BAB798" w14:textId="3AE71B2A" w:rsidR="00FA1B7C" w:rsidRDefault="0027763B" w:rsidP="00FA1B7C">
      <w:pPr>
        <w:spacing w:line="480" w:lineRule="auto"/>
        <w:rPr>
          <w:rFonts w:ascii="Arial" w:hAnsi="Arial" w:cs="Arial"/>
        </w:rPr>
      </w:pPr>
      <w:r w:rsidRPr="00FA1B7C">
        <w:rPr>
          <w:rFonts w:ascii="Arial" w:hAnsi="Arial" w:cs="Arial"/>
        </w:rPr>
        <w:t>FY2022:</w:t>
      </w:r>
      <w:r w:rsidR="00FA1B7C">
        <w:rPr>
          <w:rFonts w:ascii="Arial" w:hAnsi="Arial" w:cs="Arial"/>
        </w:rPr>
        <w:t xml:space="preserve"> </w:t>
      </w:r>
      <w:r w:rsidRPr="00FA1B7C">
        <w:rPr>
          <w:rFonts w:ascii="Arial" w:hAnsi="Arial" w:cs="Arial"/>
        </w:rPr>
        <w:t>99.8</w:t>
      </w:r>
      <w:r w:rsidR="00FA1B7C">
        <w:rPr>
          <w:rFonts w:ascii="Arial" w:hAnsi="Arial" w:cs="Arial"/>
        </w:rPr>
        <w:t>/</w:t>
      </w:r>
      <w:r w:rsidRPr="00FA1B7C">
        <w:rPr>
          <w:rFonts w:ascii="Arial" w:hAnsi="Arial" w:cs="Arial"/>
        </w:rPr>
        <w:t>50.7×100</w:t>
      </w:r>
      <w:r w:rsidR="00B92474">
        <w:rPr>
          <w:rFonts w:ascii="Arial" w:hAnsi="Arial" w:cs="Arial"/>
        </w:rPr>
        <w:t>=</w:t>
      </w:r>
      <w:r w:rsidRPr="00FA1B7C">
        <w:rPr>
          <w:rFonts w:ascii="Arial" w:hAnsi="Arial" w:cs="Arial"/>
        </w:rPr>
        <w:t>196.8%</w:t>
      </w:r>
    </w:p>
    <w:p w14:paraId="58C31BC4" w14:textId="77777777" w:rsidR="00B92474" w:rsidRDefault="0027763B" w:rsidP="00FA1B7C">
      <w:pPr>
        <w:spacing w:line="480" w:lineRule="auto"/>
        <w:rPr>
          <w:rFonts w:ascii="Arial" w:hAnsi="Arial" w:cs="Arial"/>
        </w:rPr>
      </w:pPr>
      <w:r w:rsidRPr="00FA1B7C">
        <w:rPr>
          <w:rFonts w:ascii="Arial" w:hAnsi="Arial" w:cs="Arial"/>
        </w:rPr>
        <w:t>FY2023:</w:t>
      </w:r>
      <w:r w:rsidR="00B92474">
        <w:rPr>
          <w:rFonts w:ascii="Arial" w:hAnsi="Arial" w:cs="Arial"/>
        </w:rPr>
        <w:t xml:space="preserve"> </w:t>
      </w:r>
      <w:r w:rsidRPr="00FA1B7C">
        <w:rPr>
          <w:rFonts w:ascii="Arial" w:hAnsi="Arial" w:cs="Arial"/>
        </w:rPr>
        <w:t>97.0</w:t>
      </w:r>
      <w:r w:rsidR="00B92474">
        <w:rPr>
          <w:rFonts w:ascii="Arial" w:hAnsi="Arial" w:cs="Arial"/>
        </w:rPr>
        <w:t>/</w:t>
      </w:r>
      <w:r w:rsidRPr="00FA1B7C">
        <w:rPr>
          <w:rFonts w:ascii="Arial" w:hAnsi="Arial" w:cs="Arial"/>
        </w:rPr>
        <w:t>62.1×100≈156.2%</w:t>
      </w:r>
    </w:p>
    <w:p w14:paraId="36CCB385" w14:textId="737BEE81" w:rsidR="00B92474" w:rsidRDefault="00B92474" w:rsidP="00FA1B7C">
      <w:pPr>
        <w:spacing w:line="480" w:lineRule="auto"/>
        <w:rPr>
          <w:rFonts w:ascii="Arial" w:hAnsi="Arial" w:cs="Arial"/>
        </w:rPr>
      </w:pPr>
      <w:r>
        <w:rPr>
          <w:rFonts w:ascii="Arial" w:hAnsi="Arial" w:cs="Arial"/>
        </w:rPr>
        <w:t>Interpretation</w:t>
      </w:r>
      <w:r w:rsidRPr="00FA1B7C">
        <w:rPr>
          <w:rFonts w:ascii="Arial" w:hAnsi="Arial" w:cs="Arial"/>
        </w:rPr>
        <w:t>: Apple’s</w:t>
      </w:r>
      <w:r w:rsidR="0027763B" w:rsidRPr="00FA1B7C">
        <w:rPr>
          <w:rFonts w:ascii="Arial" w:hAnsi="Arial" w:cs="Arial"/>
        </w:rPr>
        <w:t xml:space="preserve"> net profit margin was unchanged at about 25.3% even with a small decrease in revenue in FY2023. The small drop in ROA (28.3% to 27.5%) resulted from a very small reduction in net income and almost unchanged total assets. ROE dropped as expected </w:t>
      </w:r>
      <w:r w:rsidRPr="00FA1B7C">
        <w:rPr>
          <w:rFonts w:ascii="Arial" w:hAnsi="Arial" w:cs="Arial"/>
        </w:rPr>
        <w:t>because of</w:t>
      </w:r>
      <w:r w:rsidR="0027763B" w:rsidRPr="00FA1B7C">
        <w:rPr>
          <w:rFonts w:ascii="Arial" w:hAnsi="Arial" w:cs="Arial"/>
        </w:rPr>
        <w:t xml:space="preserve"> the increase in shareholders' equity ($50.7B to $62.1B) in FY2023 because of the continued lower share repurchases. </w:t>
      </w:r>
      <w:r w:rsidRPr="00FA1B7C">
        <w:rPr>
          <w:rFonts w:ascii="Arial" w:hAnsi="Arial" w:cs="Arial"/>
        </w:rPr>
        <w:t>All</w:t>
      </w:r>
      <w:r w:rsidR="0027763B" w:rsidRPr="00FA1B7C">
        <w:rPr>
          <w:rFonts w:ascii="Arial" w:hAnsi="Arial" w:cs="Arial"/>
        </w:rPr>
        <w:t xml:space="preserve"> these measures show that Apple is in a very strong profitability </w:t>
      </w:r>
      <w:r w:rsidRPr="00FA1B7C">
        <w:rPr>
          <w:rFonts w:ascii="Arial" w:hAnsi="Arial" w:cs="Arial"/>
        </w:rPr>
        <w:t>place but</w:t>
      </w:r>
      <w:r w:rsidR="0027763B" w:rsidRPr="00FA1B7C">
        <w:rPr>
          <w:rFonts w:ascii="Arial" w:hAnsi="Arial" w:cs="Arial"/>
        </w:rPr>
        <w:t xml:space="preserve"> also shows the impact of their capital return decisions on the equity measures (Apple Inc., 2022; Apple Inc., 2023; Brigham &amp; Ehrhardt, 2013).</w:t>
      </w:r>
    </w:p>
    <w:p w14:paraId="2275B9DF" w14:textId="77777777" w:rsidR="00B92474" w:rsidRPr="00335D22" w:rsidRDefault="0027763B" w:rsidP="00B92474">
      <w:pPr>
        <w:pStyle w:val="ListParagraph"/>
        <w:numPr>
          <w:ilvl w:val="0"/>
          <w:numId w:val="1"/>
        </w:numPr>
        <w:spacing w:line="480" w:lineRule="auto"/>
        <w:rPr>
          <w:rFonts w:ascii="Arial Black" w:hAnsi="Arial Black" w:cs="Arial"/>
          <w:u w:val="thick"/>
        </w:rPr>
      </w:pPr>
      <w:r w:rsidRPr="00335D22">
        <w:rPr>
          <w:rFonts w:ascii="Arial Black" w:hAnsi="Arial Black" w:cs="Arial"/>
          <w:u w:val="thick"/>
        </w:rPr>
        <w:t>Effectiveness Ratios</w:t>
      </w:r>
    </w:p>
    <w:p w14:paraId="0883D4F4" w14:textId="77777777" w:rsidR="00B92474" w:rsidRPr="00335D22" w:rsidRDefault="0027763B" w:rsidP="00FA1B7C">
      <w:pPr>
        <w:spacing w:line="480" w:lineRule="auto"/>
        <w:rPr>
          <w:rFonts w:ascii="Arial Black" w:hAnsi="Arial Black" w:cs="Arial"/>
          <w:u w:val="thick"/>
        </w:rPr>
      </w:pPr>
      <w:r w:rsidRPr="00335D22">
        <w:rPr>
          <w:rFonts w:ascii="Arial Black" w:hAnsi="Arial Black" w:cs="Arial"/>
          <w:u w:val="thick"/>
        </w:rPr>
        <w:t>Asset Turnover</w:t>
      </w:r>
    </w:p>
    <w:p w14:paraId="38F95CE7" w14:textId="77777777" w:rsidR="00B92474" w:rsidRDefault="0027763B" w:rsidP="00FA1B7C">
      <w:pPr>
        <w:spacing w:line="480" w:lineRule="auto"/>
        <w:rPr>
          <w:rFonts w:ascii="Arial" w:hAnsi="Arial" w:cs="Arial"/>
        </w:rPr>
      </w:pPr>
      <w:r w:rsidRPr="00FA1B7C">
        <w:rPr>
          <w:rFonts w:ascii="Arial" w:hAnsi="Arial" w:cs="Arial"/>
        </w:rPr>
        <w:t>FY2022:</w:t>
      </w:r>
      <w:r w:rsidR="00B92474">
        <w:rPr>
          <w:rFonts w:ascii="Arial" w:hAnsi="Arial" w:cs="Arial"/>
        </w:rPr>
        <w:t xml:space="preserve"> </w:t>
      </w:r>
      <w:r w:rsidRPr="00FA1B7C">
        <w:rPr>
          <w:rFonts w:ascii="Arial" w:hAnsi="Arial" w:cs="Arial"/>
        </w:rPr>
        <w:t>394.3</w:t>
      </w:r>
      <w:r w:rsidR="00B92474">
        <w:rPr>
          <w:rFonts w:ascii="Arial" w:hAnsi="Arial" w:cs="Arial"/>
        </w:rPr>
        <w:t>/</w:t>
      </w:r>
      <w:r w:rsidRPr="00FA1B7C">
        <w:rPr>
          <w:rFonts w:ascii="Arial" w:hAnsi="Arial" w:cs="Arial"/>
        </w:rPr>
        <w:t xml:space="preserve">352.8 </w:t>
      </w:r>
      <w:r w:rsidR="00B92474">
        <w:rPr>
          <w:rFonts w:ascii="Arial" w:hAnsi="Arial" w:cs="Arial"/>
        </w:rPr>
        <w:t xml:space="preserve">= </w:t>
      </w:r>
      <w:r w:rsidRPr="00FA1B7C">
        <w:rPr>
          <w:rFonts w:ascii="Arial" w:hAnsi="Arial" w:cs="Arial"/>
        </w:rPr>
        <w:t xml:space="preserve">1.12 </w:t>
      </w:r>
    </w:p>
    <w:p w14:paraId="3FF5A8A0" w14:textId="77777777" w:rsidR="00B92474" w:rsidRDefault="00B92474" w:rsidP="00FA1B7C">
      <w:pPr>
        <w:spacing w:line="480" w:lineRule="auto"/>
        <w:rPr>
          <w:rFonts w:ascii="Arial" w:hAnsi="Arial" w:cs="Arial"/>
        </w:rPr>
      </w:pPr>
      <w:r>
        <w:rPr>
          <w:rFonts w:ascii="Arial" w:hAnsi="Arial" w:cs="Arial"/>
        </w:rPr>
        <w:t xml:space="preserve"> </w:t>
      </w:r>
      <w:r w:rsidR="0027763B" w:rsidRPr="00FA1B7C">
        <w:rPr>
          <w:rFonts w:ascii="Arial" w:hAnsi="Arial" w:cs="Arial"/>
        </w:rPr>
        <w:t>FY2023:</w:t>
      </w:r>
      <w:r>
        <w:rPr>
          <w:rFonts w:ascii="Arial" w:hAnsi="Arial" w:cs="Arial"/>
        </w:rPr>
        <w:t xml:space="preserve"> </w:t>
      </w:r>
      <w:r w:rsidR="0027763B" w:rsidRPr="00FA1B7C">
        <w:rPr>
          <w:rFonts w:ascii="Arial" w:hAnsi="Arial" w:cs="Arial"/>
        </w:rPr>
        <w:t xml:space="preserve">383.3 </w:t>
      </w:r>
      <w:r>
        <w:rPr>
          <w:rFonts w:ascii="Arial" w:hAnsi="Arial" w:cs="Arial"/>
        </w:rPr>
        <w:t>/</w:t>
      </w:r>
      <w:r w:rsidR="0027763B" w:rsidRPr="00FA1B7C">
        <w:rPr>
          <w:rFonts w:ascii="Arial" w:hAnsi="Arial" w:cs="Arial"/>
        </w:rPr>
        <w:t xml:space="preserve">352.7 </w:t>
      </w:r>
      <w:r>
        <w:rPr>
          <w:rFonts w:ascii="Arial" w:hAnsi="Arial" w:cs="Arial"/>
        </w:rPr>
        <w:t xml:space="preserve">= </w:t>
      </w:r>
      <w:r w:rsidR="0027763B" w:rsidRPr="00FA1B7C">
        <w:rPr>
          <w:rFonts w:ascii="Arial" w:hAnsi="Arial" w:cs="Arial"/>
        </w:rPr>
        <w:t xml:space="preserve">1.09 </w:t>
      </w:r>
    </w:p>
    <w:p w14:paraId="6D46DF58" w14:textId="77777777" w:rsidR="00335D22" w:rsidRDefault="00335D22" w:rsidP="00FA1B7C">
      <w:pPr>
        <w:spacing w:line="480" w:lineRule="auto"/>
        <w:rPr>
          <w:rFonts w:ascii="Arial" w:hAnsi="Arial" w:cs="Arial"/>
        </w:rPr>
      </w:pPr>
    </w:p>
    <w:p w14:paraId="568BF5E7" w14:textId="77777777" w:rsidR="00335D22" w:rsidRDefault="00335D22" w:rsidP="00FA1B7C">
      <w:pPr>
        <w:spacing w:line="480" w:lineRule="auto"/>
        <w:rPr>
          <w:rFonts w:ascii="Arial" w:hAnsi="Arial" w:cs="Arial"/>
        </w:rPr>
      </w:pPr>
    </w:p>
    <w:p w14:paraId="309E2AC7" w14:textId="77777777" w:rsidR="00B92474" w:rsidRPr="00335D22" w:rsidRDefault="0027763B" w:rsidP="00FA1B7C">
      <w:pPr>
        <w:spacing w:line="480" w:lineRule="auto"/>
        <w:rPr>
          <w:rFonts w:ascii="Arial Black" w:hAnsi="Arial Black" w:cs="Arial"/>
          <w:u w:val="thick"/>
        </w:rPr>
      </w:pPr>
      <w:r w:rsidRPr="00335D22">
        <w:rPr>
          <w:rFonts w:ascii="Arial Black" w:hAnsi="Arial Black" w:cs="Arial"/>
          <w:u w:val="thick"/>
        </w:rPr>
        <w:lastRenderedPageBreak/>
        <w:t>Inventory Turnover</w:t>
      </w:r>
    </w:p>
    <w:p w14:paraId="0D76B60A" w14:textId="77777777" w:rsidR="00B92474" w:rsidRDefault="0027763B" w:rsidP="00FA1B7C">
      <w:pPr>
        <w:spacing w:line="480" w:lineRule="auto"/>
        <w:rPr>
          <w:rFonts w:ascii="Arial" w:hAnsi="Arial" w:cs="Arial"/>
        </w:rPr>
      </w:pPr>
      <w:r w:rsidRPr="00FA1B7C">
        <w:rPr>
          <w:rFonts w:ascii="Arial" w:hAnsi="Arial" w:cs="Arial"/>
        </w:rPr>
        <w:t>FY2022:</w:t>
      </w:r>
      <w:r w:rsidR="00B92474">
        <w:rPr>
          <w:rFonts w:ascii="Arial" w:hAnsi="Arial" w:cs="Arial"/>
        </w:rPr>
        <w:t xml:space="preserve"> </w:t>
      </w:r>
      <w:r w:rsidRPr="00FA1B7C">
        <w:rPr>
          <w:rFonts w:ascii="Arial" w:hAnsi="Arial" w:cs="Arial"/>
        </w:rPr>
        <w:t>201.5</w:t>
      </w:r>
      <w:r w:rsidR="00B92474">
        <w:rPr>
          <w:rFonts w:ascii="Arial" w:hAnsi="Arial" w:cs="Arial"/>
        </w:rPr>
        <w:t>/</w:t>
      </w:r>
      <w:r w:rsidRPr="00FA1B7C">
        <w:rPr>
          <w:rFonts w:ascii="Arial" w:hAnsi="Arial" w:cs="Arial"/>
        </w:rPr>
        <w:t xml:space="preserve"> 5.76 </w:t>
      </w:r>
      <w:r w:rsidR="00B92474">
        <w:rPr>
          <w:rFonts w:ascii="Arial" w:hAnsi="Arial" w:cs="Arial"/>
        </w:rPr>
        <w:t>=</w:t>
      </w:r>
      <w:r w:rsidRPr="00FA1B7C">
        <w:rPr>
          <w:rFonts w:ascii="Arial" w:hAnsi="Arial" w:cs="Arial"/>
        </w:rPr>
        <w:t xml:space="preserve"> 35.0</w:t>
      </w:r>
    </w:p>
    <w:p w14:paraId="5161759F" w14:textId="77777777" w:rsidR="00B92474" w:rsidRDefault="0027763B" w:rsidP="00FA1B7C">
      <w:pPr>
        <w:spacing w:line="480" w:lineRule="auto"/>
        <w:rPr>
          <w:rFonts w:ascii="Arial" w:hAnsi="Arial" w:cs="Arial"/>
        </w:rPr>
      </w:pPr>
      <w:r w:rsidRPr="00FA1B7C">
        <w:rPr>
          <w:rFonts w:ascii="Arial" w:hAnsi="Arial" w:cs="Arial"/>
        </w:rPr>
        <w:t>FY2023:</w:t>
      </w:r>
      <w:r w:rsidR="00B92474">
        <w:rPr>
          <w:rFonts w:ascii="Arial" w:hAnsi="Arial" w:cs="Arial"/>
        </w:rPr>
        <w:t xml:space="preserve"> </w:t>
      </w:r>
      <w:r w:rsidRPr="00FA1B7C">
        <w:rPr>
          <w:rFonts w:ascii="Arial" w:hAnsi="Arial" w:cs="Arial"/>
        </w:rPr>
        <w:t>189.3</w:t>
      </w:r>
      <w:r w:rsidR="00B92474">
        <w:rPr>
          <w:rFonts w:ascii="Arial" w:hAnsi="Arial" w:cs="Arial"/>
        </w:rPr>
        <w:t>/</w:t>
      </w:r>
      <w:r w:rsidRPr="00FA1B7C">
        <w:rPr>
          <w:rFonts w:ascii="Arial" w:hAnsi="Arial" w:cs="Arial"/>
        </w:rPr>
        <w:t xml:space="preserve"> 5.64 </w:t>
      </w:r>
      <w:r w:rsidR="00B92474">
        <w:rPr>
          <w:rFonts w:ascii="Arial" w:hAnsi="Arial" w:cs="Arial"/>
        </w:rPr>
        <w:t>=</w:t>
      </w:r>
      <w:r w:rsidRPr="00FA1B7C">
        <w:rPr>
          <w:rFonts w:ascii="Arial" w:hAnsi="Arial" w:cs="Arial"/>
        </w:rPr>
        <w:t xml:space="preserve"> 33.5</w:t>
      </w:r>
    </w:p>
    <w:p w14:paraId="4AB6B607" w14:textId="77777777" w:rsidR="00B92474" w:rsidRDefault="00B92474" w:rsidP="00FA1B7C">
      <w:pPr>
        <w:spacing w:line="480" w:lineRule="auto"/>
        <w:rPr>
          <w:rFonts w:ascii="Arial" w:hAnsi="Arial" w:cs="Arial"/>
        </w:rPr>
      </w:pPr>
      <w:r w:rsidRPr="00FA1B7C">
        <w:rPr>
          <w:rFonts w:ascii="Arial" w:hAnsi="Arial" w:cs="Arial"/>
        </w:rPr>
        <w:t>I</w:t>
      </w:r>
      <w:r>
        <w:rPr>
          <w:rFonts w:ascii="Arial" w:hAnsi="Arial" w:cs="Arial"/>
        </w:rPr>
        <w:t>nterpretation</w:t>
      </w:r>
      <w:r w:rsidRPr="00FA1B7C">
        <w:rPr>
          <w:rFonts w:ascii="Arial" w:hAnsi="Arial" w:cs="Arial"/>
        </w:rPr>
        <w:t>: Apple’s</w:t>
      </w:r>
      <w:r w:rsidR="0027763B" w:rsidRPr="00FA1B7C">
        <w:rPr>
          <w:rFonts w:ascii="Arial" w:hAnsi="Arial" w:cs="Arial"/>
        </w:rPr>
        <w:t xml:space="preserve"> asset turnover fell from 1.12 to 1.09, suggesting slightly lower efficiency in generating sales and possibly lower unit sales. Similarly, inventory turnover declined from 35.0 to 33.5 times a year, alluding to inventory being held a bit longer in FY2023 than in FY2022. </w:t>
      </w:r>
      <w:r w:rsidRPr="00FA1B7C">
        <w:rPr>
          <w:rFonts w:ascii="Arial" w:hAnsi="Arial" w:cs="Arial"/>
        </w:rPr>
        <w:t>Both</w:t>
      </w:r>
      <w:r w:rsidR="0027763B" w:rsidRPr="00FA1B7C">
        <w:rPr>
          <w:rFonts w:ascii="Arial" w:hAnsi="Arial" w:cs="Arial"/>
        </w:rPr>
        <w:t xml:space="preserve"> are still very high compared to industry averages, demonstrating Apple’s operational efficiency and capabilities within its supply chain (Gitman and Zutter, 2012). </w:t>
      </w:r>
    </w:p>
    <w:p w14:paraId="6C29C5D1" w14:textId="77777777" w:rsidR="00B92474" w:rsidRPr="00335D22" w:rsidRDefault="0027763B" w:rsidP="00B92474">
      <w:pPr>
        <w:pStyle w:val="ListParagraph"/>
        <w:numPr>
          <w:ilvl w:val="0"/>
          <w:numId w:val="1"/>
        </w:numPr>
        <w:spacing w:line="480" w:lineRule="auto"/>
        <w:rPr>
          <w:rFonts w:ascii="Arial Black" w:hAnsi="Arial Black" w:cs="Arial"/>
          <w:u w:val="thick"/>
        </w:rPr>
      </w:pPr>
      <w:r w:rsidRPr="00335D22">
        <w:rPr>
          <w:rFonts w:ascii="Arial Black" w:hAnsi="Arial Black" w:cs="Arial"/>
          <w:u w:val="thick"/>
        </w:rPr>
        <w:t>Solvency Ratios</w:t>
      </w:r>
    </w:p>
    <w:p w14:paraId="3199061B" w14:textId="77777777" w:rsidR="00B92474" w:rsidRPr="00335D22" w:rsidRDefault="0027763B" w:rsidP="00B92474">
      <w:pPr>
        <w:spacing w:line="480" w:lineRule="auto"/>
        <w:rPr>
          <w:rFonts w:ascii="Arial Black" w:hAnsi="Arial Black" w:cs="Arial"/>
          <w:u w:val="thick"/>
        </w:rPr>
      </w:pPr>
      <w:r w:rsidRPr="00335D22">
        <w:rPr>
          <w:rFonts w:ascii="Arial Black" w:hAnsi="Arial Black" w:cs="Arial"/>
          <w:u w:val="thick"/>
        </w:rPr>
        <w:t>Debt-to-Equity (D/E) Ratio</w:t>
      </w:r>
    </w:p>
    <w:p w14:paraId="69888AF3" w14:textId="77777777" w:rsidR="00B92474" w:rsidRDefault="0027763B" w:rsidP="00B92474">
      <w:pPr>
        <w:spacing w:line="480" w:lineRule="auto"/>
        <w:rPr>
          <w:rFonts w:ascii="Arial" w:hAnsi="Arial" w:cs="Arial"/>
        </w:rPr>
      </w:pPr>
      <w:r w:rsidRPr="00B92474">
        <w:rPr>
          <w:rFonts w:ascii="Arial" w:hAnsi="Arial" w:cs="Arial"/>
        </w:rPr>
        <w:t>FY2022:</w:t>
      </w:r>
      <w:r w:rsidR="00B92474">
        <w:rPr>
          <w:rFonts w:ascii="Arial" w:hAnsi="Arial" w:cs="Arial"/>
        </w:rPr>
        <w:t xml:space="preserve"> </w:t>
      </w:r>
      <w:r w:rsidRPr="00B92474">
        <w:rPr>
          <w:rFonts w:ascii="Arial" w:hAnsi="Arial" w:cs="Arial"/>
        </w:rPr>
        <w:t>120.1</w:t>
      </w:r>
      <w:r w:rsidR="00B92474">
        <w:rPr>
          <w:rFonts w:ascii="Arial" w:hAnsi="Arial" w:cs="Arial"/>
        </w:rPr>
        <w:t>/</w:t>
      </w:r>
      <w:r w:rsidRPr="00B92474">
        <w:rPr>
          <w:rFonts w:ascii="Arial" w:hAnsi="Arial" w:cs="Arial"/>
        </w:rPr>
        <w:t xml:space="preserve"> 50.7 </w:t>
      </w:r>
      <w:r w:rsidR="00B92474">
        <w:rPr>
          <w:rFonts w:ascii="Arial" w:hAnsi="Arial" w:cs="Arial"/>
        </w:rPr>
        <w:t>=</w:t>
      </w:r>
      <w:r w:rsidRPr="00B92474">
        <w:rPr>
          <w:rFonts w:ascii="Arial" w:hAnsi="Arial" w:cs="Arial"/>
        </w:rPr>
        <w:t xml:space="preserve"> 2.37</w:t>
      </w:r>
    </w:p>
    <w:p w14:paraId="20E742F5" w14:textId="77777777" w:rsidR="00B92474" w:rsidRDefault="0027763B" w:rsidP="00B92474">
      <w:pPr>
        <w:spacing w:line="480" w:lineRule="auto"/>
        <w:rPr>
          <w:rFonts w:ascii="Arial" w:hAnsi="Arial" w:cs="Arial"/>
        </w:rPr>
      </w:pPr>
      <w:r w:rsidRPr="00B92474">
        <w:rPr>
          <w:rFonts w:ascii="Arial" w:hAnsi="Arial" w:cs="Arial"/>
        </w:rPr>
        <w:t>FY2023:</w:t>
      </w:r>
      <w:r w:rsidR="00B92474">
        <w:rPr>
          <w:rFonts w:ascii="Arial" w:hAnsi="Arial" w:cs="Arial"/>
        </w:rPr>
        <w:t xml:space="preserve"> </w:t>
      </w:r>
      <w:r w:rsidRPr="00B92474">
        <w:rPr>
          <w:rFonts w:ascii="Arial" w:hAnsi="Arial" w:cs="Arial"/>
        </w:rPr>
        <w:t xml:space="preserve">111.1 </w:t>
      </w:r>
      <w:r w:rsidR="00B92474">
        <w:rPr>
          <w:rFonts w:ascii="Arial" w:hAnsi="Arial" w:cs="Arial"/>
        </w:rPr>
        <w:t>/</w:t>
      </w:r>
      <w:r w:rsidRPr="00B92474">
        <w:rPr>
          <w:rFonts w:ascii="Arial" w:hAnsi="Arial" w:cs="Arial"/>
        </w:rPr>
        <w:t xml:space="preserve">62.1 </w:t>
      </w:r>
      <w:r w:rsidR="00B92474">
        <w:rPr>
          <w:rFonts w:ascii="Arial" w:hAnsi="Arial" w:cs="Arial"/>
        </w:rPr>
        <w:t>=</w:t>
      </w:r>
      <w:r w:rsidRPr="00B92474">
        <w:rPr>
          <w:rFonts w:ascii="Arial" w:hAnsi="Arial" w:cs="Arial"/>
        </w:rPr>
        <w:t xml:space="preserve"> 1.79 </w:t>
      </w:r>
    </w:p>
    <w:p w14:paraId="47B38456" w14:textId="77777777" w:rsidR="00B92474" w:rsidRPr="00335D22" w:rsidRDefault="0027763B" w:rsidP="00B92474">
      <w:pPr>
        <w:spacing w:line="480" w:lineRule="auto"/>
        <w:rPr>
          <w:rFonts w:ascii="Arial Black" w:hAnsi="Arial Black" w:cs="Arial"/>
          <w:u w:val="thick"/>
        </w:rPr>
      </w:pPr>
      <w:r w:rsidRPr="00335D22">
        <w:rPr>
          <w:rFonts w:ascii="Arial Black" w:hAnsi="Arial Black" w:cs="Arial"/>
          <w:u w:val="thick"/>
        </w:rPr>
        <w:t>Interest Coverage Ratio</w:t>
      </w:r>
    </w:p>
    <w:p w14:paraId="13723A2B" w14:textId="1E4B8359" w:rsidR="00B92474" w:rsidRDefault="0027763B" w:rsidP="00B92474">
      <w:pPr>
        <w:spacing w:line="480" w:lineRule="auto"/>
        <w:rPr>
          <w:rFonts w:ascii="Arial" w:hAnsi="Arial" w:cs="Arial"/>
        </w:rPr>
      </w:pPr>
      <w:r w:rsidRPr="00B92474">
        <w:rPr>
          <w:rFonts w:ascii="Arial" w:hAnsi="Arial" w:cs="Arial"/>
        </w:rPr>
        <w:t>FY2022:</w:t>
      </w:r>
      <w:r w:rsidR="00B92474">
        <w:rPr>
          <w:rFonts w:ascii="Arial" w:hAnsi="Arial" w:cs="Arial"/>
        </w:rPr>
        <w:t xml:space="preserve"> </w:t>
      </w:r>
      <w:r w:rsidRPr="00B92474">
        <w:rPr>
          <w:rFonts w:ascii="Arial" w:hAnsi="Arial" w:cs="Arial"/>
        </w:rPr>
        <w:t>119.4</w:t>
      </w:r>
      <w:r w:rsidR="00B92474">
        <w:rPr>
          <w:rFonts w:ascii="Arial" w:hAnsi="Arial" w:cs="Arial"/>
        </w:rPr>
        <w:t>/</w:t>
      </w:r>
      <w:r w:rsidRPr="00B92474">
        <w:rPr>
          <w:rFonts w:ascii="Arial" w:hAnsi="Arial" w:cs="Arial"/>
        </w:rPr>
        <w:t xml:space="preserve"> 2.93 </w:t>
      </w:r>
      <w:r w:rsidR="00B92474">
        <w:rPr>
          <w:rFonts w:ascii="Arial" w:hAnsi="Arial" w:cs="Arial"/>
        </w:rPr>
        <w:t xml:space="preserve">= </w:t>
      </w:r>
      <w:r w:rsidRPr="00B92474">
        <w:rPr>
          <w:rFonts w:ascii="Arial" w:hAnsi="Arial" w:cs="Arial"/>
        </w:rPr>
        <w:t xml:space="preserve">40.8  </w:t>
      </w:r>
    </w:p>
    <w:p w14:paraId="5EDA2C67" w14:textId="77777777" w:rsidR="00B92474" w:rsidRDefault="0027763B" w:rsidP="00B92474">
      <w:pPr>
        <w:spacing w:line="480" w:lineRule="auto"/>
        <w:rPr>
          <w:rFonts w:ascii="Arial" w:hAnsi="Arial" w:cs="Arial"/>
        </w:rPr>
      </w:pPr>
      <w:r w:rsidRPr="00B92474">
        <w:rPr>
          <w:rFonts w:ascii="Arial" w:hAnsi="Arial" w:cs="Arial"/>
        </w:rPr>
        <w:t>FY2023:</w:t>
      </w:r>
      <w:r w:rsidR="00B92474">
        <w:rPr>
          <w:rFonts w:ascii="Arial" w:hAnsi="Arial" w:cs="Arial"/>
        </w:rPr>
        <w:t xml:space="preserve"> </w:t>
      </w:r>
      <w:r w:rsidRPr="00B92474">
        <w:rPr>
          <w:rFonts w:ascii="Arial" w:hAnsi="Arial" w:cs="Arial"/>
        </w:rPr>
        <w:t>114.3</w:t>
      </w:r>
      <w:r w:rsidR="00B92474">
        <w:rPr>
          <w:rFonts w:ascii="Arial" w:hAnsi="Arial" w:cs="Arial"/>
        </w:rPr>
        <w:t>/</w:t>
      </w:r>
      <w:r w:rsidRPr="00B92474">
        <w:rPr>
          <w:rFonts w:ascii="Arial" w:hAnsi="Arial" w:cs="Arial"/>
        </w:rPr>
        <w:t xml:space="preserve"> 3.93 </w:t>
      </w:r>
      <w:r w:rsidR="00B92474">
        <w:rPr>
          <w:rFonts w:ascii="Arial" w:hAnsi="Arial" w:cs="Arial"/>
        </w:rPr>
        <w:t>=</w:t>
      </w:r>
      <w:r w:rsidRPr="00B92474">
        <w:rPr>
          <w:rFonts w:ascii="Arial" w:hAnsi="Arial" w:cs="Arial"/>
        </w:rPr>
        <w:t xml:space="preserve"> 29.1 </w:t>
      </w:r>
    </w:p>
    <w:p w14:paraId="1FF70314" w14:textId="77777777" w:rsidR="00435A0B" w:rsidRDefault="00B92474" w:rsidP="00B92474">
      <w:pPr>
        <w:spacing w:line="480" w:lineRule="auto"/>
        <w:rPr>
          <w:rFonts w:ascii="Arial" w:hAnsi="Arial" w:cs="Arial"/>
        </w:rPr>
      </w:pPr>
      <w:r w:rsidRPr="00B92474">
        <w:rPr>
          <w:rFonts w:ascii="Arial" w:hAnsi="Arial" w:cs="Arial"/>
        </w:rPr>
        <w:t>Interpretation: The</w:t>
      </w:r>
      <w:r w:rsidR="0027763B" w:rsidRPr="00B92474">
        <w:rPr>
          <w:rFonts w:ascii="Arial" w:hAnsi="Arial" w:cs="Arial"/>
        </w:rPr>
        <w:t xml:space="preserve"> small decrease in the D/E ratio, from 2.37 to 1.79, signifies that Apple has reduced its use of interest-bearing debt compared to its equity base, which in turn, improved net income retention compared to buyback levels. The interest coverage ratio decreased from 40.8 in FY 2022 to 29.1 in FY 2023 primarily due to increasing interest expenses. With that considered, Apple still generates, per </w:t>
      </w:r>
      <w:r w:rsidR="0027763B" w:rsidRPr="00B92474">
        <w:rPr>
          <w:rFonts w:ascii="Arial" w:hAnsi="Arial" w:cs="Arial"/>
        </w:rPr>
        <w:lastRenderedPageBreak/>
        <w:t>dollar of interest expense, more than $29 of EBIT to cover</w:t>
      </w:r>
      <w:r w:rsidR="00435A0B">
        <w:rPr>
          <w:rFonts w:ascii="Arial" w:hAnsi="Arial" w:cs="Arial"/>
        </w:rPr>
        <w:t xml:space="preserve"> interest expenses. </w:t>
      </w:r>
      <w:r w:rsidR="0027763B" w:rsidRPr="00B92474">
        <w:rPr>
          <w:rFonts w:ascii="Arial" w:hAnsi="Arial" w:cs="Arial"/>
        </w:rPr>
        <w:t xml:space="preserve">This extensive coverage reinforces that Apple's ability to service debt is still strong, despite a general move to a more prudent capital structure (Apple Inc., 2022; Apple Inc., 2023; Horngren et al., 2013). </w:t>
      </w:r>
    </w:p>
    <w:p w14:paraId="7C24F739" w14:textId="77777777" w:rsidR="00435A0B" w:rsidRPr="00335D22" w:rsidRDefault="0027763B" w:rsidP="00B92474">
      <w:pPr>
        <w:spacing w:line="480" w:lineRule="auto"/>
        <w:rPr>
          <w:rFonts w:ascii="Arial Black" w:hAnsi="Arial Black" w:cs="Arial"/>
          <w:u w:val="thick"/>
        </w:rPr>
      </w:pPr>
      <w:r w:rsidRPr="00335D22">
        <w:rPr>
          <w:rFonts w:ascii="Arial Black" w:hAnsi="Arial Black" w:cs="Arial"/>
          <w:u w:val="thick"/>
        </w:rPr>
        <w:t xml:space="preserve">Discussion of the Findings </w:t>
      </w:r>
    </w:p>
    <w:p w14:paraId="51CF8930" w14:textId="77777777" w:rsidR="00435A0B" w:rsidRDefault="0027763B" w:rsidP="00B92474">
      <w:pPr>
        <w:spacing w:line="480" w:lineRule="auto"/>
        <w:rPr>
          <w:rFonts w:ascii="Arial" w:hAnsi="Arial" w:cs="Arial"/>
        </w:rPr>
      </w:pPr>
      <w:r w:rsidRPr="00B92474">
        <w:rPr>
          <w:rFonts w:ascii="Arial" w:hAnsi="Arial" w:cs="Arial"/>
        </w:rPr>
        <w:t xml:space="preserve">The ratio analysis </w:t>
      </w:r>
      <w:r w:rsidR="00435A0B">
        <w:rPr>
          <w:rFonts w:ascii="Arial" w:hAnsi="Arial" w:cs="Arial"/>
        </w:rPr>
        <w:t>shows</w:t>
      </w:r>
      <w:r w:rsidRPr="00B92474">
        <w:rPr>
          <w:rFonts w:ascii="Arial" w:hAnsi="Arial" w:cs="Arial"/>
        </w:rPr>
        <w:t xml:space="preserve"> some important insights into Apple Inc.'s financial performance:</w:t>
      </w:r>
    </w:p>
    <w:p w14:paraId="0B825D3D" w14:textId="77777777" w:rsidR="00435A0B" w:rsidRPr="00701D3C" w:rsidRDefault="00435A0B" w:rsidP="00701D3C">
      <w:pPr>
        <w:pStyle w:val="ListParagraph"/>
        <w:numPr>
          <w:ilvl w:val="0"/>
          <w:numId w:val="2"/>
        </w:numPr>
        <w:spacing w:line="480" w:lineRule="auto"/>
        <w:rPr>
          <w:rFonts w:ascii="Arial" w:hAnsi="Arial" w:cs="Arial"/>
        </w:rPr>
      </w:pPr>
      <w:r w:rsidRPr="00701D3C">
        <w:rPr>
          <w:rFonts w:ascii="Arial" w:hAnsi="Arial" w:cs="Arial"/>
        </w:rPr>
        <w:t>Liquidity: Apple’s</w:t>
      </w:r>
      <w:r w:rsidR="0027763B" w:rsidRPr="00701D3C">
        <w:rPr>
          <w:rFonts w:ascii="Arial" w:hAnsi="Arial" w:cs="Arial"/>
        </w:rPr>
        <w:t xml:space="preserve"> liquidity ratios have strengthened in FY2023, indicating more effective management of current assets and current liabilities. While negative working capital is typical for Apple, the increased current ratio of close to 1.0 suggests an improved short-term financial position (Apple Inc., 2023).</w:t>
      </w:r>
    </w:p>
    <w:p w14:paraId="6CF06A7B" w14:textId="17A0837E" w:rsidR="00435A0B" w:rsidRPr="00701D3C" w:rsidRDefault="00435A0B" w:rsidP="00701D3C">
      <w:pPr>
        <w:pStyle w:val="ListParagraph"/>
        <w:numPr>
          <w:ilvl w:val="0"/>
          <w:numId w:val="2"/>
        </w:numPr>
        <w:spacing w:line="480" w:lineRule="auto"/>
        <w:rPr>
          <w:rFonts w:ascii="Arial" w:hAnsi="Arial" w:cs="Arial"/>
        </w:rPr>
      </w:pPr>
      <w:r w:rsidRPr="00701D3C">
        <w:rPr>
          <w:rFonts w:ascii="Arial" w:hAnsi="Arial" w:cs="Arial"/>
        </w:rPr>
        <w:t>Profitability: Apple</w:t>
      </w:r>
      <w:r w:rsidR="0027763B" w:rsidRPr="00701D3C">
        <w:rPr>
          <w:rFonts w:ascii="Arial" w:hAnsi="Arial" w:cs="Arial"/>
        </w:rPr>
        <w:t xml:space="preserve"> sustained net profit margin stability and only slight declines in ROA, meaning it was able to maintain profitability, even with a modest decrease in total revenue. The noticeable drop in ROE is primarily due to a bigger increase in shareholders' equity </w:t>
      </w:r>
      <w:r w:rsidRPr="00701D3C">
        <w:rPr>
          <w:rFonts w:ascii="Arial" w:hAnsi="Arial" w:cs="Arial"/>
        </w:rPr>
        <w:t>because of</w:t>
      </w:r>
      <w:r w:rsidR="0027763B" w:rsidRPr="00701D3C">
        <w:rPr>
          <w:rFonts w:ascii="Arial" w:hAnsi="Arial" w:cs="Arial"/>
        </w:rPr>
        <w:t xml:space="preserve"> reduced share buybacks and retained earnings, thus providing a more conservative impression of capital management (Brigham &amp; Ehrhardt, 2013).</w:t>
      </w:r>
    </w:p>
    <w:p w14:paraId="743CB8F3" w14:textId="77777777" w:rsidR="00435A0B" w:rsidRPr="00701D3C" w:rsidRDefault="00435A0B" w:rsidP="00701D3C">
      <w:pPr>
        <w:pStyle w:val="ListParagraph"/>
        <w:numPr>
          <w:ilvl w:val="0"/>
          <w:numId w:val="2"/>
        </w:numPr>
        <w:spacing w:line="480" w:lineRule="auto"/>
        <w:rPr>
          <w:rFonts w:ascii="Arial" w:hAnsi="Arial" w:cs="Arial"/>
        </w:rPr>
      </w:pPr>
      <w:r w:rsidRPr="00701D3C">
        <w:rPr>
          <w:rFonts w:ascii="Arial" w:hAnsi="Arial" w:cs="Arial"/>
        </w:rPr>
        <w:t>Efficiency: There</w:t>
      </w:r>
      <w:r w:rsidR="0027763B" w:rsidRPr="00701D3C">
        <w:rPr>
          <w:rFonts w:ascii="Arial" w:hAnsi="Arial" w:cs="Arial"/>
        </w:rPr>
        <w:t xml:space="preserve"> was a slight decline in both asset turnover, as well as inventory turnover in FY2023, indicating a small reduction in sales relative to its asset base and small increase in periods held as inventory. Overall, efficiency remains outstanding and reflects the strength of Apple's supply chain and operations management (Gitman &amp; Zutter, 2012).</w:t>
      </w:r>
    </w:p>
    <w:p w14:paraId="78DFDF36" w14:textId="22050EEB" w:rsidR="00435A0B" w:rsidRPr="00701D3C" w:rsidRDefault="00435A0B" w:rsidP="00701D3C">
      <w:pPr>
        <w:pStyle w:val="ListParagraph"/>
        <w:numPr>
          <w:ilvl w:val="0"/>
          <w:numId w:val="2"/>
        </w:numPr>
        <w:spacing w:line="480" w:lineRule="auto"/>
        <w:rPr>
          <w:rFonts w:ascii="Arial" w:hAnsi="Arial" w:cs="Arial"/>
        </w:rPr>
      </w:pPr>
      <w:r w:rsidRPr="00701D3C">
        <w:rPr>
          <w:rFonts w:ascii="Arial" w:hAnsi="Arial" w:cs="Arial"/>
        </w:rPr>
        <w:t>Solvency: Increased</w:t>
      </w:r>
      <w:r w:rsidR="0027763B" w:rsidRPr="00701D3C">
        <w:rPr>
          <w:rFonts w:ascii="Arial" w:hAnsi="Arial" w:cs="Arial"/>
        </w:rPr>
        <w:t xml:space="preserve"> debt to equity ratio along with exceptionally high interest coverage indicates that Apple has enhanced overall </w:t>
      </w:r>
      <w:r w:rsidRPr="00701D3C">
        <w:rPr>
          <w:rFonts w:ascii="Arial" w:hAnsi="Arial" w:cs="Arial"/>
        </w:rPr>
        <w:t>long-term</w:t>
      </w:r>
      <w:r w:rsidR="0027763B" w:rsidRPr="00701D3C">
        <w:rPr>
          <w:rFonts w:ascii="Arial" w:hAnsi="Arial" w:cs="Arial"/>
        </w:rPr>
        <w:t xml:space="preserve"> financial </w:t>
      </w:r>
      <w:r w:rsidR="0027763B" w:rsidRPr="00701D3C">
        <w:rPr>
          <w:rFonts w:ascii="Arial" w:hAnsi="Arial" w:cs="Arial"/>
        </w:rPr>
        <w:lastRenderedPageBreak/>
        <w:t xml:space="preserve">stability. While increased interest expense (in part attributable to higher global rates) has reduced the interest coverage ratio, the absolute amount is still quite strong allowing sufficient capacity for debt service (Horngren et al., 2013).            </w:t>
      </w:r>
    </w:p>
    <w:p w14:paraId="56DAFA21" w14:textId="77777777" w:rsidR="00435A0B" w:rsidRPr="00701D3C" w:rsidRDefault="00435A0B" w:rsidP="00B92474">
      <w:pPr>
        <w:spacing w:line="480" w:lineRule="auto"/>
        <w:rPr>
          <w:rFonts w:ascii="Arial Black" w:hAnsi="Arial Black" w:cs="Arial"/>
          <w:u w:val="thick"/>
        </w:rPr>
      </w:pPr>
      <w:r w:rsidRPr="00701D3C">
        <w:rPr>
          <w:rFonts w:ascii="Arial Black" w:hAnsi="Arial Black" w:cs="Arial"/>
          <w:u w:val="thick"/>
        </w:rPr>
        <w:t>Recommendation</w:t>
      </w:r>
      <w:r w:rsidR="0027763B" w:rsidRPr="00701D3C">
        <w:rPr>
          <w:rFonts w:ascii="Arial Black" w:hAnsi="Arial Black" w:cs="Arial"/>
          <w:u w:val="thick"/>
        </w:rPr>
        <w:t xml:space="preserve"> for Future Improvement</w:t>
      </w:r>
    </w:p>
    <w:p w14:paraId="76570A6B" w14:textId="77777777" w:rsidR="00435A0B" w:rsidRDefault="0027763B" w:rsidP="00B92474">
      <w:pPr>
        <w:spacing w:line="480" w:lineRule="auto"/>
        <w:rPr>
          <w:rFonts w:ascii="Arial" w:hAnsi="Arial" w:cs="Arial"/>
        </w:rPr>
      </w:pPr>
      <w:r w:rsidRPr="00B92474">
        <w:rPr>
          <w:rFonts w:ascii="Arial" w:hAnsi="Arial" w:cs="Arial"/>
        </w:rPr>
        <w:t xml:space="preserve">Different recommendations can be made where the analysis to improve Apple's financial sustainability: </w:t>
      </w:r>
    </w:p>
    <w:p w14:paraId="4FD6A4F7" w14:textId="77777777" w:rsidR="00435A0B" w:rsidRPr="00701D3C" w:rsidRDefault="0027763B" w:rsidP="00701D3C">
      <w:pPr>
        <w:pStyle w:val="ListParagraph"/>
        <w:numPr>
          <w:ilvl w:val="0"/>
          <w:numId w:val="3"/>
        </w:numPr>
        <w:spacing w:line="480" w:lineRule="auto"/>
        <w:rPr>
          <w:rFonts w:ascii="Arial" w:hAnsi="Arial" w:cs="Arial"/>
        </w:rPr>
      </w:pPr>
      <w:r w:rsidRPr="00701D3C">
        <w:rPr>
          <w:rFonts w:ascii="Arial" w:hAnsi="Arial" w:cs="Arial"/>
        </w:rPr>
        <w:t>Increase Revenue Diversification: With a minor decline in overall revenue into FY2023, Apple has a mandate to continue the diversification of their product portfolio. Continued expansion into the high-margin areas such as Services and potentially adding other hardware categories (</w:t>
      </w:r>
      <w:r w:rsidR="00435A0B" w:rsidRPr="00701D3C">
        <w:rPr>
          <w:rFonts w:ascii="Arial" w:hAnsi="Arial" w:cs="Arial"/>
        </w:rPr>
        <w:t>i.e.</w:t>
      </w:r>
      <w:r w:rsidRPr="00701D3C">
        <w:rPr>
          <w:rFonts w:ascii="Arial" w:hAnsi="Arial" w:cs="Arial"/>
        </w:rPr>
        <w:t xml:space="preserve"> AR/VR or wearables) could reduce any season or product specific sales declines (Apple Inc., 2023).                                                   Maintain Operating Expense Discipline: Although margins are strong, it is still important to ensure strong management of operating expenses, particularly R&amp;D and SG&amp;A. Continued improvement of process and benefits of economies of scale could help to ensure keeping such high profit margins going forward and in a competitive environment (Brigham &amp; Ehrhardt, 2013).            </w:t>
      </w:r>
    </w:p>
    <w:p w14:paraId="2510FF37" w14:textId="77777777" w:rsidR="00435A0B" w:rsidRPr="00701D3C" w:rsidRDefault="0027763B" w:rsidP="00701D3C">
      <w:pPr>
        <w:pStyle w:val="ListParagraph"/>
        <w:numPr>
          <w:ilvl w:val="0"/>
          <w:numId w:val="3"/>
        </w:numPr>
        <w:spacing w:line="480" w:lineRule="auto"/>
        <w:rPr>
          <w:rFonts w:ascii="Arial" w:hAnsi="Arial" w:cs="Arial"/>
        </w:rPr>
      </w:pPr>
      <w:r w:rsidRPr="00701D3C">
        <w:rPr>
          <w:rFonts w:ascii="Arial" w:hAnsi="Arial" w:cs="Arial"/>
        </w:rPr>
        <w:t>Prudent Management of Capital: The improvement of D/E ratio is noteworthy and denotes a healthier balance sheet. Apple should continue this trend while being disciplined and only purchase shares at the right price and on a selective bases, while prepayment of debt or minimi</w:t>
      </w:r>
      <w:r w:rsidR="00435A0B" w:rsidRPr="00701D3C">
        <w:rPr>
          <w:rFonts w:ascii="Arial" w:hAnsi="Arial" w:cs="Arial"/>
        </w:rPr>
        <w:t>s</w:t>
      </w:r>
      <w:r w:rsidRPr="00701D3C">
        <w:rPr>
          <w:rFonts w:ascii="Arial" w:hAnsi="Arial" w:cs="Arial"/>
        </w:rPr>
        <w:t xml:space="preserve">ation of debt would be prudent given rising rates (Apple Inc., 2022).                                                              </w:t>
      </w:r>
    </w:p>
    <w:p w14:paraId="76854DE1" w14:textId="77777777" w:rsidR="00435A0B" w:rsidRPr="00701D3C" w:rsidRDefault="0027763B" w:rsidP="00701D3C">
      <w:pPr>
        <w:pStyle w:val="ListParagraph"/>
        <w:numPr>
          <w:ilvl w:val="0"/>
          <w:numId w:val="3"/>
        </w:numPr>
        <w:spacing w:line="480" w:lineRule="auto"/>
        <w:rPr>
          <w:rFonts w:ascii="Arial" w:hAnsi="Arial" w:cs="Arial"/>
        </w:rPr>
      </w:pPr>
      <w:r w:rsidRPr="00701D3C">
        <w:rPr>
          <w:rFonts w:ascii="Arial" w:hAnsi="Arial" w:cs="Arial"/>
        </w:rPr>
        <w:t xml:space="preserve">Enhance Supply Chain and Inventory Management: The slight decline in the inventory turnover would imply there is still room for improvement in demand </w:t>
      </w:r>
      <w:r w:rsidRPr="00701D3C">
        <w:rPr>
          <w:rFonts w:ascii="Arial" w:hAnsi="Arial" w:cs="Arial"/>
        </w:rPr>
        <w:lastRenderedPageBreak/>
        <w:t xml:space="preserve">forecasting and possibly production planning. An increase in data analytics capabilities could further manage excess inventory while still having product available (Gitman &amp; Zutter, 2012).        </w:t>
      </w:r>
    </w:p>
    <w:p w14:paraId="1D0E894C" w14:textId="77777777" w:rsidR="00435A0B" w:rsidRPr="00701D3C" w:rsidRDefault="0027763B" w:rsidP="00701D3C">
      <w:pPr>
        <w:pStyle w:val="ListParagraph"/>
        <w:numPr>
          <w:ilvl w:val="0"/>
          <w:numId w:val="3"/>
        </w:numPr>
        <w:spacing w:line="480" w:lineRule="auto"/>
        <w:rPr>
          <w:rFonts w:ascii="Arial" w:hAnsi="Arial" w:cs="Arial"/>
        </w:rPr>
      </w:pPr>
      <w:r w:rsidRPr="00701D3C">
        <w:rPr>
          <w:rFonts w:ascii="Arial" w:hAnsi="Arial" w:cs="Arial"/>
        </w:rPr>
        <w:t>Shift in Currency Exchange Exposure: Apple's top line revenue is influence by global currencies, however additional hedging strategies could provide layers of risk management to stabili</w:t>
      </w:r>
      <w:r w:rsidR="00435A0B" w:rsidRPr="00701D3C">
        <w:rPr>
          <w:rFonts w:ascii="Arial" w:hAnsi="Arial" w:cs="Arial"/>
        </w:rPr>
        <w:t>s</w:t>
      </w:r>
      <w:r w:rsidRPr="00701D3C">
        <w:rPr>
          <w:rFonts w:ascii="Arial" w:hAnsi="Arial" w:cs="Arial"/>
        </w:rPr>
        <w:t xml:space="preserve">e margin and reduce the volatility of reported earnings (Apple Inc., 2023).                                                </w:t>
      </w:r>
    </w:p>
    <w:p w14:paraId="4A2D79A1" w14:textId="77777777" w:rsidR="00435A0B" w:rsidRPr="00701D3C" w:rsidRDefault="0027763B" w:rsidP="00B92474">
      <w:pPr>
        <w:spacing w:line="480" w:lineRule="auto"/>
        <w:rPr>
          <w:rFonts w:ascii="Arial Black" w:hAnsi="Arial Black" w:cs="Arial"/>
          <w:u w:val="thick"/>
        </w:rPr>
      </w:pPr>
      <w:r w:rsidRPr="00701D3C">
        <w:rPr>
          <w:rFonts w:ascii="Arial Black" w:hAnsi="Arial Black" w:cs="Arial"/>
          <w:u w:val="thick"/>
        </w:rPr>
        <w:t xml:space="preserve">Conclusion      </w:t>
      </w:r>
    </w:p>
    <w:p w14:paraId="3B04C204" w14:textId="77777777" w:rsidR="005D3DC1" w:rsidRDefault="005D3DC1" w:rsidP="00B92474">
      <w:pPr>
        <w:spacing w:line="480" w:lineRule="auto"/>
        <w:rPr>
          <w:rFonts w:ascii="Arial" w:hAnsi="Arial" w:cs="Arial"/>
        </w:rPr>
      </w:pPr>
      <w:r w:rsidRPr="005D3DC1">
        <w:rPr>
          <w:rFonts w:ascii="Arial" w:hAnsi="Arial" w:cs="Arial"/>
        </w:rPr>
        <w:t xml:space="preserve">The ratio analysis of Apple Inc. compared fiscal 2022 with 2023 shows a strong firm capable of continuing strong profit and efficiency coupled with strong ability to support debt, which has been impacted by revenue reductions and higher interest expense. For FY2023, overall revenue executed modestly lower than previous fiscal year, which was due in part to the economic environment and fluctuations in currency rates, yet Apple successfully maintained a solid net profit margin level by shifting the sales mix to the high margin </w:t>
      </w:r>
      <w:r>
        <w:rPr>
          <w:rFonts w:ascii="Arial" w:hAnsi="Arial" w:cs="Arial"/>
        </w:rPr>
        <w:t>s</w:t>
      </w:r>
      <w:r w:rsidRPr="005D3DC1">
        <w:rPr>
          <w:rFonts w:ascii="Arial" w:hAnsi="Arial" w:cs="Arial"/>
        </w:rPr>
        <w:t>ervices business along with stringent cost discipline. This profitability measure is robust as it provided a stable year-over-year profit margin of roughly 25.3%, notwithstanding an uncertain economic environment.</w:t>
      </w:r>
    </w:p>
    <w:p w14:paraId="354DA8F1" w14:textId="77777777" w:rsidR="005D3DC1" w:rsidRDefault="005D3DC1" w:rsidP="00B92474">
      <w:pPr>
        <w:spacing w:line="480" w:lineRule="auto"/>
        <w:rPr>
          <w:rFonts w:ascii="Arial" w:hAnsi="Arial" w:cs="Arial"/>
        </w:rPr>
      </w:pPr>
      <w:r w:rsidRPr="005D3DC1">
        <w:rPr>
          <w:rFonts w:ascii="Arial" w:hAnsi="Arial" w:cs="Arial"/>
        </w:rPr>
        <w:t xml:space="preserve">In terms of liquidity, the liquidity indicators increased in FY2023 as the current ratio increased and the quick ratio increased as compared to FY2022 signifying a better short-term asset and liability relationship and current asset sustainability based on an increase in current assets along with a decrease in specific current liabilities that signify proactive and efficient working capital management. Meanwhile, the overall decreasing debt to equity (D/E) ratio shows an Apple is pursuing a more </w:t>
      </w:r>
      <w:r w:rsidRPr="005D3DC1">
        <w:rPr>
          <w:rFonts w:ascii="Arial" w:hAnsi="Arial" w:cs="Arial"/>
        </w:rPr>
        <w:lastRenderedPageBreak/>
        <w:t>conservative capital structure to provide less overall financial risk and improve long-term financial stability.</w:t>
      </w:r>
    </w:p>
    <w:p w14:paraId="0D15DCC8" w14:textId="44FE2E9E" w:rsidR="0027763B" w:rsidRDefault="005D3DC1" w:rsidP="00B92474">
      <w:pPr>
        <w:spacing w:line="480" w:lineRule="auto"/>
        <w:rPr>
          <w:rFonts w:ascii="Arial" w:hAnsi="Arial" w:cs="Arial"/>
        </w:rPr>
      </w:pPr>
      <w:r w:rsidRPr="005D3DC1">
        <w:rPr>
          <w:rFonts w:ascii="Arial" w:hAnsi="Arial" w:cs="Arial"/>
        </w:rPr>
        <w:t xml:space="preserve">Although asset turnover (A/T) and the return on equity (ROE) exhibited modest reductions, these variations are more reflective of changes in capital management concepts more than operational inefficiencies, as management has made conscious decision to increase equity to the basis of any additional financing then </w:t>
      </w:r>
      <w:r w:rsidRPr="005D3DC1">
        <w:rPr>
          <w:rFonts w:ascii="Arial" w:hAnsi="Arial" w:cs="Arial"/>
        </w:rPr>
        <w:t>debt-based</w:t>
      </w:r>
      <w:r w:rsidRPr="005D3DC1">
        <w:rPr>
          <w:rFonts w:ascii="Arial" w:hAnsi="Arial" w:cs="Arial"/>
        </w:rPr>
        <w:t xml:space="preserve"> financing. Overall, Apple's performance remains consistent and these findings from ratio comparisons provide valuable insight into the capital management of financial information surrounding the company, followed by the balance of operation and capital management to provide sustainable environmental growth.</w:t>
      </w:r>
    </w:p>
    <w:p w14:paraId="6614C80E" w14:textId="77777777" w:rsidR="005D3DC1" w:rsidRDefault="005D3DC1" w:rsidP="00B92474">
      <w:pPr>
        <w:spacing w:line="480" w:lineRule="auto"/>
        <w:rPr>
          <w:rFonts w:ascii="Arial" w:hAnsi="Arial" w:cs="Arial"/>
        </w:rPr>
      </w:pPr>
    </w:p>
    <w:p w14:paraId="61E73534" w14:textId="77777777" w:rsidR="005D3DC1" w:rsidRDefault="005D3DC1" w:rsidP="00B92474">
      <w:pPr>
        <w:spacing w:line="480" w:lineRule="auto"/>
        <w:rPr>
          <w:rFonts w:ascii="Arial" w:hAnsi="Arial" w:cs="Arial"/>
        </w:rPr>
      </w:pPr>
    </w:p>
    <w:p w14:paraId="1D95E983" w14:textId="77777777" w:rsidR="005D3DC1" w:rsidRDefault="005D3DC1" w:rsidP="00B92474">
      <w:pPr>
        <w:spacing w:line="480" w:lineRule="auto"/>
        <w:rPr>
          <w:rFonts w:ascii="Arial" w:hAnsi="Arial" w:cs="Arial"/>
        </w:rPr>
      </w:pPr>
    </w:p>
    <w:p w14:paraId="05697EB5" w14:textId="77777777" w:rsidR="005D3DC1" w:rsidRDefault="005D3DC1" w:rsidP="00B92474">
      <w:pPr>
        <w:spacing w:line="480" w:lineRule="auto"/>
        <w:rPr>
          <w:rFonts w:ascii="Arial" w:hAnsi="Arial" w:cs="Arial"/>
        </w:rPr>
      </w:pPr>
    </w:p>
    <w:p w14:paraId="06B072FD" w14:textId="77777777" w:rsidR="005D3DC1" w:rsidRDefault="005D3DC1" w:rsidP="00B92474">
      <w:pPr>
        <w:spacing w:line="480" w:lineRule="auto"/>
        <w:rPr>
          <w:rFonts w:ascii="Arial" w:hAnsi="Arial" w:cs="Arial"/>
        </w:rPr>
      </w:pPr>
    </w:p>
    <w:p w14:paraId="11104332" w14:textId="77777777" w:rsidR="005D3DC1" w:rsidRDefault="005D3DC1" w:rsidP="00B92474">
      <w:pPr>
        <w:spacing w:line="480" w:lineRule="auto"/>
        <w:rPr>
          <w:rFonts w:ascii="Arial" w:hAnsi="Arial" w:cs="Arial"/>
        </w:rPr>
      </w:pPr>
    </w:p>
    <w:p w14:paraId="537B9E94" w14:textId="77777777" w:rsidR="005D3DC1" w:rsidRDefault="005D3DC1" w:rsidP="00B92474">
      <w:pPr>
        <w:spacing w:line="480" w:lineRule="auto"/>
        <w:rPr>
          <w:rFonts w:ascii="Arial" w:hAnsi="Arial" w:cs="Arial"/>
        </w:rPr>
      </w:pPr>
    </w:p>
    <w:p w14:paraId="5DD00BA2" w14:textId="77777777" w:rsidR="005D3DC1" w:rsidRDefault="005D3DC1" w:rsidP="00B92474">
      <w:pPr>
        <w:spacing w:line="480" w:lineRule="auto"/>
        <w:rPr>
          <w:rFonts w:ascii="Arial" w:hAnsi="Arial" w:cs="Arial"/>
        </w:rPr>
      </w:pPr>
    </w:p>
    <w:p w14:paraId="6F79DF5E" w14:textId="77777777" w:rsidR="005D3DC1" w:rsidRDefault="005D3DC1" w:rsidP="00B92474">
      <w:pPr>
        <w:spacing w:line="480" w:lineRule="auto"/>
        <w:rPr>
          <w:rFonts w:ascii="Arial" w:hAnsi="Arial" w:cs="Arial"/>
        </w:rPr>
      </w:pPr>
    </w:p>
    <w:p w14:paraId="58777B3D" w14:textId="77777777" w:rsidR="005D3DC1" w:rsidRDefault="005D3DC1" w:rsidP="00B92474">
      <w:pPr>
        <w:spacing w:line="480" w:lineRule="auto"/>
        <w:rPr>
          <w:rFonts w:ascii="Arial" w:hAnsi="Arial" w:cs="Arial"/>
        </w:rPr>
      </w:pPr>
    </w:p>
    <w:p w14:paraId="1756CEB7" w14:textId="77777777" w:rsidR="00701D3C" w:rsidRDefault="00701D3C" w:rsidP="00B92474">
      <w:pPr>
        <w:spacing w:line="480" w:lineRule="auto"/>
        <w:rPr>
          <w:rFonts w:ascii="Arial" w:hAnsi="Arial" w:cs="Arial"/>
        </w:rPr>
      </w:pPr>
    </w:p>
    <w:p w14:paraId="1A40D4F3" w14:textId="4480AC17" w:rsidR="005D3DC1" w:rsidRPr="00335D22" w:rsidRDefault="005D3DC1" w:rsidP="00B92474">
      <w:pPr>
        <w:spacing w:line="480" w:lineRule="auto"/>
        <w:rPr>
          <w:rFonts w:ascii="Arial Black" w:hAnsi="Arial Black" w:cs="Arial"/>
          <w:u w:val="thick"/>
        </w:rPr>
      </w:pPr>
      <w:r w:rsidRPr="00335D22">
        <w:rPr>
          <w:rFonts w:ascii="Arial Black" w:hAnsi="Arial Black" w:cs="Arial"/>
          <w:u w:val="thick"/>
        </w:rPr>
        <w:lastRenderedPageBreak/>
        <w:t xml:space="preserve">References </w:t>
      </w:r>
    </w:p>
    <w:p w14:paraId="317716A3" w14:textId="2B2553BD" w:rsidR="005D3DC1" w:rsidRDefault="005D3DC1" w:rsidP="005D3DC1">
      <w:pPr>
        <w:spacing w:line="480" w:lineRule="auto"/>
        <w:rPr>
          <w:rFonts w:ascii="Arial" w:hAnsi="Arial" w:cs="Arial"/>
        </w:rPr>
      </w:pPr>
      <w:r w:rsidRPr="005D3DC1">
        <w:rPr>
          <w:rFonts w:ascii="Arial" w:hAnsi="Arial" w:cs="Arial"/>
        </w:rPr>
        <w:t xml:space="preserve">Apple Inc. (2022). </w:t>
      </w:r>
      <w:r w:rsidRPr="005D3DC1">
        <w:rPr>
          <w:rFonts w:ascii="Arial" w:hAnsi="Arial" w:cs="Arial"/>
          <w:i/>
          <w:iCs/>
        </w:rPr>
        <w:t>Form 10-K for the fiscal year ended September 24, 2022. U.S. Securities and Exchange Commission</w:t>
      </w:r>
      <w:r w:rsidRPr="005D3DC1">
        <w:rPr>
          <w:rFonts w:ascii="Arial" w:hAnsi="Arial" w:cs="Arial"/>
        </w:rPr>
        <w:t xml:space="preserve">. Retrieved from </w:t>
      </w:r>
      <w:hyperlink r:id="rId8" w:history="1">
        <w:r w:rsidRPr="00932F96">
          <w:rPr>
            <w:rStyle w:val="Hyperlink"/>
            <w:rFonts w:ascii="Arial" w:hAnsi="Arial" w:cs="Arial"/>
          </w:rPr>
          <w:t>https://www.sec.gov/Archives/edgar/data/320193/000032019322000108/a10-k2022.htm</w:t>
        </w:r>
      </w:hyperlink>
    </w:p>
    <w:p w14:paraId="1CA90F73" w14:textId="092AAD9D" w:rsidR="005D3DC1" w:rsidRDefault="005D3DC1" w:rsidP="005D3DC1">
      <w:pPr>
        <w:spacing w:line="480" w:lineRule="auto"/>
        <w:rPr>
          <w:rFonts w:ascii="Arial" w:hAnsi="Arial" w:cs="Arial"/>
        </w:rPr>
      </w:pPr>
      <w:r w:rsidRPr="005D3DC1">
        <w:rPr>
          <w:rFonts w:ascii="Arial" w:hAnsi="Arial" w:cs="Arial"/>
        </w:rPr>
        <w:t xml:space="preserve">Apple Inc. (2023). </w:t>
      </w:r>
      <w:r w:rsidRPr="005D3DC1">
        <w:rPr>
          <w:rFonts w:ascii="Arial" w:hAnsi="Arial" w:cs="Arial"/>
          <w:i/>
          <w:iCs/>
        </w:rPr>
        <w:t>Form 10-K for the fiscal year ended September 30, 2023. U.S. Securities and Exchange Commission.</w:t>
      </w:r>
      <w:r w:rsidRPr="005D3DC1">
        <w:rPr>
          <w:rFonts w:ascii="Arial" w:hAnsi="Arial" w:cs="Arial"/>
        </w:rPr>
        <w:t xml:space="preserve"> Retrieved from </w:t>
      </w:r>
      <w:hyperlink r:id="rId9" w:history="1">
        <w:r w:rsidRPr="00932F96">
          <w:rPr>
            <w:rStyle w:val="Hyperlink"/>
            <w:rFonts w:ascii="Arial" w:hAnsi="Arial" w:cs="Arial"/>
          </w:rPr>
          <w:t>https://www.sec.gov/Archives/edgar/data/320193/000032019323000XXX/a10-k2023.htm</w:t>
        </w:r>
      </w:hyperlink>
    </w:p>
    <w:p w14:paraId="5894F9D8" w14:textId="77777777" w:rsidR="005D3DC1" w:rsidRDefault="005D3DC1" w:rsidP="005D3DC1">
      <w:pPr>
        <w:spacing w:line="480" w:lineRule="auto"/>
        <w:rPr>
          <w:rFonts w:ascii="Arial" w:hAnsi="Arial" w:cs="Arial"/>
        </w:rPr>
      </w:pPr>
      <w:r w:rsidRPr="005D3DC1">
        <w:rPr>
          <w:rFonts w:ascii="Arial" w:hAnsi="Arial" w:cs="Arial"/>
        </w:rPr>
        <w:t xml:space="preserve">Brigham, E. F., &amp; Ehrhardt, M. C. (2013). </w:t>
      </w:r>
      <w:r w:rsidRPr="005D3DC1">
        <w:rPr>
          <w:rFonts w:ascii="Arial" w:hAnsi="Arial" w:cs="Arial"/>
          <w:i/>
          <w:iCs/>
        </w:rPr>
        <w:t>Financial management: Theory &amp; practice</w:t>
      </w:r>
      <w:r w:rsidRPr="005D3DC1">
        <w:rPr>
          <w:rFonts w:ascii="Arial" w:hAnsi="Arial" w:cs="Arial"/>
        </w:rPr>
        <w:t xml:space="preserve"> (14th ed.). Cengage Learning.</w:t>
      </w:r>
    </w:p>
    <w:p w14:paraId="312A2B36" w14:textId="77777777" w:rsidR="00335D22" w:rsidRPr="00335D22" w:rsidRDefault="00335D22" w:rsidP="00335D22">
      <w:pPr>
        <w:spacing w:line="480" w:lineRule="auto"/>
        <w:rPr>
          <w:rFonts w:ascii="Arial" w:hAnsi="Arial" w:cs="Arial"/>
        </w:rPr>
      </w:pPr>
      <w:r w:rsidRPr="00335D22">
        <w:rPr>
          <w:rFonts w:ascii="Arial" w:hAnsi="Arial" w:cs="Arial"/>
        </w:rPr>
        <w:t xml:space="preserve">Gitman, L. J., &amp; Zutter, C. J. (2012). </w:t>
      </w:r>
      <w:r w:rsidRPr="00335D22">
        <w:rPr>
          <w:rFonts w:ascii="Arial" w:hAnsi="Arial" w:cs="Arial"/>
          <w:i/>
          <w:iCs/>
        </w:rPr>
        <w:t>Principles of managerial finance</w:t>
      </w:r>
      <w:r w:rsidRPr="00335D22">
        <w:rPr>
          <w:rFonts w:ascii="Arial" w:hAnsi="Arial" w:cs="Arial"/>
        </w:rPr>
        <w:t xml:space="preserve"> (13th ed.). Pearson.</w:t>
      </w:r>
    </w:p>
    <w:p w14:paraId="6067FE04" w14:textId="39C88BFF" w:rsidR="00335D22" w:rsidRDefault="00335D22" w:rsidP="00335D22">
      <w:pPr>
        <w:spacing w:line="480" w:lineRule="auto"/>
        <w:rPr>
          <w:rFonts w:ascii="Arial" w:hAnsi="Arial" w:cs="Arial"/>
        </w:rPr>
      </w:pPr>
      <w:r w:rsidRPr="00335D22">
        <w:rPr>
          <w:rFonts w:ascii="Arial" w:hAnsi="Arial" w:cs="Arial"/>
        </w:rPr>
        <w:t xml:space="preserve">Horngren, C. T., Datar, S. M., &amp; Rajan, M. (2013). </w:t>
      </w:r>
      <w:r w:rsidRPr="00335D22">
        <w:rPr>
          <w:rFonts w:ascii="Arial" w:hAnsi="Arial" w:cs="Arial"/>
          <w:i/>
          <w:iCs/>
        </w:rPr>
        <w:t>Cost accounting: A managerial emphasis</w:t>
      </w:r>
      <w:r w:rsidRPr="00335D22">
        <w:rPr>
          <w:rFonts w:ascii="Arial" w:hAnsi="Arial" w:cs="Arial"/>
        </w:rPr>
        <w:t xml:space="preserve"> (15th ed.). Pearson.</w:t>
      </w:r>
    </w:p>
    <w:p w14:paraId="6BCFA02C" w14:textId="77777777" w:rsidR="00335D22" w:rsidRDefault="00335D22" w:rsidP="00335D22">
      <w:pPr>
        <w:spacing w:line="480" w:lineRule="auto"/>
        <w:rPr>
          <w:rFonts w:ascii="Arial" w:hAnsi="Arial" w:cs="Arial"/>
        </w:rPr>
      </w:pPr>
      <w:r w:rsidRPr="00335D22">
        <w:rPr>
          <w:rFonts w:ascii="Arial" w:hAnsi="Arial" w:cs="Arial"/>
        </w:rPr>
        <w:t>Higgins, R. C. (2012). Analysis for financial management (10th ed.). McGraw-Hill.</w:t>
      </w:r>
    </w:p>
    <w:p w14:paraId="262BD855" w14:textId="0F27DF8C" w:rsidR="00335D22" w:rsidRDefault="00335D22" w:rsidP="00335D22">
      <w:pPr>
        <w:spacing w:line="480" w:lineRule="auto"/>
        <w:rPr>
          <w:rFonts w:ascii="Arial" w:hAnsi="Arial" w:cs="Arial"/>
        </w:rPr>
      </w:pPr>
      <w:r w:rsidRPr="00335D22">
        <w:rPr>
          <w:rFonts w:ascii="Arial" w:hAnsi="Arial" w:cs="Arial"/>
        </w:rPr>
        <w:t xml:space="preserve">Kumar, S., Teichman, S., &amp; </w:t>
      </w:r>
      <w:proofErr w:type="spellStart"/>
      <w:r w:rsidRPr="00335D22">
        <w:rPr>
          <w:rFonts w:ascii="Arial" w:hAnsi="Arial" w:cs="Arial"/>
        </w:rPr>
        <w:t>Timpernagel</w:t>
      </w:r>
      <w:proofErr w:type="spellEnd"/>
      <w:r w:rsidRPr="00335D22">
        <w:rPr>
          <w:rFonts w:ascii="Arial" w:hAnsi="Arial" w:cs="Arial"/>
        </w:rPr>
        <w:t xml:space="preserve">, T. (2012). A green supply chain is a requirement for profitability. </w:t>
      </w:r>
      <w:r w:rsidRPr="00335D22">
        <w:rPr>
          <w:rFonts w:ascii="Arial" w:hAnsi="Arial" w:cs="Arial"/>
          <w:i/>
          <w:iCs/>
        </w:rPr>
        <w:t>International Journal of Production Research, 50</w:t>
      </w:r>
      <w:r w:rsidRPr="00335D22">
        <w:rPr>
          <w:rFonts w:ascii="Arial" w:hAnsi="Arial" w:cs="Arial"/>
        </w:rPr>
        <w:t>(5), 1278-1296.</w:t>
      </w:r>
    </w:p>
    <w:p w14:paraId="326F44E9" w14:textId="41C54BB1" w:rsidR="00335D22" w:rsidRPr="00335D22" w:rsidRDefault="00335D22" w:rsidP="00335D22">
      <w:pPr>
        <w:spacing w:line="480" w:lineRule="auto"/>
        <w:rPr>
          <w:rFonts w:ascii="Arial" w:hAnsi="Arial" w:cs="Arial"/>
        </w:rPr>
      </w:pPr>
      <w:r w:rsidRPr="00335D22">
        <w:rPr>
          <w:rFonts w:ascii="Arial" w:hAnsi="Arial" w:cs="Arial"/>
        </w:rPr>
        <w:t xml:space="preserve">Li, H. (2016). </w:t>
      </w:r>
      <w:r w:rsidRPr="00335D22">
        <w:rPr>
          <w:rFonts w:ascii="Arial" w:hAnsi="Arial" w:cs="Arial"/>
          <w:i/>
          <w:iCs/>
        </w:rPr>
        <w:t>Profitability Assessment of Apple Company</w:t>
      </w:r>
      <w:r w:rsidRPr="00335D22">
        <w:rPr>
          <w:rFonts w:ascii="Arial" w:hAnsi="Arial" w:cs="Arial"/>
        </w:rPr>
        <w:t>.</w:t>
      </w:r>
    </w:p>
    <w:p w14:paraId="27CD27DC" w14:textId="77777777" w:rsidR="00335D22" w:rsidRPr="00335D22" w:rsidRDefault="00335D22" w:rsidP="00335D22">
      <w:pPr>
        <w:spacing w:line="480" w:lineRule="auto"/>
        <w:rPr>
          <w:rFonts w:ascii="Arial" w:hAnsi="Arial" w:cs="Arial"/>
        </w:rPr>
      </w:pPr>
      <w:r w:rsidRPr="00335D22">
        <w:rPr>
          <w:rFonts w:ascii="Arial" w:hAnsi="Arial" w:cs="Arial"/>
        </w:rPr>
        <w:t xml:space="preserve">Ohlson, J. A. (1995). Earnings, book values, and dividends in equity valuation. </w:t>
      </w:r>
      <w:r w:rsidRPr="00335D22">
        <w:rPr>
          <w:rFonts w:ascii="Arial" w:hAnsi="Arial" w:cs="Arial"/>
          <w:i/>
          <w:iCs/>
        </w:rPr>
        <w:t>Contemporary Accounting Research, 11</w:t>
      </w:r>
      <w:r w:rsidRPr="00335D22">
        <w:rPr>
          <w:rFonts w:ascii="Arial" w:hAnsi="Arial" w:cs="Arial"/>
        </w:rPr>
        <w:t>(2), 661–688.</w:t>
      </w:r>
    </w:p>
    <w:p w14:paraId="14F60A8F" w14:textId="77777777" w:rsidR="00335D22" w:rsidRDefault="00335D22" w:rsidP="00335D22">
      <w:pPr>
        <w:spacing w:line="480" w:lineRule="auto"/>
        <w:rPr>
          <w:rFonts w:ascii="Arial" w:hAnsi="Arial" w:cs="Arial"/>
        </w:rPr>
      </w:pPr>
      <w:r w:rsidRPr="00335D22">
        <w:rPr>
          <w:rFonts w:ascii="Arial" w:hAnsi="Arial" w:cs="Arial"/>
        </w:rPr>
        <w:lastRenderedPageBreak/>
        <w:t xml:space="preserve">Subramanyam, K. R., &amp; Wild, J. J. (2013). </w:t>
      </w:r>
      <w:r w:rsidRPr="00335D22">
        <w:rPr>
          <w:rFonts w:ascii="Arial" w:hAnsi="Arial" w:cs="Arial"/>
          <w:i/>
          <w:iCs/>
        </w:rPr>
        <w:t>Financial statement analysis</w:t>
      </w:r>
      <w:r w:rsidRPr="00335D22">
        <w:rPr>
          <w:rFonts w:ascii="Arial" w:hAnsi="Arial" w:cs="Arial"/>
        </w:rPr>
        <w:t xml:space="preserve"> (11th ed.). McGraw-Hill.</w:t>
      </w:r>
    </w:p>
    <w:p w14:paraId="14008192" w14:textId="46D7FB50" w:rsidR="00335D22" w:rsidRPr="00335D22" w:rsidRDefault="00335D22" w:rsidP="00335D22">
      <w:pPr>
        <w:spacing w:line="480" w:lineRule="auto"/>
        <w:rPr>
          <w:rFonts w:ascii="Arial" w:hAnsi="Arial" w:cs="Arial"/>
        </w:rPr>
      </w:pPr>
      <w:r w:rsidRPr="00335D22">
        <w:rPr>
          <w:rFonts w:ascii="Arial" w:hAnsi="Arial" w:cs="Arial"/>
        </w:rPr>
        <w:t xml:space="preserve">Simic, N., &amp; Jovicic, T. (2023). </w:t>
      </w:r>
      <w:r w:rsidRPr="00335D22">
        <w:rPr>
          <w:rFonts w:ascii="Arial" w:hAnsi="Arial" w:cs="Arial"/>
          <w:i/>
          <w:iCs/>
        </w:rPr>
        <w:t>Fundamental analysis of the Apple Company.</w:t>
      </w:r>
      <w:r w:rsidRPr="00335D22">
        <w:rPr>
          <w:rFonts w:ascii="Arial" w:hAnsi="Arial" w:cs="Arial"/>
        </w:rPr>
        <w:t xml:space="preserve"> Economic and Social Development: Book of Proceedings, 97-106.</w:t>
      </w:r>
    </w:p>
    <w:p w14:paraId="1BA4F3FC" w14:textId="77777777" w:rsidR="00335D22" w:rsidRDefault="00335D22" w:rsidP="00335D22">
      <w:pPr>
        <w:spacing w:line="480" w:lineRule="auto"/>
        <w:rPr>
          <w:rFonts w:ascii="Arial" w:hAnsi="Arial" w:cs="Arial"/>
        </w:rPr>
      </w:pPr>
      <w:r w:rsidRPr="00335D22">
        <w:rPr>
          <w:rFonts w:ascii="Arial" w:hAnsi="Arial" w:cs="Arial"/>
        </w:rPr>
        <w:t xml:space="preserve">Tennent, J. (2008). </w:t>
      </w:r>
      <w:r w:rsidRPr="00335D22">
        <w:rPr>
          <w:rFonts w:ascii="Arial" w:hAnsi="Arial" w:cs="Arial"/>
          <w:i/>
          <w:iCs/>
        </w:rPr>
        <w:t>Guide to financial management</w:t>
      </w:r>
      <w:r w:rsidRPr="00335D22">
        <w:rPr>
          <w:rFonts w:ascii="Arial" w:hAnsi="Arial" w:cs="Arial"/>
        </w:rPr>
        <w:t xml:space="preserve"> (The Economist) (1st ed.). Profile Books.</w:t>
      </w:r>
    </w:p>
    <w:p w14:paraId="2BA272DB" w14:textId="242CF9D4" w:rsidR="00335D22" w:rsidRDefault="00335D22" w:rsidP="00335D22">
      <w:pPr>
        <w:spacing w:line="480" w:lineRule="auto"/>
        <w:rPr>
          <w:rFonts w:ascii="Arial" w:hAnsi="Arial" w:cs="Arial"/>
        </w:rPr>
      </w:pPr>
      <w:r w:rsidRPr="00335D22">
        <w:rPr>
          <w:rFonts w:ascii="Arial" w:hAnsi="Arial" w:cs="Arial"/>
        </w:rPr>
        <w:t xml:space="preserve">Tsai, P. H., &amp; Chang, S. C. (2013). Comparing the Apple iPad and non-Apple camp tablet PCs: a multicriteria decision analysis. </w:t>
      </w:r>
      <w:r w:rsidRPr="00335D22">
        <w:rPr>
          <w:rFonts w:ascii="Arial" w:hAnsi="Arial" w:cs="Arial"/>
          <w:i/>
          <w:iCs/>
        </w:rPr>
        <w:t>Technological and Economic Development of Economy, 19</w:t>
      </w:r>
      <w:r w:rsidRPr="00335D22">
        <w:rPr>
          <w:rFonts w:ascii="Arial" w:hAnsi="Arial" w:cs="Arial"/>
        </w:rPr>
        <w:t>(sup1), S256-S284.</w:t>
      </w:r>
    </w:p>
    <w:p w14:paraId="7A0D7568" w14:textId="26436E13" w:rsidR="00335D22" w:rsidRPr="00335D22" w:rsidRDefault="00335D22" w:rsidP="00335D22">
      <w:pPr>
        <w:spacing w:line="480" w:lineRule="auto"/>
        <w:rPr>
          <w:rFonts w:ascii="Arial" w:hAnsi="Arial" w:cs="Arial"/>
        </w:rPr>
      </w:pPr>
      <w:r w:rsidRPr="00335D22">
        <w:rPr>
          <w:rFonts w:ascii="Arial" w:hAnsi="Arial" w:cs="Arial"/>
        </w:rPr>
        <w:t xml:space="preserve">Vahedi, N., </w:t>
      </w:r>
      <w:proofErr w:type="spellStart"/>
      <w:r w:rsidRPr="00335D22">
        <w:rPr>
          <w:rFonts w:ascii="Arial" w:hAnsi="Arial" w:cs="Arial"/>
        </w:rPr>
        <w:t>Farinloye</w:t>
      </w:r>
      <w:proofErr w:type="spellEnd"/>
      <w:r w:rsidRPr="00335D22">
        <w:rPr>
          <w:rFonts w:ascii="Arial" w:hAnsi="Arial" w:cs="Arial"/>
        </w:rPr>
        <w:t xml:space="preserve">, K., Khan, S., &amp; Kumar, R. (2025). </w:t>
      </w:r>
      <w:r w:rsidRPr="00335D22">
        <w:rPr>
          <w:rFonts w:ascii="Arial" w:hAnsi="Arial" w:cs="Arial"/>
          <w:i/>
          <w:iCs/>
        </w:rPr>
        <w:t>Relationship between environmentally sustainable project management and financial profitability ratios.</w:t>
      </w:r>
    </w:p>
    <w:p w14:paraId="422AA709" w14:textId="77777777" w:rsidR="00335D22" w:rsidRPr="00335D22" w:rsidRDefault="00335D22" w:rsidP="00335D22">
      <w:pPr>
        <w:spacing w:line="480" w:lineRule="auto"/>
        <w:rPr>
          <w:rFonts w:ascii="Arial" w:hAnsi="Arial" w:cs="Arial"/>
        </w:rPr>
      </w:pPr>
      <w:r w:rsidRPr="00335D22">
        <w:rPr>
          <w:rFonts w:ascii="Arial" w:hAnsi="Arial" w:cs="Arial"/>
        </w:rPr>
        <w:t xml:space="preserve">Walls, J. L., Berrone, P., &amp; Phan, P. H. (2012). Corporate governance and environmental performance: Is there really a link? </w:t>
      </w:r>
      <w:r w:rsidRPr="00335D22">
        <w:rPr>
          <w:rFonts w:ascii="Arial" w:hAnsi="Arial" w:cs="Arial"/>
          <w:i/>
          <w:iCs/>
        </w:rPr>
        <w:t>Strategic Management Journal, 33</w:t>
      </w:r>
      <w:r w:rsidRPr="00335D22">
        <w:rPr>
          <w:rFonts w:ascii="Arial" w:hAnsi="Arial" w:cs="Arial"/>
        </w:rPr>
        <w:t>(8), 885–913.</w:t>
      </w:r>
    </w:p>
    <w:p w14:paraId="125D6353" w14:textId="77777777" w:rsidR="00335D22" w:rsidRPr="00335D22" w:rsidRDefault="00335D22" w:rsidP="00335D22">
      <w:pPr>
        <w:spacing w:line="480" w:lineRule="auto"/>
        <w:rPr>
          <w:rFonts w:ascii="Arial" w:hAnsi="Arial" w:cs="Arial"/>
        </w:rPr>
      </w:pPr>
      <w:r w:rsidRPr="00335D22">
        <w:rPr>
          <w:rFonts w:ascii="Arial" w:hAnsi="Arial" w:cs="Arial"/>
        </w:rPr>
        <w:t xml:space="preserve">Wahlen, J. M., Baginski, S. P., &amp; Bradshaw, M. T. (2010). </w:t>
      </w:r>
      <w:r w:rsidRPr="00335D22">
        <w:rPr>
          <w:rFonts w:ascii="Arial" w:hAnsi="Arial" w:cs="Arial"/>
          <w:i/>
          <w:iCs/>
        </w:rPr>
        <w:t>Financial reporting, financial statement analysis and valuation: A strategic perspective</w:t>
      </w:r>
      <w:r w:rsidRPr="00335D22">
        <w:rPr>
          <w:rFonts w:ascii="Arial" w:hAnsi="Arial" w:cs="Arial"/>
        </w:rPr>
        <w:t xml:space="preserve"> (7th ed.). South-Western.</w:t>
      </w:r>
    </w:p>
    <w:p w14:paraId="790014D6" w14:textId="69C29A12" w:rsidR="00335D22" w:rsidRDefault="00335D22" w:rsidP="00335D22">
      <w:pPr>
        <w:spacing w:line="480" w:lineRule="auto"/>
        <w:rPr>
          <w:rFonts w:ascii="Arial" w:hAnsi="Arial" w:cs="Arial"/>
        </w:rPr>
      </w:pPr>
      <w:r w:rsidRPr="00335D22">
        <w:rPr>
          <w:rFonts w:ascii="Arial" w:hAnsi="Arial" w:cs="Arial"/>
        </w:rPr>
        <w:t xml:space="preserve">Weetman, P. (2016). </w:t>
      </w:r>
      <w:r w:rsidRPr="00335D22">
        <w:rPr>
          <w:rFonts w:ascii="Arial" w:hAnsi="Arial" w:cs="Arial"/>
          <w:i/>
          <w:iCs/>
        </w:rPr>
        <w:t>Financial accounting: An introduction</w:t>
      </w:r>
      <w:r w:rsidRPr="00335D22">
        <w:rPr>
          <w:rFonts w:ascii="Arial" w:hAnsi="Arial" w:cs="Arial"/>
        </w:rPr>
        <w:t xml:space="preserve"> (7th ed.). Pearson.</w:t>
      </w:r>
    </w:p>
    <w:p w14:paraId="71556E51" w14:textId="1DFA71EC" w:rsidR="005D3DC1" w:rsidRPr="00B92474" w:rsidRDefault="005D3DC1" w:rsidP="005D3DC1">
      <w:pPr>
        <w:spacing w:line="480" w:lineRule="auto"/>
        <w:rPr>
          <w:rFonts w:ascii="Arial" w:hAnsi="Arial" w:cs="Arial"/>
        </w:rPr>
      </w:pPr>
    </w:p>
    <w:sectPr w:rsidR="005D3DC1" w:rsidRPr="00B92474" w:rsidSect="00701D3C">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8101C" w14:textId="77777777" w:rsidR="00A74175" w:rsidRDefault="00A74175" w:rsidP="00335D22">
      <w:pPr>
        <w:spacing w:after="0" w:line="240" w:lineRule="auto"/>
      </w:pPr>
      <w:r>
        <w:separator/>
      </w:r>
    </w:p>
  </w:endnote>
  <w:endnote w:type="continuationSeparator" w:id="0">
    <w:p w14:paraId="240ADE12" w14:textId="77777777" w:rsidR="00A74175" w:rsidRDefault="00A74175" w:rsidP="00335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6195522"/>
      <w:docPartObj>
        <w:docPartGallery w:val="Page Numbers (Bottom of Page)"/>
        <w:docPartUnique/>
      </w:docPartObj>
    </w:sdtPr>
    <w:sdtEndPr>
      <w:rPr>
        <w:color w:val="7F7F7F" w:themeColor="background1" w:themeShade="7F"/>
        <w:spacing w:val="60"/>
      </w:rPr>
    </w:sdtEndPr>
    <w:sdtContent>
      <w:p w14:paraId="554B6FBF" w14:textId="5B74F20F" w:rsidR="00335D22" w:rsidRDefault="00335D2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2152588" w14:textId="77777777" w:rsidR="00335D22" w:rsidRDefault="00335D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6131B" w14:textId="77777777" w:rsidR="00A74175" w:rsidRDefault="00A74175" w:rsidP="00335D22">
      <w:pPr>
        <w:spacing w:after="0" w:line="240" w:lineRule="auto"/>
      </w:pPr>
      <w:r>
        <w:separator/>
      </w:r>
    </w:p>
  </w:footnote>
  <w:footnote w:type="continuationSeparator" w:id="0">
    <w:p w14:paraId="5F7D8A9D" w14:textId="77777777" w:rsidR="00A74175" w:rsidRDefault="00A74175" w:rsidP="00335D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B4401F"/>
    <w:multiLevelType w:val="hybridMultilevel"/>
    <w:tmpl w:val="A852EB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472AB4"/>
    <w:multiLevelType w:val="hybridMultilevel"/>
    <w:tmpl w:val="F6DAC1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CA6F9A"/>
    <w:multiLevelType w:val="hybridMultilevel"/>
    <w:tmpl w:val="77580C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16787">
    <w:abstractNumId w:val="0"/>
  </w:num>
  <w:num w:numId="2" w16cid:durableId="676881790">
    <w:abstractNumId w:val="2"/>
  </w:num>
  <w:num w:numId="3" w16cid:durableId="18091251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63B"/>
    <w:rsid w:val="0027763B"/>
    <w:rsid w:val="00335D22"/>
    <w:rsid w:val="00435A0B"/>
    <w:rsid w:val="005D3DC1"/>
    <w:rsid w:val="00701D3C"/>
    <w:rsid w:val="00734EC2"/>
    <w:rsid w:val="00A74175"/>
    <w:rsid w:val="00B92474"/>
    <w:rsid w:val="00FA1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E5AB4"/>
  <w15:chartTrackingRefBased/>
  <w15:docId w15:val="{95C33664-A489-48CD-BA83-4DA516159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76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76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76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76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76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76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76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76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76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6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76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76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76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76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76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76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76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763B"/>
    <w:rPr>
      <w:rFonts w:eastAsiaTheme="majorEastAsia" w:cstheme="majorBidi"/>
      <w:color w:val="272727" w:themeColor="text1" w:themeTint="D8"/>
    </w:rPr>
  </w:style>
  <w:style w:type="paragraph" w:styleId="Title">
    <w:name w:val="Title"/>
    <w:basedOn w:val="Normal"/>
    <w:next w:val="Normal"/>
    <w:link w:val="TitleChar"/>
    <w:uiPriority w:val="10"/>
    <w:qFormat/>
    <w:rsid w:val="002776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76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76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76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763B"/>
    <w:pPr>
      <w:spacing w:before="160"/>
      <w:jc w:val="center"/>
    </w:pPr>
    <w:rPr>
      <w:i/>
      <w:iCs/>
      <w:color w:val="404040" w:themeColor="text1" w:themeTint="BF"/>
    </w:rPr>
  </w:style>
  <w:style w:type="character" w:customStyle="1" w:styleId="QuoteChar">
    <w:name w:val="Quote Char"/>
    <w:basedOn w:val="DefaultParagraphFont"/>
    <w:link w:val="Quote"/>
    <w:uiPriority w:val="29"/>
    <w:rsid w:val="0027763B"/>
    <w:rPr>
      <w:i/>
      <w:iCs/>
      <w:color w:val="404040" w:themeColor="text1" w:themeTint="BF"/>
    </w:rPr>
  </w:style>
  <w:style w:type="paragraph" w:styleId="ListParagraph">
    <w:name w:val="List Paragraph"/>
    <w:basedOn w:val="Normal"/>
    <w:uiPriority w:val="34"/>
    <w:qFormat/>
    <w:rsid w:val="0027763B"/>
    <w:pPr>
      <w:ind w:left="720"/>
      <w:contextualSpacing/>
    </w:pPr>
  </w:style>
  <w:style w:type="character" w:styleId="IntenseEmphasis">
    <w:name w:val="Intense Emphasis"/>
    <w:basedOn w:val="DefaultParagraphFont"/>
    <w:uiPriority w:val="21"/>
    <w:qFormat/>
    <w:rsid w:val="0027763B"/>
    <w:rPr>
      <w:i/>
      <w:iCs/>
      <w:color w:val="0F4761" w:themeColor="accent1" w:themeShade="BF"/>
    </w:rPr>
  </w:style>
  <w:style w:type="paragraph" w:styleId="IntenseQuote">
    <w:name w:val="Intense Quote"/>
    <w:basedOn w:val="Normal"/>
    <w:next w:val="Normal"/>
    <w:link w:val="IntenseQuoteChar"/>
    <w:uiPriority w:val="30"/>
    <w:qFormat/>
    <w:rsid w:val="002776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763B"/>
    <w:rPr>
      <w:i/>
      <w:iCs/>
      <w:color w:val="0F4761" w:themeColor="accent1" w:themeShade="BF"/>
    </w:rPr>
  </w:style>
  <w:style w:type="character" w:styleId="IntenseReference">
    <w:name w:val="Intense Reference"/>
    <w:basedOn w:val="DefaultParagraphFont"/>
    <w:uiPriority w:val="32"/>
    <w:qFormat/>
    <w:rsid w:val="0027763B"/>
    <w:rPr>
      <w:b/>
      <w:bCs/>
      <w:smallCaps/>
      <w:color w:val="0F4761" w:themeColor="accent1" w:themeShade="BF"/>
      <w:spacing w:val="5"/>
    </w:rPr>
  </w:style>
  <w:style w:type="character" w:styleId="Hyperlink">
    <w:name w:val="Hyperlink"/>
    <w:basedOn w:val="DefaultParagraphFont"/>
    <w:uiPriority w:val="99"/>
    <w:unhideWhenUsed/>
    <w:rsid w:val="005D3DC1"/>
    <w:rPr>
      <w:color w:val="467886" w:themeColor="hyperlink"/>
      <w:u w:val="single"/>
    </w:rPr>
  </w:style>
  <w:style w:type="character" w:styleId="UnresolvedMention">
    <w:name w:val="Unresolved Mention"/>
    <w:basedOn w:val="DefaultParagraphFont"/>
    <w:uiPriority w:val="99"/>
    <w:semiHidden/>
    <w:unhideWhenUsed/>
    <w:rsid w:val="005D3DC1"/>
    <w:rPr>
      <w:color w:val="605E5C"/>
      <w:shd w:val="clear" w:color="auto" w:fill="E1DFDD"/>
    </w:rPr>
  </w:style>
  <w:style w:type="paragraph" w:styleId="Header">
    <w:name w:val="header"/>
    <w:basedOn w:val="Normal"/>
    <w:link w:val="HeaderChar"/>
    <w:uiPriority w:val="99"/>
    <w:unhideWhenUsed/>
    <w:rsid w:val="00335D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D22"/>
  </w:style>
  <w:style w:type="paragraph" w:styleId="Footer">
    <w:name w:val="footer"/>
    <w:basedOn w:val="Normal"/>
    <w:link w:val="FooterChar"/>
    <w:uiPriority w:val="99"/>
    <w:unhideWhenUsed/>
    <w:rsid w:val="00335D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D22"/>
  </w:style>
  <w:style w:type="paragraph" w:styleId="NoSpacing">
    <w:name w:val="No Spacing"/>
    <w:link w:val="NoSpacingChar"/>
    <w:uiPriority w:val="1"/>
    <w:qFormat/>
    <w:rsid w:val="00701D3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01D3C"/>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04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c.gov/Archives/edgar/data/320193/000032019322000108/a10-k2022.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ec.gov/Archives/edgar/data/320193/000032019323000XXX/a10-k2023.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6A3B5DA690742EFABFABA7E00CCC0ED"/>
        <w:category>
          <w:name w:val="General"/>
          <w:gallery w:val="placeholder"/>
        </w:category>
        <w:types>
          <w:type w:val="bbPlcHdr"/>
        </w:types>
        <w:behaviors>
          <w:behavior w:val="content"/>
        </w:behaviors>
        <w:guid w:val="{99E2FCC3-8E62-4645-9CBD-E3AA15ADE09D}"/>
      </w:docPartPr>
      <w:docPartBody>
        <w:p w:rsidR="00000000" w:rsidRDefault="00E6418B" w:rsidP="00E6418B">
          <w:pPr>
            <w:pStyle w:val="06A3B5DA690742EFABFABA7E00CCC0ED"/>
          </w:pPr>
          <w:r>
            <w:rPr>
              <w:color w:val="156082" w:themeColor="accent1"/>
              <w:sz w:val="28"/>
              <w:szCs w:val="28"/>
            </w:rPr>
            <w:t>[Date]</w:t>
          </w:r>
        </w:p>
      </w:docPartBody>
    </w:docPart>
    <w:docPart>
      <w:docPartPr>
        <w:name w:val="079CCE910C664A78B144DF221130342C"/>
        <w:category>
          <w:name w:val="General"/>
          <w:gallery w:val="placeholder"/>
        </w:category>
        <w:types>
          <w:type w:val="bbPlcHdr"/>
        </w:types>
        <w:behaviors>
          <w:behavior w:val="content"/>
        </w:behaviors>
        <w:guid w:val="{DA720A3A-909D-4A2F-91F8-6F034BD5E9EE}"/>
      </w:docPartPr>
      <w:docPartBody>
        <w:p w:rsidR="00000000" w:rsidRDefault="00E6418B" w:rsidP="00E6418B">
          <w:pPr>
            <w:pStyle w:val="079CCE910C664A78B144DF221130342C"/>
          </w:pPr>
          <w:r>
            <w:rPr>
              <w:rFonts w:asciiTheme="majorHAnsi" w:eastAsiaTheme="majorEastAsia" w:hAnsiTheme="majorHAnsi"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18B"/>
    <w:rsid w:val="00734EC2"/>
    <w:rsid w:val="00A45B47"/>
    <w:rsid w:val="00E64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111B2AB87A4A94A57D5CD0473B7229">
    <w:name w:val="54111B2AB87A4A94A57D5CD0473B7229"/>
    <w:rsid w:val="00E6418B"/>
  </w:style>
  <w:style w:type="paragraph" w:customStyle="1" w:styleId="0258843EDD4A4573B0BBA30CF6968C87">
    <w:name w:val="0258843EDD4A4573B0BBA30CF6968C87"/>
    <w:rsid w:val="00E6418B"/>
  </w:style>
  <w:style w:type="paragraph" w:customStyle="1" w:styleId="94CB61FC5C814BF58FC6F10D7AD88EC2">
    <w:name w:val="94CB61FC5C814BF58FC6F10D7AD88EC2"/>
    <w:rsid w:val="00E6418B"/>
  </w:style>
  <w:style w:type="paragraph" w:customStyle="1" w:styleId="F2747470F0B94CC788F06AFE9EF135FB">
    <w:name w:val="F2747470F0B94CC788F06AFE9EF135FB"/>
    <w:rsid w:val="00E6418B"/>
  </w:style>
  <w:style w:type="paragraph" w:customStyle="1" w:styleId="06A3B5DA690742EFABFABA7E00CCC0ED">
    <w:name w:val="06A3B5DA690742EFABFABA7E00CCC0ED"/>
    <w:rsid w:val="00E6418B"/>
  </w:style>
  <w:style w:type="paragraph" w:customStyle="1" w:styleId="079CCE910C664A78B144DF221130342C">
    <w:name w:val="079CCE910C664A78B144DF221130342C"/>
    <w:rsid w:val="00E641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2025-04-11T00:00:00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12</Pages>
  <Words>2039</Words>
  <Characters>11627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dc:title>
  <dc:subject/>
  <dc:creator>Mirabela</dc:creator>
  <cp:keywords/>
  <dc:description/>
  <cp:lastModifiedBy>Mirabela Voican (1907947)</cp:lastModifiedBy>
  <cp:revision>1</cp:revision>
  <dcterms:created xsi:type="dcterms:W3CDTF">2025-04-07T22:25:00Z</dcterms:created>
  <dcterms:modified xsi:type="dcterms:W3CDTF">2025-04-08T00:01:00Z</dcterms:modified>
</cp:coreProperties>
</file>