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3537C" w14:textId="22136638" w:rsidR="00A349B5" w:rsidRDefault="00A349B5" w:rsidP="00216809">
      <w:pPr>
        <w:jc w:val="center"/>
        <w:rPr>
          <w:rFonts w:ascii="Arial" w:hAnsi="Arial" w:cs="Arial"/>
          <w:b/>
          <w:bCs/>
          <w:sz w:val="28"/>
          <w:szCs w:val="28"/>
        </w:rPr>
      </w:pPr>
      <w:r w:rsidRPr="00747828">
        <w:rPr>
          <w:rFonts w:ascii="Arial" w:hAnsi="Arial" w:cs="Arial"/>
          <w:b/>
          <w:bCs/>
          <w:sz w:val="28"/>
          <w:szCs w:val="28"/>
        </w:rPr>
        <w:t xml:space="preserve">Assessment Component 1- </w:t>
      </w:r>
      <w:r w:rsidR="00216809" w:rsidRPr="00216809">
        <w:rPr>
          <w:rFonts w:ascii="Arial" w:hAnsi="Arial" w:cs="Arial"/>
          <w:b/>
          <w:bCs/>
          <w:sz w:val="28"/>
          <w:szCs w:val="28"/>
        </w:rPr>
        <w:t>Individual Essay</w:t>
      </w:r>
    </w:p>
    <w:p w14:paraId="1AED3EA8" w14:textId="6BAC2B5E" w:rsidR="00D95637" w:rsidRPr="00747828" w:rsidRDefault="00D95637" w:rsidP="00216809">
      <w:pPr>
        <w:jc w:val="center"/>
        <w:rPr>
          <w:rFonts w:ascii="Arial" w:hAnsi="Arial" w:cs="Arial"/>
          <w:b/>
          <w:bCs/>
          <w:sz w:val="28"/>
          <w:szCs w:val="28"/>
        </w:rPr>
      </w:pPr>
      <w:r w:rsidRPr="00D95637">
        <w:rPr>
          <w:rFonts w:ascii="Arial" w:hAnsi="Arial" w:cs="Arial"/>
          <w:b/>
          <w:bCs/>
          <w:sz w:val="28"/>
          <w:szCs w:val="28"/>
        </w:rPr>
        <w:t>International Business Communications</w:t>
      </w:r>
    </w:p>
    <w:p w14:paraId="70A69E46" w14:textId="77777777" w:rsidR="00A349B5" w:rsidRPr="00747828" w:rsidRDefault="00A349B5" w:rsidP="00747828">
      <w:pPr>
        <w:jc w:val="center"/>
        <w:rPr>
          <w:rFonts w:ascii="Arial" w:hAnsi="Arial" w:cs="Arial"/>
          <w:b/>
          <w:bCs/>
          <w:sz w:val="28"/>
          <w:szCs w:val="28"/>
        </w:rPr>
      </w:pPr>
      <w:r w:rsidRPr="00747828">
        <w:rPr>
          <w:rFonts w:ascii="Arial" w:hAnsi="Arial" w:cs="Arial"/>
          <w:b/>
          <w:bCs/>
          <w:sz w:val="28"/>
          <w:szCs w:val="28"/>
        </w:rPr>
        <w:t>Student Name: Radu Acris</w:t>
      </w:r>
    </w:p>
    <w:p w14:paraId="4312E8A7" w14:textId="77777777" w:rsidR="00A349B5" w:rsidRPr="00747828" w:rsidRDefault="00A349B5" w:rsidP="00747828">
      <w:pPr>
        <w:jc w:val="center"/>
        <w:rPr>
          <w:rFonts w:ascii="Arial" w:hAnsi="Arial" w:cs="Arial"/>
          <w:b/>
          <w:bCs/>
          <w:sz w:val="28"/>
          <w:szCs w:val="28"/>
        </w:rPr>
      </w:pPr>
      <w:r w:rsidRPr="00747828">
        <w:rPr>
          <w:rFonts w:ascii="Arial" w:hAnsi="Arial" w:cs="Arial"/>
          <w:b/>
          <w:bCs/>
          <w:sz w:val="28"/>
          <w:szCs w:val="28"/>
        </w:rPr>
        <w:t>Student Number:2239621</w:t>
      </w:r>
    </w:p>
    <w:p w14:paraId="47742702" w14:textId="74DC5B3C" w:rsidR="00A349B5" w:rsidRPr="00747828" w:rsidRDefault="00A349B5" w:rsidP="00747828">
      <w:pPr>
        <w:jc w:val="center"/>
        <w:rPr>
          <w:rFonts w:ascii="Arial" w:hAnsi="Arial" w:cs="Arial"/>
          <w:b/>
          <w:bCs/>
          <w:sz w:val="28"/>
          <w:szCs w:val="28"/>
        </w:rPr>
      </w:pPr>
      <w:r w:rsidRPr="00747828">
        <w:rPr>
          <w:rFonts w:ascii="Arial" w:hAnsi="Arial" w:cs="Arial"/>
          <w:b/>
          <w:bCs/>
          <w:sz w:val="28"/>
          <w:szCs w:val="28"/>
        </w:rPr>
        <w:t xml:space="preserve">Lecturer Name: </w:t>
      </w:r>
      <w:r w:rsidR="00C435A3" w:rsidRPr="00C435A3">
        <w:rPr>
          <w:rFonts w:ascii="Arial" w:hAnsi="Arial" w:cs="Arial"/>
          <w:b/>
          <w:bCs/>
          <w:sz w:val="28"/>
          <w:szCs w:val="28"/>
        </w:rPr>
        <w:t>Dr Samson Oladejo</w:t>
      </w:r>
    </w:p>
    <w:p w14:paraId="0875D20D" w14:textId="71D83096" w:rsidR="00BD1DA0" w:rsidRDefault="00B26ACC" w:rsidP="00747828">
      <w:pPr>
        <w:jc w:val="center"/>
        <w:rPr>
          <w:rFonts w:ascii="Arial" w:hAnsi="Arial" w:cs="Arial"/>
          <w:b/>
          <w:bCs/>
          <w:sz w:val="28"/>
          <w:szCs w:val="28"/>
        </w:rPr>
      </w:pPr>
      <w:r w:rsidRPr="00B26ACC">
        <w:rPr>
          <w:rFonts w:ascii="Arial" w:hAnsi="Arial" w:cs="Arial"/>
          <w:b/>
          <w:bCs/>
          <w:sz w:val="28"/>
          <w:szCs w:val="28"/>
        </w:rPr>
        <w:t>LCBB6001</w:t>
      </w:r>
      <w:r w:rsidR="00A349B5" w:rsidRPr="00747828">
        <w:rPr>
          <w:rFonts w:ascii="Arial" w:hAnsi="Arial" w:cs="Arial"/>
          <w:b/>
          <w:bCs/>
          <w:sz w:val="28"/>
          <w:szCs w:val="28"/>
        </w:rPr>
        <w:t>_BIRM</w:t>
      </w:r>
    </w:p>
    <w:p w14:paraId="07BC3FC9" w14:textId="7BBAE38A" w:rsidR="00930FD6" w:rsidRDefault="00930FD6" w:rsidP="00747828">
      <w:pPr>
        <w:jc w:val="center"/>
        <w:rPr>
          <w:rFonts w:ascii="Arial" w:hAnsi="Arial" w:cs="Arial"/>
          <w:b/>
          <w:bCs/>
          <w:sz w:val="28"/>
          <w:szCs w:val="28"/>
        </w:rPr>
      </w:pPr>
      <w:r>
        <w:rPr>
          <w:rFonts w:ascii="Arial" w:hAnsi="Arial" w:cs="Arial"/>
          <w:b/>
          <w:bCs/>
          <w:sz w:val="28"/>
          <w:szCs w:val="28"/>
        </w:rPr>
        <w:t>2025</w:t>
      </w:r>
    </w:p>
    <w:p w14:paraId="6CACCB51" w14:textId="58E8FF42" w:rsidR="00490A5A" w:rsidRDefault="00490A5A" w:rsidP="00747828">
      <w:pPr>
        <w:jc w:val="center"/>
        <w:rPr>
          <w:rFonts w:ascii="Arial" w:hAnsi="Arial" w:cs="Arial"/>
          <w:b/>
          <w:bCs/>
          <w:sz w:val="28"/>
          <w:szCs w:val="28"/>
        </w:rPr>
      </w:pPr>
    </w:p>
    <w:p w14:paraId="4C4138F5" w14:textId="77777777" w:rsidR="007815BA" w:rsidRDefault="007815BA">
      <w:pPr>
        <w:rPr>
          <w:rFonts w:ascii="Arial" w:hAnsi="Arial" w:cs="Arial"/>
          <w:b/>
          <w:bCs/>
          <w:sz w:val="28"/>
          <w:szCs w:val="28"/>
        </w:rPr>
      </w:pPr>
    </w:p>
    <w:p w14:paraId="268E4776" w14:textId="77777777" w:rsidR="007815BA" w:rsidRDefault="007815BA">
      <w:pPr>
        <w:rPr>
          <w:rFonts w:ascii="Arial" w:hAnsi="Arial" w:cs="Arial"/>
          <w:b/>
          <w:bCs/>
          <w:sz w:val="28"/>
          <w:szCs w:val="28"/>
        </w:rPr>
      </w:pPr>
      <w:r>
        <w:rPr>
          <w:rFonts w:ascii="Arial" w:hAnsi="Arial" w:cs="Arial"/>
          <w:b/>
          <w:bCs/>
          <w:sz w:val="28"/>
          <w:szCs w:val="28"/>
        </w:rPr>
        <w:br w:type="page"/>
      </w:r>
    </w:p>
    <w:p w14:paraId="143DF0A1" w14:textId="77777777" w:rsidR="00B64AD3" w:rsidRDefault="00B64AD3" w:rsidP="00B64AD3">
      <w:pPr>
        <w:jc w:val="center"/>
        <w:rPr>
          <w:rFonts w:ascii="Arial" w:hAnsi="Arial" w:cs="Arial"/>
          <w:b/>
          <w:bCs/>
          <w:i/>
          <w:iCs/>
          <w:sz w:val="32"/>
          <w:szCs w:val="32"/>
        </w:rPr>
      </w:pPr>
    </w:p>
    <w:p w14:paraId="21C67D97" w14:textId="77777777" w:rsidR="00B64AD3" w:rsidRDefault="00B64AD3" w:rsidP="00B64AD3">
      <w:pPr>
        <w:jc w:val="center"/>
        <w:rPr>
          <w:rFonts w:ascii="Arial" w:hAnsi="Arial" w:cs="Arial"/>
          <w:b/>
          <w:bCs/>
          <w:i/>
          <w:iCs/>
          <w:sz w:val="32"/>
          <w:szCs w:val="32"/>
        </w:rPr>
      </w:pPr>
    </w:p>
    <w:p w14:paraId="081DB0D4" w14:textId="77777777" w:rsidR="00B64AD3" w:rsidRDefault="00B64AD3" w:rsidP="00B64AD3">
      <w:pPr>
        <w:jc w:val="center"/>
        <w:rPr>
          <w:rFonts w:ascii="Arial" w:hAnsi="Arial" w:cs="Arial"/>
          <w:b/>
          <w:bCs/>
          <w:i/>
          <w:iCs/>
          <w:sz w:val="32"/>
          <w:szCs w:val="32"/>
        </w:rPr>
      </w:pPr>
    </w:p>
    <w:p w14:paraId="30A6A0CE" w14:textId="77777777" w:rsidR="00B64AD3" w:rsidRDefault="00B64AD3" w:rsidP="00B64AD3">
      <w:pPr>
        <w:jc w:val="center"/>
        <w:rPr>
          <w:rFonts w:ascii="Arial" w:hAnsi="Arial" w:cs="Arial"/>
          <w:b/>
          <w:bCs/>
          <w:i/>
          <w:iCs/>
          <w:sz w:val="32"/>
          <w:szCs w:val="32"/>
        </w:rPr>
      </w:pPr>
    </w:p>
    <w:p w14:paraId="0D7D3FD6" w14:textId="77777777" w:rsidR="00B64AD3" w:rsidRDefault="00B64AD3" w:rsidP="00B64AD3">
      <w:pPr>
        <w:jc w:val="center"/>
        <w:rPr>
          <w:rFonts w:ascii="Arial" w:hAnsi="Arial" w:cs="Arial"/>
          <w:b/>
          <w:bCs/>
          <w:i/>
          <w:iCs/>
          <w:sz w:val="32"/>
          <w:szCs w:val="32"/>
        </w:rPr>
      </w:pPr>
    </w:p>
    <w:p w14:paraId="7D9575F1" w14:textId="462B2C12" w:rsidR="00490A5A" w:rsidRPr="00B64AD3" w:rsidRDefault="00B64AD3" w:rsidP="00B64AD3">
      <w:pPr>
        <w:spacing w:line="360" w:lineRule="auto"/>
        <w:jc w:val="center"/>
        <w:rPr>
          <w:rFonts w:ascii="Arial" w:hAnsi="Arial" w:cs="Arial"/>
          <w:b/>
          <w:bCs/>
          <w:i/>
          <w:iCs/>
          <w:sz w:val="32"/>
          <w:szCs w:val="32"/>
        </w:rPr>
      </w:pPr>
      <w:r>
        <w:rPr>
          <w:rFonts w:ascii="Arial" w:hAnsi="Arial" w:cs="Arial"/>
          <w:b/>
          <w:bCs/>
          <w:i/>
          <w:iCs/>
          <w:sz w:val="32"/>
          <w:szCs w:val="32"/>
        </w:rPr>
        <w:t>,,</w:t>
      </w:r>
      <w:r w:rsidR="007815BA" w:rsidRPr="00B64AD3">
        <w:rPr>
          <w:rFonts w:ascii="Arial" w:hAnsi="Arial" w:cs="Arial"/>
          <w:b/>
          <w:bCs/>
          <w:i/>
          <w:iCs/>
          <w:sz w:val="32"/>
          <w:szCs w:val="32"/>
        </w:rPr>
        <w:t>Exploring cross-cultural communication challenges between UK and Japanese teams in the Global Combat Air Programme (GCAP), using cultural theories to understand, evaluate, and mitigate misunderstandings in multinational defence collaboration</w:t>
      </w:r>
      <w:r>
        <w:rPr>
          <w:rFonts w:ascii="Arial" w:hAnsi="Arial" w:cs="Arial"/>
          <w:b/>
          <w:bCs/>
          <w:i/>
          <w:iCs/>
          <w:sz w:val="32"/>
          <w:szCs w:val="32"/>
        </w:rPr>
        <w:t>’’</w:t>
      </w:r>
      <w:r w:rsidR="007815BA" w:rsidRPr="00B64AD3">
        <w:rPr>
          <w:rFonts w:ascii="Arial" w:hAnsi="Arial" w:cs="Arial"/>
          <w:b/>
          <w:bCs/>
          <w:i/>
          <w:iCs/>
          <w:sz w:val="32"/>
          <w:szCs w:val="32"/>
        </w:rPr>
        <w:t>.</w:t>
      </w:r>
      <w:r w:rsidR="00490A5A" w:rsidRPr="00B64AD3">
        <w:rPr>
          <w:rFonts w:ascii="Arial" w:hAnsi="Arial" w:cs="Arial"/>
          <w:b/>
          <w:bCs/>
          <w:i/>
          <w:iCs/>
          <w:sz w:val="32"/>
          <w:szCs w:val="32"/>
        </w:rPr>
        <w:br w:type="page"/>
      </w:r>
    </w:p>
    <w:sdt>
      <w:sdtPr>
        <w:rPr>
          <w:rFonts w:asciiTheme="minorHAnsi" w:eastAsiaTheme="minorHAnsi" w:hAnsiTheme="minorHAnsi" w:cstheme="minorBidi"/>
          <w:color w:val="auto"/>
          <w:kern w:val="2"/>
          <w:sz w:val="24"/>
          <w:szCs w:val="24"/>
          <w:lang w:val="en-GB"/>
          <w14:ligatures w14:val="standardContextual"/>
        </w:rPr>
        <w:id w:val="-234080805"/>
        <w:docPartObj>
          <w:docPartGallery w:val="Table of Contents"/>
          <w:docPartUnique/>
        </w:docPartObj>
      </w:sdtPr>
      <w:sdtEndPr>
        <w:rPr>
          <w:b/>
          <w:bCs/>
          <w:noProof/>
        </w:rPr>
      </w:sdtEndPr>
      <w:sdtContent>
        <w:p w14:paraId="2369B91A" w14:textId="15AF16B6" w:rsidR="00723EF5" w:rsidRPr="00723EF5" w:rsidRDefault="00723EF5">
          <w:pPr>
            <w:pStyle w:val="TOCHeading"/>
            <w:rPr>
              <w:rFonts w:ascii="Arial" w:hAnsi="Arial" w:cs="Arial"/>
              <w:b/>
              <w:bCs/>
              <w:color w:val="000000" w:themeColor="text1"/>
              <w:sz w:val="28"/>
              <w:szCs w:val="28"/>
            </w:rPr>
          </w:pPr>
          <w:r w:rsidRPr="00723EF5">
            <w:rPr>
              <w:rFonts w:ascii="Arial" w:hAnsi="Arial" w:cs="Arial"/>
              <w:b/>
              <w:bCs/>
              <w:color w:val="000000" w:themeColor="text1"/>
              <w:sz w:val="28"/>
              <w:szCs w:val="28"/>
            </w:rPr>
            <w:t>Contents</w:t>
          </w:r>
        </w:p>
        <w:p w14:paraId="3FDA7521" w14:textId="26B45DCF" w:rsidR="00402EA7" w:rsidRDefault="00723EF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2810183" w:history="1">
            <w:r w:rsidR="00402EA7" w:rsidRPr="005D1EAC">
              <w:rPr>
                <w:rStyle w:val="Hyperlink"/>
                <w:rFonts w:ascii="Arial" w:hAnsi="Arial" w:cs="Arial"/>
                <w:b/>
                <w:bCs/>
                <w:noProof/>
              </w:rPr>
              <w:t>1.Introduction:</w:t>
            </w:r>
            <w:r w:rsidR="00402EA7">
              <w:rPr>
                <w:noProof/>
                <w:webHidden/>
              </w:rPr>
              <w:tab/>
            </w:r>
            <w:r w:rsidR="00402EA7">
              <w:rPr>
                <w:noProof/>
                <w:webHidden/>
              </w:rPr>
              <w:fldChar w:fldCharType="begin"/>
            </w:r>
            <w:r w:rsidR="00402EA7">
              <w:rPr>
                <w:noProof/>
                <w:webHidden/>
              </w:rPr>
              <w:instrText xml:space="preserve"> PAGEREF _Toc202810183 \h </w:instrText>
            </w:r>
            <w:r w:rsidR="00402EA7">
              <w:rPr>
                <w:noProof/>
                <w:webHidden/>
              </w:rPr>
            </w:r>
            <w:r w:rsidR="00402EA7">
              <w:rPr>
                <w:noProof/>
                <w:webHidden/>
              </w:rPr>
              <w:fldChar w:fldCharType="separate"/>
            </w:r>
            <w:r w:rsidR="008C411D">
              <w:rPr>
                <w:noProof/>
                <w:webHidden/>
              </w:rPr>
              <w:t>4</w:t>
            </w:r>
            <w:r w:rsidR="00402EA7">
              <w:rPr>
                <w:noProof/>
                <w:webHidden/>
              </w:rPr>
              <w:fldChar w:fldCharType="end"/>
            </w:r>
          </w:hyperlink>
        </w:p>
        <w:p w14:paraId="3ACC3F52" w14:textId="6B98023A" w:rsidR="00402EA7" w:rsidRDefault="00402EA7">
          <w:pPr>
            <w:pStyle w:val="TOC2"/>
            <w:tabs>
              <w:tab w:val="right" w:leader="dot" w:pos="9016"/>
            </w:tabs>
            <w:rPr>
              <w:rFonts w:eastAsiaTheme="minorEastAsia"/>
              <w:noProof/>
              <w:lang w:eastAsia="en-GB"/>
            </w:rPr>
          </w:pPr>
          <w:hyperlink w:anchor="_Toc202810184" w:history="1">
            <w:r w:rsidRPr="005D1EAC">
              <w:rPr>
                <w:rStyle w:val="Hyperlink"/>
                <w:rFonts w:ascii="Arial" w:hAnsi="Arial" w:cs="Arial"/>
                <w:b/>
                <w:bCs/>
                <w:noProof/>
              </w:rPr>
              <w:t>2. Background of GCAP and Geopolitical Context.</w:t>
            </w:r>
            <w:r>
              <w:rPr>
                <w:noProof/>
                <w:webHidden/>
              </w:rPr>
              <w:tab/>
            </w:r>
            <w:r>
              <w:rPr>
                <w:noProof/>
                <w:webHidden/>
              </w:rPr>
              <w:fldChar w:fldCharType="begin"/>
            </w:r>
            <w:r>
              <w:rPr>
                <w:noProof/>
                <w:webHidden/>
              </w:rPr>
              <w:instrText xml:space="preserve"> PAGEREF _Toc202810184 \h </w:instrText>
            </w:r>
            <w:r>
              <w:rPr>
                <w:noProof/>
                <w:webHidden/>
              </w:rPr>
            </w:r>
            <w:r>
              <w:rPr>
                <w:noProof/>
                <w:webHidden/>
              </w:rPr>
              <w:fldChar w:fldCharType="separate"/>
            </w:r>
            <w:r w:rsidR="008C411D">
              <w:rPr>
                <w:noProof/>
                <w:webHidden/>
              </w:rPr>
              <w:t>5</w:t>
            </w:r>
            <w:r>
              <w:rPr>
                <w:noProof/>
                <w:webHidden/>
              </w:rPr>
              <w:fldChar w:fldCharType="end"/>
            </w:r>
          </w:hyperlink>
        </w:p>
        <w:p w14:paraId="48A61204" w14:textId="58A295C0" w:rsidR="00402EA7" w:rsidRDefault="00402EA7">
          <w:pPr>
            <w:pStyle w:val="TOC2"/>
            <w:tabs>
              <w:tab w:val="right" w:leader="dot" w:pos="9016"/>
            </w:tabs>
            <w:rPr>
              <w:rFonts w:eastAsiaTheme="minorEastAsia"/>
              <w:noProof/>
              <w:lang w:eastAsia="en-GB"/>
            </w:rPr>
          </w:pPr>
          <w:hyperlink w:anchor="_Toc202810185" w:history="1">
            <w:r w:rsidRPr="005D1EAC">
              <w:rPr>
                <w:rStyle w:val="Hyperlink"/>
                <w:rFonts w:ascii="Arial" w:hAnsi="Arial" w:cs="Arial"/>
                <w:b/>
                <w:bCs/>
                <w:noProof/>
              </w:rPr>
              <w:t>3. Communication and Culture - Theoretical Frameworks:</w:t>
            </w:r>
            <w:r>
              <w:rPr>
                <w:noProof/>
                <w:webHidden/>
              </w:rPr>
              <w:tab/>
            </w:r>
            <w:r>
              <w:rPr>
                <w:noProof/>
                <w:webHidden/>
              </w:rPr>
              <w:fldChar w:fldCharType="begin"/>
            </w:r>
            <w:r>
              <w:rPr>
                <w:noProof/>
                <w:webHidden/>
              </w:rPr>
              <w:instrText xml:space="preserve"> PAGEREF _Toc202810185 \h </w:instrText>
            </w:r>
            <w:r>
              <w:rPr>
                <w:noProof/>
                <w:webHidden/>
              </w:rPr>
            </w:r>
            <w:r>
              <w:rPr>
                <w:noProof/>
                <w:webHidden/>
              </w:rPr>
              <w:fldChar w:fldCharType="separate"/>
            </w:r>
            <w:r w:rsidR="008C411D">
              <w:rPr>
                <w:noProof/>
                <w:webHidden/>
              </w:rPr>
              <w:t>6</w:t>
            </w:r>
            <w:r>
              <w:rPr>
                <w:noProof/>
                <w:webHidden/>
              </w:rPr>
              <w:fldChar w:fldCharType="end"/>
            </w:r>
          </w:hyperlink>
        </w:p>
        <w:p w14:paraId="260E0C81" w14:textId="71C08FCF" w:rsidR="00402EA7" w:rsidRDefault="00402EA7">
          <w:pPr>
            <w:pStyle w:val="TOC2"/>
            <w:tabs>
              <w:tab w:val="right" w:leader="dot" w:pos="9016"/>
            </w:tabs>
            <w:rPr>
              <w:rFonts w:eastAsiaTheme="minorEastAsia"/>
              <w:noProof/>
              <w:lang w:eastAsia="en-GB"/>
            </w:rPr>
          </w:pPr>
          <w:hyperlink w:anchor="_Toc202810186" w:history="1">
            <w:r w:rsidRPr="005D1EAC">
              <w:rPr>
                <w:rStyle w:val="Hyperlink"/>
                <w:rFonts w:ascii="Arial" w:hAnsi="Arial" w:cs="Arial"/>
                <w:b/>
                <w:bCs/>
                <w:noProof/>
              </w:rPr>
              <w:t>3.1. Hofstede’s Cultural Dimensions:</w:t>
            </w:r>
            <w:r>
              <w:rPr>
                <w:noProof/>
                <w:webHidden/>
              </w:rPr>
              <w:tab/>
            </w:r>
            <w:r>
              <w:rPr>
                <w:noProof/>
                <w:webHidden/>
              </w:rPr>
              <w:fldChar w:fldCharType="begin"/>
            </w:r>
            <w:r>
              <w:rPr>
                <w:noProof/>
                <w:webHidden/>
              </w:rPr>
              <w:instrText xml:space="preserve"> PAGEREF _Toc202810186 \h </w:instrText>
            </w:r>
            <w:r>
              <w:rPr>
                <w:noProof/>
                <w:webHidden/>
              </w:rPr>
            </w:r>
            <w:r>
              <w:rPr>
                <w:noProof/>
                <w:webHidden/>
              </w:rPr>
              <w:fldChar w:fldCharType="separate"/>
            </w:r>
            <w:r w:rsidR="008C411D">
              <w:rPr>
                <w:noProof/>
                <w:webHidden/>
              </w:rPr>
              <w:t>7</w:t>
            </w:r>
            <w:r>
              <w:rPr>
                <w:noProof/>
                <w:webHidden/>
              </w:rPr>
              <w:fldChar w:fldCharType="end"/>
            </w:r>
          </w:hyperlink>
        </w:p>
        <w:p w14:paraId="04027DAB" w14:textId="2C146AC1" w:rsidR="00402EA7" w:rsidRDefault="00402EA7">
          <w:pPr>
            <w:pStyle w:val="TOC2"/>
            <w:tabs>
              <w:tab w:val="right" w:leader="dot" w:pos="9016"/>
            </w:tabs>
            <w:rPr>
              <w:rFonts w:eastAsiaTheme="minorEastAsia"/>
              <w:noProof/>
              <w:lang w:eastAsia="en-GB"/>
            </w:rPr>
          </w:pPr>
          <w:hyperlink w:anchor="_Toc202810187" w:history="1">
            <w:r w:rsidRPr="005D1EAC">
              <w:rPr>
                <w:rStyle w:val="Hyperlink"/>
                <w:rFonts w:ascii="Arial" w:hAnsi="Arial" w:cs="Arial"/>
                <w:b/>
                <w:bCs/>
                <w:noProof/>
              </w:rPr>
              <w:t>3.2. High-Context vs. Low-Context Communication:</w:t>
            </w:r>
            <w:r>
              <w:rPr>
                <w:noProof/>
                <w:webHidden/>
              </w:rPr>
              <w:tab/>
            </w:r>
            <w:r>
              <w:rPr>
                <w:noProof/>
                <w:webHidden/>
              </w:rPr>
              <w:fldChar w:fldCharType="begin"/>
            </w:r>
            <w:r>
              <w:rPr>
                <w:noProof/>
                <w:webHidden/>
              </w:rPr>
              <w:instrText xml:space="preserve"> PAGEREF _Toc202810187 \h </w:instrText>
            </w:r>
            <w:r>
              <w:rPr>
                <w:noProof/>
                <w:webHidden/>
              </w:rPr>
            </w:r>
            <w:r>
              <w:rPr>
                <w:noProof/>
                <w:webHidden/>
              </w:rPr>
              <w:fldChar w:fldCharType="separate"/>
            </w:r>
            <w:r w:rsidR="008C411D">
              <w:rPr>
                <w:noProof/>
                <w:webHidden/>
              </w:rPr>
              <w:t>8</w:t>
            </w:r>
            <w:r>
              <w:rPr>
                <w:noProof/>
                <w:webHidden/>
              </w:rPr>
              <w:fldChar w:fldCharType="end"/>
            </w:r>
          </w:hyperlink>
        </w:p>
        <w:p w14:paraId="6E9BC390" w14:textId="6FA05BEC" w:rsidR="00402EA7" w:rsidRDefault="00402EA7">
          <w:pPr>
            <w:pStyle w:val="TOC2"/>
            <w:tabs>
              <w:tab w:val="right" w:leader="dot" w:pos="9016"/>
            </w:tabs>
            <w:rPr>
              <w:rFonts w:eastAsiaTheme="minorEastAsia"/>
              <w:noProof/>
              <w:lang w:eastAsia="en-GB"/>
            </w:rPr>
          </w:pPr>
          <w:hyperlink w:anchor="_Toc202810188" w:history="1">
            <w:r w:rsidRPr="005D1EAC">
              <w:rPr>
                <w:rStyle w:val="Hyperlink"/>
                <w:rFonts w:ascii="Arial" w:hAnsi="Arial" w:cs="Arial"/>
                <w:b/>
                <w:bCs/>
                <w:noProof/>
              </w:rPr>
              <w:t>3.3. Trompenaars’ Seven Dimensions of Culture:</w:t>
            </w:r>
            <w:r>
              <w:rPr>
                <w:noProof/>
                <w:webHidden/>
              </w:rPr>
              <w:tab/>
            </w:r>
            <w:r>
              <w:rPr>
                <w:noProof/>
                <w:webHidden/>
              </w:rPr>
              <w:fldChar w:fldCharType="begin"/>
            </w:r>
            <w:r>
              <w:rPr>
                <w:noProof/>
                <w:webHidden/>
              </w:rPr>
              <w:instrText xml:space="preserve"> PAGEREF _Toc202810188 \h </w:instrText>
            </w:r>
            <w:r>
              <w:rPr>
                <w:noProof/>
                <w:webHidden/>
              </w:rPr>
            </w:r>
            <w:r>
              <w:rPr>
                <w:noProof/>
                <w:webHidden/>
              </w:rPr>
              <w:fldChar w:fldCharType="separate"/>
            </w:r>
            <w:r w:rsidR="008C411D">
              <w:rPr>
                <w:noProof/>
                <w:webHidden/>
              </w:rPr>
              <w:t>9</w:t>
            </w:r>
            <w:r>
              <w:rPr>
                <w:noProof/>
                <w:webHidden/>
              </w:rPr>
              <w:fldChar w:fldCharType="end"/>
            </w:r>
          </w:hyperlink>
        </w:p>
        <w:p w14:paraId="68AA5F39" w14:textId="1761DC75" w:rsidR="00402EA7" w:rsidRDefault="00402EA7">
          <w:pPr>
            <w:pStyle w:val="TOC2"/>
            <w:tabs>
              <w:tab w:val="right" w:leader="dot" w:pos="9016"/>
            </w:tabs>
            <w:rPr>
              <w:rFonts w:eastAsiaTheme="minorEastAsia"/>
              <w:noProof/>
              <w:lang w:eastAsia="en-GB"/>
            </w:rPr>
          </w:pPr>
          <w:hyperlink w:anchor="_Toc202810189" w:history="1">
            <w:r w:rsidRPr="005D1EAC">
              <w:rPr>
                <w:rStyle w:val="Hyperlink"/>
                <w:rFonts w:ascii="Arial" w:hAnsi="Arial" w:cs="Arial"/>
                <w:b/>
                <w:bCs/>
                <w:noProof/>
              </w:rPr>
              <w:t>4. Communication Styles in the UK and Japan:</w:t>
            </w:r>
            <w:r>
              <w:rPr>
                <w:noProof/>
                <w:webHidden/>
              </w:rPr>
              <w:tab/>
            </w:r>
            <w:r>
              <w:rPr>
                <w:noProof/>
                <w:webHidden/>
              </w:rPr>
              <w:fldChar w:fldCharType="begin"/>
            </w:r>
            <w:r>
              <w:rPr>
                <w:noProof/>
                <w:webHidden/>
              </w:rPr>
              <w:instrText xml:space="preserve"> PAGEREF _Toc202810189 \h </w:instrText>
            </w:r>
            <w:r>
              <w:rPr>
                <w:noProof/>
                <w:webHidden/>
              </w:rPr>
            </w:r>
            <w:r>
              <w:rPr>
                <w:noProof/>
                <w:webHidden/>
              </w:rPr>
              <w:fldChar w:fldCharType="separate"/>
            </w:r>
            <w:r w:rsidR="008C411D">
              <w:rPr>
                <w:noProof/>
                <w:webHidden/>
              </w:rPr>
              <w:t>11</w:t>
            </w:r>
            <w:r>
              <w:rPr>
                <w:noProof/>
                <w:webHidden/>
              </w:rPr>
              <w:fldChar w:fldCharType="end"/>
            </w:r>
          </w:hyperlink>
        </w:p>
        <w:p w14:paraId="6B140DE8" w14:textId="313D1957" w:rsidR="00402EA7" w:rsidRDefault="00402EA7">
          <w:pPr>
            <w:pStyle w:val="TOC2"/>
            <w:tabs>
              <w:tab w:val="right" w:leader="dot" w:pos="9016"/>
            </w:tabs>
            <w:rPr>
              <w:rFonts w:eastAsiaTheme="minorEastAsia"/>
              <w:noProof/>
              <w:lang w:eastAsia="en-GB"/>
            </w:rPr>
          </w:pPr>
          <w:hyperlink w:anchor="_Toc202810190" w:history="1">
            <w:r w:rsidRPr="005D1EAC">
              <w:rPr>
                <w:rStyle w:val="Hyperlink"/>
                <w:rFonts w:ascii="Arial" w:hAnsi="Arial" w:cs="Arial"/>
                <w:b/>
                <w:bCs/>
                <w:noProof/>
              </w:rPr>
              <w:t>5. Misunderstandings in Team Collaboration:</w:t>
            </w:r>
            <w:r>
              <w:rPr>
                <w:noProof/>
                <w:webHidden/>
              </w:rPr>
              <w:tab/>
            </w:r>
            <w:r>
              <w:rPr>
                <w:noProof/>
                <w:webHidden/>
              </w:rPr>
              <w:fldChar w:fldCharType="begin"/>
            </w:r>
            <w:r>
              <w:rPr>
                <w:noProof/>
                <w:webHidden/>
              </w:rPr>
              <w:instrText xml:space="preserve"> PAGEREF _Toc202810190 \h </w:instrText>
            </w:r>
            <w:r>
              <w:rPr>
                <w:noProof/>
                <w:webHidden/>
              </w:rPr>
            </w:r>
            <w:r>
              <w:rPr>
                <w:noProof/>
                <w:webHidden/>
              </w:rPr>
              <w:fldChar w:fldCharType="separate"/>
            </w:r>
            <w:r w:rsidR="008C411D">
              <w:rPr>
                <w:noProof/>
                <w:webHidden/>
              </w:rPr>
              <w:t>12</w:t>
            </w:r>
            <w:r>
              <w:rPr>
                <w:noProof/>
                <w:webHidden/>
              </w:rPr>
              <w:fldChar w:fldCharType="end"/>
            </w:r>
          </w:hyperlink>
        </w:p>
        <w:p w14:paraId="7B667550" w14:textId="341B5C51" w:rsidR="00402EA7" w:rsidRDefault="00402EA7">
          <w:pPr>
            <w:pStyle w:val="TOC2"/>
            <w:tabs>
              <w:tab w:val="right" w:leader="dot" w:pos="9016"/>
            </w:tabs>
            <w:rPr>
              <w:rFonts w:eastAsiaTheme="minorEastAsia"/>
              <w:noProof/>
              <w:lang w:eastAsia="en-GB"/>
            </w:rPr>
          </w:pPr>
          <w:hyperlink w:anchor="_Toc202810191" w:history="1">
            <w:r w:rsidRPr="005D1EAC">
              <w:rPr>
                <w:rStyle w:val="Hyperlink"/>
                <w:rFonts w:ascii="Arial" w:hAnsi="Arial" w:cs="Arial"/>
                <w:b/>
                <w:bCs/>
                <w:noProof/>
              </w:rPr>
              <w:t>5.1. Impacts on Decision-Making and Project Implementation:</w:t>
            </w:r>
            <w:r>
              <w:rPr>
                <w:noProof/>
                <w:webHidden/>
              </w:rPr>
              <w:tab/>
            </w:r>
            <w:r>
              <w:rPr>
                <w:noProof/>
                <w:webHidden/>
              </w:rPr>
              <w:fldChar w:fldCharType="begin"/>
            </w:r>
            <w:r>
              <w:rPr>
                <w:noProof/>
                <w:webHidden/>
              </w:rPr>
              <w:instrText xml:space="preserve"> PAGEREF _Toc202810191 \h </w:instrText>
            </w:r>
            <w:r>
              <w:rPr>
                <w:noProof/>
                <w:webHidden/>
              </w:rPr>
            </w:r>
            <w:r>
              <w:rPr>
                <w:noProof/>
                <w:webHidden/>
              </w:rPr>
              <w:fldChar w:fldCharType="separate"/>
            </w:r>
            <w:r w:rsidR="008C411D">
              <w:rPr>
                <w:noProof/>
                <w:webHidden/>
              </w:rPr>
              <w:t>12</w:t>
            </w:r>
            <w:r>
              <w:rPr>
                <w:noProof/>
                <w:webHidden/>
              </w:rPr>
              <w:fldChar w:fldCharType="end"/>
            </w:r>
          </w:hyperlink>
        </w:p>
        <w:p w14:paraId="24AF7DF8" w14:textId="64E75800" w:rsidR="00402EA7" w:rsidRDefault="00402EA7">
          <w:pPr>
            <w:pStyle w:val="TOC2"/>
            <w:tabs>
              <w:tab w:val="right" w:leader="dot" w:pos="9016"/>
            </w:tabs>
            <w:rPr>
              <w:rFonts w:eastAsiaTheme="minorEastAsia"/>
              <w:noProof/>
              <w:lang w:eastAsia="en-GB"/>
            </w:rPr>
          </w:pPr>
          <w:hyperlink w:anchor="_Toc202810192" w:history="1">
            <w:r w:rsidRPr="005D1EAC">
              <w:rPr>
                <w:rStyle w:val="Hyperlink"/>
                <w:rFonts w:ascii="Arial" w:hAnsi="Arial" w:cs="Arial"/>
                <w:b/>
                <w:bCs/>
                <w:noProof/>
              </w:rPr>
              <w:t>6.Conclusion:</w:t>
            </w:r>
            <w:r>
              <w:rPr>
                <w:noProof/>
                <w:webHidden/>
              </w:rPr>
              <w:tab/>
            </w:r>
            <w:r>
              <w:rPr>
                <w:noProof/>
                <w:webHidden/>
              </w:rPr>
              <w:fldChar w:fldCharType="begin"/>
            </w:r>
            <w:r>
              <w:rPr>
                <w:noProof/>
                <w:webHidden/>
              </w:rPr>
              <w:instrText xml:space="preserve"> PAGEREF _Toc202810192 \h </w:instrText>
            </w:r>
            <w:r>
              <w:rPr>
                <w:noProof/>
                <w:webHidden/>
              </w:rPr>
            </w:r>
            <w:r>
              <w:rPr>
                <w:noProof/>
                <w:webHidden/>
              </w:rPr>
              <w:fldChar w:fldCharType="separate"/>
            </w:r>
            <w:r w:rsidR="008C411D">
              <w:rPr>
                <w:noProof/>
                <w:webHidden/>
              </w:rPr>
              <w:t>13</w:t>
            </w:r>
            <w:r>
              <w:rPr>
                <w:noProof/>
                <w:webHidden/>
              </w:rPr>
              <w:fldChar w:fldCharType="end"/>
            </w:r>
          </w:hyperlink>
        </w:p>
        <w:p w14:paraId="7B8048F7" w14:textId="06D79DB1" w:rsidR="00402EA7" w:rsidRDefault="00402EA7">
          <w:pPr>
            <w:pStyle w:val="TOC1"/>
            <w:tabs>
              <w:tab w:val="right" w:leader="dot" w:pos="9016"/>
            </w:tabs>
            <w:rPr>
              <w:rFonts w:eastAsiaTheme="minorEastAsia"/>
              <w:noProof/>
              <w:lang w:eastAsia="en-GB"/>
            </w:rPr>
          </w:pPr>
          <w:hyperlink w:anchor="_Toc202810193" w:history="1">
            <w:r w:rsidRPr="005D1EA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_Toc202810193 \h </w:instrText>
            </w:r>
            <w:r>
              <w:rPr>
                <w:noProof/>
                <w:webHidden/>
              </w:rPr>
            </w:r>
            <w:r>
              <w:rPr>
                <w:noProof/>
                <w:webHidden/>
              </w:rPr>
              <w:fldChar w:fldCharType="separate"/>
            </w:r>
            <w:r w:rsidR="008C411D">
              <w:rPr>
                <w:noProof/>
                <w:webHidden/>
              </w:rPr>
              <w:t>14</w:t>
            </w:r>
            <w:r>
              <w:rPr>
                <w:noProof/>
                <w:webHidden/>
              </w:rPr>
              <w:fldChar w:fldCharType="end"/>
            </w:r>
          </w:hyperlink>
        </w:p>
        <w:p w14:paraId="29EEDC29" w14:textId="037C1C94" w:rsidR="00723EF5" w:rsidRDefault="00723EF5">
          <w:r>
            <w:rPr>
              <w:b/>
              <w:bCs/>
              <w:noProof/>
            </w:rPr>
            <w:fldChar w:fldCharType="end"/>
          </w:r>
        </w:p>
      </w:sdtContent>
    </w:sdt>
    <w:p w14:paraId="09172B69" w14:textId="77777777" w:rsidR="00490A5A" w:rsidRDefault="00490A5A" w:rsidP="00723EF5">
      <w:pPr>
        <w:rPr>
          <w:rFonts w:ascii="Arial" w:hAnsi="Arial" w:cs="Arial"/>
          <w:b/>
          <w:bCs/>
        </w:rPr>
      </w:pPr>
    </w:p>
    <w:p w14:paraId="794F9133" w14:textId="77777777" w:rsidR="00723EF5" w:rsidRDefault="00723EF5" w:rsidP="00723EF5">
      <w:pPr>
        <w:rPr>
          <w:rFonts w:ascii="Arial" w:hAnsi="Arial" w:cs="Arial"/>
          <w:b/>
          <w:bCs/>
        </w:rPr>
      </w:pPr>
    </w:p>
    <w:p w14:paraId="2E38A819" w14:textId="77777777" w:rsidR="00723EF5" w:rsidRDefault="00723EF5" w:rsidP="00723EF5">
      <w:pPr>
        <w:rPr>
          <w:rFonts w:ascii="Arial" w:hAnsi="Arial" w:cs="Arial"/>
          <w:b/>
          <w:bCs/>
        </w:rPr>
      </w:pPr>
    </w:p>
    <w:p w14:paraId="5CAA56A6" w14:textId="77777777" w:rsidR="00723EF5" w:rsidRDefault="00723EF5" w:rsidP="00723EF5">
      <w:pPr>
        <w:rPr>
          <w:rFonts w:ascii="Arial" w:hAnsi="Arial" w:cs="Arial"/>
          <w:b/>
          <w:bCs/>
        </w:rPr>
      </w:pPr>
    </w:p>
    <w:p w14:paraId="3EA434DB" w14:textId="294176A5" w:rsidR="00723EF5" w:rsidRDefault="00723EF5" w:rsidP="00723EF5">
      <w:pPr>
        <w:rPr>
          <w:rFonts w:ascii="Arial" w:hAnsi="Arial" w:cs="Arial"/>
          <w:b/>
          <w:bCs/>
        </w:rPr>
      </w:pPr>
    </w:p>
    <w:p w14:paraId="4F716125" w14:textId="77777777" w:rsidR="00723EF5" w:rsidRDefault="00723EF5">
      <w:pPr>
        <w:rPr>
          <w:rFonts w:ascii="Arial" w:hAnsi="Arial" w:cs="Arial"/>
          <w:b/>
          <w:bCs/>
        </w:rPr>
      </w:pPr>
      <w:r>
        <w:rPr>
          <w:rFonts w:ascii="Arial" w:hAnsi="Arial" w:cs="Arial"/>
          <w:b/>
          <w:bCs/>
        </w:rPr>
        <w:br w:type="page"/>
      </w:r>
    </w:p>
    <w:p w14:paraId="76189CBA" w14:textId="21100FEC" w:rsidR="00723EF5" w:rsidRDefault="002A3CC3" w:rsidP="002A3CC3">
      <w:pPr>
        <w:pStyle w:val="Heading2"/>
        <w:rPr>
          <w:rFonts w:ascii="Arial" w:hAnsi="Arial" w:cs="Arial"/>
          <w:b/>
          <w:bCs/>
          <w:color w:val="000000" w:themeColor="text1"/>
          <w:sz w:val="28"/>
          <w:szCs w:val="28"/>
        </w:rPr>
      </w:pPr>
      <w:bookmarkStart w:id="0" w:name="_Toc202810183"/>
      <w:r w:rsidRPr="002A3CC3">
        <w:rPr>
          <w:rFonts w:ascii="Arial" w:hAnsi="Arial" w:cs="Arial"/>
          <w:b/>
          <w:bCs/>
          <w:color w:val="000000" w:themeColor="text1"/>
          <w:sz w:val="28"/>
          <w:szCs w:val="28"/>
        </w:rPr>
        <w:lastRenderedPageBreak/>
        <w:t>1.Introduction:</w:t>
      </w:r>
      <w:bookmarkEnd w:id="0"/>
    </w:p>
    <w:p w14:paraId="01B67AFF" w14:textId="77777777" w:rsidR="002A3CC3" w:rsidRDefault="002A3CC3" w:rsidP="002A3CC3"/>
    <w:p w14:paraId="240B1A89" w14:textId="16983440" w:rsidR="002A3CC3" w:rsidRPr="00EA1BC9" w:rsidRDefault="00EC054B" w:rsidP="00EA1BC9">
      <w:pPr>
        <w:spacing w:line="360" w:lineRule="auto"/>
        <w:ind w:firstLine="720"/>
        <w:rPr>
          <w:rFonts w:ascii="Arial" w:hAnsi="Arial" w:cs="Arial"/>
          <w:sz w:val="22"/>
          <w:szCs w:val="22"/>
        </w:rPr>
      </w:pPr>
      <w:r w:rsidRPr="00EA1BC9">
        <w:rPr>
          <w:rFonts w:ascii="Arial" w:hAnsi="Arial" w:cs="Arial"/>
          <w:sz w:val="22"/>
          <w:szCs w:val="22"/>
        </w:rPr>
        <w:t xml:space="preserve">In today’s interconnected global economy, international partnerships have become more frequent. Successful collaboration in these multinational projects heavily relies on effective communication. </w:t>
      </w:r>
    </w:p>
    <w:p w14:paraId="3B35A88F" w14:textId="311886E8" w:rsidR="002062D9" w:rsidRPr="002062D9" w:rsidRDefault="00CA7BE2" w:rsidP="002062D9">
      <w:pPr>
        <w:spacing w:line="360" w:lineRule="auto"/>
        <w:ind w:firstLine="720"/>
        <w:rPr>
          <w:rFonts w:ascii="Arial" w:hAnsi="Arial" w:cs="Arial"/>
          <w:sz w:val="22"/>
          <w:szCs w:val="22"/>
        </w:rPr>
      </w:pPr>
      <w:r w:rsidRPr="00EA1BC9">
        <w:rPr>
          <w:rFonts w:ascii="Arial" w:hAnsi="Arial" w:cs="Arial"/>
          <w:sz w:val="22"/>
          <w:szCs w:val="22"/>
        </w:rPr>
        <w:t>The Global Combat Air Programme (GCAP) is a joint defence initiative between the United Kingdom, Japan, and Italy, aiming to develop a sixth-generation fighter jet by 2035. This project represents more than just technological collaboration</w:t>
      </w:r>
      <w:r w:rsidR="002062D9">
        <w:rPr>
          <w:rFonts w:ascii="Arial" w:hAnsi="Arial" w:cs="Arial"/>
          <w:sz w:val="22"/>
          <w:szCs w:val="22"/>
        </w:rPr>
        <w:t>-</w:t>
      </w:r>
      <w:r w:rsidRPr="00EA1BC9">
        <w:rPr>
          <w:rFonts w:ascii="Arial" w:hAnsi="Arial" w:cs="Arial"/>
          <w:sz w:val="22"/>
          <w:szCs w:val="22"/>
        </w:rPr>
        <w:t xml:space="preserve">it also brings together varied military, industrial, and cultural perspectives. </w:t>
      </w:r>
      <w:r w:rsidR="002062D9" w:rsidRPr="002062D9">
        <w:rPr>
          <w:rFonts w:ascii="Arial" w:hAnsi="Arial" w:cs="Arial"/>
          <w:sz w:val="22"/>
          <w:szCs w:val="22"/>
        </w:rPr>
        <w:t>GCAP brings together major defence firms</w:t>
      </w:r>
      <w:r w:rsidR="002062D9">
        <w:rPr>
          <w:rFonts w:ascii="Arial" w:hAnsi="Arial" w:cs="Arial"/>
          <w:sz w:val="22"/>
          <w:szCs w:val="22"/>
        </w:rPr>
        <w:t>-</w:t>
      </w:r>
      <w:r w:rsidR="002062D9" w:rsidRPr="002062D9">
        <w:rPr>
          <w:rFonts w:ascii="Arial" w:hAnsi="Arial" w:cs="Arial"/>
          <w:b/>
          <w:bCs/>
          <w:sz w:val="22"/>
          <w:szCs w:val="22"/>
        </w:rPr>
        <w:t>BAE Systems (UK)</w:t>
      </w:r>
      <w:r w:rsidR="002062D9" w:rsidRPr="002062D9">
        <w:rPr>
          <w:rFonts w:ascii="Arial" w:hAnsi="Arial" w:cs="Arial"/>
          <w:sz w:val="22"/>
          <w:szCs w:val="22"/>
        </w:rPr>
        <w:t xml:space="preserve">, </w:t>
      </w:r>
      <w:r w:rsidR="002062D9" w:rsidRPr="002062D9">
        <w:rPr>
          <w:rFonts w:ascii="Arial" w:hAnsi="Arial" w:cs="Arial"/>
          <w:b/>
          <w:bCs/>
          <w:sz w:val="22"/>
          <w:szCs w:val="22"/>
        </w:rPr>
        <w:t>Mitsubishi Heavy Industries (Japan)</w:t>
      </w:r>
      <w:r w:rsidR="002062D9" w:rsidRPr="002062D9">
        <w:rPr>
          <w:rFonts w:ascii="Arial" w:hAnsi="Arial" w:cs="Arial"/>
          <w:sz w:val="22"/>
          <w:szCs w:val="22"/>
        </w:rPr>
        <w:t xml:space="preserve">, and </w:t>
      </w:r>
      <w:r w:rsidR="002062D9" w:rsidRPr="002062D9">
        <w:rPr>
          <w:rFonts w:ascii="Arial" w:hAnsi="Arial" w:cs="Arial"/>
          <w:b/>
          <w:bCs/>
          <w:sz w:val="22"/>
          <w:szCs w:val="22"/>
        </w:rPr>
        <w:t>Leonardo (Italy)</w:t>
      </w:r>
      <w:r w:rsidR="002062D9">
        <w:rPr>
          <w:rFonts w:ascii="Arial" w:hAnsi="Arial" w:cs="Arial"/>
          <w:sz w:val="22"/>
          <w:szCs w:val="22"/>
        </w:rPr>
        <w:t>-</w:t>
      </w:r>
      <w:r w:rsidR="002062D9" w:rsidRPr="002062D9">
        <w:rPr>
          <w:rFonts w:ascii="Arial" w:hAnsi="Arial" w:cs="Arial"/>
          <w:sz w:val="22"/>
          <w:szCs w:val="22"/>
        </w:rPr>
        <w:t xml:space="preserve">to jointly design a highly advanced combat aircraft. The programme not only reflects shared security interests in the </w:t>
      </w:r>
      <w:r w:rsidR="002062D9" w:rsidRPr="002062D9">
        <w:rPr>
          <w:rFonts w:ascii="Arial" w:hAnsi="Arial" w:cs="Arial"/>
          <w:i/>
          <w:iCs/>
          <w:sz w:val="22"/>
          <w:szCs w:val="22"/>
        </w:rPr>
        <w:t>Indo-Pacific and Euro-Atlantic</w:t>
      </w:r>
      <w:r w:rsidR="002062D9" w:rsidRPr="002062D9">
        <w:rPr>
          <w:rFonts w:ascii="Arial" w:hAnsi="Arial" w:cs="Arial"/>
          <w:sz w:val="22"/>
          <w:szCs w:val="22"/>
        </w:rPr>
        <w:t xml:space="preserve"> regions but also highlights complex communication challenges rooted in different national cultures.</w:t>
      </w:r>
    </w:p>
    <w:p w14:paraId="6C0A89D8" w14:textId="77777777" w:rsidR="005D1BE6" w:rsidRDefault="002062D9" w:rsidP="005D1BE6">
      <w:pPr>
        <w:spacing w:line="360" w:lineRule="auto"/>
        <w:ind w:firstLine="720"/>
        <w:rPr>
          <w:rFonts w:ascii="Arial" w:hAnsi="Arial" w:cs="Arial"/>
          <w:sz w:val="22"/>
          <w:szCs w:val="22"/>
        </w:rPr>
      </w:pPr>
      <w:r w:rsidRPr="002062D9">
        <w:rPr>
          <w:rFonts w:ascii="Arial" w:hAnsi="Arial" w:cs="Arial"/>
          <w:sz w:val="22"/>
          <w:szCs w:val="22"/>
        </w:rPr>
        <w:t>The UK’s leadership in innovation and Japan’s high-precision engineering strengths make them complementary partners. However, differences in communication styles, corporate hierarchy, and decision-making can lead to friction if not properly managed.</w:t>
      </w:r>
    </w:p>
    <w:p w14:paraId="04798911" w14:textId="25F967A9" w:rsidR="00EC054B" w:rsidRDefault="00CA7BE2" w:rsidP="005D1BE6">
      <w:pPr>
        <w:spacing w:line="360" w:lineRule="auto"/>
        <w:ind w:firstLine="720"/>
        <w:rPr>
          <w:rFonts w:ascii="Arial" w:hAnsi="Arial" w:cs="Arial"/>
          <w:sz w:val="22"/>
          <w:szCs w:val="22"/>
        </w:rPr>
      </w:pPr>
      <w:r w:rsidRPr="00EA1BC9">
        <w:rPr>
          <w:rFonts w:ascii="Arial" w:hAnsi="Arial" w:cs="Arial"/>
          <w:sz w:val="22"/>
          <w:szCs w:val="22"/>
        </w:rPr>
        <w:t>This essay examines the communication differences between British and Japanese teams and evaluates how these differences influence cooperation in complex aerospace engineering projects. The discussion incorporates Hofstede’s cultural dimensions, Hall’s high- and low-context communication theory, and Trompenaars’ model to propose strategies for successful intercultural teamwork.</w:t>
      </w:r>
    </w:p>
    <w:p w14:paraId="496E679B" w14:textId="77777777" w:rsidR="005921D9" w:rsidRDefault="005921D9" w:rsidP="00EA1BC9">
      <w:pPr>
        <w:spacing w:line="360" w:lineRule="auto"/>
        <w:ind w:firstLine="720"/>
        <w:rPr>
          <w:rFonts w:ascii="Arial" w:hAnsi="Arial" w:cs="Arial"/>
          <w:sz w:val="22"/>
          <w:szCs w:val="22"/>
        </w:rPr>
      </w:pPr>
    </w:p>
    <w:p w14:paraId="56441670" w14:textId="77777777" w:rsidR="005921D9" w:rsidRDefault="005921D9" w:rsidP="00EA1BC9">
      <w:pPr>
        <w:spacing w:line="360" w:lineRule="auto"/>
        <w:ind w:firstLine="720"/>
        <w:rPr>
          <w:rFonts w:ascii="Arial" w:hAnsi="Arial" w:cs="Arial"/>
          <w:sz w:val="22"/>
          <w:szCs w:val="22"/>
        </w:rPr>
      </w:pPr>
    </w:p>
    <w:p w14:paraId="487B407C" w14:textId="77777777" w:rsidR="005921D9" w:rsidRDefault="005921D9" w:rsidP="00EA1BC9">
      <w:pPr>
        <w:spacing w:line="360" w:lineRule="auto"/>
        <w:ind w:firstLine="720"/>
        <w:rPr>
          <w:rFonts w:ascii="Arial" w:hAnsi="Arial" w:cs="Arial"/>
          <w:sz w:val="22"/>
          <w:szCs w:val="22"/>
        </w:rPr>
      </w:pPr>
    </w:p>
    <w:p w14:paraId="4862FB95" w14:textId="77777777" w:rsidR="005921D9" w:rsidRDefault="005921D9" w:rsidP="00EA1BC9">
      <w:pPr>
        <w:spacing w:line="360" w:lineRule="auto"/>
        <w:ind w:firstLine="720"/>
        <w:rPr>
          <w:rFonts w:ascii="Arial" w:hAnsi="Arial" w:cs="Arial"/>
          <w:sz w:val="22"/>
          <w:szCs w:val="22"/>
        </w:rPr>
      </w:pPr>
    </w:p>
    <w:p w14:paraId="5F0C17FC" w14:textId="77777777" w:rsidR="005921D9" w:rsidRDefault="005921D9" w:rsidP="00EA1BC9">
      <w:pPr>
        <w:spacing w:line="360" w:lineRule="auto"/>
        <w:ind w:firstLine="720"/>
        <w:rPr>
          <w:rFonts w:ascii="Arial" w:hAnsi="Arial" w:cs="Arial"/>
          <w:sz w:val="22"/>
          <w:szCs w:val="22"/>
        </w:rPr>
      </w:pPr>
    </w:p>
    <w:p w14:paraId="3B59052F" w14:textId="77777777" w:rsidR="005921D9" w:rsidRDefault="005921D9" w:rsidP="00EA1BC9">
      <w:pPr>
        <w:spacing w:line="360" w:lineRule="auto"/>
        <w:ind w:firstLine="720"/>
        <w:rPr>
          <w:rFonts w:ascii="Arial" w:hAnsi="Arial" w:cs="Arial"/>
          <w:sz w:val="22"/>
          <w:szCs w:val="22"/>
        </w:rPr>
      </w:pPr>
    </w:p>
    <w:p w14:paraId="6E9BC8EC" w14:textId="77777777" w:rsidR="005921D9" w:rsidRDefault="005921D9" w:rsidP="00EA1BC9">
      <w:pPr>
        <w:spacing w:line="360" w:lineRule="auto"/>
        <w:ind w:firstLine="720"/>
        <w:rPr>
          <w:rFonts w:ascii="Arial" w:hAnsi="Arial" w:cs="Arial"/>
          <w:sz w:val="22"/>
          <w:szCs w:val="22"/>
        </w:rPr>
      </w:pPr>
    </w:p>
    <w:p w14:paraId="3C1B5ED9" w14:textId="77777777" w:rsidR="005921D9" w:rsidRDefault="005921D9" w:rsidP="00EA1BC9">
      <w:pPr>
        <w:spacing w:line="360" w:lineRule="auto"/>
        <w:ind w:firstLine="720"/>
        <w:rPr>
          <w:rFonts w:ascii="Arial" w:hAnsi="Arial" w:cs="Arial"/>
          <w:sz w:val="22"/>
          <w:szCs w:val="22"/>
        </w:rPr>
      </w:pPr>
    </w:p>
    <w:p w14:paraId="3FEB5B79" w14:textId="77777777" w:rsidR="005921D9" w:rsidRDefault="005921D9" w:rsidP="00EA1BC9">
      <w:pPr>
        <w:spacing w:line="360" w:lineRule="auto"/>
        <w:ind w:firstLine="720"/>
        <w:rPr>
          <w:rFonts w:ascii="Arial" w:hAnsi="Arial" w:cs="Arial"/>
          <w:sz w:val="22"/>
          <w:szCs w:val="22"/>
        </w:rPr>
      </w:pPr>
    </w:p>
    <w:p w14:paraId="6668A894" w14:textId="77777777" w:rsidR="005921D9" w:rsidRDefault="005921D9" w:rsidP="00EA1BC9">
      <w:pPr>
        <w:spacing w:line="360" w:lineRule="auto"/>
        <w:ind w:firstLine="720"/>
        <w:rPr>
          <w:rFonts w:ascii="Arial" w:hAnsi="Arial" w:cs="Arial"/>
          <w:sz w:val="22"/>
          <w:szCs w:val="22"/>
        </w:rPr>
      </w:pPr>
    </w:p>
    <w:p w14:paraId="31741871" w14:textId="21ADB94C" w:rsidR="005921D9" w:rsidRDefault="00242CE5" w:rsidP="00242CE5">
      <w:pPr>
        <w:pStyle w:val="Heading2"/>
        <w:rPr>
          <w:rFonts w:ascii="Arial" w:hAnsi="Arial" w:cs="Arial"/>
          <w:b/>
          <w:bCs/>
          <w:color w:val="000000" w:themeColor="text1"/>
          <w:sz w:val="28"/>
          <w:szCs w:val="28"/>
        </w:rPr>
      </w:pPr>
      <w:bookmarkStart w:id="1" w:name="_Toc202810184"/>
      <w:r w:rsidRPr="00183982">
        <w:rPr>
          <w:rFonts w:ascii="Arial" w:hAnsi="Arial" w:cs="Arial"/>
          <w:b/>
          <w:bCs/>
          <w:color w:val="000000" w:themeColor="text1"/>
          <w:sz w:val="28"/>
          <w:szCs w:val="28"/>
        </w:rPr>
        <w:lastRenderedPageBreak/>
        <w:t>2.</w:t>
      </w:r>
      <w:r w:rsidR="00183982" w:rsidRPr="00183982">
        <w:rPr>
          <w:rFonts w:ascii="Arial" w:eastAsiaTheme="minorHAnsi" w:hAnsi="Arial" w:cs="Arial"/>
          <w:b/>
          <w:bCs/>
          <w:color w:val="000000" w:themeColor="text1"/>
          <w:sz w:val="28"/>
          <w:szCs w:val="28"/>
        </w:rPr>
        <w:t xml:space="preserve"> </w:t>
      </w:r>
      <w:r w:rsidR="00183982" w:rsidRPr="00183982">
        <w:rPr>
          <w:rFonts w:ascii="Arial" w:hAnsi="Arial" w:cs="Arial"/>
          <w:b/>
          <w:bCs/>
          <w:color w:val="000000" w:themeColor="text1"/>
          <w:sz w:val="28"/>
          <w:szCs w:val="28"/>
        </w:rPr>
        <w:t>Background of GCAP and Geopolitical Context</w:t>
      </w:r>
      <w:r w:rsidR="00183982" w:rsidRPr="00183982">
        <w:rPr>
          <w:rFonts w:ascii="Arial" w:hAnsi="Arial" w:cs="Arial"/>
          <w:b/>
          <w:bCs/>
          <w:color w:val="000000" w:themeColor="text1"/>
          <w:sz w:val="28"/>
          <w:szCs w:val="28"/>
        </w:rPr>
        <w:t>.</w:t>
      </w:r>
      <w:bookmarkEnd w:id="1"/>
    </w:p>
    <w:p w14:paraId="1C230C47" w14:textId="77777777" w:rsidR="00183982" w:rsidRDefault="00183982" w:rsidP="00183982"/>
    <w:p w14:paraId="54847A72" w14:textId="6B46A432" w:rsidR="003B71E0" w:rsidRDefault="00A303A9" w:rsidP="00A303A9">
      <w:pPr>
        <w:spacing w:line="360" w:lineRule="auto"/>
        <w:ind w:firstLine="720"/>
        <w:rPr>
          <w:rFonts w:ascii="Arial" w:hAnsi="Arial" w:cs="Arial"/>
          <w:sz w:val="22"/>
          <w:szCs w:val="22"/>
        </w:rPr>
      </w:pPr>
      <w:r w:rsidRPr="00A303A9">
        <w:rPr>
          <w:rFonts w:ascii="Arial" w:hAnsi="Arial" w:cs="Arial"/>
          <w:noProof/>
          <w:sz w:val="22"/>
          <w:szCs w:val="22"/>
        </w:rPr>
        <w:drawing>
          <wp:anchor distT="0" distB="0" distL="114300" distR="114300" simplePos="0" relativeHeight="251658240" behindDoc="0" locked="0" layoutInCell="1" allowOverlap="1" wp14:anchorId="42133B55" wp14:editId="1BC492E9">
            <wp:simplePos x="0" y="0"/>
            <wp:positionH relativeFrom="margin">
              <wp:posOffset>2501900</wp:posOffset>
            </wp:positionH>
            <wp:positionV relativeFrom="paragraph">
              <wp:posOffset>49530</wp:posOffset>
            </wp:positionV>
            <wp:extent cx="3232785" cy="2101850"/>
            <wp:effectExtent l="0" t="0" r="5715" b="0"/>
            <wp:wrapSquare wrapText="bothSides"/>
            <wp:docPr id="1081851750" name="Picture 1" descr="A close-up of a model of a fighter j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851750" name="Picture 1" descr="A close-up of a model of a fighter je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785" cy="2101850"/>
                    </a:xfrm>
                    <a:prstGeom prst="rect">
                      <a:avLst/>
                    </a:prstGeom>
                  </pic:spPr>
                </pic:pic>
              </a:graphicData>
            </a:graphic>
            <wp14:sizeRelH relativeFrom="margin">
              <wp14:pctWidth>0</wp14:pctWidth>
            </wp14:sizeRelH>
            <wp14:sizeRelV relativeFrom="margin">
              <wp14:pctHeight>0</wp14:pctHeight>
            </wp14:sizeRelV>
          </wp:anchor>
        </w:drawing>
      </w:r>
      <w:r w:rsidRPr="00A303A9">
        <w:rPr>
          <w:rFonts w:ascii="Arial" w:hAnsi="Arial" w:cs="Arial"/>
          <w:sz w:val="22"/>
          <w:szCs w:val="22"/>
        </w:rPr>
        <w:t xml:space="preserve">Launched in December 2022, the </w:t>
      </w:r>
      <w:r w:rsidRPr="00A303A9">
        <w:rPr>
          <w:rFonts w:ascii="Arial" w:hAnsi="Arial" w:cs="Arial"/>
          <w:b/>
          <w:bCs/>
          <w:sz w:val="22"/>
          <w:szCs w:val="22"/>
          <w:u w:val="single"/>
        </w:rPr>
        <w:t>Global Combat Air Programme (GCAP)</w:t>
      </w:r>
      <w:r w:rsidRPr="00A303A9">
        <w:rPr>
          <w:rFonts w:ascii="Arial" w:hAnsi="Arial" w:cs="Arial"/>
          <w:sz w:val="22"/>
          <w:szCs w:val="22"/>
        </w:rPr>
        <w:t xml:space="preserve"> represents an ambitious three-nation collaboration aimed at advancing the future of air combat technology</w:t>
      </w:r>
      <w:sdt>
        <w:sdtPr>
          <w:rPr>
            <w:rFonts w:ascii="Arial" w:hAnsi="Arial" w:cs="Arial"/>
            <w:sz w:val="22"/>
            <w:szCs w:val="22"/>
          </w:rPr>
          <w:id w:val="1279914307"/>
          <w:citation/>
        </w:sdtPr>
        <w:sdtContent>
          <w:r w:rsidR="00397357">
            <w:rPr>
              <w:rFonts w:ascii="Arial" w:hAnsi="Arial" w:cs="Arial"/>
              <w:sz w:val="22"/>
              <w:szCs w:val="22"/>
            </w:rPr>
            <w:fldChar w:fldCharType="begin"/>
          </w:r>
          <w:r w:rsidR="00397357">
            <w:rPr>
              <w:rFonts w:ascii="Arial" w:hAnsi="Arial" w:cs="Arial"/>
              <w:sz w:val="22"/>
              <w:szCs w:val="22"/>
              <w:lang w:val="en-US"/>
            </w:rPr>
            <w:instrText xml:space="preserve"> CITATION Pet24 \l 1033 </w:instrText>
          </w:r>
          <w:r w:rsidR="00397357">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(Petrie, 2024)</w:t>
          </w:r>
          <w:r w:rsidR="00397357">
            <w:rPr>
              <w:rFonts w:ascii="Arial" w:hAnsi="Arial" w:cs="Arial"/>
              <w:sz w:val="22"/>
              <w:szCs w:val="22"/>
            </w:rPr>
            <w:fldChar w:fldCharType="end"/>
          </w:r>
        </w:sdtContent>
      </w:sdt>
      <w:r w:rsidRPr="00A303A9">
        <w:rPr>
          <w:rFonts w:ascii="Arial" w:hAnsi="Arial" w:cs="Arial"/>
          <w:sz w:val="22"/>
          <w:szCs w:val="22"/>
        </w:rPr>
        <w:t xml:space="preserve">. It brings together the UK’s Team Tempest initiative, Japan’s F-X programme, and Italy’s aerospace capabilities under a common strategic </w:t>
      </w:r>
    </w:p>
    <w:p w14:paraId="3F7B7422" w14:textId="53B9D8F2" w:rsidR="003B71E0" w:rsidRPr="003B71E0" w:rsidRDefault="003B71E0" w:rsidP="003B71E0">
      <w:pPr>
        <w:spacing w:line="360" w:lineRule="auto"/>
        <w:rPr>
          <w:rFonts w:ascii="Arial" w:hAnsi="Arial" w:cs="Arial"/>
          <w:b/>
          <w:bCs/>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3B71E0">
        <w:rPr>
          <w:rFonts w:ascii="Arial" w:hAnsi="Arial" w:cs="Arial"/>
          <w:b/>
          <w:bCs/>
          <w:sz w:val="22"/>
          <w:szCs w:val="22"/>
        </w:rPr>
        <w:t>Fig.1.</w:t>
      </w:r>
    </w:p>
    <w:p w14:paraId="4E75307F" w14:textId="773B781A" w:rsidR="00A303A9" w:rsidRPr="00A303A9" w:rsidRDefault="00A303A9" w:rsidP="003B71E0">
      <w:pPr>
        <w:spacing w:line="360" w:lineRule="auto"/>
        <w:rPr>
          <w:rFonts w:ascii="Arial" w:hAnsi="Arial" w:cs="Arial"/>
          <w:sz w:val="22"/>
          <w:szCs w:val="22"/>
        </w:rPr>
      </w:pPr>
      <w:r w:rsidRPr="00A303A9">
        <w:rPr>
          <w:rFonts w:ascii="Arial" w:hAnsi="Arial" w:cs="Arial"/>
          <w:sz w:val="22"/>
          <w:szCs w:val="22"/>
        </w:rPr>
        <w:t xml:space="preserve">vision. Beyond shared defence </w:t>
      </w:r>
      <w:r w:rsidRPr="00A303A9">
        <w:rPr>
          <w:rFonts w:ascii="Arial" w:hAnsi="Arial" w:cs="Arial"/>
          <w:sz w:val="22"/>
          <w:szCs w:val="22"/>
        </w:rPr>
        <w:t>goals Launched</w:t>
      </w:r>
      <w:r w:rsidRPr="00A303A9">
        <w:rPr>
          <w:rFonts w:ascii="Arial" w:hAnsi="Arial" w:cs="Arial"/>
          <w:sz w:val="22"/>
          <w:szCs w:val="22"/>
        </w:rPr>
        <w:t xml:space="preserve"> in December 2022, the Global Combat Air Programme (GCAP) represents an ambitious three-nation collaboration aimed at advancing the future of air combat technology. It brings together the UK’s Team Tempest initiative, Japan’s F-X programme, and Italy’s aerospace capabilities under a common strategic vision. Beyond shared defence goals, the partnership reflects a broader geopolitical alignment, particularly in addressing emerging security challenges and maintaining stability across the Indo-Pacific and Euro-Atlantic regions.</w:t>
      </w:r>
    </w:p>
    <w:p w14:paraId="00D2525B" w14:textId="77777777" w:rsidR="00A303A9" w:rsidRPr="00A303A9" w:rsidRDefault="00A303A9" w:rsidP="00A303A9">
      <w:pPr>
        <w:spacing w:line="360" w:lineRule="auto"/>
        <w:ind w:firstLine="720"/>
        <w:rPr>
          <w:rFonts w:ascii="Arial" w:hAnsi="Arial" w:cs="Arial"/>
          <w:sz w:val="22"/>
          <w:szCs w:val="22"/>
        </w:rPr>
      </w:pPr>
      <w:r w:rsidRPr="00A303A9">
        <w:rPr>
          <w:rFonts w:ascii="Arial" w:hAnsi="Arial" w:cs="Arial"/>
          <w:sz w:val="22"/>
          <w:szCs w:val="22"/>
        </w:rPr>
        <w:t>From an organisational standpoint, the UK’s involvement is led by BAE Systems, a company with extensive experience in combat aircraft development. In Japan, Mitsubishi Heavy Industries takes the lead, offering cutting-edge aerospace expertise and strong ties with the country’s Ministry of Defence. These key players operate within distinct national cultures, each influenced by unique views on hierarchy, communication, and collaboration.</w:t>
      </w:r>
    </w:p>
    <w:p w14:paraId="1FAE14D9" w14:textId="02C40F20" w:rsidR="00A303A9" w:rsidRPr="00A303A9" w:rsidRDefault="00A303A9" w:rsidP="00A303A9">
      <w:pPr>
        <w:spacing w:line="360" w:lineRule="auto"/>
        <w:rPr>
          <w:rFonts w:ascii="Arial" w:hAnsi="Arial" w:cs="Arial"/>
          <w:sz w:val="22"/>
          <w:szCs w:val="22"/>
        </w:rPr>
      </w:pPr>
      <w:r w:rsidRPr="00A303A9">
        <w:rPr>
          <w:rFonts w:ascii="Arial" w:hAnsi="Arial" w:cs="Arial"/>
          <w:sz w:val="22"/>
          <w:szCs w:val="22"/>
        </w:rPr>
        <w:t>The UK typically exhibits a business culture that is informal, individualistic, and focused on achieving results. In contrast, Japanese corporate and defence environments are marked by formality, collectivism, and a strong emphasis on consensus-building. Within the GCAP framework, these cultural contrasts are evident in how teams interact, make decisions, conduct meetings, and report progress</w:t>
      </w:r>
      <w:sdt>
        <w:sdtPr>
          <w:rPr>
            <w:rFonts w:ascii="Arial" w:hAnsi="Arial" w:cs="Arial"/>
            <w:sz w:val="22"/>
            <w:szCs w:val="22"/>
          </w:rPr>
          <w:id w:val="1823547518"/>
          <w:citation/>
        </w:sdtPr>
        <w:sdtContent>
          <w:r w:rsidR="00192C5D">
            <w:rPr>
              <w:rFonts w:ascii="Arial" w:hAnsi="Arial" w:cs="Arial"/>
              <w:sz w:val="22"/>
              <w:szCs w:val="22"/>
            </w:rPr>
            <w:fldChar w:fldCharType="begin"/>
          </w:r>
          <w:r w:rsidR="00192C5D">
            <w:rPr>
              <w:rFonts w:ascii="Arial" w:hAnsi="Arial" w:cs="Arial"/>
              <w:sz w:val="22"/>
              <w:szCs w:val="22"/>
              <w:lang w:val="en-US"/>
            </w:rPr>
            <w:instrText xml:space="preserve"> CITATION Ogb11 \l 1033 </w:instrText>
          </w:r>
          <w:r w:rsidR="00192C5D">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(Ogbonna, 2011)</w:t>
          </w:r>
          <w:r w:rsidR="00192C5D">
            <w:rPr>
              <w:rFonts w:ascii="Arial" w:hAnsi="Arial" w:cs="Arial"/>
              <w:sz w:val="22"/>
              <w:szCs w:val="22"/>
            </w:rPr>
            <w:fldChar w:fldCharType="end"/>
          </w:r>
        </w:sdtContent>
      </w:sdt>
      <w:r w:rsidRPr="00A303A9">
        <w:rPr>
          <w:rFonts w:ascii="Arial" w:hAnsi="Arial" w:cs="Arial"/>
          <w:sz w:val="22"/>
          <w:szCs w:val="22"/>
        </w:rPr>
        <w:t>.</w:t>
      </w:r>
    </w:p>
    <w:p w14:paraId="74628D9D" w14:textId="77777777" w:rsidR="00A303A9" w:rsidRPr="00A303A9" w:rsidRDefault="00A303A9" w:rsidP="00A303A9">
      <w:pPr>
        <w:spacing w:line="360" w:lineRule="auto"/>
        <w:rPr>
          <w:rFonts w:ascii="Arial" w:hAnsi="Arial" w:cs="Arial"/>
          <w:sz w:val="22"/>
          <w:szCs w:val="22"/>
        </w:rPr>
      </w:pPr>
      <w:r w:rsidRPr="00A303A9">
        <w:rPr>
          <w:rFonts w:ascii="Arial" w:hAnsi="Arial" w:cs="Arial"/>
          <w:sz w:val="22"/>
          <w:szCs w:val="22"/>
        </w:rPr>
        <w:t>Given GCAP’s strategic significance and technical demands, recognising and addressing these communication differences is essential. This creates a foundation for a more in-depth analysis of the cultural dimensions that influence communication styles in each country.</w:t>
      </w:r>
    </w:p>
    <w:p w14:paraId="270376CD" w14:textId="6C201254" w:rsidR="00B619DE" w:rsidRDefault="00B619DE" w:rsidP="00A303A9">
      <w:pPr>
        <w:spacing w:line="360" w:lineRule="auto"/>
        <w:rPr>
          <w:rFonts w:ascii="Arial" w:hAnsi="Arial" w:cs="Arial"/>
          <w:sz w:val="22"/>
          <w:szCs w:val="22"/>
        </w:rPr>
      </w:pPr>
    </w:p>
    <w:p w14:paraId="73CBCA62" w14:textId="0C55398D" w:rsidR="00183982" w:rsidRPr="00B917A2" w:rsidRDefault="00B619DE" w:rsidP="00B917A2">
      <w:pPr>
        <w:pStyle w:val="Heading2"/>
        <w:rPr>
          <w:rFonts w:ascii="Arial" w:hAnsi="Arial" w:cs="Arial"/>
          <w:b/>
          <w:bCs/>
          <w:color w:val="auto"/>
          <w:sz w:val="28"/>
          <w:szCs w:val="28"/>
        </w:rPr>
      </w:pPr>
      <w:r>
        <w:rPr>
          <w:sz w:val="22"/>
          <w:szCs w:val="22"/>
        </w:rPr>
        <w:br w:type="page"/>
      </w:r>
      <w:bookmarkStart w:id="2" w:name="_Toc202810185"/>
      <w:r w:rsidR="003033D0" w:rsidRPr="00B917A2">
        <w:rPr>
          <w:rFonts w:ascii="Arial" w:hAnsi="Arial" w:cs="Arial"/>
          <w:b/>
          <w:bCs/>
          <w:color w:val="000000" w:themeColor="text1"/>
          <w:sz w:val="28"/>
          <w:szCs w:val="28"/>
        </w:rPr>
        <w:lastRenderedPageBreak/>
        <w:t>3.</w:t>
      </w:r>
      <w:r w:rsidR="006C5D2F" w:rsidRPr="00B917A2">
        <w:rPr>
          <w:rFonts w:ascii="Arial" w:eastAsiaTheme="minorHAnsi" w:hAnsi="Arial" w:cs="Arial"/>
          <w:b/>
          <w:bCs/>
          <w:color w:val="000000" w:themeColor="text1"/>
          <w:sz w:val="28"/>
          <w:szCs w:val="28"/>
        </w:rPr>
        <w:t xml:space="preserve"> </w:t>
      </w:r>
      <w:r w:rsidR="006C5D2F" w:rsidRPr="00B917A2">
        <w:rPr>
          <w:rFonts w:ascii="Arial" w:hAnsi="Arial" w:cs="Arial"/>
          <w:b/>
          <w:bCs/>
          <w:color w:val="000000" w:themeColor="text1"/>
          <w:sz w:val="28"/>
          <w:szCs w:val="28"/>
        </w:rPr>
        <w:t>Communication and Culture</w:t>
      </w:r>
      <w:r w:rsidR="006C5D2F" w:rsidRPr="00B917A2">
        <w:rPr>
          <w:rFonts w:ascii="Arial" w:hAnsi="Arial" w:cs="Arial"/>
          <w:b/>
          <w:bCs/>
          <w:color w:val="000000" w:themeColor="text1"/>
          <w:sz w:val="28"/>
          <w:szCs w:val="28"/>
        </w:rPr>
        <w:t xml:space="preserve"> - </w:t>
      </w:r>
      <w:r w:rsidR="006C5D2F" w:rsidRPr="00B917A2">
        <w:rPr>
          <w:rFonts w:ascii="Arial" w:hAnsi="Arial" w:cs="Arial"/>
          <w:b/>
          <w:bCs/>
          <w:color w:val="000000" w:themeColor="text1"/>
          <w:sz w:val="28"/>
          <w:szCs w:val="28"/>
        </w:rPr>
        <w:t>Theoretical Frameworks</w:t>
      </w:r>
      <w:r w:rsidR="006C5D2F" w:rsidRPr="00B917A2">
        <w:rPr>
          <w:rFonts w:ascii="Arial" w:hAnsi="Arial" w:cs="Arial"/>
          <w:b/>
          <w:bCs/>
          <w:color w:val="000000" w:themeColor="text1"/>
          <w:sz w:val="28"/>
          <w:szCs w:val="28"/>
        </w:rPr>
        <w:t>:</w:t>
      </w:r>
      <w:bookmarkEnd w:id="2"/>
    </w:p>
    <w:p w14:paraId="66CE8C07" w14:textId="7D605628" w:rsidR="00A264A9" w:rsidRDefault="0082463A" w:rsidP="00A264A9">
      <w:pPr>
        <w:spacing w:line="360" w:lineRule="auto"/>
        <w:ind w:firstLine="720"/>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35E8423A" wp14:editId="4B0122B8">
            <wp:simplePos x="0" y="0"/>
            <wp:positionH relativeFrom="column">
              <wp:posOffset>12700</wp:posOffset>
            </wp:positionH>
            <wp:positionV relativeFrom="paragraph">
              <wp:posOffset>290195</wp:posOffset>
            </wp:positionV>
            <wp:extent cx="3465830" cy="2400300"/>
            <wp:effectExtent l="0" t="0" r="1270" b="0"/>
            <wp:wrapSquare wrapText="bothSides"/>
            <wp:docPr id="101105346" name="Picture 2" descr="A person in a suit shaking hands with another person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05346" name="Picture 2" descr="A person in a suit shaking hands with another person in a room&#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5830" cy="2400300"/>
                    </a:xfrm>
                    <a:prstGeom prst="rect">
                      <a:avLst/>
                    </a:prstGeom>
                  </pic:spPr>
                </pic:pic>
              </a:graphicData>
            </a:graphic>
            <wp14:sizeRelH relativeFrom="margin">
              <wp14:pctWidth>0</wp14:pctWidth>
            </wp14:sizeRelH>
            <wp14:sizeRelV relativeFrom="margin">
              <wp14:pctHeight>0</wp14:pctHeight>
            </wp14:sizeRelV>
          </wp:anchor>
        </w:drawing>
      </w:r>
    </w:p>
    <w:p w14:paraId="50C16FFE" w14:textId="3302D27D" w:rsidR="00DD59FE" w:rsidRDefault="00A264A9" w:rsidP="00A264A9">
      <w:pPr>
        <w:spacing w:line="360" w:lineRule="auto"/>
        <w:ind w:firstLine="720"/>
        <w:rPr>
          <w:rFonts w:ascii="Arial" w:hAnsi="Arial" w:cs="Arial"/>
          <w:sz w:val="22"/>
          <w:szCs w:val="22"/>
        </w:rPr>
      </w:pPr>
      <w:r w:rsidRPr="00A264A9">
        <w:rPr>
          <w:rFonts w:ascii="Arial" w:hAnsi="Arial" w:cs="Arial"/>
          <w:sz w:val="22"/>
          <w:szCs w:val="22"/>
        </w:rPr>
        <w:t>To effectively understand cross-cultural communication within the Global Combat Air Programme (GCAP), it is essential to ground the analysis in established theoretical frameworks that reveal the underlying cultural values shaping professional behaviour</w:t>
      </w:r>
      <w:sdt>
        <w:sdtPr>
          <w:rPr>
            <w:rFonts w:ascii="Arial" w:hAnsi="Arial" w:cs="Arial"/>
            <w:sz w:val="22"/>
            <w:szCs w:val="22"/>
          </w:rPr>
          <w:id w:val="1975715748"/>
          <w:citation/>
        </w:sdtPr>
        <w:sdtContent>
          <w:r w:rsidR="00C6058E">
            <w:rPr>
              <w:rFonts w:ascii="Arial" w:hAnsi="Arial" w:cs="Arial"/>
              <w:sz w:val="22"/>
              <w:szCs w:val="22"/>
            </w:rPr>
            <w:fldChar w:fldCharType="begin"/>
          </w:r>
          <w:r w:rsidR="00C6058E">
            <w:rPr>
              <w:rFonts w:ascii="Arial" w:hAnsi="Arial" w:cs="Arial"/>
              <w:sz w:val="22"/>
              <w:szCs w:val="22"/>
              <w:lang w:val="en-US"/>
            </w:rPr>
            <w:instrText xml:space="preserve"> CITATION Sae15 \l 1033 </w:instrText>
          </w:r>
          <w:r w:rsidR="00C6058E">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(Saeed Askary, 2015)</w:t>
          </w:r>
          <w:r w:rsidR="00C6058E">
            <w:rPr>
              <w:rFonts w:ascii="Arial" w:hAnsi="Arial" w:cs="Arial"/>
              <w:sz w:val="22"/>
              <w:szCs w:val="22"/>
            </w:rPr>
            <w:fldChar w:fldCharType="end"/>
          </w:r>
        </w:sdtContent>
      </w:sdt>
      <w:r w:rsidRPr="00A264A9">
        <w:rPr>
          <w:rFonts w:ascii="Arial" w:hAnsi="Arial" w:cs="Arial"/>
          <w:sz w:val="22"/>
          <w:szCs w:val="22"/>
        </w:rPr>
        <w:t xml:space="preserve">. </w:t>
      </w:r>
    </w:p>
    <w:p w14:paraId="13CBCB73" w14:textId="7454B45F" w:rsidR="00DD59FE" w:rsidRPr="00B917A2" w:rsidRDefault="00B917A2" w:rsidP="00A264A9">
      <w:pPr>
        <w:spacing w:line="360" w:lineRule="auto"/>
        <w:ind w:firstLine="720"/>
        <w:rPr>
          <w:rFonts w:ascii="Arial" w:hAnsi="Arial" w:cs="Arial"/>
          <w:b/>
          <w:bCs/>
          <w:sz w:val="22"/>
          <w:szCs w:val="22"/>
        </w:rPr>
      </w:pPr>
      <w:r>
        <w:rPr>
          <w:rFonts w:ascii="Arial" w:hAnsi="Arial" w:cs="Arial"/>
          <w:sz w:val="22"/>
          <w:szCs w:val="22"/>
        </w:rPr>
        <w:tab/>
      </w:r>
      <w:r>
        <w:rPr>
          <w:rFonts w:ascii="Arial" w:hAnsi="Arial" w:cs="Arial"/>
          <w:sz w:val="22"/>
          <w:szCs w:val="22"/>
        </w:rPr>
        <w:tab/>
        <w:t xml:space="preserve">    </w:t>
      </w:r>
      <w:r w:rsidRPr="00B917A2">
        <w:rPr>
          <w:rFonts w:ascii="Arial" w:hAnsi="Arial" w:cs="Arial"/>
          <w:b/>
          <w:bCs/>
          <w:sz w:val="22"/>
          <w:szCs w:val="22"/>
        </w:rPr>
        <w:t xml:space="preserve"> Fig.2.</w:t>
      </w:r>
    </w:p>
    <w:p w14:paraId="175B43AE" w14:textId="75C5A0A9" w:rsidR="006C5D2F" w:rsidRPr="00A264A9" w:rsidRDefault="00A264A9" w:rsidP="00A264A9">
      <w:pPr>
        <w:spacing w:line="360" w:lineRule="auto"/>
        <w:ind w:firstLine="720"/>
        <w:rPr>
          <w:rFonts w:ascii="Arial" w:hAnsi="Arial" w:cs="Arial"/>
          <w:sz w:val="22"/>
          <w:szCs w:val="22"/>
        </w:rPr>
      </w:pPr>
      <w:r w:rsidRPr="00A264A9">
        <w:rPr>
          <w:rFonts w:ascii="Arial" w:hAnsi="Arial" w:cs="Arial"/>
          <w:sz w:val="22"/>
          <w:szCs w:val="22"/>
        </w:rPr>
        <w:t>This section draws on Hofstede’s Cultural Dimensions, Hall’s High- and Low-Context Communication Theory, and Trompenaars’ Seven Dimensions of Culture to examine the contrasting communication styles between the UK and Japan. These theories offer valuable insight into how national cultures influence workplace dynamics, including decision-making processes, authority structures, attitudes toward time, and the flow of information</w:t>
      </w:r>
      <w:sdt>
        <w:sdtPr>
          <w:rPr>
            <w:rFonts w:ascii="Arial" w:hAnsi="Arial" w:cs="Arial"/>
            <w:sz w:val="22"/>
            <w:szCs w:val="22"/>
          </w:rPr>
          <w:id w:val="-1594781941"/>
          <w:citation/>
        </w:sdtPr>
        <w:sdtContent>
          <w:r w:rsidR="00567D81">
            <w:rPr>
              <w:rFonts w:ascii="Arial" w:hAnsi="Arial" w:cs="Arial"/>
              <w:sz w:val="22"/>
              <w:szCs w:val="22"/>
            </w:rPr>
            <w:fldChar w:fldCharType="begin"/>
          </w:r>
          <w:r w:rsidR="00567D81">
            <w:rPr>
              <w:rFonts w:ascii="Arial" w:hAnsi="Arial" w:cs="Arial"/>
              <w:sz w:val="22"/>
              <w:szCs w:val="22"/>
              <w:lang w:val="en-US"/>
            </w:rPr>
            <w:instrText xml:space="preserve">CITATION MAC17 \l 1033 </w:instrText>
          </w:r>
          <w:r w:rsidR="00567D81">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(Kniewasser, 2017)</w:t>
          </w:r>
          <w:r w:rsidR="00567D81">
            <w:rPr>
              <w:rFonts w:ascii="Arial" w:hAnsi="Arial" w:cs="Arial"/>
              <w:sz w:val="22"/>
              <w:szCs w:val="22"/>
            </w:rPr>
            <w:fldChar w:fldCharType="end"/>
          </w:r>
        </w:sdtContent>
      </w:sdt>
      <w:r w:rsidRPr="00A264A9">
        <w:rPr>
          <w:rFonts w:ascii="Arial" w:hAnsi="Arial" w:cs="Arial"/>
          <w:sz w:val="22"/>
          <w:szCs w:val="22"/>
        </w:rPr>
        <w:t>. For example, Hofstede’s model highlights differences in power distance and individualism, which help explain the UK’s preference for direct, task-oriented communication versus Japan’s group-focused and hierarchical approach. Similarly, Hall’s theory distinguishes between Japan’s high-context communication—where much is implied and dependent on shared understanding—and the UK’s more explicit, low-context style. Trompenaars adds further depth by exploring aspects such as universalism vs. particularism and achievement vs. ascription. Together, these frameworks provide a comprehensive lens through which the communication challenges and opportunities within this trilateral defence partnership can be better understood</w:t>
      </w:r>
      <w:sdt>
        <w:sdtPr>
          <w:rPr>
            <w:rFonts w:ascii="Arial" w:hAnsi="Arial" w:cs="Arial"/>
            <w:sz w:val="22"/>
            <w:szCs w:val="22"/>
          </w:rPr>
          <w:id w:val="-2052611181"/>
          <w:citation/>
        </w:sdtPr>
        <w:sdtContent>
          <w:r w:rsidR="001658A9">
            <w:rPr>
              <w:rFonts w:ascii="Arial" w:hAnsi="Arial" w:cs="Arial"/>
              <w:sz w:val="22"/>
              <w:szCs w:val="22"/>
            </w:rPr>
            <w:fldChar w:fldCharType="begin"/>
          </w:r>
          <w:r w:rsidR="001658A9">
            <w:rPr>
              <w:rFonts w:ascii="Arial" w:hAnsi="Arial" w:cs="Arial"/>
              <w:sz w:val="22"/>
              <w:szCs w:val="22"/>
              <w:lang w:val="en-US"/>
            </w:rPr>
            <w:instrText xml:space="preserve"> CITATION Don24 \l 1033 </w:instrText>
          </w:r>
          <w:r w:rsidR="001658A9">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(Dong, 2024)</w:t>
          </w:r>
          <w:r w:rsidR="001658A9">
            <w:rPr>
              <w:rFonts w:ascii="Arial" w:hAnsi="Arial" w:cs="Arial"/>
              <w:sz w:val="22"/>
              <w:szCs w:val="22"/>
            </w:rPr>
            <w:fldChar w:fldCharType="end"/>
          </w:r>
        </w:sdtContent>
      </w:sdt>
      <w:r w:rsidRPr="00A264A9">
        <w:rPr>
          <w:rFonts w:ascii="Arial" w:hAnsi="Arial" w:cs="Arial"/>
          <w:sz w:val="22"/>
          <w:szCs w:val="22"/>
        </w:rPr>
        <w:t>.</w:t>
      </w:r>
    </w:p>
    <w:p w14:paraId="537836FD" w14:textId="77777777" w:rsidR="006C5D2F" w:rsidRDefault="006C5D2F" w:rsidP="006C5D2F"/>
    <w:p w14:paraId="2D1E625D" w14:textId="77777777" w:rsidR="00BB2D91" w:rsidRDefault="00BB2D91" w:rsidP="006C5D2F"/>
    <w:p w14:paraId="66D3C3D4" w14:textId="77777777" w:rsidR="00BB2D91" w:rsidRDefault="00BB2D91" w:rsidP="006C5D2F"/>
    <w:p w14:paraId="2EF1C31B" w14:textId="77777777" w:rsidR="00BB2D91" w:rsidRDefault="00BB2D91" w:rsidP="006C5D2F"/>
    <w:p w14:paraId="48D09550" w14:textId="77777777" w:rsidR="00BB2D91" w:rsidRDefault="00BB2D91" w:rsidP="006C5D2F"/>
    <w:p w14:paraId="768B986D" w14:textId="77777777" w:rsidR="00BB2D91" w:rsidRDefault="00BB2D91" w:rsidP="006C5D2F"/>
    <w:p w14:paraId="56A8FCBC" w14:textId="33993501" w:rsidR="00112AD0" w:rsidRDefault="00112AD0" w:rsidP="00112AD0">
      <w:pPr>
        <w:pStyle w:val="Heading2"/>
        <w:rPr>
          <w:rFonts w:ascii="Arial" w:hAnsi="Arial" w:cs="Arial"/>
          <w:b/>
          <w:bCs/>
          <w:color w:val="000000" w:themeColor="text1"/>
          <w:sz w:val="28"/>
          <w:szCs w:val="28"/>
        </w:rPr>
      </w:pPr>
      <w:bookmarkStart w:id="3" w:name="_Toc202810186"/>
      <w:r w:rsidRPr="00112AD0">
        <w:rPr>
          <w:rFonts w:ascii="Arial" w:hAnsi="Arial" w:cs="Arial"/>
          <w:b/>
          <w:bCs/>
          <w:color w:val="000000" w:themeColor="text1"/>
          <w:sz w:val="28"/>
          <w:szCs w:val="28"/>
        </w:rPr>
        <w:lastRenderedPageBreak/>
        <w:t xml:space="preserve">3.1. </w:t>
      </w:r>
      <w:r w:rsidRPr="00112AD0">
        <w:rPr>
          <w:rFonts w:ascii="Arial" w:hAnsi="Arial" w:cs="Arial"/>
          <w:b/>
          <w:bCs/>
          <w:color w:val="000000" w:themeColor="text1"/>
          <w:sz w:val="28"/>
          <w:szCs w:val="28"/>
        </w:rPr>
        <w:t>Hofstede’s Cultural Dimensions</w:t>
      </w:r>
      <w:r w:rsidRPr="00112AD0">
        <w:rPr>
          <w:rFonts w:ascii="Arial" w:hAnsi="Arial" w:cs="Arial"/>
          <w:b/>
          <w:bCs/>
          <w:color w:val="000000" w:themeColor="text1"/>
          <w:sz w:val="28"/>
          <w:szCs w:val="28"/>
        </w:rPr>
        <w:t>:</w:t>
      </w:r>
      <w:bookmarkEnd w:id="3"/>
    </w:p>
    <w:p w14:paraId="29490243" w14:textId="5162D14D" w:rsidR="00112AD0" w:rsidRDefault="003A3696" w:rsidP="00112AD0">
      <w:r w:rsidRPr="00DA1903">
        <w:rPr>
          <w:rFonts w:ascii="Arial" w:hAnsi="Arial" w:cs="Arial"/>
          <w:noProof/>
          <w:sz w:val="22"/>
          <w:szCs w:val="22"/>
        </w:rPr>
        <w:drawing>
          <wp:anchor distT="0" distB="0" distL="114300" distR="114300" simplePos="0" relativeHeight="251660288" behindDoc="0" locked="0" layoutInCell="1" allowOverlap="1" wp14:anchorId="655CE75C" wp14:editId="1854E0A5">
            <wp:simplePos x="0" y="0"/>
            <wp:positionH relativeFrom="margin">
              <wp:align>right</wp:align>
            </wp:positionH>
            <wp:positionV relativeFrom="paragraph">
              <wp:posOffset>296545</wp:posOffset>
            </wp:positionV>
            <wp:extent cx="3673475" cy="2197100"/>
            <wp:effectExtent l="0" t="0" r="3175" b="0"/>
            <wp:wrapSquare wrapText="bothSides"/>
            <wp:docPr id="876649029" name="Picture 3" descr="A person holding a troph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49029" name="Picture 3" descr="A person holding a troph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73475" cy="2197100"/>
                    </a:xfrm>
                    <a:prstGeom prst="rect">
                      <a:avLst/>
                    </a:prstGeom>
                  </pic:spPr>
                </pic:pic>
              </a:graphicData>
            </a:graphic>
            <wp14:sizeRelH relativeFrom="margin">
              <wp14:pctWidth>0</wp14:pctWidth>
            </wp14:sizeRelH>
            <wp14:sizeRelV relativeFrom="margin">
              <wp14:pctHeight>0</wp14:pctHeight>
            </wp14:sizeRelV>
          </wp:anchor>
        </w:drawing>
      </w:r>
    </w:p>
    <w:p w14:paraId="472B82B8" w14:textId="45C506D1" w:rsidR="00112AD0" w:rsidRDefault="00DA1903" w:rsidP="003A3696">
      <w:pPr>
        <w:spacing w:line="360" w:lineRule="auto"/>
        <w:ind w:firstLine="720"/>
        <w:rPr>
          <w:rFonts w:ascii="Arial" w:hAnsi="Arial" w:cs="Arial"/>
          <w:sz w:val="22"/>
          <w:szCs w:val="22"/>
        </w:rPr>
      </w:pPr>
      <w:r w:rsidRPr="00DA1903">
        <w:rPr>
          <w:rFonts w:ascii="Arial" w:hAnsi="Arial" w:cs="Arial"/>
          <w:sz w:val="22"/>
          <w:szCs w:val="22"/>
        </w:rPr>
        <w:t>Geert Hofstede’s model identifies six cultural dimensions that explain how national values influence behaviour in organisational settings</w:t>
      </w:r>
      <w:sdt>
        <w:sdtPr>
          <w:rPr>
            <w:rFonts w:ascii="Arial" w:hAnsi="Arial" w:cs="Arial"/>
            <w:sz w:val="22"/>
            <w:szCs w:val="22"/>
          </w:rPr>
          <w:id w:val="918837117"/>
          <w:citation/>
        </w:sdtPr>
        <w:sdtContent>
          <w:r w:rsidR="008F0B5A">
            <w:rPr>
              <w:rFonts w:ascii="Arial" w:hAnsi="Arial" w:cs="Arial"/>
              <w:sz w:val="22"/>
              <w:szCs w:val="22"/>
            </w:rPr>
            <w:fldChar w:fldCharType="begin"/>
          </w:r>
          <w:r w:rsidR="008F0B5A">
            <w:rPr>
              <w:rFonts w:ascii="Arial" w:hAnsi="Arial" w:cs="Arial"/>
              <w:sz w:val="22"/>
              <w:szCs w:val="22"/>
              <w:lang w:val="en-US"/>
            </w:rPr>
            <w:instrText xml:space="preserve"> CITATION Hof83 \l 1033 </w:instrText>
          </w:r>
          <w:r w:rsidR="008F0B5A">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(Hofstede, 1983)</w:t>
          </w:r>
          <w:r w:rsidR="008F0B5A">
            <w:rPr>
              <w:rFonts w:ascii="Arial" w:hAnsi="Arial" w:cs="Arial"/>
              <w:sz w:val="22"/>
              <w:szCs w:val="22"/>
            </w:rPr>
            <w:fldChar w:fldCharType="end"/>
          </w:r>
        </w:sdtContent>
      </w:sdt>
      <w:r w:rsidRPr="00DA1903">
        <w:rPr>
          <w:rFonts w:ascii="Arial" w:hAnsi="Arial" w:cs="Arial"/>
          <w:sz w:val="22"/>
          <w:szCs w:val="22"/>
        </w:rPr>
        <w:t xml:space="preserve">. The most relevant to UK-Japan communication within </w:t>
      </w:r>
      <w:r w:rsidRPr="003A3696">
        <w:rPr>
          <w:rFonts w:ascii="Arial" w:hAnsi="Arial" w:cs="Arial"/>
          <w:b/>
          <w:bCs/>
          <w:sz w:val="22"/>
          <w:szCs w:val="22"/>
        </w:rPr>
        <w:t>GCAP</w:t>
      </w:r>
      <w:r w:rsidRPr="00DA1903">
        <w:rPr>
          <w:rFonts w:ascii="Arial" w:hAnsi="Arial" w:cs="Arial"/>
          <w:sz w:val="22"/>
          <w:szCs w:val="22"/>
        </w:rPr>
        <w:t xml:space="preserve"> are:</w:t>
      </w:r>
      <w:r w:rsidRPr="00DA1903">
        <w:rPr>
          <w:rFonts w:ascii="Arial" w:hAnsi="Arial" w:cs="Arial"/>
          <w:sz w:val="22"/>
          <w:szCs w:val="22"/>
        </w:rPr>
        <w:t xml:space="preserve"> </w:t>
      </w:r>
    </w:p>
    <w:p w14:paraId="2E9AF25E" w14:textId="77777777" w:rsidR="00DB2105" w:rsidRPr="00DB2105" w:rsidRDefault="00DB2105" w:rsidP="00DB2105">
      <w:pPr>
        <w:rPr>
          <w:rFonts w:ascii="Arial" w:hAnsi="Arial" w:cs="Arial"/>
          <w:sz w:val="22"/>
          <w:szCs w:val="22"/>
        </w:rPr>
      </w:pPr>
    </w:p>
    <w:p w14:paraId="1DCC7182" w14:textId="56872322" w:rsidR="00DB2105" w:rsidRPr="00B917A2" w:rsidRDefault="00B917A2" w:rsidP="00DB2105">
      <w:pPr>
        <w:rPr>
          <w:rFonts w:ascii="Arial" w:hAnsi="Arial" w:cs="Arial"/>
          <w:b/>
          <w:bCs/>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B917A2">
        <w:rPr>
          <w:rFonts w:ascii="Arial" w:hAnsi="Arial" w:cs="Arial"/>
          <w:b/>
          <w:bCs/>
          <w:sz w:val="22"/>
          <w:szCs w:val="22"/>
        </w:rPr>
        <w:t>Fig.3.</w:t>
      </w:r>
    </w:p>
    <w:p w14:paraId="4471BCA1" w14:textId="77777777" w:rsidR="00DB2105" w:rsidRDefault="00DB2105" w:rsidP="00DB2105">
      <w:pPr>
        <w:pStyle w:val="ListParagraph"/>
        <w:numPr>
          <w:ilvl w:val="0"/>
          <w:numId w:val="2"/>
        </w:numPr>
        <w:rPr>
          <w:rFonts w:ascii="Arial" w:hAnsi="Arial" w:cs="Arial"/>
          <w:b/>
          <w:bCs/>
          <w:i/>
          <w:iCs/>
          <w:sz w:val="22"/>
          <w:szCs w:val="22"/>
          <w:u w:val="single"/>
        </w:rPr>
      </w:pPr>
      <w:r w:rsidRPr="00DB2105">
        <w:rPr>
          <w:rFonts w:ascii="Arial" w:hAnsi="Arial" w:cs="Arial"/>
          <w:b/>
          <w:bCs/>
          <w:i/>
          <w:iCs/>
          <w:sz w:val="22"/>
          <w:szCs w:val="22"/>
          <w:u w:val="single"/>
        </w:rPr>
        <w:t>Individualism vs. Collectivism:</w:t>
      </w:r>
    </w:p>
    <w:p w14:paraId="7DF502B9" w14:textId="77777777" w:rsidR="00DB2105" w:rsidRPr="00DB2105" w:rsidRDefault="00DB2105" w:rsidP="00DB2105">
      <w:pPr>
        <w:pStyle w:val="ListParagraph"/>
        <w:rPr>
          <w:rFonts w:ascii="Arial" w:hAnsi="Arial" w:cs="Arial"/>
          <w:b/>
          <w:bCs/>
          <w:i/>
          <w:iCs/>
          <w:sz w:val="22"/>
          <w:szCs w:val="22"/>
          <w:u w:val="single"/>
        </w:rPr>
      </w:pPr>
    </w:p>
    <w:p w14:paraId="5A5E456D" w14:textId="77777777" w:rsidR="00DB2105" w:rsidRPr="00DB2105" w:rsidRDefault="00DB2105" w:rsidP="00DB2105">
      <w:pPr>
        <w:pStyle w:val="ListParagraph"/>
        <w:numPr>
          <w:ilvl w:val="0"/>
          <w:numId w:val="3"/>
        </w:numPr>
        <w:rPr>
          <w:rFonts w:ascii="Arial" w:hAnsi="Arial" w:cs="Arial"/>
          <w:sz w:val="22"/>
          <w:szCs w:val="22"/>
        </w:rPr>
      </w:pPr>
      <w:r w:rsidRPr="00DB2105">
        <w:rPr>
          <w:rFonts w:ascii="Arial" w:hAnsi="Arial" w:cs="Arial"/>
          <w:sz w:val="22"/>
          <w:szCs w:val="22"/>
        </w:rPr>
        <w:t>The UK scores highly on individualism, suggesting a culture that values autonomy, personal initiative, and direct communication. British professionals often feel comfortable speaking up and challenging ideas.</w:t>
      </w:r>
    </w:p>
    <w:p w14:paraId="6D9A57BD" w14:textId="77777777" w:rsidR="00DB2105" w:rsidRDefault="00DB2105" w:rsidP="00DB2105">
      <w:pPr>
        <w:pStyle w:val="ListParagraph"/>
        <w:numPr>
          <w:ilvl w:val="0"/>
          <w:numId w:val="3"/>
        </w:numPr>
        <w:rPr>
          <w:rFonts w:ascii="Arial" w:hAnsi="Arial" w:cs="Arial"/>
          <w:sz w:val="22"/>
          <w:szCs w:val="22"/>
        </w:rPr>
      </w:pPr>
      <w:r w:rsidRPr="00DB2105">
        <w:rPr>
          <w:rFonts w:ascii="Arial" w:hAnsi="Arial" w:cs="Arial"/>
          <w:sz w:val="22"/>
          <w:szCs w:val="22"/>
        </w:rPr>
        <w:t>Japan, on the other hand, is more collectivist. Team harmony, consensus, and group loyalty are central. In GCAP, Japanese engineers may avoid openly disagreeing with colleagues, especially in group settings, to preserve group cohesion.</w:t>
      </w:r>
    </w:p>
    <w:p w14:paraId="0A4F7670" w14:textId="77777777" w:rsidR="00D36250" w:rsidRPr="00DB2105" w:rsidRDefault="00D36250" w:rsidP="00D36250">
      <w:pPr>
        <w:pStyle w:val="ListParagraph"/>
        <w:ind w:left="1080"/>
        <w:rPr>
          <w:rFonts w:ascii="Arial" w:hAnsi="Arial" w:cs="Arial"/>
          <w:sz w:val="22"/>
          <w:szCs w:val="22"/>
        </w:rPr>
      </w:pPr>
    </w:p>
    <w:p w14:paraId="009E78E3" w14:textId="77777777" w:rsidR="00DB2105" w:rsidRDefault="00DB2105" w:rsidP="00DB2105">
      <w:pPr>
        <w:pStyle w:val="ListParagraph"/>
        <w:numPr>
          <w:ilvl w:val="0"/>
          <w:numId w:val="4"/>
        </w:numPr>
        <w:rPr>
          <w:rFonts w:ascii="Arial" w:hAnsi="Arial" w:cs="Arial"/>
          <w:b/>
          <w:bCs/>
          <w:i/>
          <w:iCs/>
          <w:sz w:val="22"/>
          <w:szCs w:val="22"/>
          <w:u w:val="single"/>
        </w:rPr>
      </w:pPr>
      <w:r w:rsidRPr="00DB2105">
        <w:rPr>
          <w:rFonts w:ascii="Arial" w:hAnsi="Arial" w:cs="Arial"/>
          <w:b/>
          <w:bCs/>
          <w:i/>
          <w:iCs/>
          <w:sz w:val="22"/>
          <w:szCs w:val="22"/>
          <w:u w:val="single"/>
        </w:rPr>
        <w:t>Power Distance:</w:t>
      </w:r>
    </w:p>
    <w:p w14:paraId="417A00AF" w14:textId="77777777" w:rsidR="00DB2105" w:rsidRPr="00DB2105" w:rsidRDefault="00DB2105" w:rsidP="00DB2105">
      <w:pPr>
        <w:pStyle w:val="ListParagraph"/>
        <w:rPr>
          <w:rFonts w:ascii="Arial" w:hAnsi="Arial" w:cs="Arial"/>
          <w:b/>
          <w:bCs/>
          <w:i/>
          <w:iCs/>
          <w:sz w:val="22"/>
          <w:szCs w:val="22"/>
          <w:u w:val="single"/>
        </w:rPr>
      </w:pPr>
    </w:p>
    <w:p w14:paraId="04D874C7" w14:textId="77777777" w:rsidR="00DB2105" w:rsidRDefault="00DB2105" w:rsidP="00DB2105">
      <w:pPr>
        <w:pStyle w:val="ListParagraph"/>
        <w:numPr>
          <w:ilvl w:val="0"/>
          <w:numId w:val="5"/>
        </w:numPr>
        <w:rPr>
          <w:rFonts w:ascii="Arial" w:hAnsi="Arial" w:cs="Arial"/>
          <w:sz w:val="22"/>
          <w:szCs w:val="22"/>
        </w:rPr>
      </w:pPr>
      <w:r w:rsidRPr="00DB2105">
        <w:rPr>
          <w:rFonts w:ascii="Arial" w:hAnsi="Arial" w:cs="Arial"/>
          <w:sz w:val="22"/>
          <w:szCs w:val="22"/>
        </w:rPr>
        <w:t>The UK has a relatively low power distance, meaning flatter hierarchies and informal communication between junior and senior staff.</w:t>
      </w:r>
    </w:p>
    <w:p w14:paraId="6CDC07C8" w14:textId="7981D515" w:rsidR="00DB2105" w:rsidRDefault="00DB2105" w:rsidP="00DB2105">
      <w:pPr>
        <w:pStyle w:val="ListParagraph"/>
        <w:numPr>
          <w:ilvl w:val="0"/>
          <w:numId w:val="5"/>
        </w:numPr>
        <w:rPr>
          <w:rFonts w:ascii="Arial" w:hAnsi="Arial" w:cs="Arial"/>
          <w:sz w:val="22"/>
          <w:szCs w:val="22"/>
        </w:rPr>
      </w:pPr>
      <w:r w:rsidRPr="00DB2105">
        <w:rPr>
          <w:rFonts w:ascii="Arial" w:hAnsi="Arial" w:cs="Arial"/>
          <w:sz w:val="22"/>
          <w:szCs w:val="22"/>
        </w:rPr>
        <w:t>Japan has a moderate to high power distance, particularly in traditional sectors like defence. Formal titles, respect for seniority, and hierarchical communication are the norm. In joint meetings, Japanese participants may defer to senior leaders, while UK staff may express their views more freely.</w:t>
      </w:r>
    </w:p>
    <w:p w14:paraId="7F830F87" w14:textId="77777777" w:rsidR="00DB2105" w:rsidRPr="00DB2105" w:rsidRDefault="00DB2105" w:rsidP="00DB2105">
      <w:pPr>
        <w:pStyle w:val="ListParagraph"/>
        <w:rPr>
          <w:rFonts w:ascii="Arial" w:hAnsi="Arial" w:cs="Arial"/>
          <w:sz w:val="22"/>
          <w:szCs w:val="22"/>
        </w:rPr>
      </w:pPr>
    </w:p>
    <w:p w14:paraId="7CFC66DF" w14:textId="77777777" w:rsidR="00DB2105" w:rsidRDefault="00DB2105" w:rsidP="00DB2105">
      <w:pPr>
        <w:pStyle w:val="ListParagraph"/>
        <w:numPr>
          <w:ilvl w:val="0"/>
          <w:numId w:val="6"/>
        </w:numPr>
        <w:rPr>
          <w:rFonts w:ascii="Arial" w:hAnsi="Arial" w:cs="Arial"/>
          <w:b/>
          <w:bCs/>
          <w:i/>
          <w:iCs/>
          <w:sz w:val="22"/>
          <w:szCs w:val="22"/>
          <w:u w:val="single"/>
        </w:rPr>
      </w:pPr>
      <w:r w:rsidRPr="00DB2105">
        <w:rPr>
          <w:rFonts w:ascii="Arial" w:hAnsi="Arial" w:cs="Arial"/>
          <w:b/>
          <w:bCs/>
          <w:i/>
          <w:iCs/>
          <w:sz w:val="22"/>
          <w:szCs w:val="22"/>
          <w:u w:val="single"/>
        </w:rPr>
        <w:t>Uncertainty Avoidance:</w:t>
      </w:r>
    </w:p>
    <w:p w14:paraId="676A6157" w14:textId="77777777" w:rsidR="00DB2105" w:rsidRPr="00DB2105" w:rsidRDefault="00DB2105" w:rsidP="00DB2105">
      <w:pPr>
        <w:pStyle w:val="ListParagraph"/>
        <w:rPr>
          <w:rFonts w:ascii="Arial" w:hAnsi="Arial" w:cs="Arial"/>
          <w:b/>
          <w:bCs/>
          <w:i/>
          <w:iCs/>
          <w:sz w:val="22"/>
          <w:szCs w:val="22"/>
          <w:u w:val="single"/>
        </w:rPr>
      </w:pPr>
    </w:p>
    <w:p w14:paraId="4EE17168" w14:textId="77777777" w:rsidR="00DB2105" w:rsidRDefault="00DB2105" w:rsidP="00DB2105">
      <w:pPr>
        <w:pStyle w:val="ListParagraph"/>
        <w:numPr>
          <w:ilvl w:val="0"/>
          <w:numId w:val="7"/>
        </w:numPr>
        <w:rPr>
          <w:rFonts w:ascii="Arial" w:hAnsi="Arial" w:cs="Arial"/>
          <w:sz w:val="22"/>
          <w:szCs w:val="22"/>
        </w:rPr>
      </w:pPr>
      <w:r w:rsidRPr="00DB2105">
        <w:rPr>
          <w:rFonts w:ascii="Arial" w:hAnsi="Arial" w:cs="Arial"/>
          <w:sz w:val="22"/>
          <w:szCs w:val="22"/>
        </w:rPr>
        <w:t>Japan scores very high on this dimension, reflecting a cultural preference for structure, planning, and risk avoidance. Japanese teams tend to be meticulous, requiring detailed documentation and multiple internal reviews before reaching a decision.</w:t>
      </w:r>
    </w:p>
    <w:p w14:paraId="742E0F34" w14:textId="6B8E5861" w:rsidR="00DB2105" w:rsidRPr="00DB2105" w:rsidRDefault="00DB2105" w:rsidP="00DB2105">
      <w:pPr>
        <w:pStyle w:val="ListParagraph"/>
        <w:numPr>
          <w:ilvl w:val="0"/>
          <w:numId w:val="7"/>
        </w:numPr>
        <w:rPr>
          <w:rFonts w:ascii="Arial" w:hAnsi="Arial" w:cs="Arial"/>
          <w:sz w:val="22"/>
          <w:szCs w:val="22"/>
        </w:rPr>
      </w:pPr>
      <w:r w:rsidRPr="00DB2105">
        <w:rPr>
          <w:rFonts w:ascii="Arial" w:hAnsi="Arial" w:cs="Arial"/>
          <w:sz w:val="22"/>
          <w:szCs w:val="22"/>
        </w:rPr>
        <w:t>The UK has a lower score, indicating greater comfort with ambiguity and faster decision-making. British teams may become frustrated by what they perceive as delays or indecisiveness on the Japanese side.</w:t>
      </w:r>
    </w:p>
    <w:p w14:paraId="260A279E" w14:textId="77777777" w:rsidR="00DB2105" w:rsidRPr="00DB2105" w:rsidRDefault="00DB2105" w:rsidP="00DB2105">
      <w:pPr>
        <w:rPr>
          <w:rFonts w:ascii="Arial" w:hAnsi="Arial" w:cs="Arial"/>
          <w:sz w:val="22"/>
          <w:szCs w:val="22"/>
        </w:rPr>
      </w:pPr>
    </w:p>
    <w:p w14:paraId="5AE8F6DD" w14:textId="77777777" w:rsidR="00DB2105" w:rsidRDefault="00DB2105" w:rsidP="00DB2105">
      <w:pPr>
        <w:rPr>
          <w:rFonts w:ascii="Arial" w:hAnsi="Arial" w:cs="Arial"/>
          <w:sz w:val="22"/>
          <w:szCs w:val="22"/>
        </w:rPr>
      </w:pPr>
    </w:p>
    <w:p w14:paraId="6E9E9743" w14:textId="39C87979" w:rsidR="00DB2105" w:rsidRDefault="00DB2105" w:rsidP="00DB2105">
      <w:pPr>
        <w:pStyle w:val="ListParagraph"/>
        <w:numPr>
          <w:ilvl w:val="0"/>
          <w:numId w:val="8"/>
        </w:numPr>
        <w:rPr>
          <w:rFonts w:ascii="Arial" w:hAnsi="Arial" w:cs="Arial"/>
          <w:b/>
          <w:bCs/>
          <w:i/>
          <w:iCs/>
          <w:sz w:val="22"/>
          <w:szCs w:val="22"/>
          <w:u w:val="single"/>
        </w:rPr>
      </w:pPr>
      <w:r w:rsidRPr="00DB2105">
        <w:rPr>
          <w:rFonts w:ascii="Arial" w:hAnsi="Arial" w:cs="Arial"/>
          <w:b/>
          <w:bCs/>
          <w:i/>
          <w:iCs/>
          <w:sz w:val="22"/>
          <w:szCs w:val="22"/>
          <w:u w:val="single"/>
        </w:rPr>
        <w:t>Long-Term Orientation:</w:t>
      </w:r>
    </w:p>
    <w:p w14:paraId="79007B3B" w14:textId="77777777" w:rsidR="00DB2105" w:rsidRPr="00DB2105" w:rsidRDefault="00DB2105" w:rsidP="00DB2105">
      <w:pPr>
        <w:pStyle w:val="ListParagraph"/>
        <w:rPr>
          <w:rFonts w:ascii="Arial" w:hAnsi="Arial" w:cs="Arial"/>
          <w:b/>
          <w:bCs/>
          <w:i/>
          <w:iCs/>
          <w:sz w:val="22"/>
          <w:szCs w:val="22"/>
          <w:u w:val="single"/>
        </w:rPr>
      </w:pPr>
    </w:p>
    <w:p w14:paraId="6A2E2A0F" w14:textId="77777777" w:rsidR="00DB2105" w:rsidRDefault="00DB2105" w:rsidP="00DB2105">
      <w:pPr>
        <w:pStyle w:val="ListParagraph"/>
        <w:numPr>
          <w:ilvl w:val="0"/>
          <w:numId w:val="9"/>
        </w:numPr>
        <w:rPr>
          <w:rFonts w:ascii="Arial" w:hAnsi="Arial" w:cs="Arial"/>
          <w:sz w:val="22"/>
          <w:szCs w:val="22"/>
        </w:rPr>
      </w:pPr>
      <w:r w:rsidRPr="00DB2105">
        <w:rPr>
          <w:rFonts w:ascii="Arial" w:hAnsi="Arial" w:cs="Arial"/>
          <w:sz w:val="22"/>
          <w:szCs w:val="22"/>
        </w:rPr>
        <w:t>Japan is strongly long-term oriented, favouring gradual progress, relationship-building, and sustainability.</w:t>
      </w:r>
    </w:p>
    <w:p w14:paraId="62394791" w14:textId="3416CFC9" w:rsidR="00DB2105" w:rsidRDefault="00DB2105" w:rsidP="00DB2105">
      <w:pPr>
        <w:pStyle w:val="ListParagraph"/>
        <w:numPr>
          <w:ilvl w:val="0"/>
          <w:numId w:val="9"/>
        </w:numPr>
        <w:rPr>
          <w:rFonts w:ascii="Arial" w:hAnsi="Arial" w:cs="Arial"/>
          <w:sz w:val="22"/>
          <w:szCs w:val="22"/>
        </w:rPr>
      </w:pPr>
      <w:r w:rsidRPr="00DB2105">
        <w:rPr>
          <w:rFonts w:ascii="Arial" w:hAnsi="Arial" w:cs="Arial"/>
          <w:sz w:val="22"/>
          <w:szCs w:val="22"/>
        </w:rPr>
        <w:t>The UK, while also strategic, tends to be more short-term and result-driven. This can create tension in GCAP project planning and prioritisation.</w:t>
      </w:r>
    </w:p>
    <w:p w14:paraId="2CFA2E67" w14:textId="77777777" w:rsidR="00D36250" w:rsidRDefault="00D36250" w:rsidP="00D36250">
      <w:pPr>
        <w:ind w:left="360"/>
        <w:rPr>
          <w:rFonts w:ascii="Arial" w:hAnsi="Arial" w:cs="Arial"/>
          <w:sz w:val="22"/>
          <w:szCs w:val="22"/>
        </w:rPr>
      </w:pPr>
    </w:p>
    <w:p w14:paraId="6CAE58C2" w14:textId="4B414A4F" w:rsidR="00D36250" w:rsidRDefault="00D36250" w:rsidP="00D36250">
      <w:pPr>
        <w:pStyle w:val="Heading2"/>
        <w:rPr>
          <w:rFonts w:ascii="Arial" w:hAnsi="Arial" w:cs="Arial"/>
          <w:b/>
          <w:bCs/>
          <w:color w:val="000000" w:themeColor="text1"/>
          <w:sz w:val="28"/>
          <w:szCs w:val="28"/>
        </w:rPr>
      </w:pPr>
      <w:bookmarkStart w:id="4" w:name="_Toc202810187"/>
      <w:r w:rsidRPr="000E21DD">
        <w:rPr>
          <w:rFonts w:ascii="Arial" w:hAnsi="Arial" w:cs="Arial"/>
          <w:b/>
          <w:bCs/>
          <w:color w:val="000000" w:themeColor="text1"/>
          <w:sz w:val="28"/>
          <w:szCs w:val="28"/>
        </w:rPr>
        <w:t>3.2.</w:t>
      </w:r>
      <w:r w:rsidR="000E21DD" w:rsidRPr="000E21DD">
        <w:rPr>
          <w:rFonts w:ascii="Arial" w:hAnsi="Arial" w:cs="Arial"/>
          <w:b/>
          <w:bCs/>
          <w:color w:val="000000" w:themeColor="text1"/>
          <w:sz w:val="28"/>
          <w:szCs w:val="28"/>
        </w:rPr>
        <w:t xml:space="preserve"> </w:t>
      </w:r>
      <w:r w:rsidR="000E21DD" w:rsidRPr="000E21DD">
        <w:rPr>
          <w:rFonts w:ascii="Arial" w:hAnsi="Arial" w:cs="Arial"/>
          <w:b/>
          <w:bCs/>
          <w:color w:val="000000" w:themeColor="text1"/>
          <w:sz w:val="28"/>
          <w:szCs w:val="28"/>
        </w:rPr>
        <w:t>High-Context vs. Low-Context Communication</w:t>
      </w:r>
      <w:r w:rsidR="000E21DD" w:rsidRPr="000E21DD">
        <w:rPr>
          <w:rFonts w:ascii="Arial" w:hAnsi="Arial" w:cs="Arial"/>
          <w:b/>
          <w:bCs/>
          <w:color w:val="000000" w:themeColor="text1"/>
          <w:sz w:val="28"/>
          <w:szCs w:val="28"/>
        </w:rPr>
        <w:t>:</w:t>
      </w:r>
      <w:bookmarkEnd w:id="4"/>
    </w:p>
    <w:p w14:paraId="40970B1C" w14:textId="77777777" w:rsidR="000E21DD" w:rsidRDefault="000E21DD" w:rsidP="000E21DD"/>
    <w:p w14:paraId="6721DF3C" w14:textId="76984597" w:rsidR="000E21DD" w:rsidRDefault="00236813" w:rsidP="00236813">
      <w:pPr>
        <w:jc w:val="center"/>
      </w:pPr>
      <w:r>
        <w:rPr>
          <w:noProof/>
        </w:rPr>
        <w:drawing>
          <wp:inline distT="0" distB="0" distL="0" distR="0" wp14:anchorId="4AB2B07C" wp14:editId="5F0CB628">
            <wp:extent cx="5327650" cy="1530350"/>
            <wp:effectExtent l="0" t="0" r="6350" b="0"/>
            <wp:docPr id="2117892142" name="Picture 4" descr="A red stick fig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92142" name="Picture 4" descr="A red stick figure on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330031" cy="1531034"/>
                    </a:xfrm>
                    <a:prstGeom prst="rect">
                      <a:avLst/>
                    </a:prstGeom>
                  </pic:spPr>
                </pic:pic>
              </a:graphicData>
            </a:graphic>
          </wp:inline>
        </w:drawing>
      </w:r>
    </w:p>
    <w:p w14:paraId="5F3C7FC2" w14:textId="1452CEDA" w:rsidR="003626CB" w:rsidRPr="00B917A2" w:rsidRDefault="00B917A2" w:rsidP="009200C7">
      <w:pPr>
        <w:spacing w:line="360" w:lineRule="auto"/>
        <w:ind w:firstLine="720"/>
        <w:rPr>
          <w:rFonts w:ascii="Arial" w:hAnsi="Arial" w:cs="Arial"/>
          <w:b/>
          <w:bCs/>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B917A2">
        <w:rPr>
          <w:rFonts w:ascii="Arial" w:hAnsi="Arial" w:cs="Arial"/>
          <w:b/>
          <w:bCs/>
          <w:sz w:val="22"/>
          <w:szCs w:val="22"/>
        </w:rPr>
        <w:t>Fig.4.</w:t>
      </w:r>
    </w:p>
    <w:p w14:paraId="665904F0" w14:textId="655DF222" w:rsidR="009200C7" w:rsidRPr="009200C7" w:rsidRDefault="009200C7" w:rsidP="009200C7">
      <w:pPr>
        <w:spacing w:line="360" w:lineRule="auto"/>
        <w:ind w:firstLine="720"/>
        <w:rPr>
          <w:rFonts w:ascii="Arial" w:hAnsi="Arial" w:cs="Arial"/>
          <w:sz w:val="22"/>
          <w:szCs w:val="22"/>
        </w:rPr>
      </w:pPr>
      <w:r w:rsidRPr="009200C7">
        <w:rPr>
          <w:rFonts w:ascii="Arial" w:hAnsi="Arial" w:cs="Arial"/>
          <w:sz w:val="22"/>
          <w:szCs w:val="22"/>
        </w:rPr>
        <w:t>Edward T. Hall’s theory of High- and Low-Context Communication is especially useful for analysing potential intercultural misunderstandings within the Global Combat Air Programme (GCAP). This model helps explain how deeply rooted communication habits, shaped by national culture, can lead to misinterpretation in collaborative settings</w:t>
      </w:r>
      <w:sdt>
        <w:sdtPr>
          <w:rPr>
            <w:rFonts w:ascii="Arial" w:hAnsi="Arial" w:cs="Arial"/>
            <w:sz w:val="22"/>
            <w:szCs w:val="22"/>
          </w:rPr>
          <w:id w:val="401338156"/>
          <w:citation/>
        </w:sdtPr>
        <w:sdtContent>
          <w:r w:rsidR="0028391A">
            <w:rPr>
              <w:rFonts w:ascii="Arial" w:hAnsi="Arial" w:cs="Arial"/>
              <w:sz w:val="22"/>
              <w:szCs w:val="22"/>
            </w:rPr>
            <w:fldChar w:fldCharType="begin"/>
          </w:r>
          <w:r w:rsidR="0028391A">
            <w:rPr>
              <w:rFonts w:ascii="Arial" w:hAnsi="Arial" w:cs="Arial"/>
              <w:sz w:val="22"/>
              <w:szCs w:val="22"/>
              <w:lang w:val="en-US"/>
            </w:rPr>
            <w:instrText xml:space="preserve"> CITATION Bai16 \l 1033 </w:instrText>
          </w:r>
          <w:r w:rsidR="0028391A">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(Bai, 2016)</w:t>
          </w:r>
          <w:r w:rsidR="0028391A">
            <w:rPr>
              <w:rFonts w:ascii="Arial" w:hAnsi="Arial" w:cs="Arial"/>
              <w:sz w:val="22"/>
              <w:szCs w:val="22"/>
            </w:rPr>
            <w:fldChar w:fldCharType="end"/>
          </w:r>
        </w:sdtContent>
      </w:sdt>
      <w:r w:rsidRPr="009200C7">
        <w:rPr>
          <w:rFonts w:ascii="Arial" w:hAnsi="Arial" w:cs="Arial"/>
          <w:sz w:val="22"/>
          <w:szCs w:val="22"/>
        </w:rPr>
        <w:t>.</w:t>
      </w:r>
    </w:p>
    <w:p w14:paraId="4EBB6045" w14:textId="2833A9DD" w:rsidR="009200C7" w:rsidRPr="004C36AD" w:rsidRDefault="009200C7" w:rsidP="004C36AD">
      <w:pPr>
        <w:pStyle w:val="ListParagraph"/>
        <w:numPr>
          <w:ilvl w:val="0"/>
          <w:numId w:val="8"/>
        </w:numPr>
        <w:spacing w:line="360" w:lineRule="auto"/>
        <w:rPr>
          <w:rFonts w:ascii="Arial" w:hAnsi="Arial" w:cs="Arial"/>
          <w:sz w:val="22"/>
          <w:szCs w:val="22"/>
        </w:rPr>
      </w:pPr>
      <w:r w:rsidRPr="004C36AD">
        <w:rPr>
          <w:rFonts w:ascii="Arial" w:hAnsi="Arial" w:cs="Arial"/>
          <w:sz w:val="22"/>
          <w:szCs w:val="22"/>
        </w:rPr>
        <w:t>Japan represents a high-context culture, where communication tends to be subtle, indirect, and heavily reliant on non-verbal cues such as tone, facial expressions, and shared cultural norms. In such environments, silence is often used strategically, and responses may be intentionally vague to maintain group harmony and avoid confrontation. For instance, a Japanese engineer might respond to a proposal with a polite “We will consider it,” intending to defer or gently reject the idea without causing embarrassment.</w:t>
      </w:r>
    </w:p>
    <w:p w14:paraId="3304237B" w14:textId="14B85B72" w:rsidR="003626CB" w:rsidRPr="003626CB" w:rsidRDefault="009200C7" w:rsidP="004C36AD">
      <w:pPr>
        <w:pStyle w:val="ListParagraph"/>
        <w:numPr>
          <w:ilvl w:val="0"/>
          <w:numId w:val="8"/>
        </w:numPr>
        <w:spacing w:line="360" w:lineRule="auto"/>
        <w:rPr>
          <w:rFonts w:ascii="Arial" w:hAnsi="Arial" w:cs="Arial"/>
          <w:sz w:val="22"/>
          <w:szCs w:val="22"/>
        </w:rPr>
      </w:pPr>
      <w:r w:rsidRPr="004C36AD">
        <w:rPr>
          <w:rFonts w:ascii="Arial" w:hAnsi="Arial" w:cs="Arial"/>
          <w:sz w:val="22"/>
          <w:szCs w:val="22"/>
        </w:rPr>
        <w:t>In contrast, the UK is characterised as a low-context culture. British communication is generally straightforward, transparent, and focused on verbal clarity. British professionals expect direct responses and may place less emphasis on reading between the lines. When Japanese team members do not offer a definitive “yes” or “no,” UK counterparts might misinterpret this ambiguity as reluctance, disinterest, or indecision.</w:t>
      </w:r>
    </w:p>
    <w:p w14:paraId="35EBE25C" w14:textId="0B0C8335" w:rsidR="00236813" w:rsidRDefault="009200C7" w:rsidP="003626CB">
      <w:pPr>
        <w:spacing w:line="360" w:lineRule="auto"/>
        <w:ind w:firstLine="360"/>
        <w:rPr>
          <w:rFonts w:ascii="Arial" w:hAnsi="Arial" w:cs="Arial"/>
          <w:sz w:val="22"/>
          <w:szCs w:val="22"/>
        </w:rPr>
      </w:pPr>
      <w:r w:rsidRPr="009200C7">
        <w:rPr>
          <w:rFonts w:ascii="Arial" w:hAnsi="Arial" w:cs="Arial"/>
          <w:sz w:val="22"/>
          <w:szCs w:val="22"/>
        </w:rPr>
        <w:lastRenderedPageBreak/>
        <w:t>Within the GCAP environment, such differences can cause confusion during discussions and meetings. A UK project leader may view a Japanese team’s measured or cautious responses as a lack of engagement, when in reality, the Japanese side may simply be exercising cultural norms of politeness, internal deliberation, or consensus-seeking</w:t>
      </w:r>
      <w:sdt>
        <w:sdtPr>
          <w:rPr>
            <w:rFonts w:ascii="Arial" w:hAnsi="Arial" w:cs="Arial"/>
            <w:sz w:val="22"/>
            <w:szCs w:val="22"/>
          </w:rPr>
          <w:id w:val="-1290972509"/>
          <w:citation/>
        </w:sdtPr>
        <w:sdtContent>
          <w:r w:rsidR="00B23F30">
            <w:rPr>
              <w:rFonts w:ascii="Arial" w:hAnsi="Arial" w:cs="Arial"/>
              <w:sz w:val="22"/>
              <w:szCs w:val="22"/>
            </w:rPr>
            <w:fldChar w:fldCharType="begin"/>
          </w:r>
          <w:r w:rsidR="00B23F30">
            <w:rPr>
              <w:rFonts w:ascii="Arial" w:hAnsi="Arial" w:cs="Arial"/>
              <w:sz w:val="22"/>
              <w:szCs w:val="22"/>
              <w:lang w:val="en-US"/>
            </w:rPr>
            <w:instrText xml:space="preserve"> CITATION Man06 \l 1033 </w:instrText>
          </w:r>
          <w:r w:rsidR="00B23F30">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(Mansour Javidan, 2006)</w:t>
          </w:r>
          <w:r w:rsidR="00B23F30">
            <w:rPr>
              <w:rFonts w:ascii="Arial" w:hAnsi="Arial" w:cs="Arial"/>
              <w:sz w:val="22"/>
              <w:szCs w:val="22"/>
            </w:rPr>
            <w:fldChar w:fldCharType="end"/>
          </w:r>
        </w:sdtContent>
      </w:sdt>
      <w:r w:rsidRPr="009200C7">
        <w:rPr>
          <w:rFonts w:ascii="Arial" w:hAnsi="Arial" w:cs="Arial"/>
          <w:sz w:val="22"/>
          <w:szCs w:val="22"/>
        </w:rPr>
        <w:t>. Recognising and adapting to these divergent styles is crucial for building mutual understanding and ensuring effective multinational collaboration.</w:t>
      </w:r>
    </w:p>
    <w:p w14:paraId="0D9EE57D" w14:textId="77777777" w:rsidR="00A56455" w:rsidRDefault="00A56455" w:rsidP="003626CB">
      <w:pPr>
        <w:spacing w:line="360" w:lineRule="auto"/>
        <w:ind w:firstLine="360"/>
        <w:rPr>
          <w:rFonts w:ascii="Arial" w:hAnsi="Arial" w:cs="Arial"/>
          <w:sz w:val="22"/>
          <w:szCs w:val="22"/>
        </w:rPr>
      </w:pPr>
    </w:p>
    <w:p w14:paraId="7BDD57D7" w14:textId="11DD5487" w:rsidR="00A56455" w:rsidRDefault="00A56455" w:rsidP="00A56455">
      <w:pPr>
        <w:pStyle w:val="Heading2"/>
        <w:rPr>
          <w:rFonts w:ascii="Arial" w:hAnsi="Arial" w:cs="Arial"/>
          <w:b/>
          <w:bCs/>
          <w:color w:val="000000" w:themeColor="text1"/>
          <w:sz w:val="28"/>
          <w:szCs w:val="28"/>
        </w:rPr>
      </w:pPr>
      <w:bookmarkStart w:id="5" w:name="_Toc202810188"/>
      <w:r w:rsidRPr="007E62E0">
        <w:rPr>
          <w:rFonts w:ascii="Arial" w:hAnsi="Arial" w:cs="Arial"/>
          <w:b/>
          <w:bCs/>
          <w:color w:val="000000" w:themeColor="text1"/>
          <w:sz w:val="28"/>
          <w:szCs w:val="28"/>
        </w:rPr>
        <w:t>3.3.</w:t>
      </w:r>
      <w:r w:rsidR="007E62E0" w:rsidRPr="007E62E0">
        <w:rPr>
          <w:rFonts w:ascii="Arial" w:hAnsi="Arial" w:cs="Arial"/>
          <w:b/>
          <w:bCs/>
          <w:color w:val="000000" w:themeColor="text1"/>
          <w:sz w:val="28"/>
          <w:szCs w:val="28"/>
        </w:rPr>
        <w:t xml:space="preserve"> </w:t>
      </w:r>
      <w:r w:rsidR="007E62E0" w:rsidRPr="007E62E0">
        <w:rPr>
          <w:rFonts w:ascii="Arial" w:hAnsi="Arial" w:cs="Arial"/>
          <w:b/>
          <w:bCs/>
          <w:color w:val="000000" w:themeColor="text1"/>
          <w:sz w:val="28"/>
          <w:szCs w:val="28"/>
        </w:rPr>
        <w:t>Trompenaars’ Seven Dimensions of Culture</w:t>
      </w:r>
      <w:r w:rsidR="007E62E0" w:rsidRPr="007E62E0">
        <w:rPr>
          <w:rFonts w:ascii="Arial" w:hAnsi="Arial" w:cs="Arial"/>
          <w:b/>
          <w:bCs/>
          <w:color w:val="000000" w:themeColor="text1"/>
          <w:sz w:val="28"/>
          <w:szCs w:val="28"/>
        </w:rPr>
        <w:t>:</w:t>
      </w:r>
      <w:bookmarkEnd w:id="5"/>
    </w:p>
    <w:p w14:paraId="5D121B30" w14:textId="2E12AE53" w:rsidR="000C50E8" w:rsidRDefault="000C50E8" w:rsidP="000C50E8">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61312" behindDoc="0" locked="0" layoutInCell="1" allowOverlap="1" wp14:anchorId="7359C0CE" wp14:editId="2F5D577B">
            <wp:simplePos x="0" y="0"/>
            <wp:positionH relativeFrom="column">
              <wp:posOffset>2626360</wp:posOffset>
            </wp:positionH>
            <wp:positionV relativeFrom="paragraph">
              <wp:posOffset>343535</wp:posOffset>
            </wp:positionV>
            <wp:extent cx="3104515" cy="2425700"/>
            <wp:effectExtent l="0" t="0" r="635" b="0"/>
            <wp:wrapSquare wrapText="bothSides"/>
            <wp:docPr id="158023056" name="Picture 5" descr="A diagram of a cultural dimen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3056" name="Picture 5" descr="A diagram of a cultural dimensio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104515" cy="2425700"/>
                    </a:xfrm>
                    <a:prstGeom prst="rect">
                      <a:avLst/>
                    </a:prstGeom>
                  </pic:spPr>
                </pic:pic>
              </a:graphicData>
            </a:graphic>
            <wp14:sizeRelH relativeFrom="margin">
              <wp14:pctWidth>0</wp14:pctWidth>
            </wp14:sizeRelH>
            <wp14:sizeRelV relativeFrom="margin">
              <wp14:pctHeight>0</wp14:pctHeight>
            </wp14:sizeRelV>
          </wp:anchor>
        </w:drawing>
      </w:r>
    </w:p>
    <w:p w14:paraId="57AEF438" w14:textId="3A34023C" w:rsidR="00C6096D" w:rsidRPr="00F80E32" w:rsidRDefault="00C6096D" w:rsidP="000C50E8">
      <w:pPr>
        <w:spacing w:line="360" w:lineRule="auto"/>
        <w:ind w:firstLine="720"/>
        <w:rPr>
          <w:rFonts w:ascii="Arial" w:hAnsi="Arial" w:cs="Arial"/>
          <w:sz w:val="22"/>
          <w:szCs w:val="22"/>
        </w:rPr>
      </w:pPr>
      <w:r w:rsidRPr="00F80E32">
        <w:rPr>
          <w:rFonts w:ascii="Arial" w:hAnsi="Arial" w:cs="Arial"/>
          <w:sz w:val="22"/>
          <w:szCs w:val="22"/>
        </w:rPr>
        <w:t>Fons Trompenaars' Seven Dimensions of Culture offer a nuanced framework for understanding how cultural values influence workplace behaviours, expectations, and interactions. In the context of the Global Combat Air Programme (GCAP), several of these dimensions are particularly relevant in highlighting communication and collaboration challenges between UK and Japanese teams</w:t>
      </w:r>
      <w:sdt>
        <w:sdtPr>
          <w:rPr>
            <w:rFonts w:ascii="Arial" w:hAnsi="Arial" w:cs="Arial"/>
            <w:sz w:val="22"/>
            <w:szCs w:val="22"/>
          </w:rPr>
          <w:id w:val="-542446100"/>
          <w:citation/>
        </w:sdtPr>
        <w:sdtContent>
          <w:r w:rsidR="007C7288">
            <w:rPr>
              <w:rFonts w:ascii="Arial" w:hAnsi="Arial" w:cs="Arial"/>
              <w:sz w:val="22"/>
              <w:szCs w:val="22"/>
            </w:rPr>
            <w:fldChar w:fldCharType="begin"/>
          </w:r>
          <w:r w:rsidR="007C7288">
            <w:rPr>
              <w:rFonts w:ascii="Arial" w:hAnsi="Arial" w:cs="Arial"/>
              <w:sz w:val="22"/>
              <w:szCs w:val="22"/>
              <w:lang w:val="en-US"/>
            </w:rPr>
            <w:instrText xml:space="preserve"> CITATION Bai25 \l 1033 </w:instrText>
          </w:r>
          <w:r w:rsidR="007C7288">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(Bai, 2025)</w:t>
          </w:r>
          <w:r w:rsidR="007C7288">
            <w:rPr>
              <w:rFonts w:ascii="Arial" w:hAnsi="Arial" w:cs="Arial"/>
              <w:sz w:val="22"/>
              <w:szCs w:val="22"/>
            </w:rPr>
            <w:fldChar w:fldCharType="end"/>
          </w:r>
        </w:sdtContent>
      </w:sdt>
      <w:r w:rsidRPr="00F80E32">
        <w:rPr>
          <w:rFonts w:ascii="Arial" w:hAnsi="Arial" w:cs="Arial"/>
          <w:sz w:val="22"/>
          <w:szCs w:val="22"/>
        </w:rPr>
        <w:t>.</w:t>
      </w:r>
      <w:r w:rsidR="00B917A2">
        <w:rPr>
          <w:rFonts w:ascii="Arial" w:hAnsi="Arial" w:cs="Arial"/>
          <w:sz w:val="22"/>
          <w:szCs w:val="22"/>
        </w:rPr>
        <w:tab/>
      </w:r>
      <w:r w:rsidR="00B917A2">
        <w:rPr>
          <w:rFonts w:ascii="Arial" w:hAnsi="Arial" w:cs="Arial"/>
          <w:sz w:val="22"/>
          <w:szCs w:val="22"/>
        </w:rPr>
        <w:tab/>
      </w:r>
      <w:r w:rsidR="00B917A2">
        <w:rPr>
          <w:rFonts w:ascii="Arial" w:hAnsi="Arial" w:cs="Arial"/>
          <w:sz w:val="22"/>
          <w:szCs w:val="22"/>
        </w:rPr>
        <w:tab/>
      </w:r>
      <w:r w:rsidR="00B917A2">
        <w:rPr>
          <w:rFonts w:ascii="Arial" w:hAnsi="Arial" w:cs="Arial"/>
          <w:sz w:val="22"/>
          <w:szCs w:val="22"/>
        </w:rPr>
        <w:tab/>
      </w:r>
      <w:r w:rsidR="00B917A2">
        <w:rPr>
          <w:rFonts w:ascii="Arial" w:hAnsi="Arial" w:cs="Arial"/>
          <w:sz w:val="22"/>
          <w:szCs w:val="22"/>
        </w:rPr>
        <w:tab/>
      </w:r>
      <w:r w:rsidR="00B917A2">
        <w:rPr>
          <w:rFonts w:ascii="Arial" w:hAnsi="Arial" w:cs="Arial"/>
          <w:sz w:val="22"/>
          <w:szCs w:val="22"/>
        </w:rPr>
        <w:tab/>
      </w:r>
      <w:r w:rsidR="00B917A2">
        <w:rPr>
          <w:rFonts w:ascii="Arial" w:hAnsi="Arial" w:cs="Arial"/>
          <w:sz w:val="22"/>
          <w:szCs w:val="22"/>
        </w:rPr>
        <w:tab/>
      </w:r>
      <w:r w:rsidR="00B917A2" w:rsidRPr="00B917A2">
        <w:rPr>
          <w:rFonts w:ascii="Arial" w:hAnsi="Arial" w:cs="Arial"/>
          <w:b/>
          <w:bCs/>
          <w:sz w:val="22"/>
          <w:szCs w:val="22"/>
        </w:rPr>
        <w:t>Fig.5.</w:t>
      </w:r>
    </w:p>
    <w:p w14:paraId="6DDBFE47" w14:textId="77777777" w:rsidR="00C6096D" w:rsidRPr="00F80E32" w:rsidRDefault="00C6096D" w:rsidP="00F80E32">
      <w:pPr>
        <w:spacing w:line="360" w:lineRule="auto"/>
        <w:rPr>
          <w:rFonts w:ascii="Arial" w:hAnsi="Arial" w:cs="Arial"/>
          <w:sz w:val="22"/>
          <w:szCs w:val="22"/>
        </w:rPr>
      </w:pPr>
    </w:p>
    <w:p w14:paraId="2BB6E640" w14:textId="77777777" w:rsidR="00C6096D" w:rsidRPr="00EE7FEE" w:rsidRDefault="00C6096D" w:rsidP="00EE7FEE">
      <w:pPr>
        <w:pStyle w:val="ListParagraph"/>
        <w:numPr>
          <w:ilvl w:val="0"/>
          <w:numId w:val="10"/>
        </w:numPr>
        <w:spacing w:line="360" w:lineRule="auto"/>
        <w:rPr>
          <w:rFonts w:ascii="Arial" w:hAnsi="Arial" w:cs="Arial"/>
          <w:b/>
          <w:bCs/>
          <w:i/>
          <w:iCs/>
          <w:sz w:val="22"/>
          <w:szCs w:val="22"/>
          <w:u w:val="single"/>
        </w:rPr>
      </w:pPr>
      <w:r w:rsidRPr="00EE7FEE">
        <w:rPr>
          <w:rFonts w:ascii="Arial" w:hAnsi="Arial" w:cs="Arial"/>
          <w:b/>
          <w:bCs/>
          <w:i/>
          <w:iCs/>
          <w:sz w:val="22"/>
          <w:szCs w:val="22"/>
          <w:u w:val="single"/>
        </w:rPr>
        <w:t>Universalism vs. Particularism:</w:t>
      </w:r>
    </w:p>
    <w:p w14:paraId="22ABF3DA" w14:textId="77777777" w:rsidR="00C6096D" w:rsidRPr="00F80E32" w:rsidRDefault="00C6096D" w:rsidP="00EE7FEE">
      <w:pPr>
        <w:spacing w:line="360" w:lineRule="auto"/>
        <w:ind w:firstLine="360"/>
        <w:rPr>
          <w:rFonts w:ascii="Arial" w:hAnsi="Arial" w:cs="Arial"/>
          <w:sz w:val="22"/>
          <w:szCs w:val="22"/>
        </w:rPr>
      </w:pPr>
      <w:r w:rsidRPr="00F80E32">
        <w:rPr>
          <w:rFonts w:ascii="Arial" w:hAnsi="Arial" w:cs="Arial"/>
          <w:sz w:val="22"/>
          <w:szCs w:val="22"/>
        </w:rPr>
        <w:t>British professionals typically operate within a universalist culture, where formal rules, procedures, and standards are applied uniformly, regardless of individual circumstances. This approach values fairness, consistency, and transparency. Conversely, Japan tends toward particularism, where context, relationships, and specific situations play a more prominent role in shaping decisions. For instance, when handling a technical issue or negotiation, a Japanese team may prioritise longstanding partnerships or seniority over strict adherence to established protocols. This can cause friction if UK teams perceive such actions as lacking objectivity or fairness.</w:t>
      </w:r>
    </w:p>
    <w:p w14:paraId="39B6BA6D" w14:textId="77777777" w:rsidR="00C6096D" w:rsidRDefault="00C6096D" w:rsidP="00F80E32">
      <w:pPr>
        <w:spacing w:line="360" w:lineRule="auto"/>
        <w:rPr>
          <w:rFonts w:ascii="Arial" w:hAnsi="Arial" w:cs="Arial"/>
          <w:sz w:val="22"/>
          <w:szCs w:val="22"/>
        </w:rPr>
      </w:pPr>
    </w:p>
    <w:p w14:paraId="3C0F70AE" w14:textId="77777777" w:rsidR="00EE7FEE" w:rsidRPr="00F80E32" w:rsidRDefault="00EE7FEE" w:rsidP="00F80E32">
      <w:pPr>
        <w:spacing w:line="360" w:lineRule="auto"/>
        <w:rPr>
          <w:rFonts w:ascii="Arial" w:hAnsi="Arial" w:cs="Arial"/>
          <w:sz w:val="22"/>
          <w:szCs w:val="22"/>
        </w:rPr>
      </w:pPr>
    </w:p>
    <w:p w14:paraId="321AC556" w14:textId="77777777" w:rsidR="00C6096D" w:rsidRPr="00EE7FEE" w:rsidRDefault="00C6096D" w:rsidP="00EE7FEE">
      <w:pPr>
        <w:pStyle w:val="ListParagraph"/>
        <w:numPr>
          <w:ilvl w:val="0"/>
          <w:numId w:val="11"/>
        </w:numPr>
        <w:spacing w:line="360" w:lineRule="auto"/>
        <w:rPr>
          <w:rFonts w:ascii="Arial" w:hAnsi="Arial" w:cs="Arial"/>
          <w:b/>
          <w:bCs/>
          <w:i/>
          <w:iCs/>
          <w:sz w:val="22"/>
          <w:szCs w:val="22"/>
          <w:u w:val="single"/>
        </w:rPr>
      </w:pPr>
      <w:r w:rsidRPr="00EE7FEE">
        <w:rPr>
          <w:rFonts w:ascii="Arial" w:hAnsi="Arial" w:cs="Arial"/>
          <w:b/>
          <w:bCs/>
          <w:i/>
          <w:iCs/>
          <w:sz w:val="22"/>
          <w:szCs w:val="22"/>
          <w:u w:val="single"/>
        </w:rPr>
        <w:lastRenderedPageBreak/>
        <w:t>Achievement vs. Ascription:</w:t>
      </w:r>
    </w:p>
    <w:p w14:paraId="481130A2" w14:textId="77777777" w:rsidR="00C6096D" w:rsidRPr="00F80E32" w:rsidRDefault="00C6096D" w:rsidP="00EE7FEE">
      <w:pPr>
        <w:spacing w:line="360" w:lineRule="auto"/>
        <w:ind w:firstLine="360"/>
        <w:rPr>
          <w:rFonts w:ascii="Arial" w:hAnsi="Arial" w:cs="Arial"/>
          <w:sz w:val="22"/>
          <w:szCs w:val="22"/>
        </w:rPr>
      </w:pPr>
      <w:r w:rsidRPr="00F80E32">
        <w:rPr>
          <w:rFonts w:ascii="Arial" w:hAnsi="Arial" w:cs="Arial"/>
          <w:sz w:val="22"/>
          <w:szCs w:val="22"/>
        </w:rPr>
        <w:t>The UK strongly favours achievement-based cultures, where individuals gain status through accomplishments, skills, and measurable contributions. Titles and authority are typically earned, not assumed. In Japan, however, cultural values reflect a blend of achievement and ascription. While competence is valued, greater importance is often placed on age, rank, and years of service. In GCAP, this can influence team dynamics and decision-making hierarchies. For example, British teams may naturally look to the most qualified engineer to lead a discussion, whereas Japanese teams might defer to the most senior person in the room, regardless of technical expertise.</w:t>
      </w:r>
    </w:p>
    <w:p w14:paraId="12A2CD56" w14:textId="64DE6AD0" w:rsidR="00C6096D" w:rsidRPr="00EE7FEE" w:rsidRDefault="00C6096D" w:rsidP="00EE7FEE">
      <w:pPr>
        <w:pStyle w:val="ListParagraph"/>
        <w:numPr>
          <w:ilvl w:val="0"/>
          <w:numId w:val="11"/>
        </w:numPr>
        <w:spacing w:line="360" w:lineRule="auto"/>
        <w:rPr>
          <w:rFonts w:ascii="Arial" w:hAnsi="Arial" w:cs="Arial"/>
          <w:b/>
          <w:bCs/>
          <w:i/>
          <w:iCs/>
          <w:sz w:val="22"/>
          <w:szCs w:val="22"/>
          <w:u w:val="single"/>
        </w:rPr>
      </w:pPr>
      <w:r w:rsidRPr="00EE7FEE">
        <w:rPr>
          <w:rFonts w:ascii="Arial" w:hAnsi="Arial" w:cs="Arial"/>
          <w:b/>
          <w:bCs/>
          <w:i/>
          <w:iCs/>
          <w:sz w:val="22"/>
          <w:szCs w:val="22"/>
          <w:u w:val="single"/>
        </w:rPr>
        <w:t xml:space="preserve">Neutral vs. </w:t>
      </w:r>
      <w:r w:rsidR="00EE7FEE">
        <w:rPr>
          <w:rFonts w:ascii="Arial" w:hAnsi="Arial" w:cs="Arial"/>
          <w:b/>
          <w:bCs/>
          <w:i/>
          <w:iCs/>
          <w:sz w:val="22"/>
          <w:szCs w:val="22"/>
          <w:u w:val="single"/>
        </w:rPr>
        <w:t>Affective</w:t>
      </w:r>
      <w:r w:rsidRPr="00EE7FEE">
        <w:rPr>
          <w:rFonts w:ascii="Arial" w:hAnsi="Arial" w:cs="Arial"/>
          <w:b/>
          <w:bCs/>
          <w:i/>
          <w:iCs/>
          <w:sz w:val="22"/>
          <w:szCs w:val="22"/>
          <w:u w:val="single"/>
        </w:rPr>
        <w:t>:</w:t>
      </w:r>
    </w:p>
    <w:p w14:paraId="0514E0D5" w14:textId="7DC19C7A" w:rsidR="00C6096D" w:rsidRPr="00F80E32" w:rsidRDefault="00C6096D" w:rsidP="00391E58">
      <w:pPr>
        <w:spacing w:line="360" w:lineRule="auto"/>
        <w:ind w:firstLine="360"/>
        <w:rPr>
          <w:rFonts w:ascii="Arial" w:hAnsi="Arial" w:cs="Arial"/>
          <w:sz w:val="22"/>
          <w:szCs w:val="22"/>
        </w:rPr>
      </w:pPr>
      <w:r w:rsidRPr="00F80E32">
        <w:rPr>
          <w:rFonts w:ascii="Arial" w:hAnsi="Arial" w:cs="Arial"/>
          <w:sz w:val="22"/>
          <w:szCs w:val="22"/>
        </w:rPr>
        <w:t>In the UK, emotional expression in the workplace is moderate—professionals are generally encouraged to communicate openly, while still maintaining decorum. Japan, on the other hand, is a distinctly neutral culture. Emotional control and restraint are seen as marks of professionalism and respect. Expressing strong feelings, especially in group settings, is often discouraged. As a result, British participants in GCAP may view Japanese colleagues as distant or difficult to read, while Japanese counterparts might interpret British directness or passionate debate as unprofessional or overly emotional. Misreading these cues can hinder trust and delay decision-making if not properly managed</w:t>
      </w:r>
      <w:sdt>
        <w:sdtPr>
          <w:rPr>
            <w:rFonts w:ascii="Arial" w:hAnsi="Arial" w:cs="Arial"/>
            <w:sz w:val="22"/>
            <w:szCs w:val="22"/>
          </w:rPr>
          <w:id w:val="43269411"/>
          <w:citation/>
        </w:sdtPr>
        <w:sdtContent>
          <w:r w:rsidR="00765A62">
            <w:rPr>
              <w:rFonts w:ascii="Arial" w:hAnsi="Arial" w:cs="Arial"/>
              <w:sz w:val="22"/>
              <w:szCs w:val="22"/>
            </w:rPr>
            <w:fldChar w:fldCharType="begin"/>
          </w:r>
          <w:r w:rsidR="00765A62">
            <w:rPr>
              <w:rFonts w:ascii="Arial" w:hAnsi="Arial" w:cs="Arial"/>
              <w:sz w:val="22"/>
              <w:szCs w:val="22"/>
              <w:lang w:val="en-US"/>
            </w:rPr>
            <w:instrText xml:space="preserve"> CITATION Shi10 \l 1033 </w:instrText>
          </w:r>
          <w:r w:rsidR="00765A62">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(Shinobu Kitayama, 2010)</w:t>
          </w:r>
          <w:r w:rsidR="00765A62">
            <w:rPr>
              <w:rFonts w:ascii="Arial" w:hAnsi="Arial" w:cs="Arial"/>
              <w:sz w:val="22"/>
              <w:szCs w:val="22"/>
            </w:rPr>
            <w:fldChar w:fldCharType="end"/>
          </w:r>
        </w:sdtContent>
      </w:sdt>
      <w:r w:rsidRPr="00F80E32">
        <w:rPr>
          <w:rFonts w:ascii="Arial" w:hAnsi="Arial" w:cs="Arial"/>
          <w:sz w:val="22"/>
          <w:szCs w:val="22"/>
        </w:rPr>
        <w:t>.</w:t>
      </w:r>
    </w:p>
    <w:p w14:paraId="2A3F972D" w14:textId="5FF79712" w:rsidR="007E62E0" w:rsidRDefault="00391E58" w:rsidP="00391E58">
      <w:pPr>
        <w:spacing w:line="360" w:lineRule="auto"/>
        <w:ind w:firstLine="360"/>
        <w:rPr>
          <w:rFonts w:ascii="Arial" w:hAnsi="Arial" w:cs="Arial"/>
          <w:sz w:val="22"/>
          <w:szCs w:val="22"/>
        </w:rPr>
      </w:pPr>
      <w:r w:rsidRPr="00F80E32">
        <w:rPr>
          <w:rFonts w:ascii="Arial" w:hAnsi="Arial" w:cs="Arial"/>
          <w:sz w:val="22"/>
          <w:szCs w:val="22"/>
        </w:rPr>
        <w:t>Identifying</w:t>
      </w:r>
      <w:r w:rsidR="00C6096D" w:rsidRPr="00F80E32">
        <w:rPr>
          <w:rFonts w:ascii="Arial" w:hAnsi="Arial" w:cs="Arial"/>
          <w:sz w:val="22"/>
          <w:szCs w:val="22"/>
        </w:rPr>
        <w:t xml:space="preserve"> these cultural dimensions and adapting accordingly is essential for fostering smoother cooperation, reducing miscommunication, and </w:t>
      </w:r>
      <w:r w:rsidRPr="00F80E32">
        <w:rPr>
          <w:rFonts w:ascii="Arial" w:hAnsi="Arial" w:cs="Arial"/>
          <w:sz w:val="22"/>
          <w:szCs w:val="22"/>
        </w:rPr>
        <w:t>improving</w:t>
      </w:r>
      <w:r w:rsidR="00C6096D" w:rsidRPr="00F80E32">
        <w:rPr>
          <w:rFonts w:ascii="Arial" w:hAnsi="Arial" w:cs="Arial"/>
          <w:sz w:val="22"/>
          <w:szCs w:val="22"/>
        </w:rPr>
        <w:t xml:space="preserve"> team synergy across the GCAP alliance. By building cultural awareness, teams can better navigate the complexities of international collaboration in a high-stakes defence environment.</w:t>
      </w:r>
    </w:p>
    <w:p w14:paraId="28413E1B" w14:textId="484535A2" w:rsidR="00396114" w:rsidRPr="00396114" w:rsidRDefault="00396114" w:rsidP="00396114">
      <w:pPr>
        <w:pStyle w:val="ListParagraph"/>
        <w:numPr>
          <w:ilvl w:val="0"/>
          <w:numId w:val="12"/>
        </w:numPr>
        <w:spacing w:line="360" w:lineRule="auto"/>
        <w:rPr>
          <w:rFonts w:ascii="Arial" w:hAnsi="Arial" w:cs="Arial"/>
          <w:b/>
          <w:bCs/>
          <w:i/>
          <w:iCs/>
          <w:sz w:val="22"/>
          <w:szCs w:val="22"/>
          <w:u w:val="single"/>
        </w:rPr>
      </w:pPr>
      <w:r w:rsidRPr="00396114">
        <w:rPr>
          <w:rFonts w:ascii="Arial" w:hAnsi="Arial" w:cs="Arial"/>
          <w:b/>
          <w:bCs/>
          <w:i/>
          <w:iCs/>
          <w:sz w:val="22"/>
          <w:szCs w:val="22"/>
          <w:u w:val="single"/>
        </w:rPr>
        <w:t>Internal vs. External Direction</w:t>
      </w:r>
    </w:p>
    <w:p w14:paraId="160F71B8" w14:textId="1129C9B5" w:rsidR="00F74D30" w:rsidRPr="00F74D30" w:rsidRDefault="00F74D30" w:rsidP="00530260">
      <w:pPr>
        <w:spacing w:line="360" w:lineRule="auto"/>
        <w:ind w:firstLine="360"/>
        <w:rPr>
          <w:rFonts w:ascii="Arial" w:hAnsi="Arial" w:cs="Arial"/>
          <w:sz w:val="22"/>
          <w:szCs w:val="22"/>
        </w:rPr>
      </w:pPr>
      <w:r w:rsidRPr="00F74D30">
        <w:rPr>
          <w:rFonts w:ascii="Arial" w:hAnsi="Arial" w:cs="Arial"/>
          <w:sz w:val="22"/>
          <w:szCs w:val="22"/>
        </w:rPr>
        <w:t>Another valuable dimension from Trompenaars and Hampden-Turner's cultural framework is the contrast between Internal Direction (inner-directed) and External Direction (outer-directed) cultures. This dimension refers to how people relate to their environment and exercise control over outcomes.</w:t>
      </w:r>
    </w:p>
    <w:p w14:paraId="698A5664" w14:textId="77777777" w:rsidR="00F74D30" w:rsidRPr="00530260" w:rsidRDefault="00F74D30" w:rsidP="00530260">
      <w:pPr>
        <w:pStyle w:val="ListParagraph"/>
        <w:numPr>
          <w:ilvl w:val="0"/>
          <w:numId w:val="13"/>
        </w:numPr>
        <w:spacing w:line="360" w:lineRule="auto"/>
        <w:rPr>
          <w:rFonts w:ascii="Arial" w:hAnsi="Arial" w:cs="Arial"/>
          <w:sz w:val="22"/>
          <w:szCs w:val="22"/>
        </w:rPr>
      </w:pPr>
      <w:r w:rsidRPr="00530260">
        <w:rPr>
          <w:rFonts w:ascii="Arial" w:hAnsi="Arial" w:cs="Arial"/>
          <w:sz w:val="22"/>
          <w:szCs w:val="22"/>
        </w:rPr>
        <w:t>The UK is typically internally directed, meaning individuals believe they can control their environment, set clear goals, and shape outcomes through assertiveness and planning. In GCAP, UK teams often push forward with confidence in their decision-making and are action-oriented, especially when under pressure to meet deadlines or deliver progress updates.</w:t>
      </w:r>
    </w:p>
    <w:p w14:paraId="7B211D28" w14:textId="77777777" w:rsidR="00F74D30" w:rsidRPr="00F74D30" w:rsidRDefault="00F74D30" w:rsidP="00F74D30">
      <w:pPr>
        <w:spacing w:line="360" w:lineRule="auto"/>
        <w:ind w:firstLine="360"/>
        <w:rPr>
          <w:rFonts w:ascii="Arial" w:hAnsi="Arial" w:cs="Arial"/>
          <w:sz w:val="22"/>
          <w:szCs w:val="22"/>
        </w:rPr>
      </w:pPr>
    </w:p>
    <w:p w14:paraId="02C7C4AB" w14:textId="568C37D1" w:rsidR="00F74D30" w:rsidRPr="00530260" w:rsidRDefault="00F74D30" w:rsidP="00530260">
      <w:pPr>
        <w:pStyle w:val="ListParagraph"/>
        <w:numPr>
          <w:ilvl w:val="0"/>
          <w:numId w:val="13"/>
        </w:numPr>
        <w:spacing w:line="360" w:lineRule="auto"/>
        <w:rPr>
          <w:rFonts w:ascii="Arial" w:hAnsi="Arial" w:cs="Arial"/>
          <w:sz w:val="22"/>
          <w:szCs w:val="22"/>
        </w:rPr>
      </w:pPr>
      <w:r w:rsidRPr="00530260">
        <w:rPr>
          <w:rFonts w:ascii="Arial" w:hAnsi="Arial" w:cs="Arial"/>
          <w:sz w:val="22"/>
          <w:szCs w:val="22"/>
        </w:rPr>
        <w:lastRenderedPageBreak/>
        <w:t>Japan, on the other hand, tends to be externally directed, emphasizing harmony with external circumstances, collective interests, and situational awareness. Japanese teams in GCAP may prioritise alignment with broader organisational goals, ministry-level approvals, or even geopolitical considerations. Rather than challenging obstacles directly, they seek to adapt around them through consensus, patience, and long-term strategy.</w:t>
      </w:r>
    </w:p>
    <w:p w14:paraId="1044DADF" w14:textId="51C542B7" w:rsidR="00F74D30" w:rsidRPr="00F74D30" w:rsidRDefault="00F74D30" w:rsidP="007D0836">
      <w:pPr>
        <w:spacing w:line="360" w:lineRule="auto"/>
        <w:ind w:firstLine="360"/>
        <w:rPr>
          <w:rFonts w:ascii="Arial" w:hAnsi="Arial" w:cs="Arial"/>
          <w:sz w:val="22"/>
          <w:szCs w:val="22"/>
        </w:rPr>
      </w:pPr>
      <w:r w:rsidRPr="00F74D30">
        <w:rPr>
          <w:rFonts w:ascii="Arial" w:hAnsi="Arial" w:cs="Arial"/>
          <w:sz w:val="22"/>
          <w:szCs w:val="22"/>
        </w:rPr>
        <w:t>This difference can affect risk management and how each team responds to unexpected issues. For example, UK engineers might proactively push for immediate technical fixes, while Japanese counterparts may prefer to pause, consult internal stakeholders, and take a more holistic view of the consequences</w:t>
      </w:r>
      <w:sdt>
        <w:sdtPr>
          <w:rPr>
            <w:rFonts w:ascii="Arial" w:hAnsi="Arial" w:cs="Arial"/>
            <w:sz w:val="22"/>
            <w:szCs w:val="22"/>
          </w:rPr>
          <w:id w:val="-1226214615"/>
          <w:citation/>
        </w:sdtPr>
        <w:sdtContent>
          <w:r w:rsidR="005335F3">
            <w:rPr>
              <w:rFonts w:ascii="Arial" w:hAnsi="Arial" w:cs="Arial"/>
              <w:sz w:val="22"/>
              <w:szCs w:val="22"/>
            </w:rPr>
            <w:fldChar w:fldCharType="begin"/>
          </w:r>
          <w:r w:rsidR="005335F3">
            <w:rPr>
              <w:rFonts w:ascii="Arial" w:hAnsi="Arial" w:cs="Arial"/>
              <w:sz w:val="22"/>
              <w:szCs w:val="22"/>
              <w:lang w:val="en-US"/>
            </w:rPr>
            <w:instrText xml:space="preserve"> CITATION Kız23 \l 1033 </w:instrText>
          </w:r>
          <w:r w:rsidR="005335F3">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(Kızrak, 2023)</w:t>
          </w:r>
          <w:r w:rsidR="005335F3">
            <w:rPr>
              <w:rFonts w:ascii="Arial" w:hAnsi="Arial" w:cs="Arial"/>
              <w:sz w:val="22"/>
              <w:szCs w:val="22"/>
            </w:rPr>
            <w:fldChar w:fldCharType="end"/>
          </w:r>
        </w:sdtContent>
      </w:sdt>
      <w:r w:rsidRPr="00F74D30">
        <w:rPr>
          <w:rFonts w:ascii="Arial" w:hAnsi="Arial" w:cs="Arial"/>
          <w:sz w:val="22"/>
          <w:szCs w:val="22"/>
        </w:rPr>
        <w:t>.</w:t>
      </w:r>
    </w:p>
    <w:p w14:paraId="3B9D9D2F" w14:textId="406D1F58" w:rsidR="003079E8" w:rsidRDefault="00F74D30" w:rsidP="003C6D3A">
      <w:pPr>
        <w:spacing w:line="360" w:lineRule="auto"/>
        <w:ind w:firstLine="360"/>
        <w:rPr>
          <w:rFonts w:ascii="Arial" w:hAnsi="Arial" w:cs="Arial"/>
          <w:i/>
          <w:iCs/>
          <w:sz w:val="22"/>
          <w:szCs w:val="22"/>
        </w:rPr>
      </w:pPr>
      <w:r w:rsidRPr="007D0836">
        <w:rPr>
          <w:rFonts w:ascii="Arial" w:hAnsi="Arial" w:cs="Arial"/>
          <w:i/>
          <w:iCs/>
          <w:sz w:val="22"/>
          <w:szCs w:val="22"/>
        </w:rPr>
        <w:t>In a complex multinational programme like GCAP, recognising this dimension helps avoid misinterpretation. The UK’s forward-driving pace may be perceived by the Japanese as reckless, while the Japanese team’s measured caution could be seen by the UK as passive or resistant to progress. Bridging this gap requires mutual respect for differing decision-making rhythms.</w:t>
      </w:r>
    </w:p>
    <w:p w14:paraId="15B00815" w14:textId="77777777" w:rsidR="003C6D3A" w:rsidRDefault="003C6D3A" w:rsidP="003C6D3A">
      <w:pPr>
        <w:spacing w:line="360" w:lineRule="auto"/>
        <w:ind w:firstLine="360"/>
        <w:rPr>
          <w:rFonts w:ascii="Arial" w:hAnsi="Arial" w:cs="Arial"/>
          <w:sz w:val="22"/>
          <w:szCs w:val="22"/>
        </w:rPr>
      </w:pPr>
    </w:p>
    <w:p w14:paraId="42A21264" w14:textId="2FBB9D9D" w:rsidR="003C6D3A" w:rsidRDefault="003C6D3A" w:rsidP="003C6D3A">
      <w:pPr>
        <w:pStyle w:val="Heading2"/>
        <w:rPr>
          <w:rFonts w:ascii="Arial" w:hAnsi="Arial" w:cs="Arial"/>
          <w:b/>
          <w:bCs/>
          <w:color w:val="000000" w:themeColor="text1"/>
          <w:sz w:val="28"/>
          <w:szCs w:val="28"/>
        </w:rPr>
      </w:pPr>
      <w:bookmarkStart w:id="6" w:name="_Toc202810189"/>
      <w:r w:rsidRPr="00FA4FCE">
        <w:rPr>
          <w:rFonts w:ascii="Arial" w:hAnsi="Arial" w:cs="Arial"/>
          <w:b/>
          <w:bCs/>
          <w:color w:val="000000" w:themeColor="text1"/>
          <w:sz w:val="28"/>
          <w:szCs w:val="28"/>
        </w:rPr>
        <w:t>4.</w:t>
      </w:r>
      <w:r w:rsidR="00FA4FCE" w:rsidRPr="00FA4FCE">
        <w:rPr>
          <w:rFonts w:ascii="Arial" w:hAnsi="Arial" w:cs="Arial"/>
          <w:b/>
          <w:bCs/>
          <w:color w:val="000000" w:themeColor="text1"/>
          <w:sz w:val="28"/>
          <w:szCs w:val="28"/>
        </w:rPr>
        <w:t xml:space="preserve"> </w:t>
      </w:r>
      <w:r w:rsidR="00FA4FCE" w:rsidRPr="00FA4FCE">
        <w:rPr>
          <w:rFonts w:ascii="Arial" w:hAnsi="Arial" w:cs="Arial"/>
          <w:b/>
          <w:bCs/>
          <w:color w:val="000000" w:themeColor="text1"/>
          <w:sz w:val="28"/>
          <w:szCs w:val="28"/>
        </w:rPr>
        <w:t>Communication Styles in the UK and Japan</w:t>
      </w:r>
      <w:r w:rsidR="00FA4FCE" w:rsidRPr="00FA4FCE">
        <w:rPr>
          <w:rFonts w:ascii="Arial" w:hAnsi="Arial" w:cs="Arial"/>
          <w:b/>
          <w:bCs/>
          <w:color w:val="000000" w:themeColor="text1"/>
          <w:sz w:val="28"/>
          <w:szCs w:val="28"/>
        </w:rPr>
        <w:t>:</w:t>
      </w:r>
      <w:bookmarkEnd w:id="6"/>
    </w:p>
    <w:p w14:paraId="24545068" w14:textId="77777777" w:rsidR="00FA4FCE" w:rsidRDefault="00FA4FCE" w:rsidP="00FA4FCE"/>
    <w:tbl>
      <w:tblPr>
        <w:tblStyle w:val="TableGrid"/>
        <w:tblW w:w="0" w:type="auto"/>
        <w:tblLook w:val="04A0" w:firstRow="1" w:lastRow="0" w:firstColumn="1" w:lastColumn="0" w:noHBand="0" w:noVBand="1"/>
      </w:tblPr>
      <w:tblGrid>
        <w:gridCol w:w="9016"/>
      </w:tblGrid>
      <w:tr w:rsidR="00477683" w14:paraId="08073B8C" w14:textId="77777777">
        <w:tc>
          <w:tcPr>
            <w:tcW w:w="9016" w:type="dxa"/>
          </w:tcPr>
          <w:p w14:paraId="4EE37B8A" w14:textId="0796FA6A" w:rsidR="00477683" w:rsidRPr="00D60A1A" w:rsidRDefault="00477683" w:rsidP="00D60A1A">
            <w:pPr>
              <w:pStyle w:val="ListParagraph"/>
              <w:numPr>
                <w:ilvl w:val="0"/>
                <w:numId w:val="14"/>
              </w:numPr>
              <w:spacing w:line="360" w:lineRule="auto"/>
              <w:rPr>
                <w:rFonts w:ascii="Arial" w:hAnsi="Arial" w:cs="Arial"/>
                <w:b/>
                <w:bCs/>
                <w:sz w:val="22"/>
                <w:szCs w:val="22"/>
              </w:rPr>
            </w:pPr>
            <w:r w:rsidRPr="00D60A1A">
              <w:rPr>
                <w:rFonts w:ascii="Arial" w:hAnsi="Arial" w:cs="Arial"/>
                <w:b/>
                <w:bCs/>
                <w:sz w:val="22"/>
                <w:szCs w:val="22"/>
              </w:rPr>
              <w:t>British Communication Style</w:t>
            </w:r>
            <w:r w:rsidR="00D60A1A">
              <w:rPr>
                <w:rFonts w:ascii="Arial" w:hAnsi="Arial" w:cs="Arial"/>
                <w:b/>
                <w:bCs/>
                <w:sz w:val="22"/>
                <w:szCs w:val="22"/>
              </w:rPr>
              <w:t>:</w:t>
            </w:r>
          </w:p>
        </w:tc>
      </w:tr>
      <w:tr w:rsidR="00477683" w14:paraId="1EA2C6B6" w14:textId="77777777">
        <w:tc>
          <w:tcPr>
            <w:tcW w:w="9016" w:type="dxa"/>
          </w:tcPr>
          <w:p w14:paraId="1884183E" w14:textId="37B8AE8B" w:rsidR="00477683" w:rsidRPr="00D60A1A" w:rsidRDefault="00D60A1A" w:rsidP="00D60A1A">
            <w:pPr>
              <w:spacing w:line="360" w:lineRule="auto"/>
              <w:rPr>
                <w:rFonts w:ascii="Arial" w:hAnsi="Arial" w:cs="Arial"/>
                <w:sz w:val="22"/>
                <w:szCs w:val="22"/>
              </w:rPr>
            </w:pPr>
            <w:r>
              <w:rPr>
                <w:rFonts w:ascii="Arial" w:hAnsi="Arial" w:cs="Arial"/>
                <w:sz w:val="22"/>
                <w:szCs w:val="22"/>
              </w:rPr>
              <w:t xml:space="preserve">   </w:t>
            </w:r>
            <w:r w:rsidR="00477683" w:rsidRPr="00D60A1A">
              <w:rPr>
                <w:rFonts w:ascii="Arial" w:hAnsi="Arial" w:cs="Arial"/>
                <w:sz w:val="22"/>
                <w:szCs w:val="22"/>
              </w:rPr>
              <w:t>British professionals value clear, polite, and structured communication. Meetings are focused and emails are brief. Feedback is often indirect but understood, and assertiveness is acceptable within respectful limits. This reflects the UK’s low-context, individualistic culture, where directness and efficiency are appreciated.</w:t>
            </w:r>
          </w:p>
        </w:tc>
      </w:tr>
      <w:tr w:rsidR="00477683" w14:paraId="5D49B07E" w14:textId="77777777">
        <w:tc>
          <w:tcPr>
            <w:tcW w:w="9016" w:type="dxa"/>
          </w:tcPr>
          <w:p w14:paraId="65ADF2D5" w14:textId="1FC0AF90" w:rsidR="00477683" w:rsidRPr="00D60A1A" w:rsidRDefault="00D60A1A" w:rsidP="00D60A1A">
            <w:pPr>
              <w:pStyle w:val="ListParagraph"/>
              <w:numPr>
                <w:ilvl w:val="0"/>
                <w:numId w:val="15"/>
              </w:numPr>
              <w:spacing w:line="360" w:lineRule="auto"/>
              <w:rPr>
                <w:rFonts w:ascii="Arial" w:hAnsi="Arial" w:cs="Arial"/>
                <w:b/>
                <w:bCs/>
                <w:sz w:val="22"/>
                <w:szCs w:val="22"/>
              </w:rPr>
            </w:pPr>
            <w:r w:rsidRPr="00D60A1A">
              <w:rPr>
                <w:rFonts w:ascii="Arial" w:hAnsi="Arial" w:cs="Arial"/>
                <w:b/>
                <w:bCs/>
                <w:sz w:val="22"/>
                <w:szCs w:val="22"/>
              </w:rPr>
              <w:t>Japanese Communication Style</w:t>
            </w:r>
            <w:r>
              <w:rPr>
                <w:rFonts w:ascii="Arial" w:hAnsi="Arial" w:cs="Arial"/>
                <w:b/>
                <w:bCs/>
                <w:sz w:val="22"/>
                <w:szCs w:val="22"/>
              </w:rPr>
              <w:t>:</w:t>
            </w:r>
          </w:p>
        </w:tc>
      </w:tr>
      <w:tr w:rsidR="00477683" w14:paraId="20807FFC" w14:textId="77777777">
        <w:tc>
          <w:tcPr>
            <w:tcW w:w="9016" w:type="dxa"/>
          </w:tcPr>
          <w:p w14:paraId="6ED5C785" w14:textId="40972743" w:rsidR="00D60A1A" w:rsidRPr="00D60A1A" w:rsidRDefault="00D60A1A" w:rsidP="00D60A1A">
            <w:pPr>
              <w:spacing w:line="360" w:lineRule="auto"/>
              <w:rPr>
                <w:rFonts w:ascii="Arial" w:hAnsi="Arial" w:cs="Arial"/>
                <w:sz w:val="22"/>
                <w:szCs w:val="22"/>
              </w:rPr>
            </w:pPr>
            <w:r>
              <w:rPr>
                <w:rFonts w:ascii="Arial" w:hAnsi="Arial" w:cs="Arial"/>
                <w:sz w:val="22"/>
                <w:szCs w:val="22"/>
              </w:rPr>
              <w:t xml:space="preserve">   </w:t>
            </w:r>
            <w:r w:rsidRPr="00D60A1A">
              <w:rPr>
                <w:rFonts w:ascii="Arial" w:hAnsi="Arial" w:cs="Arial"/>
                <w:sz w:val="22"/>
                <w:szCs w:val="22"/>
              </w:rPr>
              <w:t>Japanese communication prioritises harmony (</w:t>
            </w:r>
            <w:r w:rsidRPr="00D60A1A">
              <w:rPr>
                <w:rFonts w:ascii="Arial" w:hAnsi="Arial" w:cs="Arial"/>
                <w:i/>
                <w:iCs/>
                <w:sz w:val="22"/>
                <w:szCs w:val="22"/>
              </w:rPr>
              <w:t>wa</w:t>
            </w:r>
            <w:r w:rsidRPr="00D60A1A">
              <w:rPr>
                <w:rFonts w:ascii="Arial" w:hAnsi="Arial" w:cs="Arial"/>
                <w:sz w:val="22"/>
                <w:szCs w:val="22"/>
              </w:rPr>
              <w:t>), indirectness, and sensitivity to social context (</w:t>
            </w:r>
            <w:r w:rsidRPr="00D60A1A">
              <w:rPr>
                <w:rFonts w:ascii="Arial" w:hAnsi="Arial" w:cs="Arial"/>
                <w:i/>
                <w:iCs/>
                <w:sz w:val="22"/>
                <w:szCs w:val="22"/>
              </w:rPr>
              <w:t>kuuki wo yomu</w:t>
            </w:r>
            <w:r w:rsidRPr="00D60A1A">
              <w:rPr>
                <w:rFonts w:ascii="Arial" w:hAnsi="Arial" w:cs="Arial"/>
                <w:sz w:val="22"/>
                <w:szCs w:val="22"/>
              </w:rPr>
              <w:t xml:space="preserve"> – reading the atmosphere). Silence is meaningful, and feedback is subtle to avoid embarrassment. Decisions are made through consensus, often following the </w:t>
            </w:r>
            <w:r w:rsidRPr="00D60A1A">
              <w:rPr>
                <w:rFonts w:ascii="Arial" w:hAnsi="Arial" w:cs="Arial"/>
                <w:i/>
                <w:iCs/>
                <w:sz w:val="22"/>
                <w:szCs w:val="22"/>
              </w:rPr>
              <w:t>ringi</w:t>
            </w:r>
            <w:r w:rsidRPr="00D60A1A">
              <w:rPr>
                <w:rFonts w:ascii="Arial" w:hAnsi="Arial" w:cs="Arial"/>
                <w:sz w:val="22"/>
                <w:szCs w:val="22"/>
              </w:rPr>
              <w:t xml:space="preserve"> approval process. This aligns with Japan’s high-context and collectivist culture</w:t>
            </w:r>
            <w:sdt>
              <w:sdtPr>
                <w:rPr>
                  <w:rFonts w:ascii="Arial" w:hAnsi="Arial" w:cs="Arial"/>
                  <w:sz w:val="22"/>
                  <w:szCs w:val="22"/>
                </w:rPr>
                <w:id w:val="39172430"/>
                <w:citation/>
              </w:sdtPr>
              <w:sdtContent>
                <w:r w:rsidR="007D6AFF">
                  <w:rPr>
                    <w:rFonts w:ascii="Arial" w:hAnsi="Arial" w:cs="Arial"/>
                    <w:sz w:val="22"/>
                    <w:szCs w:val="22"/>
                  </w:rPr>
                  <w:fldChar w:fldCharType="begin"/>
                </w:r>
                <w:r w:rsidR="007D6AFF">
                  <w:rPr>
                    <w:rFonts w:ascii="Arial" w:hAnsi="Arial" w:cs="Arial"/>
                    <w:sz w:val="22"/>
                    <w:szCs w:val="22"/>
                    <w:lang w:val="en-US"/>
                  </w:rPr>
                  <w:instrText xml:space="preserve"> CITATION Nix05 \l 1033 </w:instrText>
                </w:r>
                <w:r w:rsidR="007D6AFF">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(Nixon &amp; Bull, 2005)</w:t>
                </w:r>
                <w:r w:rsidR="007D6AFF">
                  <w:rPr>
                    <w:rFonts w:ascii="Arial" w:hAnsi="Arial" w:cs="Arial"/>
                    <w:sz w:val="22"/>
                    <w:szCs w:val="22"/>
                  </w:rPr>
                  <w:fldChar w:fldCharType="end"/>
                </w:r>
              </w:sdtContent>
            </w:sdt>
            <w:r w:rsidRPr="00D60A1A">
              <w:rPr>
                <w:rFonts w:ascii="Arial" w:hAnsi="Arial" w:cs="Arial"/>
                <w:sz w:val="22"/>
                <w:szCs w:val="22"/>
              </w:rPr>
              <w:t>.</w:t>
            </w:r>
          </w:p>
          <w:p w14:paraId="6F04A6D1" w14:textId="77777777" w:rsidR="00477683" w:rsidRPr="00D60A1A" w:rsidRDefault="00477683" w:rsidP="00D60A1A">
            <w:pPr>
              <w:spacing w:line="360" w:lineRule="auto"/>
              <w:rPr>
                <w:rFonts w:ascii="Arial" w:hAnsi="Arial" w:cs="Arial"/>
                <w:sz w:val="22"/>
                <w:szCs w:val="22"/>
              </w:rPr>
            </w:pPr>
          </w:p>
        </w:tc>
      </w:tr>
    </w:tbl>
    <w:p w14:paraId="4E4878D9" w14:textId="77777777" w:rsidR="00267363" w:rsidRDefault="00267363" w:rsidP="00FA4FCE"/>
    <w:p w14:paraId="764A2F74" w14:textId="77777777" w:rsidR="000227FF" w:rsidRDefault="000227FF" w:rsidP="00FA4FCE"/>
    <w:p w14:paraId="2F22B163" w14:textId="77777777" w:rsidR="000227FF" w:rsidRDefault="000227FF" w:rsidP="00FA4FCE"/>
    <w:p w14:paraId="3CD3AB61" w14:textId="77777777" w:rsidR="000227FF" w:rsidRDefault="000227FF" w:rsidP="00FA4FCE"/>
    <w:p w14:paraId="231C144F" w14:textId="783290C6" w:rsidR="000227FF" w:rsidRDefault="00563783" w:rsidP="00563783">
      <w:pPr>
        <w:pStyle w:val="Heading2"/>
        <w:rPr>
          <w:rFonts w:ascii="Arial" w:hAnsi="Arial" w:cs="Arial"/>
          <w:b/>
          <w:bCs/>
          <w:color w:val="000000" w:themeColor="text1"/>
          <w:sz w:val="28"/>
          <w:szCs w:val="28"/>
        </w:rPr>
      </w:pPr>
      <w:bookmarkStart w:id="7" w:name="_Toc202810190"/>
      <w:r w:rsidRPr="00A15E86">
        <w:rPr>
          <w:rFonts w:ascii="Arial" w:hAnsi="Arial" w:cs="Arial"/>
          <w:b/>
          <w:bCs/>
          <w:color w:val="000000" w:themeColor="text1"/>
          <w:sz w:val="28"/>
          <w:szCs w:val="28"/>
        </w:rPr>
        <w:t>5.</w:t>
      </w:r>
      <w:r w:rsidR="00A15E86" w:rsidRPr="00A15E86">
        <w:rPr>
          <w:rFonts w:ascii="Arial" w:hAnsi="Arial" w:cs="Arial"/>
          <w:b/>
          <w:bCs/>
          <w:color w:val="000000" w:themeColor="text1"/>
          <w:sz w:val="28"/>
          <w:szCs w:val="28"/>
        </w:rPr>
        <w:t xml:space="preserve"> </w:t>
      </w:r>
      <w:r w:rsidR="00A15E86" w:rsidRPr="00A15E86">
        <w:rPr>
          <w:rFonts w:ascii="Arial" w:hAnsi="Arial" w:cs="Arial"/>
          <w:b/>
          <w:bCs/>
          <w:color w:val="000000" w:themeColor="text1"/>
          <w:sz w:val="28"/>
          <w:szCs w:val="28"/>
        </w:rPr>
        <w:t>Misunderstandings in Team Collaboration</w:t>
      </w:r>
      <w:r w:rsidR="00A15E86">
        <w:rPr>
          <w:rFonts w:ascii="Arial" w:hAnsi="Arial" w:cs="Arial"/>
          <w:b/>
          <w:bCs/>
          <w:color w:val="000000" w:themeColor="text1"/>
          <w:sz w:val="28"/>
          <w:szCs w:val="28"/>
        </w:rPr>
        <w:t>:</w:t>
      </w:r>
      <w:bookmarkEnd w:id="7"/>
    </w:p>
    <w:p w14:paraId="4AE94B3F" w14:textId="77777777" w:rsidR="004734ED" w:rsidRDefault="004734ED" w:rsidP="004734ED"/>
    <w:tbl>
      <w:tblPr>
        <w:tblStyle w:val="TableGrid"/>
        <w:tblW w:w="0" w:type="auto"/>
        <w:tblLook w:val="04A0" w:firstRow="1" w:lastRow="0" w:firstColumn="1" w:lastColumn="0" w:noHBand="0" w:noVBand="1"/>
      </w:tblPr>
      <w:tblGrid>
        <w:gridCol w:w="3005"/>
        <w:gridCol w:w="3005"/>
        <w:gridCol w:w="3006"/>
      </w:tblGrid>
      <w:tr w:rsidR="004734ED" w14:paraId="20D9287F" w14:textId="77777777">
        <w:tc>
          <w:tcPr>
            <w:tcW w:w="3005" w:type="dxa"/>
          </w:tcPr>
          <w:p w14:paraId="45ECE0B8" w14:textId="21BBD0D2" w:rsidR="004734ED" w:rsidRPr="00A12F24" w:rsidRDefault="00FE4637" w:rsidP="00A12F24">
            <w:pPr>
              <w:pStyle w:val="ListParagraph"/>
              <w:numPr>
                <w:ilvl w:val="0"/>
                <w:numId w:val="16"/>
              </w:numPr>
              <w:rPr>
                <w:rFonts w:ascii="Arial" w:hAnsi="Arial" w:cs="Arial"/>
                <w:b/>
                <w:bCs/>
                <w:sz w:val="22"/>
                <w:szCs w:val="22"/>
              </w:rPr>
            </w:pPr>
            <w:r w:rsidRPr="00A12F24">
              <w:rPr>
                <w:rFonts w:ascii="Arial" w:hAnsi="Arial" w:cs="Arial"/>
                <w:b/>
                <w:bCs/>
                <w:sz w:val="22"/>
                <w:szCs w:val="22"/>
              </w:rPr>
              <w:t>Feedback styles:</w:t>
            </w:r>
          </w:p>
        </w:tc>
        <w:tc>
          <w:tcPr>
            <w:tcW w:w="3005" w:type="dxa"/>
          </w:tcPr>
          <w:p w14:paraId="2B75C7BD" w14:textId="22747193" w:rsidR="004734ED" w:rsidRPr="00A12F24" w:rsidRDefault="00FE4637" w:rsidP="00A12F24">
            <w:pPr>
              <w:pStyle w:val="ListParagraph"/>
              <w:numPr>
                <w:ilvl w:val="0"/>
                <w:numId w:val="16"/>
              </w:numPr>
              <w:rPr>
                <w:rFonts w:ascii="Arial" w:hAnsi="Arial" w:cs="Arial"/>
                <w:b/>
                <w:bCs/>
                <w:sz w:val="22"/>
                <w:szCs w:val="22"/>
              </w:rPr>
            </w:pPr>
            <w:r w:rsidRPr="00A12F24">
              <w:rPr>
                <w:rFonts w:ascii="Arial" w:hAnsi="Arial" w:cs="Arial"/>
                <w:b/>
                <w:bCs/>
                <w:sz w:val="22"/>
                <w:szCs w:val="22"/>
              </w:rPr>
              <w:t>Silence:</w:t>
            </w:r>
          </w:p>
        </w:tc>
        <w:tc>
          <w:tcPr>
            <w:tcW w:w="3006" w:type="dxa"/>
          </w:tcPr>
          <w:p w14:paraId="37121CE1" w14:textId="77777777" w:rsidR="004734ED" w:rsidRDefault="00A12F24" w:rsidP="00A12F24">
            <w:pPr>
              <w:pStyle w:val="ListParagraph"/>
              <w:numPr>
                <w:ilvl w:val="0"/>
                <w:numId w:val="16"/>
              </w:numPr>
              <w:rPr>
                <w:rFonts w:ascii="Arial" w:hAnsi="Arial" w:cs="Arial"/>
                <w:b/>
                <w:bCs/>
                <w:sz w:val="22"/>
                <w:szCs w:val="22"/>
              </w:rPr>
            </w:pPr>
            <w:r w:rsidRPr="00A12F24">
              <w:rPr>
                <w:rFonts w:ascii="Arial" w:hAnsi="Arial" w:cs="Arial"/>
                <w:b/>
                <w:bCs/>
                <w:sz w:val="22"/>
                <w:szCs w:val="22"/>
              </w:rPr>
              <w:t>Meeting dynamics:</w:t>
            </w:r>
          </w:p>
          <w:p w14:paraId="607C6FC8" w14:textId="018B50AD" w:rsidR="00A12F24" w:rsidRPr="00A12F24" w:rsidRDefault="00A12F24" w:rsidP="00A12F24">
            <w:pPr>
              <w:pStyle w:val="ListParagraph"/>
              <w:rPr>
                <w:rFonts w:ascii="Arial" w:hAnsi="Arial" w:cs="Arial"/>
                <w:b/>
                <w:bCs/>
                <w:sz w:val="22"/>
                <w:szCs w:val="22"/>
              </w:rPr>
            </w:pPr>
          </w:p>
        </w:tc>
      </w:tr>
      <w:tr w:rsidR="004734ED" w14:paraId="3033AB24" w14:textId="77777777">
        <w:tc>
          <w:tcPr>
            <w:tcW w:w="3005" w:type="dxa"/>
          </w:tcPr>
          <w:p w14:paraId="45F345A3" w14:textId="4A27AEC2" w:rsidR="004734ED" w:rsidRPr="00A12F24" w:rsidRDefault="00A12F24" w:rsidP="00A12F24">
            <w:pPr>
              <w:spacing w:line="360" w:lineRule="auto"/>
              <w:rPr>
                <w:rFonts w:ascii="Arial" w:hAnsi="Arial" w:cs="Arial"/>
                <w:sz w:val="22"/>
                <w:szCs w:val="22"/>
              </w:rPr>
            </w:pPr>
            <w:r>
              <w:rPr>
                <w:rFonts w:ascii="Arial" w:hAnsi="Arial" w:cs="Arial"/>
                <w:sz w:val="22"/>
                <w:szCs w:val="22"/>
              </w:rPr>
              <w:t xml:space="preserve">   </w:t>
            </w:r>
            <w:r w:rsidR="00FE4637" w:rsidRPr="00A12F24">
              <w:rPr>
                <w:rFonts w:ascii="Arial" w:hAnsi="Arial" w:cs="Arial"/>
                <w:sz w:val="22"/>
                <w:szCs w:val="22"/>
              </w:rPr>
              <w:t>British professionals tend to give direct, constructive feedback, which may come across as overly blunt or critical to Japanese counterparts, who prefer more indirect and face-saving approaches.</w:t>
            </w:r>
          </w:p>
        </w:tc>
        <w:tc>
          <w:tcPr>
            <w:tcW w:w="3005" w:type="dxa"/>
          </w:tcPr>
          <w:p w14:paraId="20C34C38" w14:textId="4DE0EFA6" w:rsidR="004734ED" w:rsidRPr="00A12F24" w:rsidRDefault="00A12F24" w:rsidP="00A12F24">
            <w:pPr>
              <w:spacing w:line="360" w:lineRule="auto"/>
              <w:rPr>
                <w:rFonts w:ascii="Arial" w:hAnsi="Arial" w:cs="Arial"/>
                <w:sz w:val="22"/>
                <w:szCs w:val="22"/>
              </w:rPr>
            </w:pPr>
            <w:r>
              <w:rPr>
                <w:rFonts w:ascii="Arial" w:hAnsi="Arial" w:cs="Arial"/>
                <w:sz w:val="22"/>
                <w:szCs w:val="22"/>
              </w:rPr>
              <w:t xml:space="preserve">   </w:t>
            </w:r>
            <w:r w:rsidRPr="00A12F24">
              <w:rPr>
                <w:rFonts w:ascii="Arial" w:hAnsi="Arial" w:cs="Arial"/>
                <w:sz w:val="22"/>
                <w:szCs w:val="22"/>
              </w:rPr>
              <w:t>In GCAP meetings, Japanese team members may remain silent as a sign of respect or reflection, but UK participants might misread this as hesitation, confusion, or lack of interest.</w:t>
            </w:r>
          </w:p>
        </w:tc>
        <w:tc>
          <w:tcPr>
            <w:tcW w:w="3006" w:type="dxa"/>
          </w:tcPr>
          <w:p w14:paraId="7F4FB730" w14:textId="65C9CF43" w:rsidR="004734ED" w:rsidRPr="00A12F24" w:rsidRDefault="00A12F24" w:rsidP="00A12F24">
            <w:pPr>
              <w:spacing w:line="360" w:lineRule="auto"/>
              <w:rPr>
                <w:rFonts w:ascii="Arial" w:hAnsi="Arial" w:cs="Arial"/>
                <w:sz w:val="22"/>
                <w:szCs w:val="22"/>
              </w:rPr>
            </w:pPr>
            <w:r>
              <w:rPr>
                <w:rFonts w:ascii="Arial" w:hAnsi="Arial" w:cs="Arial"/>
                <w:sz w:val="22"/>
                <w:szCs w:val="22"/>
              </w:rPr>
              <w:t xml:space="preserve">   </w:t>
            </w:r>
            <w:r w:rsidRPr="00A12F24">
              <w:rPr>
                <w:rFonts w:ascii="Arial" w:hAnsi="Arial" w:cs="Arial"/>
                <w:sz w:val="22"/>
                <w:szCs w:val="22"/>
              </w:rPr>
              <w:t>British members may speak more freely and assertively, aiming for quick progress, while Japanese colleagues might hold back, deferring to senior figures or awaiting internal alignment before contributing.</w:t>
            </w:r>
          </w:p>
        </w:tc>
      </w:tr>
    </w:tbl>
    <w:p w14:paraId="7CF4FBF9" w14:textId="77777777" w:rsidR="004734ED" w:rsidRDefault="004734ED" w:rsidP="004734ED"/>
    <w:p w14:paraId="19878DF6" w14:textId="16D47071" w:rsidR="00BA441F" w:rsidRDefault="00BA441F" w:rsidP="00BA441F">
      <w:pPr>
        <w:pStyle w:val="Heading2"/>
        <w:rPr>
          <w:rFonts w:ascii="Arial" w:hAnsi="Arial" w:cs="Arial"/>
          <w:b/>
          <w:bCs/>
          <w:color w:val="000000" w:themeColor="text1"/>
          <w:sz w:val="28"/>
          <w:szCs w:val="28"/>
        </w:rPr>
      </w:pPr>
      <w:bookmarkStart w:id="8" w:name="_Toc202810191"/>
      <w:r w:rsidRPr="00BA441F">
        <w:rPr>
          <w:rFonts w:ascii="Arial" w:hAnsi="Arial" w:cs="Arial"/>
          <w:b/>
          <w:bCs/>
          <w:color w:val="000000" w:themeColor="text1"/>
          <w:sz w:val="28"/>
          <w:szCs w:val="28"/>
        </w:rPr>
        <w:t>5.1.</w:t>
      </w:r>
      <w:r w:rsidRPr="00BA441F">
        <w:rPr>
          <w:rFonts w:ascii="Arial" w:eastAsiaTheme="minorHAnsi" w:hAnsi="Arial" w:cs="Arial"/>
          <w:b/>
          <w:bCs/>
          <w:color w:val="000000" w:themeColor="text1"/>
          <w:sz w:val="28"/>
          <w:szCs w:val="28"/>
        </w:rPr>
        <w:t xml:space="preserve"> </w:t>
      </w:r>
      <w:r w:rsidRPr="00BA441F">
        <w:rPr>
          <w:rFonts w:ascii="Arial" w:hAnsi="Arial" w:cs="Arial"/>
          <w:b/>
          <w:bCs/>
          <w:color w:val="000000" w:themeColor="text1"/>
          <w:sz w:val="28"/>
          <w:szCs w:val="28"/>
        </w:rPr>
        <w:t>Impacts on Decision-Making and Project Implementation</w:t>
      </w:r>
      <w:r w:rsidRPr="00BA441F">
        <w:rPr>
          <w:rFonts w:ascii="Arial" w:hAnsi="Arial" w:cs="Arial"/>
          <w:b/>
          <w:bCs/>
          <w:color w:val="000000" w:themeColor="text1"/>
          <w:sz w:val="28"/>
          <w:szCs w:val="28"/>
        </w:rPr>
        <w:t>:</w:t>
      </w:r>
      <w:bookmarkEnd w:id="8"/>
    </w:p>
    <w:p w14:paraId="003FC090" w14:textId="77777777" w:rsidR="00BA441F" w:rsidRDefault="00BA441F" w:rsidP="00BA441F"/>
    <w:tbl>
      <w:tblPr>
        <w:tblStyle w:val="TableGrid"/>
        <w:tblW w:w="0" w:type="auto"/>
        <w:tblLook w:val="04A0" w:firstRow="1" w:lastRow="0" w:firstColumn="1" w:lastColumn="0" w:noHBand="0" w:noVBand="1"/>
      </w:tblPr>
      <w:tblGrid>
        <w:gridCol w:w="4508"/>
        <w:gridCol w:w="4508"/>
      </w:tblGrid>
      <w:tr w:rsidR="000C69DC" w14:paraId="5D0F14FA" w14:textId="77777777">
        <w:tc>
          <w:tcPr>
            <w:tcW w:w="4508" w:type="dxa"/>
          </w:tcPr>
          <w:p w14:paraId="5A1A46E5" w14:textId="1F3022FB" w:rsidR="000C69DC" w:rsidRPr="00C41A8B" w:rsidRDefault="000C69DC" w:rsidP="00C41A8B">
            <w:pPr>
              <w:pStyle w:val="ListParagraph"/>
              <w:numPr>
                <w:ilvl w:val="0"/>
                <w:numId w:val="17"/>
              </w:numPr>
              <w:rPr>
                <w:rFonts w:ascii="Arial" w:hAnsi="Arial" w:cs="Arial"/>
                <w:b/>
                <w:bCs/>
                <w:sz w:val="22"/>
                <w:szCs w:val="22"/>
              </w:rPr>
            </w:pPr>
            <w:r w:rsidRPr="00C41A8B">
              <w:rPr>
                <w:rFonts w:ascii="Arial" w:hAnsi="Arial" w:cs="Arial"/>
                <w:b/>
                <w:bCs/>
                <w:sz w:val="22"/>
                <w:szCs w:val="22"/>
              </w:rPr>
              <w:t>Timelines:</w:t>
            </w:r>
          </w:p>
        </w:tc>
        <w:tc>
          <w:tcPr>
            <w:tcW w:w="4508" w:type="dxa"/>
          </w:tcPr>
          <w:p w14:paraId="3D1EAE3C" w14:textId="6195FBB3" w:rsidR="000C69DC" w:rsidRPr="00C41A8B" w:rsidRDefault="00EF1FF5" w:rsidP="00C41A8B">
            <w:pPr>
              <w:pStyle w:val="ListParagraph"/>
              <w:numPr>
                <w:ilvl w:val="0"/>
                <w:numId w:val="17"/>
              </w:numPr>
              <w:rPr>
                <w:rFonts w:ascii="Arial" w:hAnsi="Arial" w:cs="Arial"/>
                <w:b/>
                <w:bCs/>
                <w:sz w:val="22"/>
                <w:szCs w:val="22"/>
              </w:rPr>
            </w:pPr>
            <w:r w:rsidRPr="00C41A8B">
              <w:rPr>
                <w:rFonts w:ascii="Arial" w:hAnsi="Arial" w:cs="Arial"/>
                <w:b/>
                <w:bCs/>
                <w:sz w:val="22"/>
                <w:szCs w:val="22"/>
              </w:rPr>
              <w:t>Email tone and structure:</w:t>
            </w:r>
          </w:p>
        </w:tc>
      </w:tr>
      <w:tr w:rsidR="000C69DC" w14:paraId="0EAF8BA8" w14:textId="77777777">
        <w:tc>
          <w:tcPr>
            <w:tcW w:w="4508" w:type="dxa"/>
          </w:tcPr>
          <w:p w14:paraId="26A4AB37" w14:textId="133034D5" w:rsidR="000C69DC" w:rsidRPr="00C41A8B" w:rsidRDefault="00C41A8B" w:rsidP="00C41A8B">
            <w:pPr>
              <w:spacing w:line="360" w:lineRule="auto"/>
              <w:rPr>
                <w:rFonts w:ascii="Arial" w:hAnsi="Arial" w:cs="Arial"/>
                <w:sz w:val="22"/>
                <w:szCs w:val="22"/>
              </w:rPr>
            </w:pPr>
            <w:r>
              <w:rPr>
                <w:rFonts w:ascii="Arial" w:hAnsi="Arial" w:cs="Arial"/>
                <w:sz w:val="22"/>
                <w:szCs w:val="22"/>
              </w:rPr>
              <w:t xml:space="preserve">   </w:t>
            </w:r>
            <w:r w:rsidR="00EF1FF5" w:rsidRPr="00C41A8B">
              <w:rPr>
                <w:rFonts w:ascii="Arial" w:hAnsi="Arial" w:cs="Arial"/>
                <w:sz w:val="22"/>
                <w:szCs w:val="22"/>
              </w:rPr>
              <w:t xml:space="preserve">The UK side often prioritises speed and efficiency, while the Japanese approach to decision-making—based on the </w:t>
            </w:r>
            <w:r w:rsidRPr="00C41A8B">
              <w:rPr>
                <w:rFonts w:ascii="Arial" w:hAnsi="Arial" w:cs="Arial"/>
                <w:sz w:val="22"/>
                <w:szCs w:val="22"/>
              </w:rPr>
              <w:t>ring</w:t>
            </w:r>
            <w:r w:rsidR="00EF1FF5" w:rsidRPr="00C41A8B">
              <w:rPr>
                <w:rFonts w:ascii="Arial" w:hAnsi="Arial" w:cs="Arial"/>
                <w:sz w:val="22"/>
                <w:szCs w:val="22"/>
              </w:rPr>
              <w:t xml:space="preserve"> process and group consensus—can extend timelines. This difference may lead to frustration or misaligned expectations within GCAP</w:t>
            </w:r>
            <w:sdt>
              <w:sdtPr>
                <w:rPr>
                  <w:rFonts w:ascii="Arial" w:hAnsi="Arial" w:cs="Arial"/>
                  <w:sz w:val="22"/>
                  <w:szCs w:val="22"/>
                </w:rPr>
                <w:id w:val="1531373959"/>
                <w:citation/>
              </w:sdtPr>
              <w:sdtContent>
                <w:r w:rsidR="00652BAE">
                  <w:rPr>
                    <w:rFonts w:ascii="Arial" w:hAnsi="Arial" w:cs="Arial"/>
                    <w:sz w:val="22"/>
                    <w:szCs w:val="22"/>
                  </w:rPr>
                  <w:fldChar w:fldCharType="begin"/>
                </w:r>
                <w:r w:rsidR="00652BAE">
                  <w:rPr>
                    <w:rFonts w:ascii="Arial" w:hAnsi="Arial" w:cs="Arial"/>
                    <w:sz w:val="22"/>
                    <w:szCs w:val="22"/>
                    <w:lang w:val="en-US"/>
                  </w:rPr>
                  <w:instrText xml:space="preserve"> CITATION GMa07 \l 1033 </w:instrText>
                </w:r>
                <w:r w:rsidR="00652BAE">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(G. &amp; Martinsons, 2007)</w:t>
                </w:r>
                <w:r w:rsidR="00652BAE">
                  <w:rPr>
                    <w:rFonts w:ascii="Arial" w:hAnsi="Arial" w:cs="Arial"/>
                    <w:sz w:val="22"/>
                    <w:szCs w:val="22"/>
                  </w:rPr>
                  <w:fldChar w:fldCharType="end"/>
                </w:r>
              </w:sdtContent>
            </w:sdt>
            <w:r w:rsidR="00EF1FF5" w:rsidRPr="00C41A8B">
              <w:rPr>
                <w:rFonts w:ascii="Arial" w:hAnsi="Arial" w:cs="Arial"/>
                <w:sz w:val="22"/>
                <w:szCs w:val="22"/>
              </w:rPr>
              <w:t>.</w:t>
            </w:r>
          </w:p>
        </w:tc>
        <w:tc>
          <w:tcPr>
            <w:tcW w:w="4508" w:type="dxa"/>
          </w:tcPr>
          <w:p w14:paraId="16492224" w14:textId="6A4F4FB9" w:rsidR="000C69DC" w:rsidRPr="00C41A8B" w:rsidRDefault="00C41A8B" w:rsidP="00C41A8B">
            <w:pPr>
              <w:spacing w:line="360" w:lineRule="auto"/>
              <w:rPr>
                <w:rFonts w:ascii="Arial" w:hAnsi="Arial" w:cs="Arial"/>
                <w:sz w:val="22"/>
                <w:szCs w:val="22"/>
              </w:rPr>
            </w:pPr>
            <w:r>
              <w:rPr>
                <w:rFonts w:ascii="Arial" w:hAnsi="Arial" w:cs="Arial"/>
                <w:sz w:val="22"/>
                <w:szCs w:val="22"/>
              </w:rPr>
              <w:t xml:space="preserve">   </w:t>
            </w:r>
            <w:r w:rsidRPr="00C41A8B">
              <w:rPr>
                <w:rFonts w:ascii="Arial" w:hAnsi="Arial" w:cs="Arial"/>
                <w:sz w:val="22"/>
                <w:szCs w:val="22"/>
              </w:rPr>
              <w:t>British emails are typically brief and task-focused, while Japanese emails often include formal greetings, context, and a polite tone. UK partners may overlook these nuances, potentially causing unintended offence or appearing dismissive.</w:t>
            </w:r>
          </w:p>
        </w:tc>
      </w:tr>
    </w:tbl>
    <w:p w14:paraId="0EB1D0AC" w14:textId="77777777" w:rsidR="00BA441F" w:rsidRDefault="00BA441F" w:rsidP="00BA441F"/>
    <w:p w14:paraId="31E362EA" w14:textId="77777777" w:rsidR="00E56FBC" w:rsidRDefault="00E56FBC" w:rsidP="00BA441F"/>
    <w:p w14:paraId="3CACDE9F" w14:textId="001D730C" w:rsidR="00E56FBC" w:rsidRDefault="00E56FBC" w:rsidP="00BA441F"/>
    <w:p w14:paraId="04D34ACF" w14:textId="77777777" w:rsidR="00E56FBC" w:rsidRDefault="00E56FBC">
      <w:r>
        <w:br w:type="page"/>
      </w:r>
    </w:p>
    <w:p w14:paraId="5062F9FE" w14:textId="3DED0FCB" w:rsidR="00E56FBC" w:rsidRDefault="00E56FBC" w:rsidP="00E56FBC">
      <w:pPr>
        <w:pStyle w:val="Heading2"/>
        <w:rPr>
          <w:rFonts w:ascii="Arial" w:hAnsi="Arial" w:cs="Arial"/>
          <w:b/>
          <w:bCs/>
          <w:color w:val="000000" w:themeColor="text1"/>
          <w:sz w:val="28"/>
          <w:szCs w:val="28"/>
        </w:rPr>
      </w:pPr>
      <w:bookmarkStart w:id="9" w:name="_Toc202810192"/>
      <w:r w:rsidRPr="00E56FBC">
        <w:rPr>
          <w:rFonts w:ascii="Arial" w:hAnsi="Arial" w:cs="Arial"/>
          <w:b/>
          <w:bCs/>
          <w:color w:val="000000" w:themeColor="text1"/>
          <w:sz w:val="28"/>
          <w:szCs w:val="28"/>
        </w:rPr>
        <w:lastRenderedPageBreak/>
        <w:t>6.Conclusion:</w:t>
      </w:r>
      <w:bookmarkEnd w:id="9"/>
    </w:p>
    <w:p w14:paraId="3E82B543" w14:textId="77777777" w:rsidR="00A359B6" w:rsidRDefault="00A359B6" w:rsidP="00A359B6"/>
    <w:p w14:paraId="50CE4841" w14:textId="77777777" w:rsidR="00A359B6" w:rsidRPr="00A359B6" w:rsidRDefault="00A359B6" w:rsidP="00A359B6">
      <w:pPr>
        <w:spacing w:line="360" w:lineRule="auto"/>
        <w:ind w:firstLine="720"/>
        <w:rPr>
          <w:rFonts w:ascii="Arial" w:hAnsi="Arial" w:cs="Arial"/>
          <w:sz w:val="22"/>
          <w:szCs w:val="22"/>
        </w:rPr>
      </w:pPr>
      <w:r w:rsidRPr="00A359B6">
        <w:rPr>
          <w:rFonts w:ascii="Arial" w:hAnsi="Arial" w:cs="Arial"/>
          <w:sz w:val="22"/>
          <w:szCs w:val="22"/>
        </w:rPr>
        <w:t xml:space="preserve">Effective cross-cultural communication is crucial to the success of the </w:t>
      </w:r>
      <w:r w:rsidRPr="00A359B6">
        <w:rPr>
          <w:rFonts w:ascii="Arial" w:hAnsi="Arial" w:cs="Arial"/>
          <w:b/>
          <w:bCs/>
          <w:sz w:val="22"/>
          <w:szCs w:val="22"/>
        </w:rPr>
        <w:t>Global Combat Air Programme (GCAP)</w:t>
      </w:r>
      <w:r w:rsidRPr="00A359B6">
        <w:rPr>
          <w:rFonts w:ascii="Arial" w:hAnsi="Arial" w:cs="Arial"/>
          <w:sz w:val="22"/>
          <w:szCs w:val="22"/>
        </w:rPr>
        <w:t xml:space="preserve">, a joint initiative between the United Kingdom and Japan. As explored through cultural theories such as </w:t>
      </w:r>
      <w:r w:rsidRPr="00A359B6">
        <w:rPr>
          <w:rFonts w:ascii="Arial" w:hAnsi="Arial" w:cs="Arial"/>
          <w:i/>
          <w:iCs/>
          <w:sz w:val="22"/>
          <w:szCs w:val="22"/>
        </w:rPr>
        <w:t>Hofstede’s dimensions, Hall’s high- and low-context model, and Trompenaars’ framework</w:t>
      </w:r>
      <w:r w:rsidRPr="00A359B6">
        <w:rPr>
          <w:rFonts w:ascii="Arial" w:hAnsi="Arial" w:cs="Arial"/>
          <w:sz w:val="22"/>
          <w:szCs w:val="22"/>
        </w:rPr>
        <w:t>, the UK and Japan differ significantly in their communication styles. While the UK values directness, clarity, and individual contribution, Japan emphasises indirectness, group harmony, and consensus-building. These contrasts can lead to misunderstandings, particularly in feedback, meeting dynamics, and decision-making processes.</w:t>
      </w:r>
    </w:p>
    <w:p w14:paraId="6554146E" w14:textId="2A58AD07" w:rsidR="00A359B6" w:rsidRPr="00A359B6" w:rsidRDefault="00A359B6" w:rsidP="00A359B6">
      <w:pPr>
        <w:spacing w:line="360" w:lineRule="auto"/>
        <w:ind w:firstLine="720"/>
        <w:rPr>
          <w:rFonts w:ascii="Arial" w:hAnsi="Arial" w:cs="Arial"/>
          <w:sz w:val="22"/>
          <w:szCs w:val="22"/>
        </w:rPr>
      </w:pPr>
      <w:r w:rsidRPr="00A359B6">
        <w:rPr>
          <w:rFonts w:ascii="Arial" w:hAnsi="Arial" w:cs="Arial"/>
          <w:sz w:val="22"/>
          <w:szCs w:val="22"/>
        </w:rPr>
        <w:t>If unmanaged, these differences risk creating delays and tension within the project. However, proactive strategies can bridge the communication gap and strengthen collaboration. Cultural training can raise awareness and sensitivity to each other’s working styles. Appointing bilingual coordinators or cultural mediators can improve clarity and reduce misinterpretation. Hybrid communication approaches—such as balancing direct feedback with culturally appropriate delivery—can also enhance mutual understanding. In addition, allowing flexible timelines and promoting psychological safety in meetings will support more open and respectful dialogue</w:t>
      </w:r>
      <w:sdt>
        <w:sdtPr>
          <w:rPr>
            <w:rFonts w:ascii="Arial" w:hAnsi="Arial" w:cs="Arial"/>
            <w:sz w:val="22"/>
            <w:szCs w:val="22"/>
          </w:rPr>
          <w:id w:val="1372425339"/>
          <w:citation/>
        </w:sdtPr>
        <w:sdtContent>
          <w:r w:rsidR="00B431B3">
            <w:rPr>
              <w:rFonts w:ascii="Arial" w:hAnsi="Arial" w:cs="Arial"/>
              <w:sz w:val="22"/>
              <w:szCs w:val="22"/>
            </w:rPr>
            <w:fldChar w:fldCharType="begin"/>
          </w:r>
          <w:r w:rsidR="00B431B3">
            <w:rPr>
              <w:rFonts w:ascii="Arial" w:hAnsi="Arial" w:cs="Arial"/>
              <w:sz w:val="22"/>
              <w:szCs w:val="22"/>
              <w:lang w:val="en-US"/>
            </w:rPr>
            <w:instrText xml:space="preserve"> CITATION Hur11 \l 1033 </w:instrText>
          </w:r>
          <w:r w:rsidR="00B431B3">
            <w:rPr>
              <w:rFonts w:ascii="Arial" w:hAnsi="Arial" w:cs="Arial"/>
              <w:sz w:val="22"/>
              <w:szCs w:val="22"/>
            </w:rPr>
            <w:fldChar w:fldCharType="separate"/>
          </w:r>
          <w:r w:rsidR="005F0E66">
            <w:rPr>
              <w:rFonts w:ascii="Arial" w:hAnsi="Arial" w:cs="Arial"/>
              <w:noProof/>
              <w:sz w:val="22"/>
              <w:szCs w:val="22"/>
              <w:lang w:val="en-US"/>
            </w:rPr>
            <w:t xml:space="preserve"> </w:t>
          </w:r>
          <w:r w:rsidR="005F0E66" w:rsidRPr="005F0E66">
            <w:rPr>
              <w:rFonts w:ascii="Arial" w:hAnsi="Arial" w:cs="Arial"/>
              <w:noProof/>
              <w:sz w:val="22"/>
              <w:szCs w:val="22"/>
              <w:lang w:val="en-US"/>
            </w:rPr>
            <w:t>(Hurn, 2011)</w:t>
          </w:r>
          <w:r w:rsidR="00B431B3">
            <w:rPr>
              <w:rFonts w:ascii="Arial" w:hAnsi="Arial" w:cs="Arial"/>
              <w:sz w:val="22"/>
              <w:szCs w:val="22"/>
            </w:rPr>
            <w:fldChar w:fldCharType="end"/>
          </w:r>
        </w:sdtContent>
      </w:sdt>
      <w:r w:rsidRPr="00A359B6">
        <w:rPr>
          <w:rFonts w:ascii="Arial" w:hAnsi="Arial" w:cs="Arial"/>
          <w:sz w:val="22"/>
          <w:szCs w:val="22"/>
        </w:rPr>
        <w:t>.</w:t>
      </w:r>
    </w:p>
    <w:p w14:paraId="75D71A64" w14:textId="65A0B393" w:rsidR="00A359B6" w:rsidRDefault="00A359B6" w:rsidP="00A359B6">
      <w:pPr>
        <w:spacing w:line="360" w:lineRule="auto"/>
        <w:rPr>
          <w:rFonts w:ascii="Arial" w:hAnsi="Arial" w:cs="Arial"/>
          <w:sz w:val="22"/>
          <w:szCs w:val="22"/>
        </w:rPr>
      </w:pPr>
      <w:r w:rsidRPr="00A359B6">
        <w:rPr>
          <w:rFonts w:ascii="Arial" w:hAnsi="Arial" w:cs="Arial"/>
          <w:sz w:val="22"/>
          <w:szCs w:val="22"/>
        </w:rPr>
        <w:t xml:space="preserve">In conclusion, recognising and adapting to cultural differences is not a barrier but an opportunity for building a more resilient and innovative partnership. By fostering intercultural competence, </w:t>
      </w:r>
      <w:r w:rsidRPr="00654DEC">
        <w:rPr>
          <w:rFonts w:ascii="Arial" w:hAnsi="Arial" w:cs="Arial"/>
          <w:b/>
          <w:bCs/>
          <w:sz w:val="22"/>
          <w:szCs w:val="22"/>
        </w:rPr>
        <w:t>GCAP</w:t>
      </w:r>
      <w:r w:rsidRPr="00A359B6">
        <w:rPr>
          <w:rFonts w:ascii="Arial" w:hAnsi="Arial" w:cs="Arial"/>
          <w:sz w:val="22"/>
          <w:szCs w:val="22"/>
        </w:rPr>
        <w:t xml:space="preserve"> can benefit from the strengths of both nations and move forward with greater unity and effectiveness.</w:t>
      </w:r>
    </w:p>
    <w:p w14:paraId="55810F62" w14:textId="40D728CC" w:rsidR="00294F29" w:rsidRDefault="00294F29" w:rsidP="00A359B6">
      <w:pPr>
        <w:spacing w:line="360" w:lineRule="auto"/>
        <w:rPr>
          <w:rFonts w:ascii="Arial" w:hAnsi="Arial" w:cs="Arial"/>
          <w:sz w:val="22"/>
          <w:szCs w:val="22"/>
        </w:rPr>
      </w:pPr>
    </w:p>
    <w:p w14:paraId="1944F29A" w14:textId="77777777" w:rsidR="00294F29" w:rsidRDefault="00294F29">
      <w:pPr>
        <w:rPr>
          <w:rFonts w:ascii="Arial" w:hAnsi="Arial" w:cs="Arial"/>
          <w:sz w:val="22"/>
          <w:szCs w:val="22"/>
        </w:rPr>
      </w:pPr>
      <w:r>
        <w:rPr>
          <w:rFonts w:ascii="Arial" w:hAnsi="Arial" w:cs="Arial"/>
          <w:sz w:val="22"/>
          <w:szCs w:val="22"/>
        </w:rPr>
        <w:br w:type="page"/>
      </w:r>
    </w:p>
    <w:bookmarkStart w:id="10" w:name="_Toc202810193" w:displacedByCustomXml="next"/>
    <w:sdt>
      <w:sdtPr>
        <w:id w:val="2015497409"/>
        <w:docPartObj>
          <w:docPartGallery w:val="Bibliographies"/>
          <w:docPartUnique/>
        </w:docPartObj>
      </w:sdtPr>
      <w:sdtEndPr>
        <w:rPr>
          <w:rFonts w:asciiTheme="minorHAnsi" w:eastAsiaTheme="minorHAnsi" w:hAnsiTheme="minorHAnsi" w:cstheme="minorBidi"/>
          <w:color w:val="auto"/>
          <w:sz w:val="24"/>
          <w:szCs w:val="24"/>
        </w:rPr>
      </w:sdtEndPr>
      <w:sdtContent>
        <w:p w14:paraId="1A217DCA" w14:textId="3415D143" w:rsidR="000070F4" w:rsidRPr="000070F4" w:rsidRDefault="000070F4">
          <w:pPr>
            <w:pStyle w:val="Heading1"/>
            <w:rPr>
              <w:rFonts w:ascii="Arial" w:hAnsi="Arial" w:cs="Arial"/>
              <w:b/>
              <w:bCs/>
              <w:color w:val="000000" w:themeColor="text1"/>
              <w:sz w:val="28"/>
              <w:szCs w:val="28"/>
            </w:rPr>
          </w:pPr>
          <w:r w:rsidRPr="000070F4">
            <w:rPr>
              <w:rFonts w:ascii="Arial" w:hAnsi="Arial" w:cs="Arial"/>
              <w:b/>
              <w:bCs/>
              <w:color w:val="000000" w:themeColor="text1"/>
              <w:sz w:val="28"/>
              <w:szCs w:val="28"/>
            </w:rPr>
            <w:t>References</w:t>
          </w:r>
          <w:r>
            <w:rPr>
              <w:rFonts w:ascii="Arial" w:hAnsi="Arial" w:cs="Arial"/>
              <w:b/>
              <w:bCs/>
              <w:color w:val="000000" w:themeColor="text1"/>
              <w:sz w:val="28"/>
              <w:szCs w:val="28"/>
            </w:rPr>
            <w:t>:</w:t>
          </w:r>
          <w:bookmarkEnd w:id="10"/>
        </w:p>
        <w:sdt>
          <w:sdtPr>
            <w:id w:val="-573587230"/>
            <w:bibliography/>
          </w:sdtPr>
          <w:sdtContent>
            <w:p w14:paraId="58E84692" w14:textId="77777777" w:rsidR="005F0E66" w:rsidRDefault="000070F4" w:rsidP="005F0E66">
              <w:pPr>
                <w:pStyle w:val="Bibliography"/>
                <w:rPr>
                  <w:noProof/>
                  <w:kern w:val="0"/>
                  <w14:ligatures w14:val="none"/>
                </w:rPr>
              </w:pPr>
              <w:r>
                <w:fldChar w:fldCharType="begin"/>
              </w:r>
              <w:r>
                <w:instrText xml:space="preserve"> BIBLIOGRAPHY </w:instrText>
              </w:r>
              <w:r>
                <w:fldChar w:fldCharType="separate"/>
              </w:r>
              <w:r w:rsidR="005F0E66">
                <w:rPr>
                  <w:noProof/>
                </w:rPr>
                <w:t xml:space="preserve">Bai, H., 2016. A Cross-Cultural Analysis of Advertisements from High-Context Cultures and Low-Context Cultures. </w:t>
              </w:r>
              <w:r w:rsidR="005F0E66">
                <w:rPr>
                  <w:i/>
                  <w:iCs/>
                  <w:noProof/>
                </w:rPr>
                <w:t xml:space="preserve">ERIC (Canadian Center of Science and Education.), </w:t>
              </w:r>
              <w:r w:rsidR="005F0E66">
                <w:rPr>
                  <w:noProof/>
                </w:rPr>
                <w:t>9(8), pp. 21-27.</w:t>
              </w:r>
            </w:p>
            <w:p w14:paraId="61E84520" w14:textId="77777777" w:rsidR="005F0E66" w:rsidRDefault="005F0E66" w:rsidP="005F0E66">
              <w:pPr>
                <w:pStyle w:val="Bibliography"/>
                <w:rPr>
                  <w:noProof/>
                </w:rPr>
              </w:pPr>
              <w:r>
                <w:rPr>
                  <w:noProof/>
                </w:rPr>
                <w:t xml:space="preserve">Bai, X., 2025. A Critical Analysis of Fons Trompenaars’ Intercultural Research. In: </w:t>
              </w:r>
              <w:r>
                <w:rPr>
                  <w:i/>
                  <w:iCs/>
                  <w:noProof/>
                </w:rPr>
                <w:t xml:space="preserve">Information Systems for Intelligent Systems. </w:t>
              </w:r>
              <w:r>
                <w:rPr>
                  <w:noProof/>
                </w:rPr>
                <w:t>s.l.:Springer, Singapore, p. 155–165.</w:t>
              </w:r>
            </w:p>
            <w:p w14:paraId="26B0C0A8" w14:textId="77777777" w:rsidR="005F0E66" w:rsidRDefault="005F0E66" w:rsidP="005F0E66">
              <w:pPr>
                <w:pStyle w:val="Bibliography"/>
                <w:rPr>
                  <w:noProof/>
                </w:rPr>
              </w:pPr>
              <w:r>
                <w:rPr>
                  <w:noProof/>
                </w:rPr>
                <w:t xml:space="preserve">Dong, L., 2024. Philosophical Reflections and Value Reconstruction in International Communication from the Perspective of Intercultural Communication. </w:t>
              </w:r>
              <w:r>
                <w:rPr>
                  <w:i/>
                  <w:iCs/>
                  <w:noProof/>
                </w:rPr>
                <w:t xml:space="preserve">Philosophy &amp; Ideology Research, </w:t>
              </w:r>
              <w:r>
                <w:rPr>
                  <w:noProof/>
                </w:rPr>
                <w:t>4(1).</w:t>
              </w:r>
            </w:p>
            <w:p w14:paraId="65DBB350" w14:textId="77777777" w:rsidR="005F0E66" w:rsidRDefault="005F0E66" w:rsidP="005F0E66">
              <w:pPr>
                <w:pStyle w:val="Bibliography"/>
                <w:rPr>
                  <w:noProof/>
                </w:rPr>
              </w:pPr>
              <w:r>
                <w:rPr>
                  <w:noProof/>
                </w:rPr>
                <w:t xml:space="preserve">G., M. &amp; Martinsons, 2007. Strategic decision making and support systems: Comparing American, Japanese and Chinese management. </w:t>
              </w:r>
              <w:r>
                <w:rPr>
                  <w:i/>
                  <w:iCs/>
                  <w:noProof/>
                </w:rPr>
                <w:t xml:space="preserve">Decision Support Systems, </w:t>
              </w:r>
              <w:r>
                <w:rPr>
                  <w:noProof/>
                </w:rPr>
                <w:t>43(1), pp. 284-300.</w:t>
              </w:r>
            </w:p>
            <w:p w14:paraId="387AEC70" w14:textId="77777777" w:rsidR="005F0E66" w:rsidRDefault="005F0E66" w:rsidP="005F0E66">
              <w:pPr>
                <w:pStyle w:val="Bibliography"/>
                <w:rPr>
                  <w:noProof/>
                </w:rPr>
              </w:pPr>
              <w:r>
                <w:rPr>
                  <w:noProof/>
                </w:rPr>
                <w:t xml:space="preserve">Hofstede, G., 1983. National Cultures in Four Dimensions: A Research-Based Theory of Cultural Differences among Nations. </w:t>
              </w:r>
              <w:r>
                <w:rPr>
                  <w:i/>
                  <w:iCs/>
                  <w:noProof/>
                </w:rPr>
                <w:t xml:space="preserve">International Studies of Management &amp; Organization, </w:t>
              </w:r>
              <w:r>
                <w:rPr>
                  <w:noProof/>
                </w:rPr>
                <w:t>Volume 13, pp. 46-74.</w:t>
              </w:r>
            </w:p>
            <w:p w14:paraId="5ECD5F80" w14:textId="77777777" w:rsidR="005F0E66" w:rsidRDefault="005F0E66" w:rsidP="005F0E66">
              <w:pPr>
                <w:pStyle w:val="Bibliography"/>
                <w:rPr>
                  <w:noProof/>
                </w:rPr>
              </w:pPr>
              <w:r>
                <w:rPr>
                  <w:noProof/>
                </w:rPr>
                <w:t xml:space="preserve">Hurn, B., 2011. Simulation training methods to develop cultural awareness. </w:t>
              </w:r>
              <w:r>
                <w:rPr>
                  <w:i/>
                  <w:iCs/>
                  <w:noProof/>
                </w:rPr>
                <w:t xml:space="preserve">Industrial and Commercial Training, </w:t>
              </w:r>
              <w:r>
                <w:rPr>
                  <w:noProof/>
                </w:rPr>
                <w:t>43(4), pp. 199-205.</w:t>
              </w:r>
            </w:p>
            <w:p w14:paraId="07D5910A" w14:textId="77777777" w:rsidR="005F0E66" w:rsidRDefault="005F0E66" w:rsidP="005F0E66">
              <w:pPr>
                <w:pStyle w:val="Bibliography"/>
                <w:rPr>
                  <w:noProof/>
                </w:rPr>
              </w:pPr>
              <w:r>
                <w:rPr>
                  <w:noProof/>
                </w:rPr>
                <w:t xml:space="preserve">Kızrak, M., 2023. A Theoretical Exploration of the Nexus Between Performance Appraisal, Culture, and Impression Management. </w:t>
              </w:r>
              <w:r>
                <w:rPr>
                  <w:i/>
                  <w:iCs/>
                  <w:noProof/>
                </w:rPr>
                <w:t xml:space="preserve">The Journal of Human and Work, </w:t>
              </w:r>
              <w:r>
                <w:rPr>
                  <w:noProof/>
                </w:rPr>
                <w:t>10(2), pp. 51-66.</w:t>
              </w:r>
            </w:p>
            <w:p w14:paraId="2729D073" w14:textId="77777777" w:rsidR="005F0E66" w:rsidRDefault="005F0E66" w:rsidP="005F0E66">
              <w:pPr>
                <w:pStyle w:val="Bibliography"/>
                <w:rPr>
                  <w:noProof/>
                </w:rPr>
              </w:pPr>
              <w:r>
                <w:rPr>
                  <w:noProof/>
                </w:rPr>
                <w:t xml:space="preserve">Kniewasser, C., 2017. Intercultural Online Communication of International Companies in High-Context and Low-Context Cultures. </w:t>
              </w:r>
              <w:r>
                <w:rPr>
                  <w:i/>
                  <w:iCs/>
                  <w:noProof/>
                </w:rPr>
                <w:t xml:space="preserve">Conference Proceedings Trends in Business Communication 2016, </w:t>
              </w:r>
              <w:r>
                <w:rPr>
                  <w:noProof/>
                </w:rPr>
                <w:t>p. 141–147.</w:t>
              </w:r>
            </w:p>
            <w:p w14:paraId="0A2E9EE0" w14:textId="77777777" w:rsidR="005F0E66" w:rsidRDefault="005F0E66" w:rsidP="005F0E66">
              <w:pPr>
                <w:pStyle w:val="Bibliography"/>
                <w:rPr>
                  <w:noProof/>
                </w:rPr>
              </w:pPr>
              <w:r>
                <w:rPr>
                  <w:noProof/>
                </w:rPr>
                <w:t xml:space="preserve">Mansour Javidan, P. W. D. M. S. d. L. a. R. J. H., 2006. In the Eye of the Beholder: Cross Cultural Lessons in Leadership from Project GLOBE. </w:t>
              </w:r>
              <w:r>
                <w:rPr>
                  <w:i/>
                  <w:iCs/>
                  <w:noProof/>
                </w:rPr>
                <w:t xml:space="preserve">Academy of Management Perspectives, </w:t>
              </w:r>
              <w:r>
                <w:rPr>
                  <w:noProof/>
                </w:rPr>
                <w:t>20(1).</w:t>
              </w:r>
            </w:p>
            <w:p w14:paraId="3991BBB6" w14:textId="77777777" w:rsidR="005F0E66" w:rsidRDefault="005F0E66" w:rsidP="005F0E66">
              <w:pPr>
                <w:pStyle w:val="Bibliography"/>
                <w:rPr>
                  <w:noProof/>
                </w:rPr>
              </w:pPr>
              <w:r>
                <w:rPr>
                  <w:noProof/>
                </w:rPr>
                <w:t xml:space="preserve">Nixon, Y. &amp; Bull, P., 2005. Cultural communication styles and accuracy in cross-cultural perception: A British and Japanese study. </w:t>
              </w:r>
              <w:r>
                <w:rPr>
                  <w:i/>
                  <w:iCs/>
                  <w:noProof/>
                </w:rPr>
                <w:t xml:space="preserve">Journal of Intercultural Communication, </w:t>
              </w:r>
              <w:r>
                <w:rPr>
                  <w:noProof/>
                </w:rPr>
                <w:t>6(2), pp. 1-20.</w:t>
              </w:r>
            </w:p>
            <w:p w14:paraId="26DB01C5" w14:textId="77777777" w:rsidR="005F0E66" w:rsidRDefault="005F0E66" w:rsidP="005F0E66">
              <w:pPr>
                <w:pStyle w:val="Bibliography"/>
                <w:rPr>
                  <w:noProof/>
                </w:rPr>
              </w:pPr>
              <w:r>
                <w:rPr>
                  <w:noProof/>
                </w:rPr>
                <w:t xml:space="preserve">Ogbonna, E., 2011. Leadership style, organizational culture and performance: empirical evidence from UK companies. </w:t>
              </w:r>
              <w:r>
                <w:rPr>
                  <w:i/>
                  <w:iCs/>
                  <w:noProof/>
                </w:rPr>
                <w:t xml:space="preserve">The International Journal of Human Resource Management, </w:t>
              </w:r>
              <w:r>
                <w:rPr>
                  <w:noProof/>
                </w:rPr>
                <w:t>11(4), pp. 766-788.</w:t>
              </w:r>
            </w:p>
            <w:p w14:paraId="3ADFB570" w14:textId="77777777" w:rsidR="005F0E66" w:rsidRDefault="005F0E66" w:rsidP="005F0E66">
              <w:pPr>
                <w:pStyle w:val="Bibliography"/>
                <w:rPr>
                  <w:noProof/>
                </w:rPr>
              </w:pPr>
              <w:r>
                <w:rPr>
                  <w:noProof/>
                </w:rPr>
                <w:t xml:space="preserve">Petrie, L., 2024. </w:t>
              </w:r>
              <w:r>
                <w:rPr>
                  <w:i/>
                  <w:iCs/>
                  <w:noProof/>
                </w:rPr>
                <w:t xml:space="preserve">What is the Global Combat Air, </w:t>
              </w:r>
              <w:r>
                <w:rPr>
                  <w:noProof/>
                </w:rPr>
                <w:t>London: House of Commons Library.</w:t>
              </w:r>
            </w:p>
            <w:p w14:paraId="33405F7B" w14:textId="77777777" w:rsidR="005F0E66" w:rsidRDefault="005F0E66" w:rsidP="005F0E66">
              <w:pPr>
                <w:pStyle w:val="Bibliography"/>
                <w:rPr>
                  <w:noProof/>
                </w:rPr>
              </w:pPr>
              <w:r>
                <w:rPr>
                  <w:noProof/>
                </w:rPr>
                <w:lastRenderedPageBreak/>
                <w:t xml:space="preserve">Saeed Askary, N. Q. a. R. V. S., 2015. Culture, communication skills and intellectual capital: a theoretical framework. </w:t>
              </w:r>
              <w:r>
                <w:rPr>
                  <w:i/>
                  <w:iCs/>
                  <w:noProof/>
                </w:rPr>
                <w:t xml:space="preserve">International Journal of Higher Education and Sustainability, </w:t>
              </w:r>
              <w:r>
                <w:rPr>
                  <w:noProof/>
                </w:rPr>
                <w:t>1(1), pp. 88-101.</w:t>
              </w:r>
            </w:p>
            <w:p w14:paraId="479BCAB3" w14:textId="77777777" w:rsidR="005F0E66" w:rsidRDefault="005F0E66" w:rsidP="005F0E66">
              <w:pPr>
                <w:pStyle w:val="Bibliography"/>
                <w:rPr>
                  <w:noProof/>
                </w:rPr>
              </w:pPr>
              <w:r>
                <w:rPr>
                  <w:noProof/>
                </w:rPr>
                <w:t xml:space="preserve">Shinobu Kitayama, H. R. M. &amp;. K., 2010. Culture, Emotion, and Well-being: Good Feelings in Japan and the United States. </w:t>
              </w:r>
              <w:r>
                <w:rPr>
                  <w:i/>
                  <w:iCs/>
                  <w:noProof/>
                </w:rPr>
                <w:t xml:space="preserve">Cognition and Emotion, </w:t>
              </w:r>
              <w:r>
                <w:rPr>
                  <w:noProof/>
                </w:rPr>
                <w:t>14(1), pp. 93-124.</w:t>
              </w:r>
            </w:p>
            <w:p w14:paraId="11E374BE" w14:textId="4E5CBA49" w:rsidR="000070F4" w:rsidRDefault="000070F4" w:rsidP="005F0E66">
              <w:r>
                <w:rPr>
                  <w:b/>
                  <w:bCs/>
                  <w:noProof/>
                </w:rPr>
                <w:fldChar w:fldCharType="end"/>
              </w:r>
            </w:p>
          </w:sdtContent>
        </w:sdt>
      </w:sdtContent>
    </w:sdt>
    <w:p w14:paraId="2504B66D" w14:textId="77777777" w:rsidR="00294F29" w:rsidRPr="00A359B6" w:rsidRDefault="00294F29" w:rsidP="00A359B6">
      <w:pPr>
        <w:spacing w:line="360" w:lineRule="auto"/>
        <w:rPr>
          <w:rFonts w:ascii="Arial" w:hAnsi="Arial" w:cs="Arial"/>
          <w:sz w:val="22"/>
          <w:szCs w:val="22"/>
        </w:rPr>
      </w:pPr>
    </w:p>
    <w:sectPr w:rsidR="00294F29" w:rsidRPr="00A359B6">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754E5" w14:textId="77777777" w:rsidR="00723EF5" w:rsidRDefault="00723EF5" w:rsidP="00723EF5">
      <w:pPr>
        <w:spacing w:after="0" w:line="240" w:lineRule="auto"/>
      </w:pPr>
      <w:r>
        <w:separator/>
      </w:r>
    </w:p>
  </w:endnote>
  <w:endnote w:type="continuationSeparator" w:id="0">
    <w:p w14:paraId="2B7624F6" w14:textId="77777777" w:rsidR="00723EF5" w:rsidRDefault="00723EF5" w:rsidP="00723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0174534"/>
      <w:docPartObj>
        <w:docPartGallery w:val="Page Numbers (Bottom of Page)"/>
        <w:docPartUnique/>
      </w:docPartObj>
    </w:sdtPr>
    <w:sdtEndPr>
      <w:rPr>
        <w:noProof/>
      </w:rPr>
    </w:sdtEndPr>
    <w:sdtContent>
      <w:p w14:paraId="57585397" w14:textId="71767EF4" w:rsidR="00723EF5" w:rsidRDefault="00723E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1DB12B" w14:textId="77777777" w:rsidR="00723EF5" w:rsidRDefault="00723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B5495" w14:textId="77777777" w:rsidR="00723EF5" w:rsidRDefault="00723EF5" w:rsidP="00723EF5">
      <w:pPr>
        <w:spacing w:after="0" w:line="240" w:lineRule="auto"/>
      </w:pPr>
      <w:r>
        <w:separator/>
      </w:r>
    </w:p>
  </w:footnote>
  <w:footnote w:type="continuationSeparator" w:id="0">
    <w:p w14:paraId="41606052" w14:textId="77777777" w:rsidR="00723EF5" w:rsidRDefault="00723EF5" w:rsidP="00723E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40B"/>
    <w:multiLevelType w:val="hybridMultilevel"/>
    <w:tmpl w:val="F5CA12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F0407"/>
    <w:multiLevelType w:val="hybridMultilevel"/>
    <w:tmpl w:val="69C2AD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51CEF"/>
    <w:multiLevelType w:val="hybridMultilevel"/>
    <w:tmpl w:val="492449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22B6D"/>
    <w:multiLevelType w:val="hybridMultilevel"/>
    <w:tmpl w:val="6EDA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B742A"/>
    <w:multiLevelType w:val="hybridMultilevel"/>
    <w:tmpl w:val="8F2AE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E50E27"/>
    <w:multiLevelType w:val="hybridMultilevel"/>
    <w:tmpl w:val="2CF2BF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253338"/>
    <w:multiLevelType w:val="hybridMultilevel"/>
    <w:tmpl w:val="5C46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BF5406"/>
    <w:multiLevelType w:val="hybridMultilevel"/>
    <w:tmpl w:val="06B8FB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0515AA"/>
    <w:multiLevelType w:val="hybridMultilevel"/>
    <w:tmpl w:val="00EEEA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33367D8"/>
    <w:multiLevelType w:val="hybridMultilevel"/>
    <w:tmpl w:val="24647A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4C220C"/>
    <w:multiLevelType w:val="hybridMultilevel"/>
    <w:tmpl w:val="9BB266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266BE8"/>
    <w:multiLevelType w:val="hybridMultilevel"/>
    <w:tmpl w:val="E1A8AB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BE6218"/>
    <w:multiLevelType w:val="hybridMultilevel"/>
    <w:tmpl w:val="0BA65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EC67FEE"/>
    <w:multiLevelType w:val="hybridMultilevel"/>
    <w:tmpl w:val="5C489DD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294562C"/>
    <w:multiLevelType w:val="hybridMultilevel"/>
    <w:tmpl w:val="3A8C57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1E26DA"/>
    <w:multiLevelType w:val="hybridMultilevel"/>
    <w:tmpl w:val="97BCA7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7A542C"/>
    <w:multiLevelType w:val="hybridMultilevel"/>
    <w:tmpl w:val="CFD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67350">
    <w:abstractNumId w:val="6"/>
  </w:num>
  <w:num w:numId="2" w16cid:durableId="1871600001">
    <w:abstractNumId w:val="10"/>
  </w:num>
  <w:num w:numId="3" w16cid:durableId="311178828">
    <w:abstractNumId w:val="8"/>
  </w:num>
  <w:num w:numId="4" w16cid:durableId="358506024">
    <w:abstractNumId w:val="14"/>
  </w:num>
  <w:num w:numId="5" w16cid:durableId="601840843">
    <w:abstractNumId w:val="4"/>
  </w:num>
  <w:num w:numId="6" w16cid:durableId="1947149997">
    <w:abstractNumId w:val="11"/>
  </w:num>
  <w:num w:numId="7" w16cid:durableId="2116827022">
    <w:abstractNumId w:val="16"/>
  </w:num>
  <w:num w:numId="8" w16cid:durableId="1285042812">
    <w:abstractNumId w:val="15"/>
  </w:num>
  <w:num w:numId="9" w16cid:durableId="960186332">
    <w:abstractNumId w:val="3"/>
  </w:num>
  <w:num w:numId="10" w16cid:durableId="1236745723">
    <w:abstractNumId w:val="1"/>
  </w:num>
  <w:num w:numId="11" w16cid:durableId="998994225">
    <w:abstractNumId w:val="7"/>
  </w:num>
  <w:num w:numId="12" w16cid:durableId="851459018">
    <w:abstractNumId w:val="13"/>
  </w:num>
  <w:num w:numId="13" w16cid:durableId="1658459980">
    <w:abstractNumId w:val="12"/>
  </w:num>
  <w:num w:numId="14" w16cid:durableId="1463766006">
    <w:abstractNumId w:val="9"/>
  </w:num>
  <w:num w:numId="15" w16cid:durableId="50807168">
    <w:abstractNumId w:val="2"/>
  </w:num>
  <w:num w:numId="16" w16cid:durableId="510991491">
    <w:abstractNumId w:val="0"/>
  </w:num>
  <w:num w:numId="17" w16cid:durableId="9473489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DA0"/>
    <w:rsid w:val="000070F4"/>
    <w:rsid w:val="000227FF"/>
    <w:rsid w:val="00043646"/>
    <w:rsid w:val="000C50E8"/>
    <w:rsid w:val="000C69DC"/>
    <w:rsid w:val="000E21DD"/>
    <w:rsid w:val="00112AD0"/>
    <w:rsid w:val="001658A9"/>
    <w:rsid w:val="00183982"/>
    <w:rsid w:val="00192C5D"/>
    <w:rsid w:val="002062D9"/>
    <w:rsid w:val="00216809"/>
    <w:rsid w:val="00236813"/>
    <w:rsid w:val="00242CE5"/>
    <w:rsid w:val="00267363"/>
    <w:rsid w:val="0028391A"/>
    <w:rsid w:val="00294F29"/>
    <w:rsid w:val="002A3CC3"/>
    <w:rsid w:val="002D56B8"/>
    <w:rsid w:val="003033D0"/>
    <w:rsid w:val="003079E8"/>
    <w:rsid w:val="003626CB"/>
    <w:rsid w:val="00391E58"/>
    <w:rsid w:val="00396114"/>
    <w:rsid w:val="00397357"/>
    <w:rsid w:val="003A3696"/>
    <w:rsid w:val="003B71E0"/>
    <w:rsid w:val="003C6D3A"/>
    <w:rsid w:val="00402EA7"/>
    <w:rsid w:val="004465AB"/>
    <w:rsid w:val="004734ED"/>
    <w:rsid w:val="00477683"/>
    <w:rsid w:val="00490A5A"/>
    <w:rsid w:val="004C36AD"/>
    <w:rsid w:val="004E62A0"/>
    <w:rsid w:val="00530260"/>
    <w:rsid w:val="005335F3"/>
    <w:rsid w:val="00563783"/>
    <w:rsid w:val="00567D81"/>
    <w:rsid w:val="005921D9"/>
    <w:rsid w:val="005A34F3"/>
    <w:rsid w:val="005D1BE6"/>
    <w:rsid w:val="005F0E66"/>
    <w:rsid w:val="00652BAE"/>
    <w:rsid w:val="00654DEC"/>
    <w:rsid w:val="006C5D2F"/>
    <w:rsid w:val="00703210"/>
    <w:rsid w:val="00723EF5"/>
    <w:rsid w:val="00747828"/>
    <w:rsid w:val="00765A62"/>
    <w:rsid w:val="007815BA"/>
    <w:rsid w:val="007C7288"/>
    <w:rsid w:val="007D0836"/>
    <w:rsid w:val="007D6AFF"/>
    <w:rsid w:val="007E62E0"/>
    <w:rsid w:val="0082463A"/>
    <w:rsid w:val="008C411D"/>
    <w:rsid w:val="008E68AF"/>
    <w:rsid w:val="008F0B5A"/>
    <w:rsid w:val="009032D2"/>
    <w:rsid w:val="009200C7"/>
    <w:rsid w:val="00930FD6"/>
    <w:rsid w:val="00A12F24"/>
    <w:rsid w:val="00A15E86"/>
    <w:rsid w:val="00A264A9"/>
    <w:rsid w:val="00A303A9"/>
    <w:rsid w:val="00A349B5"/>
    <w:rsid w:val="00A359B6"/>
    <w:rsid w:val="00A56455"/>
    <w:rsid w:val="00B015E4"/>
    <w:rsid w:val="00B23F30"/>
    <w:rsid w:val="00B26ACC"/>
    <w:rsid w:val="00B431B3"/>
    <w:rsid w:val="00B619DE"/>
    <w:rsid w:val="00B64AD3"/>
    <w:rsid w:val="00B917A2"/>
    <w:rsid w:val="00BA441F"/>
    <w:rsid w:val="00BB2D91"/>
    <w:rsid w:val="00BD1DA0"/>
    <w:rsid w:val="00C41A8B"/>
    <w:rsid w:val="00C435A3"/>
    <w:rsid w:val="00C6058E"/>
    <w:rsid w:val="00C6096D"/>
    <w:rsid w:val="00C90B3A"/>
    <w:rsid w:val="00CA7BE2"/>
    <w:rsid w:val="00D36250"/>
    <w:rsid w:val="00D60A1A"/>
    <w:rsid w:val="00D95637"/>
    <w:rsid w:val="00DA1903"/>
    <w:rsid w:val="00DB2105"/>
    <w:rsid w:val="00DD59FE"/>
    <w:rsid w:val="00E56FBC"/>
    <w:rsid w:val="00EA1BC9"/>
    <w:rsid w:val="00EC054B"/>
    <w:rsid w:val="00EE7FEE"/>
    <w:rsid w:val="00EF1FF5"/>
    <w:rsid w:val="00F361B0"/>
    <w:rsid w:val="00F74D30"/>
    <w:rsid w:val="00F80E32"/>
    <w:rsid w:val="00FA4FCE"/>
    <w:rsid w:val="00FE4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40D3F"/>
  <w15:chartTrackingRefBased/>
  <w15:docId w15:val="{D4B43DBB-EC5F-43D2-A48E-B90D6D290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1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D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D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D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D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D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D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D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D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1D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D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D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D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D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D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D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DA0"/>
    <w:rPr>
      <w:rFonts w:eastAsiaTheme="majorEastAsia" w:cstheme="majorBidi"/>
      <w:color w:val="272727" w:themeColor="text1" w:themeTint="D8"/>
    </w:rPr>
  </w:style>
  <w:style w:type="paragraph" w:styleId="Title">
    <w:name w:val="Title"/>
    <w:basedOn w:val="Normal"/>
    <w:next w:val="Normal"/>
    <w:link w:val="TitleChar"/>
    <w:uiPriority w:val="10"/>
    <w:qFormat/>
    <w:rsid w:val="00BD1D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D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D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D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DA0"/>
    <w:pPr>
      <w:spacing w:before="160"/>
      <w:jc w:val="center"/>
    </w:pPr>
    <w:rPr>
      <w:i/>
      <w:iCs/>
      <w:color w:val="404040" w:themeColor="text1" w:themeTint="BF"/>
    </w:rPr>
  </w:style>
  <w:style w:type="character" w:customStyle="1" w:styleId="QuoteChar">
    <w:name w:val="Quote Char"/>
    <w:basedOn w:val="DefaultParagraphFont"/>
    <w:link w:val="Quote"/>
    <w:uiPriority w:val="29"/>
    <w:rsid w:val="00BD1DA0"/>
    <w:rPr>
      <w:i/>
      <w:iCs/>
      <w:color w:val="404040" w:themeColor="text1" w:themeTint="BF"/>
    </w:rPr>
  </w:style>
  <w:style w:type="paragraph" w:styleId="ListParagraph">
    <w:name w:val="List Paragraph"/>
    <w:basedOn w:val="Normal"/>
    <w:uiPriority w:val="34"/>
    <w:qFormat/>
    <w:rsid w:val="00BD1DA0"/>
    <w:pPr>
      <w:ind w:left="720"/>
      <w:contextualSpacing/>
    </w:pPr>
  </w:style>
  <w:style w:type="character" w:styleId="IntenseEmphasis">
    <w:name w:val="Intense Emphasis"/>
    <w:basedOn w:val="DefaultParagraphFont"/>
    <w:uiPriority w:val="21"/>
    <w:qFormat/>
    <w:rsid w:val="00BD1DA0"/>
    <w:rPr>
      <w:i/>
      <w:iCs/>
      <w:color w:val="0F4761" w:themeColor="accent1" w:themeShade="BF"/>
    </w:rPr>
  </w:style>
  <w:style w:type="paragraph" w:styleId="IntenseQuote">
    <w:name w:val="Intense Quote"/>
    <w:basedOn w:val="Normal"/>
    <w:next w:val="Normal"/>
    <w:link w:val="IntenseQuoteChar"/>
    <w:uiPriority w:val="30"/>
    <w:qFormat/>
    <w:rsid w:val="00BD1D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DA0"/>
    <w:rPr>
      <w:i/>
      <w:iCs/>
      <w:color w:val="0F4761" w:themeColor="accent1" w:themeShade="BF"/>
    </w:rPr>
  </w:style>
  <w:style w:type="character" w:styleId="IntenseReference">
    <w:name w:val="Intense Reference"/>
    <w:basedOn w:val="DefaultParagraphFont"/>
    <w:uiPriority w:val="32"/>
    <w:qFormat/>
    <w:rsid w:val="00BD1DA0"/>
    <w:rPr>
      <w:b/>
      <w:bCs/>
      <w:smallCaps/>
      <w:color w:val="0F4761" w:themeColor="accent1" w:themeShade="BF"/>
      <w:spacing w:val="5"/>
    </w:rPr>
  </w:style>
  <w:style w:type="paragraph" w:styleId="TOCHeading">
    <w:name w:val="TOC Heading"/>
    <w:basedOn w:val="Heading1"/>
    <w:next w:val="Normal"/>
    <w:uiPriority w:val="39"/>
    <w:unhideWhenUsed/>
    <w:qFormat/>
    <w:rsid w:val="00723EF5"/>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723E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EF5"/>
  </w:style>
  <w:style w:type="paragraph" w:styleId="Footer">
    <w:name w:val="footer"/>
    <w:basedOn w:val="Normal"/>
    <w:link w:val="FooterChar"/>
    <w:uiPriority w:val="99"/>
    <w:unhideWhenUsed/>
    <w:rsid w:val="00723E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EF5"/>
  </w:style>
  <w:style w:type="paragraph" w:styleId="NormalWeb">
    <w:name w:val="Normal (Web)"/>
    <w:basedOn w:val="Normal"/>
    <w:uiPriority w:val="99"/>
    <w:semiHidden/>
    <w:unhideWhenUsed/>
    <w:rsid w:val="00A303A9"/>
    <w:rPr>
      <w:rFonts w:ascii="Times New Roman" w:hAnsi="Times New Roman" w:cs="Times New Roman"/>
    </w:rPr>
  </w:style>
  <w:style w:type="table" w:styleId="TableGrid">
    <w:name w:val="Table Grid"/>
    <w:basedOn w:val="TableNormal"/>
    <w:uiPriority w:val="39"/>
    <w:rsid w:val="00477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D56B8"/>
    <w:pPr>
      <w:spacing w:after="100"/>
      <w:ind w:left="240"/>
    </w:pPr>
  </w:style>
  <w:style w:type="paragraph" w:styleId="TOC1">
    <w:name w:val="toc 1"/>
    <w:basedOn w:val="Normal"/>
    <w:next w:val="Normal"/>
    <w:autoRedefine/>
    <w:uiPriority w:val="39"/>
    <w:unhideWhenUsed/>
    <w:rsid w:val="002D56B8"/>
    <w:pPr>
      <w:spacing w:after="100"/>
    </w:pPr>
  </w:style>
  <w:style w:type="character" w:styleId="Hyperlink">
    <w:name w:val="Hyperlink"/>
    <w:basedOn w:val="DefaultParagraphFont"/>
    <w:uiPriority w:val="99"/>
    <w:unhideWhenUsed/>
    <w:rsid w:val="002D56B8"/>
    <w:rPr>
      <w:color w:val="467886" w:themeColor="hyperlink"/>
      <w:u w:val="single"/>
    </w:rPr>
  </w:style>
  <w:style w:type="paragraph" w:styleId="Bibliography">
    <w:name w:val="Bibliography"/>
    <w:basedOn w:val="Normal"/>
    <w:next w:val="Normal"/>
    <w:uiPriority w:val="37"/>
    <w:unhideWhenUsed/>
    <w:rsid w:val="005F0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534">
      <w:bodyDiv w:val="1"/>
      <w:marLeft w:val="0"/>
      <w:marRight w:val="0"/>
      <w:marTop w:val="0"/>
      <w:marBottom w:val="0"/>
      <w:divBdr>
        <w:top w:val="none" w:sz="0" w:space="0" w:color="auto"/>
        <w:left w:val="none" w:sz="0" w:space="0" w:color="auto"/>
        <w:bottom w:val="none" w:sz="0" w:space="0" w:color="auto"/>
        <w:right w:val="none" w:sz="0" w:space="0" w:color="auto"/>
      </w:divBdr>
    </w:div>
    <w:div w:id="32970519">
      <w:bodyDiv w:val="1"/>
      <w:marLeft w:val="0"/>
      <w:marRight w:val="0"/>
      <w:marTop w:val="0"/>
      <w:marBottom w:val="0"/>
      <w:divBdr>
        <w:top w:val="none" w:sz="0" w:space="0" w:color="auto"/>
        <w:left w:val="none" w:sz="0" w:space="0" w:color="auto"/>
        <w:bottom w:val="none" w:sz="0" w:space="0" w:color="auto"/>
        <w:right w:val="none" w:sz="0" w:space="0" w:color="auto"/>
      </w:divBdr>
    </w:div>
    <w:div w:id="80489260">
      <w:bodyDiv w:val="1"/>
      <w:marLeft w:val="0"/>
      <w:marRight w:val="0"/>
      <w:marTop w:val="0"/>
      <w:marBottom w:val="0"/>
      <w:divBdr>
        <w:top w:val="none" w:sz="0" w:space="0" w:color="auto"/>
        <w:left w:val="none" w:sz="0" w:space="0" w:color="auto"/>
        <w:bottom w:val="none" w:sz="0" w:space="0" w:color="auto"/>
        <w:right w:val="none" w:sz="0" w:space="0" w:color="auto"/>
      </w:divBdr>
    </w:div>
    <w:div w:id="156846144">
      <w:bodyDiv w:val="1"/>
      <w:marLeft w:val="0"/>
      <w:marRight w:val="0"/>
      <w:marTop w:val="0"/>
      <w:marBottom w:val="0"/>
      <w:divBdr>
        <w:top w:val="none" w:sz="0" w:space="0" w:color="auto"/>
        <w:left w:val="none" w:sz="0" w:space="0" w:color="auto"/>
        <w:bottom w:val="none" w:sz="0" w:space="0" w:color="auto"/>
        <w:right w:val="none" w:sz="0" w:space="0" w:color="auto"/>
      </w:divBdr>
    </w:div>
    <w:div w:id="186718190">
      <w:bodyDiv w:val="1"/>
      <w:marLeft w:val="0"/>
      <w:marRight w:val="0"/>
      <w:marTop w:val="0"/>
      <w:marBottom w:val="0"/>
      <w:divBdr>
        <w:top w:val="none" w:sz="0" w:space="0" w:color="auto"/>
        <w:left w:val="none" w:sz="0" w:space="0" w:color="auto"/>
        <w:bottom w:val="none" w:sz="0" w:space="0" w:color="auto"/>
        <w:right w:val="none" w:sz="0" w:space="0" w:color="auto"/>
      </w:divBdr>
    </w:div>
    <w:div w:id="204801870">
      <w:bodyDiv w:val="1"/>
      <w:marLeft w:val="0"/>
      <w:marRight w:val="0"/>
      <w:marTop w:val="0"/>
      <w:marBottom w:val="0"/>
      <w:divBdr>
        <w:top w:val="none" w:sz="0" w:space="0" w:color="auto"/>
        <w:left w:val="none" w:sz="0" w:space="0" w:color="auto"/>
        <w:bottom w:val="none" w:sz="0" w:space="0" w:color="auto"/>
        <w:right w:val="none" w:sz="0" w:space="0" w:color="auto"/>
      </w:divBdr>
    </w:div>
    <w:div w:id="209195735">
      <w:bodyDiv w:val="1"/>
      <w:marLeft w:val="0"/>
      <w:marRight w:val="0"/>
      <w:marTop w:val="0"/>
      <w:marBottom w:val="0"/>
      <w:divBdr>
        <w:top w:val="none" w:sz="0" w:space="0" w:color="auto"/>
        <w:left w:val="none" w:sz="0" w:space="0" w:color="auto"/>
        <w:bottom w:val="none" w:sz="0" w:space="0" w:color="auto"/>
        <w:right w:val="none" w:sz="0" w:space="0" w:color="auto"/>
      </w:divBdr>
    </w:div>
    <w:div w:id="311639063">
      <w:bodyDiv w:val="1"/>
      <w:marLeft w:val="0"/>
      <w:marRight w:val="0"/>
      <w:marTop w:val="0"/>
      <w:marBottom w:val="0"/>
      <w:divBdr>
        <w:top w:val="none" w:sz="0" w:space="0" w:color="auto"/>
        <w:left w:val="none" w:sz="0" w:space="0" w:color="auto"/>
        <w:bottom w:val="none" w:sz="0" w:space="0" w:color="auto"/>
        <w:right w:val="none" w:sz="0" w:space="0" w:color="auto"/>
      </w:divBdr>
    </w:div>
    <w:div w:id="315573341">
      <w:bodyDiv w:val="1"/>
      <w:marLeft w:val="0"/>
      <w:marRight w:val="0"/>
      <w:marTop w:val="0"/>
      <w:marBottom w:val="0"/>
      <w:divBdr>
        <w:top w:val="none" w:sz="0" w:space="0" w:color="auto"/>
        <w:left w:val="none" w:sz="0" w:space="0" w:color="auto"/>
        <w:bottom w:val="none" w:sz="0" w:space="0" w:color="auto"/>
        <w:right w:val="none" w:sz="0" w:space="0" w:color="auto"/>
      </w:divBdr>
    </w:div>
    <w:div w:id="418915655">
      <w:bodyDiv w:val="1"/>
      <w:marLeft w:val="0"/>
      <w:marRight w:val="0"/>
      <w:marTop w:val="0"/>
      <w:marBottom w:val="0"/>
      <w:divBdr>
        <w:top w:val="none" w:sz="0" w:space="0" w:color="auto"/>
        <w:left w:val="none" w:sz="0" w:space="0" w:color="auto"/>
        <w:bottom w:val="none" w:sz="0" w:space="0" w:color="auto"/>
        <w:right w:val="none" w:sz="0" w:space="0" w:color="auto"/>
      </w:divBdr>
    </w:div>
    <w:div w:id="427232984">
      <w:bodyDiv w:val="1"/>
      <w:marLeft w:val="0"/>
      <w:marRight w:val="0"/>
      <w:marTop w:val="0"/>
      <w:marBottom w:val="0"/>
      <w:divBdr>
        <w:top w:val="none" w:sz="0" w:space="0" w:color="auto"/>
        <w:left w:val="none" w:sz="0" w:space="0" w:color="auto"/>
        <w:bottom w:val="none" w:sz="0" w:space="0" w:color="auto"/>
        <w:right w:val="none" w:sz="0" w:space="0" w:color="auto"/>
      </w:divBdr>
    </w:div>
    <w:div w:id="502206605">
      <w:bodyDiv w:val="1"/>
      <w:marLeft w:val="0"/>
      <w:marRight w:val="0"/>
      <w:marTop w:val="0"/>
      <w:marBottom w:val="0"/>
      <w:divBdr>
        <w:top w:val="none" w:sz="0" w:space="0" w:color="auto"/>
        <w:left w:val="none" w:sz="0" w:space="0" w:color="auto"/>
        <w:bottom w:val="none" w:sz="0" w:space="0" w:color="auto"/>
        <w:right w:val="none" w:sz="0" w:space="0" w:color="auto"/>
      </w:divBdr>
    </w:div>
    <w:div w:id="560870074">
      <w:bodyDiv w:val="1"/>
      <w:marLeft w:val="0"/>
      <w:marRight w:val="0"/>
      <w:marTop w:val="0"/>
      <w:marBottom w:val="0"/>
      <w:divBdr>
        <w:top w:val="none" w:sz="0" w:space="0" w:color="auto"/>
        <w:left w:val="none" w:sz="0" w:space="0" w:color="auto"/>
        <w:bottom w:val="none" w:sz="0" w:space="0" w:color="auto"/>
        <w:right w:val="none" w:sz="0" w:space="0" w:color="auto"/>
      </w:divBdr>
    </w:div>
    <w:div w:id="577324731">
      <w:bodyDiv w:val="1"/>
      <w:marLeft w:val="0"/>
      <w:marRight w:val="0"/>
      <w:marTop w:val="0"/>
      <w:marBottom w:val="0"/>
      <w:divBdr>
        <w:top w:val="none" w:sz="0" w:space="0" w:color="auto"/>
        <w:left w:val="none" w:sz="0" w:space="0" w:color="auto"/>
        <w:bottom w:val="none" w:sz="0" w:space="0" w:color="auto"/>
        <w:right w:val="none" w:sz="0" w:space="0" w:color="auto"/>
      </w:divBdr>
    </w:div>
    <w:div w:id="645940552">
      <w:bodyDiv w:val="1"/>
      <w:marLeft w:val="0"/>
      <w:marRight w:val="0"/>
      <w:marTop w:val="0"/>
      <w:marBottom w:val="0"/>
      <w:divBdr>
        <w:top w:val="none" w:sz="0" w:space="0" w:color="auto"/>
        <w:left w:val="none" w:sz="0" w:space="0" w:color="auto"/>
        <w:bottom w:val="none" w:sz="0" w:space="0" w:color="auto"/>
        <w:right w:val="none" w:sz="0" w:space="0" w:color="auto"/>
      </w:divBdr>
    </w:div>
    <w:div w:id="674498100">
      <w:bodyDiv w:val="1"/>
      <w:marLeft w:val="0"/>
      <w:marRight w:val="0"/>
      <w:marTop w:val="0"/>
      <w:marBottom w:val="0"/>
      <w:divBdr>
        <w:top w:val="none" w:sz="0" w:space="0" w:color="auto"/>
        <w:left w:val="none" w:sz="0" w:space="0" w:color="auto"/>
        <w:bottom w:val="none" w:sz="0" w:space="0" w:color="auto"/>
        <w:right w:val="none" w:sz="0" w:space="0" w:color="auto"/>
      </w:divBdr>
    </w:div>
    <w:div w:id="722600407">
      <w:bodyDiv w:val="1"/>
      <w:marLeft w:val="0"/>
      <w:marRight w:val="0"/>
      <w:marTop w:val="0"/>
      <w:marBottom w:val="0"/>
      <w:divBdr>
        <w:top w:val="none" w:sz="0" w:space="0" w:color="auto"/>
        <w:left w:val="none" w:sz="0" w:space="0" w:color="auto"/>
        <w:bottom w:val="none" w:sz="0" w:space="0" w:color="auto"/>
        <w:right w:val="none" w:sz="0" w:space="0" w:color="auto"/>
      </w:divBdr>
    </w:div>
    <w:div w:id="788472030">
      <w:bodyDiv w:val="1"/>
      <w:marLeft w:val="0"/>
      <w:marRight w:val="0"/>
      <w:marTop w:val="0"/>
      <w:marBottom w:val="0"/>
      <w:divBdr>
        <w:top w:val="none" w:sz="0" w:space="0" w:color="auto"/>
        <w:left w:val="none" w:sz="0" w:space="0" w:color="auto"/>
        <w:bottom w:val="none" w:sz="0" w:space="0" w:color="auto"/>
        <w:right w:val="none" w:sz="0" w:space="0" w:color="auto"/>
      </w:divBdr>
    </w:div>
    <w:div w:id="922957706">
      <w:bodyDiv w:val="1"/>
      <w:marLeft w:val="0"/>
      <w:marRight w:val="0"/>
      <w:marTop w:val="0"/>
      <w:marBottom w:val="0"/>
      <w:divBdr>
        <w:top w:val="none" w:sz="0" w:space="0" w:color="auto"/>
        <w:left w:val="none" w:sz="0" w:space="0" w:color="auto"/>
        <w:bottom w:val="none" w:sz="0" w:space="0" w:color="auto"/>
        <w:right w:val="none" w:sz="0" w:space="0" w:color="auto"/>
      </w:divBdr>
    </w:div>
    <w:div w:id="955259871">
      <w:bodyDiv w:val="1"/>
      <w:marLeft w:val="0"/>
      <w:marRight w:val="0"/>
      <w:marTop w:val="0"/>
      <w:marBottom w:val="0"/>
      <w:divBdr>
        <w:top w:val="none" w:sz="0" w:space="0" w:color="auto"/>
        <w:left w:val="none" w:sz="0" w:space="0" w:color="auto"/>
        <w:bottom w:val="none" w:sz="0" w:space="0" w:color="auto"/>
        <w:right w:val="none" w:sz="0" w:space="0" w:color="auto"/>
      </w:divBdr>
    </w:div>
    <w:div w:id="973023672">
      <w:bodyDiv w:val="1"/>
      <w:marLeft w:val="0"/>
      <w:marRight w:val="0"/>
      <w:marTop w:val="0"/>
      <w:marBottom w:val="0"/>
      <w:divBdr>
        <w:top w:val="none" w:sz="0" w:space="0" w:color="auto"/>
        <w:left w:val="none" w:sz="0" w:space="0" w:color="auto"/>
        <w:bottom w:val="none" w:sz="0" w:space="0" w:color="auto"/>
        <w:right w:val="none" w:sz="0" w:space="0" w:color="auto"/>
      </w:divBdr>
    </w:div>
    <w:div w:id="1100293666">
      <w:bodyDiv w:val="1"/>
      <w:marLeft w:val="0"/>
      <w:marRight w:val="0"/>
      <w:marTop w:val="0"/>
      <w:marBottom w:val="0"/>
      <w:divBdr>
        <w:top w:val="none" w:sz="0" w:space="0" w:color="auto"/>
        <w:left w:val="none" w:sz="0" w:space="0" w:color="auto"/>
        <w:bottom w:val="none" w:sz="0" w:space="0" w:color="auto"/>
        <w:right w:val="none" w:sz="0" w:space="0" w:color="auto"/>
      </w:divBdr>
    </w:div>
    <w:div w:id="1192499506">
      <w:bodyDiv w:val="1"/>
      <w:marLeft w:val="0"/>
      <w:marRight w:val="0"/>
      <w:marTop w:val="0"/>
      <w:marBottom w:val="0"/>
      <w:divBdr>
        <w:top w:val="none" w:sz="0" w:space="0" w:color="auto"/>
        <w:left w:val="none" w:sz="0" w:space="0" w:color="auto"/>
        <w:bottom w:val="none" w:sz="0" w:space="0" w:color="auto"/>
        <w:right w:val="none" w:sz="0" w:space="0" w:color="auto"/>
      </w:divBdr>
    </w:div>
    <w:div w:id="1247962830">
      <w:bodyDiv w:val="1"/>
      <w:marLeft w:val="0"/>
      <w:marRight w:val="0"/>
      <w:marTop w:val="0"/>
      <w:marBottom w:val="0"/>
      <w:divBdr>
        <w:top w:val="none" w:sz="0" w:space="0" w:color="auto"/>
        <w:left w:val="none" w:sz="0" w:space="0" w:color="auto"/>
        <w:bottom w:val="none" w:sz="0" w:space="0" w:color="auto"/>
        <w:right w:val="none" w:sz="0" w:space="0" w:color="auto"/>
      </w:divBdr>
    </w:div>
    <w:div w:id="1283682664">
      <w:bodyDiv w:val="1"/>
      <w:marLeft w:val="0"/>
      <w:marRight w:val="0"/>
      <w:marTop w:val="0"/>
      <w:marBottom w:val="0"/>
      <w:divBdr>
        <w:top w:val="none" w:sz="0" w:space="0" w:color="auto"/>
        <w:left w:val="none" w:sz="0" w:space="0" w:color="auto"/>
        <w:bottom w:val="none" w:sz="0" w:space="0" w:color="auto"/>
        <w:right w:val="none" w:sz="0" w:space="0" w:color="auto"/>
      </w:divBdr>
    </w:div>
    <w:div w:id="1301348869">
      <w:bodyDiv w:val="1"/>
      <w:marLeft w:val="0"/>
      <w:marRight w:val="0"/>
      <w:marTop w:val="0"/>
      <w:marBottom w:val="0"/>
      <w:divBdr>
        <w:top w:val="none" w:sz="0" w:space="0" w:color="auto"/>
        <w:left w:val="none" w:sz="0" w:space="0" w:color="auto"/>
        <w:bottom w:val="none" w:sz="0" w:space="0" w:color="auto"/>
        <w:right w:val="none" w:sz="0" w:space="0" w:color="auto"/>
      </w:divBdr>
    </w:div>
    <w:div w:id="1362122593">
      <w:bodyDiv w:val="1"/>
      <w:marLeft w:val="0"/>
      <w:marRight w:val="0"/>
      <w:marTop w:val="0"/>
      <w:marBottom w:val="0"/>
      <w:divBdr>
        <w:top w:val="none" w:sz="0" w:space="0" w:color="auto"/>
        <w:left w:val="none" w:sz="0" w:space="0" w:color="auto"/>
        <w:bottom w:val="none" w:sz="0" w:space="0" w:color="auto"/>
        <w:right w:val="none" w:sz="0" w:space="0" w:color="auto"/>
      </w:divBdr>
    </w:div>
    <w:div w:id="1369795206">
      <w:bodyDiv w:val="1"/>
      <w:marLeft w:val="0"/>
      <w:marRight w:val="0"/>
      <w:marTop w:val="0"/>
      <w:marBottom w:val="0"/>
      <w:divBdr>
        <w:top w:val="none" w:sz="0" w:space="0" w:color="auto"/>
        <w:left w:val="none" w:sz="0" w:space="0" w:color="auto"/>
        <w:bottom w:val="none" w:sz="0" w:space="0" w:color="auto"/>
        <w:right w:val="none" w:sz="0" w:space="0" w:color="auto"/>
      </w:divBdr>
    </w:div>
    <w:div w:id="1380738578">
      <w:bodyDiv w:val="1"/>
      <w:marLeft w:val="0"/>
      <w:marRight w:val="0"/>
      <w:marTop w:val="0"/>
      <w:marBottom w:val="0"/>
      <w:divBdr>
        <w:top w:val="none" w:sz="0" w:space="0" w:color="auto"/>
        <w:left w:val="none" w:sz="0" w:space="0" w:color="auto"/>
        <w:bottom w:val="none" w:sz="0" w:space="0" w:color="auto"/>
        <w:right w:val="none" w:sz="0" w:space="0" w:color="auto"/>
      </w:divBdr>
    </w:div>
    <w:div w:id="1382167410">
      <w:bodyDiv w:val="1"/>
      <w:marLeft w:val="0"/>
      <w:marRight w:val="0"/>
      <w:marTop w:val="0"/>
      <w:marBottom w:val="0"/>
      <w:divBdr>
        <w:top w:val="none" w:sz="0" w:space="0" w:color="auto"/>
        <w:left w:val="none" w:sz="0" w:space="0" w:color="auto"/>
        <w:bottom w:val="none" w:sz="0" w:space="0" w:color="auto"/>
        <w:right w:val="none" w:sz="0" w:space="0" w:color="auto"/>
      </w:divBdr>
    </w:div>
    <w:div w:id="1524055135">
      <w:bodyDiv w:val="1"/>
      <w:marLeft w:val="0"/>
      <w:marRight w:val="0"/>
      <w:marTop w:val="0"/>
      <w:marBottom w:val="0"/>
      <w:divBdr>
        <w:top w:val="none" w:sz="0" w:space="0" w:color="auto"/>
        <w:left w:val="none" w:sz="0" w:space="0" w:color="auto"/>
        <w:bottom w:val="none" w:sz="0" w:space="0" w:color="auto"/>
        <w:right w:val="none" w:sz="0" w:space="0" w:color="auto"/>
      </w:divBdr>
    </w:div>
    <w:div w:id="1551650539">
      <w:bodyDiv w:val="1"/>
      <w:marLeft w:val="0"/>
      <w:marRight w:val="0"/>
      <w:marTop w:val="0"/>
      <w:marBottom w:val="0"/>
      <w:divBdr>
        <w:top w:val="none" w:sz="0" w:space="0" w:color="auto"/>
        <w:left w:val="none" w:sz="0" w:space="0" w:color="auto"/>
        <w:bottom w:val="none" w:sz="0" w:space="0" w:color="auto"/>
        <w:right w:val="none" w:sz="0" w:space="0" w:color="auto"/>
      </w:divBdr>
    </w:div>
    <w:div w:id="1576167043">
      <w:bodyDiv w:val="1"/>
      <w:marLeft w:val="0"/>
      <w:marRight w:val="0"/>
      <w:marTop w:val="0"/>
      <w:marBottom w:val="0"/>
      <w:divBdr>
        <w:top w:val="none" w:sz="0" w:space="0" w:color="auto"/>
        <w:left w:val="none" w:sz="0" w:space="0" w:color="auto"/>
        <w:bottom w:val="none" w:sz="0" w:space="0" w:color="auto"/>
        <w:right w:val="none" w:sz="0" w:space="0" w:color="auto"/>
      </w:divBdr>
    </w:div>
    <w:div w:id="1591961859">
      <w:bodyDiv w:val="1"/>
      <w:marLeft w:val="0"/>
      <w:marRight w:val="0"/>
      <w:marTop w:val="0"/>
      <w:marBottom w:val="0"/>
      <w:divBdr>
        <w:top w:val="none" w:sz="0" w:space="0" w:color="auto"/>
        <w:left w:val="none" w:sz="0" w:space="0" w:color="auto"/>
        <w:bottom w:val="none" w:sz="0" w:space="0" w:color="auto"/>
        <w:right w:val="none" w:sz="0" w:space="0" w:color="auto"/>
      </w:divBdr>
    </w:div>
    <w:div w:id="1637568257">
      <w:bodyDiv w:val="1"/>
      <w:marLeft w:val="0"/>
      <w:marRight w:val="0"/>
      <w:marTop w:val="0"/>
      <w:marBottom w:val="0"/>
      <w:divBdr>
        <w:top w:val="none" w:sz="0" w:space="0" w:color="auto"/>
        <w:left w:val="none" w:sz="0" w:space="0" w:color="auto"/>
        <w:bottom w:val="none" w:sz="0" w:space="0" w:color="auto"/>
        <w:right w:val="none" w:sz="0" w:space="0" w:color="auto"/>
      </w:divBdr>
    </w:div>
    <w:div w:id="1723939021">
      <w:bodyDiv w:val="1"/>
      <w:marLeft w:val="0"/>
      <w:marRight w:val="0"/>
      <w:marTop w:val="0"/>
      <w:marBottom w:val="0"/>
      <w:divBdr>
        <w:top w:val="none" w:sz="0" w:space="0" w:color="auto"/>
        <w:left w:val="none" w:sz="0" w:space="0" w:color="auto"/>
        <w:bottom w:val="none" w:sz="0" w:space="0" w:color="auto"/>
        <w:right w:val="none" w:sz="0" w:space="0" w:color="auto"/>
      </w:divBdr>
    </w:div>
    <w:div w:id="1772552218">
      <w:bodyDiv w:val="1"/>
      <w:marLeft w:val="0"/>
      <w:marRight w:val="0"/>
      <w:marTop w:val="0"/>
      <w:marBottom w:val="0"/>
      <w:divBdr>
        <w:top w:val="none" w:sz="0" w:space="0" w:color="auto"/>
        <w:left w:val="none" w:sz="0" w:space="0" w:color="auto"/>
        <w:bottom w:val="none" w:sz="0" w:space="0" w:color="auto"/>
        <w:right w:val="none" w:sz="0" w:space="0" w:color="auto"/>
      </w:divBdr>
    </w:div>
    <w:div w:id="1775203651">
      <w:bodyDiv w:val="1"/>
      <w:marLeft w:val="0"/>
      <w:marRight w:val="0"/>
      <w:marTop w:val="0"/>
      <w:marBottom w:val="0"/>
      <w:divBdr>
        <w:top w:val="none" w:sz="0" w:space="0" w:color="auto"/>
        <w:left w:val="none" w:sz="0" w:space="0" w:color="auto"/>
        <w:bottom w:val="none" w:sz="0" w:space="0" w:color="auto"/>
        <w:right w:val="none" w:sz="0" w:space="0" w:color="auto"/>
      </w:divBdr>
    </w:div>
    <w:div w:id="1800027577">
      <w:bodyDiv w:val="1"/>
      <w:marLeft w:val="0"/>
      <w:marRight w:val="0"/>
      <w:marTop w:val="0"/>
      <w:marBottom w:val="0"/>
      <w:divBdr>
        <w:top w:val="none" w:sz="0" w:space="0" w:color="auto"/>
        <w:left w:val="none" w:sz="0" w:space="0" w:color="auto"/>
        <w:bottom w:val="none" w:sz="0" w:space="0" w:color="auto"/>
        <w:right w:val="none" w:sz="0" w:space="0" w:color="auto"/>
      </w:divBdr>
    </w:div>
    <w:div w:id="1812555010">
      <w:bodyDiv w:val="1"/>
      <w:marLeft w:val="0"/>
      <w:marRight w:val="0"/>
      <w:marTop w:val="0"/>
      <w:marBottom w:val="0"/>
      <w:divBdr>
        <w:top w:val="none" w:sz="0" w:space="0" w:color="auto"/>
        <w:left w:val="none" w:sz="0" w:space="0" w:color="auto"/>
        <w:bottom w:val="none" w:sz="0" w:space="0" w:color="auto"/>
        <w:right w:val="none" w:sz="0" w:space="0" w:color="auto"/>
      </w:divBdr>
    </w:div>
    <w:div w:id="1844197043">
      <w:bodyDiv w:val="1"/>
      <w:marLeft w:val="0"/>
      <w:marRight w:val="0"/>
      <w:marTop w:val="0"/>
      <w:marBottom w:val="0"/>
      <w:divBdr>
        <w:top w:val="none" w:sz="0" w:space="0" w:color="auto"/>
        <w:left w:val="none" w:sz="0" w:space="0" w:color="auto"/>
        <w:bottom w:val="none" w:sz="0" w:space="0" w:color="auto"/>
        <w:right w:val="none" w:sz="0" w:space="0" w:color="auto"/>
      </w:divBdr>
    </w:div>
    <w:div w:id="1855656300">
      <w:bodyDiv w:val="1"/>
      <w:marLeft w:val="0"/>
      <w:marRight w:val="0"/>
      <w:marTop w:val="0"/>
      <w:marBottom w:val="0"/>
      <w:divBdr>
        <w:top w:val="none" w:sz="0" w:space="0" w:color="auto"/>
        <w:left w:val="none" w:sz="0" w:space="0" w:color="auto"/>
        <w:bottom w:val="none" w:sz="0" w:space="0" w:color="auto"/>
        <w:right w:val="none" w:sz="0" w:space="0" w:color="auto"/>
      </w:divBdr>
    </w:div>
    <w:div w:id="1865361016">
      <w:bodyDiv w:val="1"/>
      <w:marLeft w:val="0"/>
      <w:marRight w:val="0"/>
      <w:marTop w:val="0"/>
      <w:marBottom w:val="0"/>
      <w:divBdr>
        <w:top w:val="none" w:sz="0" w:space="0" w:color="auto"/>
        <w:left w:val="none" w:sz="0" w:space="0" w:color="auto"/>
        <w:bottom w:val="none" w:sz="0" w:space="0" w:color="auto"/>
        <w:right w:val="none" w:sz="0" w:space="0" w:color="auto"/>
      </w:divBdr>
    </w:div>
    <w:div w:id="1906987785">
      <w:bodyDiv w:val="1"/>
      <w:marLeft w:val="0"/>
      <w:marRight w:val="0"/>
      <w:marTop w:val="0"/>
      <w:marBottom w:val="0"/>
      <w:divBdr>
        <w:top w:val="none" w:sz="0" w:space="0" w:color="auto"/>
        <w:left w:val="none" w:sz="0" w:space="0" w:color="auto"/>
        <w:bottom w:val="none" w:sz="0" w:space="0" w:color="auto"/>
        <w:right w:val="none" w:sz="0" w:space="0" w:color="auto"/>
      </w:divBdr>
    </w:div>
    <w:div w:id="1941646121">
      <w:bodyDiv w:val="1"/>
      <w:marLeft w:val="0"/>
      <w:marRight w:val="0"/>
      <w:marTop w:val="0"/>
      <w:marBottom w:val="0"/>
      <w:divBdr>
        <w:top w:val="none" w:sz="0" w:space="0" w:color="auto"/>
        <w:left w:val="none" w:sz="0" w:space="0" w:color="auto"/>
        <w:bottom w:val="none" w:sz="0" w:space="0" w:color="auto"/>
        <w:right w:val="none" w:sz="0" w:space="0" w:color="auto"/>
      </w:divBdr>
    </w:div>
    <w:div w:id="1957560376">
      <w:bodyDiv w:val="1"/>
      <w:marLeft w:val="0"/>
      <w:marRight w:val="0"/>
      <w:marTop w:val="0"/>
      <w:marBottom w:val="0"/>
      <w:divBdr>
        <w:top w:val="none" w:sz="0" w:space="0" w:color="auto"/>
        <w:left w:val="none" w:sz="0" w:space="0" w:color="auto"/>
        <w:bottom w:val="none" w:sz="0" w:space="0" w:color="auto"/>
        <w:right w:val="none" w:sz="0" w:space="0" w:color="auto"/>
      </w:divBdr>
    </w:div>
    <w:div w:id="2000230504">
      <w:bodyDiv w:val="1"/>
      <w:marLeft w:val="0"/>
      <w:marRight w:val="0"/>
      <w:marTop w:val="0"/>
      <w:marBottom w:val="0"/>
      <w:divBdr>
        <w:top w:val="none" w:sz="0" w:space="0" w:color="auto"/>
        <w:left w:val="none" w:sz="0" w:space="0" w:color="auto"/>
        <w:bottom w:val="none" w:sz="0" w:space="0" w:color="auto"/>
        <w:right w:val="none" w:sz="0" w:space="0" w:color="auto"/>
      </w:divBdr>
    </w:div>
    <w:div w:id="2028166315">
      <w:bodyDiv w:val="1"/>
      <w:marLeft w:val="0"/>
      <w:marRight w:val="0"/>
      <w:marTop w:val="0"/>
      <w:marBottom w:val="0"/>
      <w:divBdr>
        <w:top w:val="none" w:sz="0" w:space="0" w:color="auto"/>
        <w:left w:val="none" w:sz="0" w:space="0" w:color="auto"/>
        <w:bottom w:val="none" w:sz="0" w:space="0" w:color="auto"/>
        <w:right w:val="none" w:sz="0" w:space="0" w:color="auto"/>
      </w:divBdr>
    </w:div>
    <w:div w:id="208221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Pet24</b:Tag>
    <b:SourceType>Report</b:SourceType>
    <b:Guid>{0869F9C7-6883-454D-BCBA-8FE563D0EB0C}</b:Guid>
    <b:Title>What is the Global Combat Air</b:Title>
    <b:Year>2024</b:Year>
    <b:Author>
      <b:Author>
        <b:NameList>
          <b:Person>
            <b:Last>Petrie</b:Last>
            <b:First>Lucy</b:First>
          </b:Person>
        </b:NameList>
      </b:Author>
    </b:Author>
    <b:Publisher>House of Commons Library</b:Publisher>
    <b:City>London</b:City>
    <b:RefOrder>1</b:RefOrder>
  </b:Source>
  <b:Source>
    <b:Tag>Ogb11</b:Tag>
    <b:SourceType>JournalArticle</b:SourceType>
    <b:Guid>{F3EA7145-C4CA-4F61-96D5-69666F18DA02}</b:Guid>
    <b:Title>Leadership style, organizational culture and performance: empirical evidence from UK companies</b:Title>
    <b:Year>2011</b:Year>
    <b:Author>
      <b:Author>
        <b:NameList>
          <b:Person>
            <b:Last>Ogbonna</b:Last>
            <b:First>Emmanuel</b:First>
          </b:Person>
        </b:NameList>
      </b:Author>
    </b:Author>
    <b:JournalName>The International Journal of Human Resource Management</b:JournalName>
    <b:Pages>766-788</b:Pages>
    <b:Volume>11</b:Volume>
    <b:Issue>4</b:Issue>
    <b:DOI>https://doi.org/10.1080/09585190050075114</b:DOI>
    <b:RefOrder>2</b:RefOrder>
  </b:Source>
  <b:Source>
    <b:Tag>Sae15</b:Tag>
    <b:SourceType>JournalArticle</b:SourceType>
    <b:Guid>{51C5E505-1650-42D4-9472-8EC8E9CC2B2B}</b:Guid>
    <b:Author>
      <b:Author>
        <b:NameList>
          <b:Person>
            <b:Last>Saeed Askary</b:Last>
            <b:First>Nudrat</b:First>
            <b:Middle>Qayyum and Rick Van Sant</b:Middle>
          </b:Person>
        </b:NameList>
      </b:Author>
    </b:Author>
    <b:Title>Culture, communication skills and intellectual capital: a theoretical framework</b:Title>
    <b:JournalName>International Journal of Higher Education and Sustainability</b:JournalName>
    <b:Year>2015</b:Year>
    <b:Pages>88-101</b:Pages>
    <b:Volume>1</b:Volume>
    <b:Issue>1</b:Issue>
    <b:DOI>https://doi.org/10.1504/IJHES.2015.073453</b:DOI>
    <b:RefOrder>3</b:RefOrder>
  </b:Source>
  <b:Source>
    <b:Tag>MAC17</b:Tag>
    <b:SourceType>JournalArticle</b:SourceType>
    <b:Guid>{98E195ED-5AD5-4035-B4D7-DF71EB5A0E29}</b:Guid>
    <b:Author>
      <b:Author>
        <b:NameList>
          <b:Person>
            <b:Last>Kniewasser</b:Last>
            <b:First>Christina</b:First>
          </b:Person>
        </b:NameList>
      </b:Author>
    </b:Author>
    <b:Title>Intercultural Online Communication of International Companies in High-Context and Low-Context Cultures</b:Title>
    <b:JournalName>Conference Proceedings Trends in Business Communication 2016</b:JournalName>
    <b:Year>2017</b:Year>
    <b:Pages>141–147</b:Pages>
    <b:Publisher>Springer Gabler, Wiesbaden</b:Publisher>
    <b:DOI>https://doi.org/10.1007/978-3-658-17254-1_14</b:DOI>
    <b:RefOrder>4</b:RefOrder>
  </b:Source>
  <b:Source>
    <b:Tag>Don24</b:Tag>
    <b:SourceType>JournalArticle</b:SourceType>
    <b:Guid>{D1A609BD-3A50-4EFB-944C-5FC1CDCB817A}</b:Guid>
    <b:Author>
      <b:Author>
        <b:NameList>
          <b:Person>
            <b:Last>Dong</b:Last>
            <b:First>Lirong</b:First>
          </b:Person>
        </b:NameList>
      </b:Author>
    </b:Author>
    <b:Title>Philosophical Reflections and Value Reconstruction in International Communication from the Perspective of Intercultural Communication</b:Title>
    <b:JournalName>Philosophy &amp; Ideology Research</b:JournalName>
    <b:Year>2024</b:Year>
    <b:Volume>4</b:Volume>
    <b:Issue>1</b:Issue>
    <b:DOI>https://doi.org/10.37420/j.pir.2024.024</b:DOI>
    <b:RefOrder>5</b:RefOrder>
  </b:Source>
  <b:Source>
    <b:Tag>Hof83</b:Tag>
    <b:SourceType>JournalArticle</b:SourceType>
    <b:Guid>{DC1F40D9-D16E-41C1-95D5-3389FA6E4C2C}</b:Guid>
    <b:Author>
      <b:Author>
        <b:NameList>
          <b:Person>
            <b:Last>Hofstede</b:Last>
            <b:First>Geert</b:First>
          </b:Person>
        </b:NameList>
      </b:Author>
    </b:Author>
    <b:Title>National Cultures in Four Dimensions: A Research-Based Theory of Cultural Differences among Nations</b:Title>
    <b:JournalName>International Studies of Management &amp; Organization</b:JournalName>
    <b:Year>1983</b:Year>
    <b:Pages>46-74</b:Pages>
    <b:Volume>13</b:Volume>
    <b:DOI>https://doi.org/10.1080/00208825.1983.11656358</b:DOI>
    <b:RefOrder>6</b:RefOrder>
  </b:Source>
  <b:Source>
    <b:Tag>Bai16</b:Tag>
    <b:SourceType>JournalArticle</b:SourceType>
    <b:Guid>{37D003BB-74B0-48B9-A188-634878699B77}</b:Guid>
    <b:Author>
      <b:Author>
        <b:NameList>
          <b:Person>
            <b:Last>Bai</b:Last>
            <b:First>He</b:First>
          </b:Person>
        </b:NameList>
      </b:Author>
    </b:Author>
    <b:Title>A Cross-Cultural Analysis of Advertisements from High-Context Cultures and Low-Context Cultures</b:Title>
    <b:JournalName>ERIC (Canadian Center of Science and Education.)</b:JournalName>
    <b:Year>2016</b:Year>
    <b:Pages>21-27</b:Pages>
    <b:Volume>9</b:Volume>
    <b:Issue>8</b:Issue>
    <b:RefOrder>7</b:RefOrder>
  </b:Source>
  <b:Source>
    <b:Tag>Man06</b:Tag>
    <b:SourceType>JournalArticle</b:SourceType>
    <b:Guid>{C691DA2C-A2D5-46B3-9F85-3241004DC4DF}</b:Guid>
    <b:Author>
      <b:Author>
        <b:NameList>
          <b:Person>
            <b:Last>Mansour Javidan</b:Last>
            <b:First>Peter</b:First>
            <b:Middle>W. Dorfman, Mary Sully de Luque and Robert J. House</b:Middle>
          </b:Person>
        </b:NameList>
      </b:Author>
    </b:Author>
    <b:Title>In the Eye of the Beholder: Cross Cultural Lessons in Leadership from Project GLOBE</b:Title>
    <b:JournalName>Academy of Management Perspectives</b:JournalName>
    <b:Year>2006</b:Year>
    <b:Volume>20</b:Volume>
    <b:Issue>1</b:Issue>
    <b:DOI>https://doi.org/10.5465/amp.2006.19873410</b:DOI>
    <b:RefOrder>8</b:RefOrder>
  </b:Source>
  <b:Source>
    <b:Tag>Bai25</b:Tag>
    <b:SourceType>BookSection</b:SourceType>
    <b:Guid>{735E35D4-BF9F-4487-9D82-9B0E6D0BE3E7}</b:Guid>
    <b:Author>
      <b:Author>
        <b:NameList>
          <b:Person>
            <b:Last>Bai</b:Last>
            <b:First>Xinyun</b:First>
          </b:Person>
        </b:NameList>
      </b:Author>
    </b:Author>
    <b:Title>A Critical Analysis of Fons Trompenaars’ Intercultural Research</b:Title>
    <b:JournalName> Information Systems for Intelligent Systems </b:JournalName>
    <b:Year>2025</b:Year>
    <b:Pages>155–165</b:Pages>
    <b:BookTitle>Information Systems for Intelligent Systems</b:BookTitle>
    <b:Publisher>Springer, Singapore</b:Publisher>
    <b:DOI>https://doi.org/10.1007/978-981-96-1747-0_13</b:DOI>
    <b:RefOrder>9</b:RefOrder>
  </b:Source>
  <b:Source>
    <b:Tag>Shi10</b:Tag>
    <b:SourceType>JournalArticle</b:SourceType>
    <b:Guid>{C8DECF90-A574-4539-8D70-1CF979429928}</b:Guid>
    <b:Title>Culture, Emotion, and Well-being: Good Feelings in Japan and the United States</b:Title>
    <b:Year>2010</b:Year>
    <b:Pages>93-124</b:Pages>
    <b:Author>
      <b:Author>
        <b:NameList>
          <b:Person>
            <b:Last>Shinobu Kitayama</b:Last>
            <b:First>Hazel</b:First>
            <b:Middle>Rose Markus &amp;Masaru Kurokawa</b:Middle>
          </b:Person>
        </b:NameList>
      </b:Author>
    </b:Author>
    <b:JournalName>Cognition and Emotion</b:JournalName>
    <b:Volume>14</b:Volume>
    <b:Issue>1</b:Issue>
    <b:DOI>https://doi.org/10.1080/026999300379003</b:DOI>
    <b:RefOrder>10</b:RefOrder>
  </b:Source>
  <b:Source>
    <b:Tag>Kız23</b:Tag>
    <b:SourceType>JournalArticle</b:SourceType>
    <b:Guid>{18159FF3-B24B-40CA-8F7B-C50376317AD1}</b:Guid>
    <b:Author>
      <b:Author>
        <b:NameList>
          <b:Person>
            <b:Last>Kızrak</b:Last>
            <b:First>Meral</b:First>
          </b:Person>
        </b:NameList>
      </b:Author>
    </b:Author>
    <b:Title>A Theoretical Exploration of the Nexus Between Performance Appraisal, Culture, and Impression Management</b:Title>
    <b:JournalName>The Journal of Human and Work</b:JournalName>
    <b:Year>2023</b:Year>
    <b:Pages>51-66</b:Pages>
    <b:Volume>10</b:Volume>
    <b:Issue>2</b:Issue>
    <b:DOI>10.18394/iid.1327431</b:DOI>
    <b:RefOrder>11</b:RefOrder>
  </b:Source>
  <b:Source>
    <b:Tag>Nix05</b:Tag>
    <b:SourceType>JournalArticle</b:SourceType>
    <b:Guid>{E55AB833-1434-4EC2-96E9-514344F6A9B9}</b:Guid>
    <b:Author>
      <b:Author>
        <b:NameList>
          <b:Person>
            <b:Last>Nixon</b:Last>
            <b:First>Yumi</b:First>
          </b:Person>
          <b:Person>
            <b:Last>Bull</b:Last>
            <b:First>Peter</b:First>
          </b:Person>
        </b:NameList>
      </b:Author>
    </b:Author>
    <b:Title>Cultural communication styles and accuracy in cross-cultural perception: A British and Japanese study</b:Title>
    <b:JournalName>Journal of Intercultural Communication</b:JournalName>
    <b:Year>2005</b:Year>
    <b:Pages>1-20</b:Pages>
    <b:Volume>6</b:Volume>
    <b:Issue>2</b:Issue>
    <b:DOI>https://doi.org/10.36923/jicc.v6i2.429</b:DOI>
    <b:RefOrder>12</b:RefOrder>
  </b:Source>
  <b:Source>
    <b:Tag>GMa07</b:Tag>
    <b:SourceType>JournalArticle</b:SourceType>
    <b:Guid>{ABACCCA2-3C8A-4C36-AEC8-F0775818E96C}</b:Guid>
    <b:Author>
      <b:Author>
        <b:NameList>
          <b:Person>
            <b:Last>G.</b:Last>
            <b:First>Maris</b:First>
          </b:Person>
          <b:Person>
            <b:Last>Martinsons</b:Last>
          </b:Person>
        </b:NameList>
      </b:Author>
    </b:Author>
    <b:Title>Strategic decision making and support systems: Comparing American, Japanese and Chinese management</b:Title>
    <b:JournalName>Decision Support Systems</b:JournalName>
    <b:Year>2007</b:Year>
    <b:Pages>284-300</b:Pages>
    <b:Volume>43</b:Volume>
    <b:Issue>1</b:Issue>
    <b:DOI>https://doi.org/10.1016/j.dss.2006.10.005</b:DOI>
    <b:RefOrder>13</b:RefOrder>
  </b:Source>
  <b:Source>
    <b:Tag>Hur11</b:Tag>
    <b:SourceType>JournalArticle</b:SourceType>
    <b:Guid>{633550E0-B567-4494-B944-A9A2B4BE3E0F}</b:Guid>
    <b:Author>
      <b:Author>
        <b:NameList>
          <b:Person>
            <b:Last>Hurn</b:Last>
            <b:First>B.J.</b:First>
          </b:Person>
        </b:NameList>
      </b:Author>
    </b:Author>
    <b:Title>Simulation training methods to develop cultural awareness</b:Title>
    <b:JournalName>Industrial and Commercial Training</b:JournalName>
    <b:Year>2011</b:Year>
    <b:Pages>199-205</b:Pages>
    <b:Volume>43</b:Volume>
    <b:Issue>4</b:Issue>
    <b:DOI>https://doi.org/10.1108/00197851111137816</b:DOI>
    <b:RefOrder>14</b:RefOrder>
  </b:Source>
</b:Sources>
</file>

<file path=customXml/itemProps1.xml><?xml version="1.0" encoding="utf-8"?>
<ds:datastoreItem xmlns:ds="http://schemas.openxmlformats.org/officeDocument/2006/customXml" ds:itemID="{34215C93-DCB6-4479-9F48-6054BACC2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3276</Words>
  <Characters>18675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Acris</dc:creator>
  <cp:keywords/>
  <dc:description/>
  <cp:lastModifiedBy>Radu Acris</cp:lastModifiedBy>
  <cp:revision>104</cp:revision>
  <dcterms:created xsi:type="dcterms:W3CDTF">2025-07-03T20:20:00Z</dcterms:created>
  <dcterms:modified xsi:type="dcterms:W3CDTF">2025-07-07T18:54:00Z</dcterms:modified>
</cp:coreProperties>
</file>