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BDDB4" w14:textId="1C27C894" w:rsidR="006F378A" w:rsidRDefault="001E300A" w:rsidP="009649BB">
      <w:pPr>
        <w:rPr>
          <w:b/>
          <w:bCs/>
          <w:sz w:val="32"/>
          <w:szCs w:val="32"/>
          <w:u w:val="single"/>
        </w:rPr>
      </w:pPr>
      <w:r w:rsidRPr="0009134C">
        <w:rPr>
          <w:b/>
          <w:bCs/>
          <w:sz w:val="32"/>
          <w:szCs w:val="32"/>
          <w:u w:val="single"/>
        </w:rPr>
        <w:t>Unit 4023 “Health, Safety and Welfare”</w:t>
      </w:r>
      <w:r w:rsidR="00AB095B" w:rsidRPr="0009134C">
        <w:rPr>
          <w:b/>
          <w:bCs/>
          <w:sz w:val="32"/>
          <w:szCs w:val="32"/>
          <w:u w:val="single"/>
        </w:rPr>
        <w:t xml:space="preserve"> Assignment</w:t>
      </w:r>
    </w:p>
    <w:sdt>
      <w:sdtPr>
        <w:id w:val="-47367477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FF5BCB0" w14:textId="2931ADBC" w:rsidR="000844B7" w:rsidRDefault="000844B7">
          <w:pPr>
            <w:pStyle w:val="TOCHeading"/>
          </w:pPr>
          <w:r>
            <w:t>Contents</w:t>
          </w:r>
        </w:p>
        <w:p w14:paraId="6B691F20" w14:textId="60CA2916" w:rsidR="000844B7" w:rsidRDefault="000844B7">
          <w:pPr>
            <w:pStyle w:val="TOC1"/>
            <w:tabs>
              <w:tab w:val="right" w:leader="dot" w:pos="9016"/>
            </w:tabs>
            <w:rPr>
              <w:noProof/>
            </w:rPr>
          </w:pPr>
          <w:r>
            <w:fldChar w:fldCharType="begin"/>
          </w:r>
          <w:r>
            <w:instrText xml:space="preserve"> TOC \o "1-3" \h \z \u </w:instrText>
          </w:r>
          <w:r>
            <w:fldChar w:fldCharType="separate"/>
          </w:r>
          <w:hyperlink w:anchor="_Toc198211442" w:history="1">
            <w:r w:rsidRPr="00BB48A3">
              <w:rPr>
                <w:rStyle w:val="Hyperlink"/>
                <w:noProof/>
              </w:rPr>
              <w:t>Building Safety Act 2022 (BSR) []</w:t>
            </w:r>
            <w:r>
              <w:rPr>
                <w:noProof/>
                <w:webHidden/>
              </w:rPr>
              <w:tab/>
            </w:r>
            <w:r>
              <w:rPr>
                <w:noProof/>
                <w:webHidden/>
              </w:rPr>
              <w:fldChar w:fldCharType="begin"/>
            </w:r>
            <w:r>
              <w:rPr>
                <w:noProof/>
                <w:webHidden/>
              </w:rPr>
              <w:instrText xml:space="preserve"> PAGEREF _Toc198211442 \h </w:instrText>
            </w:r>
            <w:r>
              <w:rPr>
                <w:noProof/>
                <w:webHidden/>
              </w:rPr>
            </w:r>
            <w:r>
              <w:rPr>
                <w:noProof/>
                <w:webHidden/>
              </w:rPr>
              <w:fldChar w:fldCharType="separate"/>
            </w:r>
            <w:r>
              <w:rPr>
                <w:noProof/>
                <w:webHidden/>
              </w:rPr>
              <w:t>1</w:t>
            </w:r>
            <w:r>
              <w:rPr>
                <w:noProof/>
                <w:webHidden/>
              </w:rPr>
              <w:fldChar w:fldCharType="end"/>
            </w:r>
          </w:hyperlink>
        </w:p>
        <w:p w14:paraId="3ADBFE1E" w14:textId="5F47915B" w:rsidR="000844B7" w:rsidRDefault="000844B7">
          <w:pPr>
            <w:pStyle w:val="TOC1"/>
            <w:tabs>
              <w:tab w:val="right" w:leader="dot" w:pos="9016"/>
            </w:tabs>
            <w:rPr>
              <w:noProof/>
            </w:rPr>
          </w:pPr>
          <w:hyperlink w:anchor="_Toc198211443" w:history="1">
            <w:r w:rsidRPr="00BB48A3">
              <w:rPr>
                <w:rStyle w:val="Hyperlink"/>
                <w:noProof/>
              </w:rPr>
              <w:t>Control of Substances Hazardous to Health (COSHH) []</w:t>
            </w:r>
            <w:r>
              <w:rPr>
                <w:noProof/>
                <w:webHidden/>
              </w:rPr>
              <w:tab/>
            </w:r>
            <w:r>
              <w:rPr>
                <w:noProof/>
                <w:webHidden/>
              </w:rPr>
              <w:fldChar w:fldCharType="begin"/>
            </w:r>
            <w:r>
              <w:rPr>
                <w:noProof/>
                <w:webHidden/>
              </w:rPr>
              <w:instrText xml:space="preserve"> PAGEREF _Toc198211443 \h </w:instrText>
            </w:r>
            <w:r>
              <w:rPr>
                <w:noProof/>
                <w:webHidden/>
              </w:rPr>
            </w:r>
            <w:r>
              <w:rPr>
                <w:noProof/>
                <w:webHidden/>
              </w:rPr>
              <w:fldChar w:fldCharType="separate"/>
            </w:r>
            <w:r>
              <w:rPr>
                <w:noProof/>
                <w:webHidden/>
              </w:rPr>
              <w:t>2</w:t>
            </w:r>
            <w:r>
              <w:rPr>
                <w:noProof/>
                <w:webHidden/>
              </w:rPr>
              <w:fldChar w:fldCharType="end"/>
            </w:r>
          </w:hyperlink>
        </w:p>
        <w:p w14:paraId="24B0A987" w14:textId="0F8ADE9B" w:rsidR="000844B7" w:rsidRDefault="000844B7">
          <w:pPr>
            <w:pStyle w:val="TOC1"/>
            <w:tabs>
              <w:tab w:val="right" w:leader="dot" w:pos="9016"/>
            </w:tabs>
            <w:rPr>
              <w:noProof/>
            </w:rPr>
          </w:pPr>
          <w:hyperlink w:anchor="_Toc198211444" w:history="1">
            <w:r w:rsidRPr="00BB48A3">
              <w:rPr>
                <w:rStyle w:val="Hyperlink"/>
                <w:noProof/>
              </w:rPr>
              <w:t>Construction Design Management Regulations (CDM) []</w:t>
            </w:r>
            <w:r>
              <w:rPr>
                <w:noProof/>
                <w:webHidden/>
              </w:rPr>
              <w:tab/>
            </w:r>
            <w:r>
              <w:rPr>
                <w:noProof/>
                <w:webHidden/>
              </w:rPr>
              <w:fldChar w:fldCharType="begin"/>
            </w:r>
            <w:r>
              <w:rPr>
                <w:noProof/>
                <w:webHidden/>
              </w:rPr>
              <w:instrText xml:space="preserve"> PAGEREF _Toc198211444 \h </w:instrText>
            </w:r>
            <w:r>
              <w:rPr>
                <w:noProof/>
                <w:webHidden/>
              </w:rPr>
            </w:r>
            <w:r>
              <w:rPr>
                <w:noProof/>
                <w:webHidden/>
              </w:rPr>
              <w:fldChar w:fldCharType="separate"/>
            </w:r>
            <w:r>
              <w:rPr>
                <w:noProof/>
                <w:webHidden/>
              </w:rPr>
              <w:t>4</w:t>
            </w:r>
            <w:r>
              <w:rPr>
                <w:noProof/>
                <w:webHidden/>
              </w:rPr>
              <w:fldChar w:fldCharType="end"/>
            </w:r>
          </w:hyperlink>
        </w:p>
        <w:p w14:paraId="168B77D8" w14:textId="73ED9C48" w:rsidR="006F378A" w:rsidRPr="000844B7" w:rsidRDefault="000844B7" w:rsidP="009649BB">
          <w:r>
            <w:rPr>
              <w:b/>
              <w:bCs/>
            </w:rPr>
            <w:fldChar w:fldCharType="end"/>
          </w:r>
        </w:p>
      </w:sdtContent>
    </w:sdt>
    <w:p w14:paraId="4E53710C" w14:textId="563B97D0" w:rsidR="009649BB" w:rsidRDefault="009649BB" w:rsidP="009649BB">
      <w:pPr>
        <w:rPr>
          <w:b/>
          <w:bCs/>
        </w:rPr>
      </w:pPr>
      <w:r>
        <w:rPr>
          <w:b/>
          <w:bCs/>
        </w:rPr>
        <w:t>Glossary of Terms:</w:t>
      </w:r>
    </w:p>
    <w:p w14:paraId="25A1960C" w14:textId="397CF4C9" w:rsidR="009649BB" w:rsidRDefault="009649BB" w:rsidP="009649BB">
      <w:pPr>
        <w:pStyle w:val="ListParagraph"/>
        <w:numPr>
          <w:ilvl w:val="0"/>
          <w:numId w:val="23"/>
        </w:numPr>
        <w:rPr>
          <w:b/>
          <w:bCs/>
        </w:rPr>
      </w:pPr>
      <w:r>
        <w:rPr>
          <w:b/>
          <w:bCs/>
        </w:rPr>
        <w:t>Building Safety Act 2022: BSR</w:t>
      </w:r>
    </w:p>
    <w:p w14:paraId="484147F5" w14:textId="4FEAE79B" w:rsidR="009649BB" w:rsidRDefault="009649BB" w:rsidP="009649BB">
      <w:pPr>
        <w:pStyle w:val="ListParagraph"/>
        <w:numPr>
          <w:ilvl w:val="0"/>
          <w:numId w:val="23"/>
        </w:numPr>
        <w:rPr>
          <w:b/>
          <w:bCs/>
        </w:rPr>
      </w:pPr>
      <w:r>
        <w:rPr>
          <w:b/>
          <w:bCs/>
        </w:rPr>
        <w:t>Construction Design Management Regulations: CDM</w:t>
      </w:r>
    </w:p>
    <w:p w14:paraId="58735737" w14:textId="59A07250" w:rsidR="009649BB" w:rsidRDefault="009649BB" w:rsidP="009649BB">
      <w:pPr>
        <w:pStyle w:val="ListParagraph"/>
        <w:numPr>
          <w:ilvl w:val="0"/>
          <w:numId w:val="23"/>
        </w:numPr>
        <w:rPr>
          <w:b/>
          <w:bCs/>
        </w:rPr>
      </w:pPr>
      <w:r>
        <w:rPr>
          <w:b/>
          <w:bCs/>
        </w:rPr>
        <w:t>Health and Safety Executive: HSE</w:t>
      </w:r>
    </w:p>
    <w:p w14:paraId="293F777A" w14:textId="599AD2E1" w:rsidR="000232A5" w:rsidRPr="00620291" w:rsidRDefault="00BD7EF8" w:rsidP="000232A5">
      <w:pPr>
        <w:pStyle w:val="ListParagraph"/>
        <w:numPr>
          <w:ilvl w:val="0"/>
          <w:numId w:val="23"/>
        </w:numPr>
        <w:rPr>
          <w:b/>
          <w:bCs/>
        </w:rPr>
      </w:pPr>
      <w:r>
        <w:rPr>
          <w:b/>
          <w:bCs/>
        </w:rPr>
        <w:t>Personal Protective Equipment: PPE</w:t>
      </w:r>
    </w:p>
    <w:p w14:paraId="4492924E" w14:textId="3BD98D5B" w:rsidR="000232A5" w:rsidRDefault="000232A5" w:rsidP="000844B7">
      <w:pPr>
        <w:pStyle w:val="Heading1"/>
      </w:pPr>
      <w:bookmarkStart w:id="0" w:name="_Toc198211442"/>
      <w:r w:rsidRPr="000232A5">
        <w:t>Building Safety Act</w:t>
      </w:r>
      <w:r w:rsidR="0079021A">
        <w:t xml:space="preserve"> 2022</w:t>
      </w:r>
      <w:r w:rsidR="009649BB">
        <w:t xml:space="preserve"> </w:t>
      </w:r>
      <w:r w:rsidR="008E311C">
        <w:t>(BSR) [</w:t>
      </w:r>
      <w:r w:rsidR="008E311C">
        <w:rPr>
          <w:rStyle w:val="FootnoteReference"/>
          <w:b/>
          <w:bCs/>
          <w:sz w:val="28"/>
          <w:szCs w:val="28"/>
          <w:u w:val="single"/>
        </w:rPr>
        <w:footnoteReference w:id="1"/>
      </w:r>
      <w:r w:rsidR="008E311C">
        <w:t>]</w:t>
      </w:r>
      <w:bookmarkEnd w:id="0"/>
    </w:p>
    <w:p w14:paraId="15F00CDC" w14:textId="13D65133" w:rsidR="00EA363B" w:rsidRPr="00EA363B" w:rsidRDefault="00EA363B" w:rsidP="00EA363B">
      <w:r w:rsidRPr="00EA363B">
        <w:t>The Building Safety Act 2022 introduces significant regulatory changes concerning safety-critical products and enforcement mechanisms within the construction industry. This legislation aims to ensure higher standards and accountability for those involved in activities related to these products. The Act empowers relevant authorities to impose requirements on individuals and entities, even in the absence of immediate non-compliance, if a product is deemed to pose a risk of death or serious injury</w:t>
      </w:r>
      <w:r>
        <w:t xml:space="preserve">. </w:t>
      </w:r>
      <w:r w:rsidRPr="00EA363B">
        <w:t xml:space="preserve">To ensure </w:t>
      </w:r>
      <w:r>
        <w:t xml:space="preserve">compliance </w:t>
      </w:r>
      <w:r w:rsidRPr="00EA363B">
        <w:t>to safety standards, the Act grants relevant authorities extensive powers. These include the ability to issue notices requiring warnings about product risks, mandate specific product markings, and even suspend or prohibit the marketing and supply of products</w:t>
      </w:r>
      <w:r>
        <w:t>.</w:t>
      </w:r>
      <w:r w:rsidRPr="00EA363B">
        <w:t xml:space="preserve"> Furthermore, authorities can demand the withdrawal or recall of products already in the market. Such measures underscore the proactive stance of the legislation in mitigating potential hazards associated with construction products.</w:t>
      </w:r>
    </w:p>
    <w:p w14:paraId="13388291" w14:textId="65DB25DE" w:rsidR="00AA5FB8" w:rsidRPr="00EA363B" w:rsidRDefault="00EA363B" w:rsidP="000232A5">
      <w:r w:rsidRPr="00EA363B">
        <w:t>The Act also addresses enforcement, outlining provisions for monitoring compliance, investigating suspected non-compliance, and imposing sanctions for violations. These sanctions extend not only to non-compliance but also to obstruction, failure to cooperate, and the provision of false information. To facilitate effective enforcement, relevant authorities are empowered to conduct market surveillance, perform test purchases, and enter premises for inspection, search, and seizure of products or evidence</w:t>
      </w:r>
      <w:r>
        <w:t xml:space="preserve">. </w:t>
      </w:r>
      <w:r w:rsidRPr="00EA363B">
        <w:t xml:space="preserve">Moreover, the Act allows relevant authorities to accept undertakings related to compliance, providing an alternative to traditional enforcement actions. It also includes provisions for criminal offenses, prosecution by relevant authorities, and the </w:t>
      </w:r>
      <w:r w:rsidRPr="00EA363B">
        <w:lastRenderedPageBreak/>
        <w:t>imposition of civil sanctions, including fines, further emphasizing the seriousness with which the Act addresses non-compliance.</w:t>
      </w:r>
    </w:p>
    <w:p w14:paraId="0EE9E1E2" w14:textId="1D76F3DA" w:rsidR="002D286E" w:rsidRDefault="00AA5FB8" w:rsidP="000844B7">
      <w:pPr>
        <w:pStyle w:val="Heading1"/>
      </w:pPr>
      <w:bookmarkStart w:id="1" w:name="_Toc198211443"/>
      <w:r>
        <w:t>Control of Substances Hazardous to Health (COSHH)</w:t>
      </w:r>
      <w:r w:rsidR="008E311C">
        <w:t xml:space="preserve"> [</w:t>
      </w:r>
      <w:r w:rsidR="008E311C">
        <w:rPr>
          <w:rStyle w:val="FootnoteReference"/>
          <w:b/>
          <w:bCs/>
          <w:sz w:val="28"/>
          <w:szCs w:val="28"/>
          <w:u w:val="single"/>
        </w:rPr>
        <w:footnoteReference w:id="2"/>
      </w:r>
      <w:r w:rsidR="008E311C">
        <w:t>]</w:t>
      </w:r>
      <w:bookmarkEnd w:id="1"/>
    </w:p>
    <w:p w14:paraId="332B2F45" w14:textId="77777777" w:rsidR="00EA363B" w:rsidRDefault="00EA363B" w:rsidP="000232A5">
      <w:r w:rsidRPr="00EA363B">
        <w:t xml:space="preserve">The Control of Substances Hazardous to Health (COSHH) Regulations 2002 stand as a cornerstone of health and safety legislation in the United Kingdom, meticulously designed to shield individuals from the inherent risks associated with hazardous substances encountered in the workplace. These regulations impose a comprehensive and far-reaching set of duties upon employers, compelling them to undertake thorough risk assessments, implement robust control measures, and furnish adequate information, instruction, and training to all employees who may be exposed to such substances during the course of their work. COSHH's overarching and paramount objective is to either prevent altogether or, when prevention proves not reasonably practicable, to adequately control exposure to substances that possess the potential to inflict harm upon human health, irrespective of the route of entry, whether through inhalation, skin absorption, ingestion, or any other means by which these substances may gain access to the body. In the specific context of high-rise residential projects, COSHH assumes a position of heightened significance, owing to the extensive and multifaceted use of hazardous substances throughout both the initial construction phase and the subsequent ongoing maintenance operations. These projects inherently involve a diverse and complex range of materials and construction processes, which can, in turn, expose workers and, potentially, future residents to a wide spectrum of health hazards. </w:t>
      </w:r>
    </w:p>
    <w:p w14:paraId="03796B68" w14:textId="77777777" w:rsidR="00EA363B" w:rsidRDefault="00EA363B" w:rsidP="000232A5">
      <w:r w:rsidRPr="00EA363B">
        <w:t xml:space="preserve">Among the most commonly encountered hazardous substances in the realm of high-rise construction are asbestos, silica, lead, a variety of solvents, paints, adhesives, welding fumes, and biological agents, with Legionella bacteria being a notable example. The regulations explicitly necessitate that a suitable and sufficiently comprehensive risk assessment be conducted prior to the commencement of any work that carries the potential to expose employees to hazardous substances. This assessment must meticulously evaluate the potential risks to the health of those employees and, critically, identify the precise steps that are necessary to ensure full compliance with the regulatory requirements. The risk assessment process is not merely a formality but rather a structured and rigorous undertaking that entails several critical considerations, including the identification of hazardous properties, where the assessment must identify the inherent hazardous properties of each and every substance used, encompassing its potential to cause harm, its toxicity level, and the various routes of entry it may take into the human body. Information sourced from suppliers, such as </w:t>
      </w:r>
      <w:r w:rsidRPr="00EA363B">
        <w:lastRenderedPageBreak/>
        <w:t>safety data sheets, must be carefully and thoroughly reviewed to gain a complete understanding of the specific hazards associated with each and every substance. The process also requires evaluation of exposure levels, necessitating the assessment to determine the level, type, and duration of exposure to each substance, taking into account the concentration of the substance in the air, the frequency and duration of exposure events, and the total number of employees who could potentially be affected. Consideration of work circumstances is also required, meaning the assessment must comprehensively take into account the specific circumstances of the work being undertaken, including the quantity of the substance involved, the precise activities being performed, and the potential for exposure during routine maintenance or other non-standard tasks.</w:t>
      </w:r>
    </w:p>
    <w:p w14:paraId="1E355C06" w14:textId="17406EBC" w:rsidR="00EA363B" w:rsidRPr="00EA363B" w:rsidRDefault="00EA363B" w:rsidP="000232A5">
      <w:r w:rsidRPr="00EA363B">
        <w:t xml:space="preserve">The process must also assess combined exposures, as in situations where workers are subjected to exposure from multiple hazardous substances, the assessment must rigorously evaluate the combined risks presented by these substances acting in combination, a particularly important consideration in high-rise construction where workers may face a complex mixture of dusts, fumes, and </w:t>
      </w:r>
      <w:r w:rsidR="00DB4CE2" w:rsidRPr="00EA363B">
        <w:t>vapours</w:t>
      </w:r>
      <w:r w:rsidRPr="00EA363B">
        <w:t xml:space="preserve">. Lastly, the process needs to review health surveillance and monitoring data, meaning the assessment must consider the results of any relevant health surveillance programs or exposure monitoring initiatives that have been conducted, as this data can provide valuable insights into the efficacy of existing control measures and identify areas in need of improvement. COSHH mandates the prevention or adequate control of exposure to hazardous substances, a principle that dictates employers must, whenever reasonably practicable, prevent exposure to hazardous substances altogether, through various means, such as substituting hazardous substances with safer alternatives or modifying processes to eliminate exposure risks. When prevention is not reasonably practicable, employers are obligated to implement robust control measures to reduce exposure to acceptable levels, ensuring that these measures are appropriate for the activity and fully consistent with the risk assessment. </w:t>
      </w:r>
    </w:p>
    <w:p w14:paraId="1ED669E5" w14:textId="714FD1ED" w:rsidR="00AA5FB8" w:rsidRPr="00EA363B" w:rsidRDefault="00EA363B" w:rsidP="000232A5">
      <w:r w:rsidRPr="00EA363B">
        <w:t xml:space="preserve">COSHH establishes a clear hierarchy of control measures, prioritizing the most effective and reliable methods for minimizing exposure, starting with engineering controls, involving the design and use of appropriate work processes, systems, and equipment to minimize the release of hazardous substances, then control of exposure at source, focusing on controlling exposure at the point where the hazardous substance is released, and only then, as a last resort, the use of personal protective equipment (PPE), ensuring it is suitable, properly fitted, and regularly maintained. Effective ventilation systems become crucial in this context, especially for dust and fumes from cutting, grinding, and welding, and local exhaust ventilation should be deployed to capture pollutants at the source. Furthermore, COSHH emphasizes providing employees with comprehensive information, instruction, and training, including details of substances, workplace exposure limits, and access to safety data sheets, alongside </w:t>
      </w:r>
      <w:r w:rsidRPr="00EA363B">
        <w:lastRenderedPageBreak/>
        <w:t xml:space="preserve">training on precautions and actions. Warning signs and clear </w:t>
      </w:r>
      <w:proofErr w:type="spellStart"/>
      <w:r w:rsidRPr="00EA363B">
        <w:t>labeling</w:t>
      </w:r>
      <w:proofErr w:type="spellEnd"/>
      <w:r w:rsidRPr="00EA363B">
        <w:t xml:space="preserve"> are essential, and effective accident management procedures must be in place. In conclusion, COSHH is vital in ensuring the health and safety of workers and residents in high-rise projects, by requiring risk assessments, control measures, and training, minimizing exposure to hazards and promoting a culture of safety and responsibility.</w:t>
      </w:r>
    </w:p>
    <w:p w14:paraId="14831B10" w14:textId="09ECC69F" w:rsidR="000232A5" w:rsidRDefault="00AA5FB8" w:rsidP="000844B7">
      <w:pPr>
        <w:pStyle w:val="Heading1"/>
      </w:pPr>
      <w:bookmarkStart w:id="2" w:name="_Toc198211444"/>
      <w:r>
        <w:t xml:space="preserve">Construction Design Management </w:t>
      </w:r>
      <w:r w:rsidR="000232A5" w:rsidRPr="000232A5">
        <w:t>Regulations</w:t>
      </w:r>
      <w:r w:rsidR="009649BB">
        <w:t xml:space="preserve"> </w:t>
      </w:r>
      <w:r>
        <w:t>(CDM)</w:t>
      </w:r>
      <w:r w:rsidR="00681464">
        <w:t xml:space="preserve"> </w:t>
      </w:r>
      <w:r w:rsidR="008E311C">
        <w:t>[</w:t>
      </w:r>
      <w:r w:rsidR="008E311C">
        <w:rPr>
          <w:rStyle w:val="FootnoteReference"/>
          <w:b/>
          <w:bCs/>
          <w:sz w:val="28"/>
          <w:szCs w:val="28"/>
          <w:u w:val="single"/>
        </w:rPr>
        <w:footnoteReference w:id="3"/>
      </w:r>
      <w:r w:rsidR="008E311C">
        <w:t>]</w:t>
      </w:r>
      <w:bookmarkEnd w:id="2"/>
    </w:p>
    <w:p w14:paraId="6BB27F8B" w14:textId="7D718A89" w:rsidR="009649BB" w:rsidRPr="009649BB" w:rsidRDefault="009649BB" w:rsidP="009649BB">
      <w:r w:rsidRPr="009649BB">
        <w:t>The Construction (Design and Management) Regulations 2015 (CDM 2015) significantly impact all parties involved in construction projects by assigning specific duties and responsibilities to ensure health and safety. These regulations, overseen by the Health and Safety Executive (HSE), aim to improve planning and management from project inception to completion. Consequently, understanding the roles and responsibilities outlined in CDM 2015 is crucial for effective project execution and risk mitigation.</w:t>
      </w:r>
    </w:p>
    <w:p w14:paraId="2D00E720" w14:textId="07DCB43E" w:rsidR="009649BB" w:rsidRPr="009649BB" w:rsidRDefault="009649BB" w:rsidP="009649BB">
      <w:r w:rsidRPr="009649BB">
        <w:t xml:space="preserve">CDM 2015 delineates responsibilities for various </w:t>
      </w:r>
      <w:proofErr w:type="spellStart"/>
      <w:r w:rsidRPr="009649BB">
        <w:t>dutyholders</w:t>
      </w:r>
      <w:proofErr w:type="spellEnd"/>
      <w:r w:rsidRPr="009649BB">
        <w:t>. Commercial clients bear the ultimate responsibility for ensuring projects are carried out safely and in compliance with regulations (HSE, "Commercial clients"). Designers are tasked with eliminating or reducing foreseeable risks during the design phase, while principal designers coordinate health and safety aspects during the pre-construction phase (HSE, "Designers," "Principal designers"). Principal contractors are responsible for planning, managing, and monitoring construction work to ensure safety, and contractors must comply with the principal contractor's plan and cooperate to maintain a safe working environment (HSE, "Principal contractors," "Contractors"). Finally, construction workers themselves have a duty to cooperate with their employers and report any safety concerns (HSE, "Construction workers").</w:t>
      </w:r>
    </w:p>
    <w:p w14:paraId="2DDDF837" w14:textId="3AF92F88" w:rsidR="009649BB" w:rsidRPr="009649BB" w:rsidRDefault="009649BB" w:rsidP="009649BB">
      <w:r w:rsidRPr="009649BB">
        <w:t>Domestic clients, while subject to CDM 2015, have their duties transferred to the contractor or principal contractor. This ensures that even smaller projects involving homeowners adhere to safety standards. The regulations also mandate project notification to the HSE via an F10 form when projects exceed certain thresholds, allowing for oversight and enforcement</w:t>
      </w:r>
      <w:r w:rsidR="00EA363B">
        <w:t>.</w:t>
      </w:r>
    </w:p>
    <w:p w14:paraId="0E02E4F2" w14:textId="77777777" w:rsidR="00E06EAF" w:rsidRDefault="00E06EAF" w:rsidP="00E06EAF">
      <w:pPr>
        <w:rPr>
          <w:b/>
          <w:bCs/>
          <w:sz w:val="28"/>
          <w:szCs w:val="28"/>
          <w:u w:val="single"/>
        </w:rPr>
      </w:pPr>
      <w:r w:rsidRPr="00E06EAF">
        <w:rPr>
          <w:b/>
          <w:bCs/>
          <w:vanish/>
          <w:sz w:val="28"/>
          <w:szCs w:val="28"/>
          <w:u w:val="single"/>
        </w:rPr>
        <w:t>Top of Form</w:t>
      </w:r>
    </w:p>
    <w:p w14:paraId="6BF0C55B" w14:textId="77777777" w:rsidR="009C3501" w:rsidRDefault="009C3501" w:rsidP="00E06EAF">
      <w:pPr>
        <w:rPr>
          <w:b/>
          <w:bCs/>
          <w:sz w:val="28"/>
          <w:szCs w:val="28"/>
          <w:u w:val="single"/>
        </w:rPr>
      </w:pPr>
    </w:p>
    <w:p w14:paraId="35DC0CBA" w14:textId="77777777" w:rsidR="009C3501" w:rsidRDefault="009C3501" w:rsidP="00E06EAF">
      <w:pPr>
        <w:rPr>
          <w:b/>
          <w:bCs/>
          <w:sz w:val="28"/>
          <w:szCs w:val="28"/>
          <w:u w:val="single"/>
        </w:rPr>
      </w:pPr>
    </w:p>
    <w:p w14:paraId="1A064BA2" w14:textId="730F7D08" w:rsidR="00D13F90" w:rsidRDefault="00D13F90" w:rsidP="00E06EAF">
      <w:pPr>
        <w:rPr>
          <w:b/>
          <w:bCs/>
          <w:sz w:val="28"/>
          <w:szCs w:val="28"/>
          <w:u w:val="single"/>
        </w:rPr>
      </w:pPr>
    </w:p>
    <w:tbl>
      <w:tblPr>
        <w:tblpPr w:leftFromText="180" w:rightFromText="180" w:vertAnchor="page" w:horzAnchor="margin" w:tblpXSpec="center" w:tblpY="1184"/>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9C3501" w:rsidRPr="004E68B1" w14:paraId="3C8AF25A" w14:textId="77777777" w:rsidTr="008E311C">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30A6C7A0" w14:textId="552002C3" w:rsidR="009C3501" w:rsidRPr="004E68B1" w:rsidRDefault="009C3501" w:rsidP="008E311C">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lastRenderedPageBreak/>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09452436"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Assessment Number</w:t>
            </w:r>
          </w:p>
        </w:tc>
      </w:tr>
      <w:tr w:rsidR="009C3501" w:rsidRPr="004E68B1" w14:paraId="5392DB2E" w14:textId="77777777" w:rsidTr="008E311C">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39802C28" w14:textId="7FBCD3E0" w:rsidR="009C3501" w:rsidRPr="004E68B1" w:rsidRDefault="009C3501" w:rsidP="008E311C">
            <w:pPr>
              <w:spacing w:after="0" w:line="240" w:lineRule="auto"/>
              <w:rPr>
                <w:rFonts w:ascii="Arial" w:eastAsia="Times New Roman" w:hAnsi="Arial" w:cs="Arial"/>
                <w:lang w:eastAsia="en-GB"/>
              </w:rPr>
            </w:pPr>
            <w:r w:rsidRPr="00B3663B">
              <w:rPr>
                <w:rFonts w:ascii="Arial" w:eastAsia="Times New Roman" w:hAnsi="Arial" w:cs="Arial"/>
                <w:sz w:val="32"/>
                <w:szCs w:val="32"/>
                <w:lang w:eastAsia="en-GB"/>
              </w:rPr>
              <w:t>Working at Height</w:t>
            </w:r>
          </w:p>
        </w:tc>
        <w:tc>
          <w:tcPr>
            <w:tcW w:w="3240" w:type="dxa"/>
            <w:gridSpan w:val="10"/>
            <w:tcBorders>
              <w:top w:val="single" w:sz="2" w:space="0" w:color="auto"/>
              <w:left w:val="single" w:sz="4" w:space="0" w:color="auto"/>
              <w:bottom w:val="single" w:sz="4" w:space="0" w:color="auto"/>
              <w:right w:val="single" w:sz="18" w:space="0" w:color="auto"/>
            </w:tcBorders>
          </w:tcPr>
          <w:p w14:paraId="052ABC9F"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DKW020616</w:t>
            </w:r>
          </w:p>
        </w:tc>
      </w:tr>
      <w:tr w:rsidR="009C3501" w:rsidRPr="004E68B1" w14:paraId="4EBB492E" w14:textId="77777777" w:rsidTr="008E311C">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43EF4F20"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Persons undertaking or affected by the activity</w:t>
            </w:r>
          </w:p>
        </w:tc>
      </w:tr>
      <w:tr w:rsidR="009C3501" w:rsidRPr="004E68B1" w14:paraId="6AE97B9C" w14:textId="77777777" w:rsidTr="008E311C">
        <w:trPr>
          <w:cantSplit/>
          <w:trHeight w:val="167"/>
        </w:trPr>
        <w:tc>
          <w:tcPr>
            <w:tcW w:w="10080" w:type="dxa"/>
            <w:gridSpan w:val="27"/>
            <w:tcBorders>
              <w:top w:val="single" w:sz="2" w:space="0" w:color="auto"/>
              <w:left w:val="single" w:sz="18" w:space="0" w:color="auto"/>
              <w:bottom w:val="nil"/>
              <w:right w:val="single" w:sz="18" w:space="0" w:color="auto"/>
            </w:tcBorders>
          </w:tcPr>
          <w:p w14:paraId="01F3394A" w14:textId="77777777" w:rsidR="009C3501" w:rsidRPr="004E68B1" w:rsidRDefault="009C3501" w:rsidP="008E311C">
            <w:pPr>
              <w:spacing w:after="0" w:line="240" w:lineRule="auto"/>
              <w:rPr>
                <w:rFonts w:ascii="Times New Roman" w:eastAsia="Times New Roman" w:hAnsi="Times New Roman" w:cs="Times New Roman"/>
                <w:sz w:val="16"/>
                <w:szCs w:val="20"/>
                <w:lang w:eastAsia="en-GB"/>
              </w:rPr>
            </w:pPr>
          </w:p>
        </w:tc>
      </w:tr>
      <w:tr w:rsidR="009C3501" w:rsidRPr="004E68B1" w14:paraId="070C107B" w14:textId="77777777" w:rsidTr="008E311C">
        <w:trPr>
          <w:cantSplit/>
          <w:trHeight w:val="167"/>
        </w:trPr>
        <w:tc>
          <w:tcPr>
            <w:tcW w:w="900" w:type="dxa"/>
            <w:gridSpan w:val="2"/>
            <w:tcBorders>
              <w:top w:val="nil"/>
              <w:left w:val="single" w:sz="18" w:space="0" w:color="auto"/>
              <w:bottom w:val="nil"/>
              <w:right w:val="single" w:sz="4" w:space="0" w:color="auto"/>
            </w:tcBorders>
          </w:tcPr>
          <w:p w14:paraId="1A380491"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shd w:val="clear" w:color="auto" w:fill="000000" w:themeFill="text1"/>
          </w:tcPr>
          <w:p w14:paraId="7213E0A6" w14:textId="77777777" w:rsidR="009C3501" w:rsidRPr="003F68D4" w:rsidRDefault="009C3501" w:rsidP="008E311C">
            <w:pPr>
              <w:pStyle w:val="ListParagraph"/>
              <w:numPr>
                <w:ilvl w:val="0"/>
                <w:numId w:val="27"/>
              </w:numPr>
              <w:spacing w:after="0" w:line="240" w:lineRule="auto"/>
              <w:rPr>
                <w:rFonts w:ascii="Times New Roman" w:eastAsia="Times New Roman" w:hAnsi="Times New Roman" w:cs="Times New Roman"/>
                <w:sz w:val="20"/>
                <w:szCs w:val="20"/>
                <w:lang w:eastAsia="en-GB"/>
              </w:rPr>
            </w:pPr>
          </w:p>
        </w:tc>
        <w:tc>
          <w:tcPr>
            <w:tcW w:w="1620" w:type="dxa"/>
            <w:gridSpan w:val="2"/>
            <w:tcBorders>
              <w:top w:val="nil"/>
              <w:left w:val="single" w:sz="4" w:space="0" w:color="auto"/>
              <w:bottom w:val="nil"/>
              <w:right w:val="single" w:sz="4" w:space="0" w:color="auto"/>
            </w:tcBorders>
          </w:tcPr>
          <w:p w14:paraId="7F9E466C"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shd w:val="clear" w:color="auto" w:fill="000000" w:themeFill="text1"/>
          </w:tcPr>
          <w:p w14:paraId="7600A2D4"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11739A20"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shd w:val="clear" w:color="auto" w:fill="000000" w:themeFill="text1"/>
          </w:tcPr>
          <w:p w14:paraId="1AEC81E3"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7E3FA725"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6AFC33CB"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720" w:type="dxa"/>
            <w:gridSpan w:val="5"/>
            <w:tcBorders>
              <w:top w:val="nil"/>
              <w:left w:val="single" w:sz="4" w:space="0" w:color="auto"/>
              <w:bottom w:val="nil"/>
              <w:right w:val="single" w:sz="4" w:space="0" w:color="auto"/>
            </w:tcBorders>
          </w:tcPr>
          <w:p w14:paraId="685BEE9A"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540" w:type="dxa"/>
            <w:gridSpan w:val="2"/>
            <w:tcBorders>
              <w:top w:val="single" w:sz="4" w:space="0" w:color="auto"/>
              <w:left w:val="single" w:sz="4" w:space="0" w:color="auto"/>
              <w:bottom w:val="single" w:sz="4" w:space="0" w:color="auto"/>
              <w:right w:val="single" w:sz="4" w:space="0" w:color="auto"/>
            </w:tcBorders>
          </w:tcPr>
          <w:p w14:paraId="29DD6D87"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2340" w:type="dxa"/>
            <w:gridSpan w:val="5"/>
            <w:tcBorders>
              <w:top w:val="nil"/>
              <w:left w:val="single" w:sz="4" w:space="0" w:color="auto"/>
              <w:bottom w:val="nil"/>
              <w:right w:val="single" w:sz="18" w:space="0" w:color="auto"/>
            </w:tcBorders>
          </w:tcPr>
          <w:p w14:paraId="2EBF96E1"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9C3501" w:rsidRPr="004E68B1" w14:paraId="748602C3" w14:textId="77777777" w:rsidTr="008E311C">
        <w:trPr>
          <w:cantSplit/>
          <w:trHeight w:val="167"/>
        </w:trPr>
        <w:tc>
          <w:tcPr>
            <w:tcW w:w="10080" w:type="dxa"/>
            <w:gridSpan w:val="27"/>
            <w:tcBorders>
              <w:top w:val="nil"/>
              <w:left w:val="single" w:sz="18" w:space="0" w:color="auto"/>
              <w:bottom w:val="nil"/>
              <w:right w:val="single" w:sz="18" w:space="0" w:color="auto"/>
            </w:tcBorders>
          </w:tcPr>
          <w:p w14:paraId="74E0F0E2" w14:textId="77777777" w:rsidR="009C3501" w:rsidRPr="004E68B1" w:rsidRDefault="009C3501" w:rsidP="008E311C">
            <w:pPr>
              <w:spacing w:after="0" w:line="240" w:lineRule="auto"/>
              <w:rPr>
                <w:rFonts w:ascii="Times New Roman" w:eastAsia="Times New Roman" w:hAnsi="Times New Roman" w:cs="Times New Roman"/>
                <w:sz w:val="16"/>
                <w:szCs w:val="20"/>
                <w:lang w:eastAsia="en-GB"/>
              </w:rPr>
            </w:pPr>
          </w:p>
        </w:tc>
      </w:tr>
      <w:tr w:rsidR="009C3501" w:rsidRPr="004E68B1" w14:paraId="671889A5" w14:textId="77777777" w:rsidTr="008E311C">
        <w:trPr>
          <w:cantSplit/>
          <w:trHeight w:val="167"/>
        </w:trPr>
        <w:tc>
          <w:tcPr>
            <w:tcW w:w="900" w:type="dxa"/>
            <w:gridSpan w:val="2"/>
            <w:tcBorders>
              <w:top w:val="nil"/>
              <w:left w:val="single" w:sz="18" w:space="0" w:color="auto"/>
              <w:bottom w:val="nil"/>
              <w:right w:val="single" w:sz="4" w:space="0" w:color="auto"/>
            </w:tcBorders>
          </w:tcPr>
          <w:p w14:paraId="5424EBFF"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77E8AE7"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3CA37DA9"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9C3501" w:rsidRPr="004E68B1" w14:paraId="331F3245" w14:textId="77777777" w:rsidTr="008E311C">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3656332" w14:textId="77777777" w:rsidR="009C3501" w:rsidRPr="004E68B1" w:rsidRDefault="009C3501" w:rsidP="008E311C">
            <w:pPr>
              <w:spacing w:after="0" w:line="240" w:lineRule="auto"/>
              <w:ind w:left="72"/>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39B505A"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86668B6"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BCBC3B1"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Risk Level</w:t>
            </w:r>
          </w:p>
        </w:tc>
      </w:tr>
      <w:tr w:rsidR="009C3501" w:rsidRPr="004E68B1" w14:paraId="1C1BE0B9" w14:textId="77777777" w:rsidTr="008E311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ED85A28"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5D07893F"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height</w:t>
            </w:r>
          </w:p>
        </w:tc>
        <w:tc>
          <w:tcPr>
            <w:tcW w:w="1620" w:type="dxa"/>
            <w:gridSpan w:val="6"/>
            <w:tcBorders>
              <w:top w:val="single" w:sz="4" w:space="0" w:color="auto"/>
              <w:left w:val="single" w:sz="4" w:space="0" w:color="auto"/>
              <w:bottom w:val="single" w:sz="4" w:space="0" w:color="auto"/>
              <w:right w:val="single" w:sz="4" w:space="0" w:color="auto"/>
            </w:tcBorders>
          </w:tcPr>
          <w:p w14:paraId="05291221"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13A9201B"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5A41746A"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9C3501" w:rsidRPr="004E68B1" w14:paraId="7911A230" w14:textId="77777777" w:rsidTr="008E311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488E75B"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43207935"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Dropping tools from height</w:t>
            </w:r>
          </w:p>
        </w:tc>
        <w:tc>
          <w:tcPr>
            <w:tcW w:w="1620" w:type="dxa"/>
            <w:gridSpan w:val="6"/>
            <w:tcBorders>
              <w:top w:val="single" w:sz="4" w:space="0" w:color="auto"/>
              <w:left w:val="single" w:sz="4" w:space="0" w:color="auto"/>
              <w:bottom w:val="single" w:sz="4" w:space="0" w:color="auto"/>
              <w:right w:val="single" w:sz="4" w:space="0" w:color="auto"/>
            </w:tcBorders>
          </w:tcPr>
          <w:p w14:paraId="4FD6B680"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7B243AF1"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7F625B7"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9C3501" w:rsidRPr="004E68B1" w14:paraId="643EE3B2" w14:textId="77777777" w:rsidTr="008E311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487FAEF"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5FB26117"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Random debris falling from height</w:t>
            </w:r>
          </w:p>
        </w:tc>
        <w:tc>
          <w:tcPr>
            <w:tcW w:w="1620" w:type="dxa"/>
            <w:gridSpan w:val="6"/>
            <w:tcBorders>
              <w:top w:val="single" w:sz="4" w:space="0" w:color="auto"/>
              <w:left w:val="single" w:sz="4" w:space="0" w:color="auto"/>
              <w:bottom w:val="single" w:sz="4" w:space="0" w:color="auto"/>
              <w:right w:val="single" w:sz="4" w:space="0" w:color="auto"/>
            </w:tcBorders>
          </w:tcPr>
          <w:p w14:paraId="59438705"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0E9FB897"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3 </w:t>
            </w:r>
          </w:p>
        </w:tc>
        <w:tc>
          <w:tcPr>
            <w:tcW w:w="1620" w:type="dxa"/>
            <w:gridSpan w:val="4"/>
            <w:tcBorders>
              <w:top w:val="single" w:sz="4" w:space="0" w:color="auto"/>
              <w:left w:val="single" w:sz="4" w:space="0" w:color="auto"/>
              <w:bottom w:val="single" w:sz="4" w:space="0" w:color="auto"/>
              <w:right w:val="single" w:sz="18" w:space="0" w:color="auto"/>
            </w:tcBorders>
          </w:tcPr>
          <w:p w14:paraId="2079304E"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9C3501" w:rsidRPr="004E68B1" w14:paraId="3A50B82D" w14:textId="77777777" w:rsidTr="008E311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BB208D1"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58091C01"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708449A5"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1E0A45BD"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0B2234D0"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r>
      <w:tr w:rsidR="009C3501" w:rsidRPr="004E68B1" w14:paraId="7FE8A795" w14:textId="77777777" w:rsidTr="008E311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5B65B0F"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7FD01793"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6D256D64"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4FE2936F"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423ED7C6"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r>
      <w:tr w:rsidR="009C3501" w:rsidRPr="004E68B1" w14:paraId="77427CDC" w14:textId="77777777" w:rsidTr="008E311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B720B79"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012EDCAE"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7DD4A9C4"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6281CB00"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28559BB0"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r>
      <w:tr w:rsidR="009C3501" w:rsidRPr="004E68B1" w14:paraId="09CA1795" w14:textId="77777777" w:rsidTr="008E311C">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4CBD0087" w14:textId="77777777" w:rsidR="009C3501" w:rsidRPr="004E68B1" w:rsidRDefault="009C3501" w:rsidP="008E311C">
            <w:pPr>
              <w:spacing w:after="0" w:line="240" w:lineRule="auto"/>
              <w:ind w:left="72"/>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Control Measures Required</w:t>
            </w:r>
          </w:p>
        </w:tc>
      </w:tr>
      <w:tr w:rsidR="009C3501" w:rsidRPr="004E68B1" w14:paraId="2C717B51" w14:textId="77777777" w:rsidTr="008E311C">
        <w:trPr>
          <w:cantSplit/>
          <w:trHeight w:val="700"/>
        </w:trPr>
        <w:tc>
          <w:tcPr>
            <w:tcW w:w="540" w:type="dxa"/>
            <w:tcBorders>
              <w:top w:val="single" w:sz="4" w:space="0" w:color="auto"/>
              <w:left w:val="single" w:sz="18" w:space="0" w:color="auto"/>
              <w:right w:val="single" w:sz="4" w:space="0" w:color="auto"/>
            </w:tcBorders>
            <w:vAlign w:val="center"/>
          </w:tcPr>
          <w:p w14:paraId="28F76F1F"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376EB062"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Ensuring proper PPE is worn to protect against falling tools, tools must be properly stored and accounted for when at work.</w:t>
            </w:r>
          </w:p>
        </w:tc>
      </w:tr>
      <w:tr w:rsidR="009C3501" w:rsidRPr="004E68B1" w14:paraId="11DBB7E1" w14:textId="77777777" w:rsidTr="008E311C">
        <w:trPr>
          <w:cantSplit/>
          <w:trHeight w:val="700"/>
        </w:trPr>
        <w:tc>
          <w:tcPr>
            <w:tcW w:w="540" w:type="dxa"/>
            <w:tcBorders>
              <w:left w:val="single" w:sz="18" w:space="0" w:color="auto"/>
              <w:right w:val="single" w:sz="4" w:space="0" w:color="auto"/>
            </w:tcBorders>
            <w:vAlign w:val="center"/>
          </w:tcPr>
          <w:p w14:paraId="1894927E"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16C4AADE"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Proper safety features must be in place when working at height, ensure all scaffolding is secure and up to modern safety standards.</w:t>
            </w:r>
          </w:p>
        </w:tc>
      </w:tr>
      <w:tr w:rsidR="009C3501" w:rsidRPr="004E68B1" w14:paraId="5E4F7824" w14:textId="77777777" w:rsidTr="008E311C">
        <w:trPr>
          <w:cantSplit/>
          <w:trHeight w:val="700"/>
        </w:trPr>
        <w:tc>
          <w:tcPr>
            <w:tcW w:w="540" w:type="dxa"/>
            <w:tcBorders>
              <w:left w:val="single" w:sz="18" w:space="0" w:color="auto"/>
              <w:right w:val="single" w:sz="4" w:space="0" w:color="auto"/>
            </w:tcBorders>
            <w:vAlign w:val="center"/>
          </w:tcPr>
          <w:p w14:paraId="3529F32D"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2562E748"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work is done efficiently and of high quality, all waste material must be properly disposed of to avoid potential bodily harm or ingesting potentially hazardous substances.</w:t>
            </w:r>
          </w:p>
        </w:tc>
      </w:tr>
      <w:tr w:rsidR="009C3501" w:rsidRPr="004E68B1" w14:paraId="37B3B0BD" w14:textId="77777777" w:rsidTr="008E311C">
        <w:trPr>
          <w:cantSplit/>
          <w:trHeight w:val="700"/>
        </w:trPr>
        <w:tc>
          <w:tcPr>
            <w:tcW w:w="540" w:type="dxa"/>
            <w:tcBorders>
              <w:left w:val="single" w:sz="18" w:space="0" w:color="auto"/>
              <w:right w:val="single" w:sz="4" w:space="0" w:color="auto"/>
            </w:tcBorders>
            <w:vAlign w:val="center"/>
          </w:tcPr>
          <w:p w14:paraId="29C0E5C1"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683AED6F"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r>
      <w:tr w:rsidR="009C3501" w:rsidRPr="004E68B1" w14:paraId="60894009" w14:textId="77777777" w:rsidTr="008E311C">
        <w:trPr>
          <w:cantSplit/>
          <w:trHeight w:val="561"/>
        </w:trPr>
        <w:tc>
          <w:tcPr>
            <w:tcW w:w="540" w:type="dxa"/>
            <w:tcBorders>
              <w:left w:val="single" w:sz="18" w:space="0" w:color="auto"/>
              <w:right w:val="single" w:sz="4" w:space="0" w:color="auto"/>
            </w:tcBorders>
            <w:vAlign w:val="center"/>
          </w:tcPr>
          <w:p w14:paraId="03900E57"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4882E49D"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r>
      <w:tr w:rsidR="009C3501" w:rsidRPr="004E68B1" w14:paraId="6A34F22F" w14:textId="77777777" w:rsidTr="008E311C">
        <w:trPr>
          <w:cantSplit/>
          <w:trHeight w:val="555"/>
        </w:trPr>
        <w:tc>
          <w:tcPr>
            <w:tcW w:w="540" w:type="dxa"/>
            <w:tcBorders>
              <w:left w:val="single" w:sz="18" w:space="0" w:color="auto"/>
              <w:bottom w:val="single" w:sz="4" w:space="0" w:color="auto"/>
              <w:right w:val="single" w:sz="4" w:space="0" w:color="auto"/>
            </w:tcBorders>
            <w:vAlign w:val="center"/>
          </w:tcPr>
          <w:p w14:paraId="0C6A93C8"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6"/>
            <w:tcBorders>
              <w:top w:val="single" w:sz="4" w:space="0" w:color="auto"/>
              <w:left w:val="single" w:sz="4" w:space="0" w:color="auto"/>
              <w:bottom w:val="single" w:sz="18" w:space="0" w:color="auto"/>
              <w:right w:val="single" w:sz="18" w:space="0" w:color="auto"/>
            </w:tcBorders>
          </w:tcPr>
          <w:p w14:paraId="6FB41274"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r>
      <w:tr w:rsidR="009C3501" w:rsidRPr="004E68B1" w14:paraId="1F877C6B" w14:textId="77777777" w:rsidTr="008E311C">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C3BF3A2"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2FE394F"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DE97307"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FEE999A"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Risk Level</w:t>
            </w:r>
          </w:p>
        </w:tc>
      </w:tr>
      <w:tr w:rsidR="009C3501" w:rsidRPr="004E68B1" w14:paraId="1AE1107D" w14:textId="77777777" w:rsidTr="008E311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BBCD5B0"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065E78FD"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height</w:t>
            </w:r>
          </w:p>
        </w:tc>
        <w:tc>
          <w:tcPr>
            <w:tcW w:w="1620" w:type="dxa"/>
            <w:gridSpan w:val="6"/>
            <w:tcBorders>
              <w:top w:val="single" w:sz="4" w:space="0" w:color="auto"/>
              <w:left w:val="single" w:sz="4" w:space="0" w:color="auto"/>
              <w:right w:val="single" w:sz="4" w:space="0" w:color="auto"/>
            </w:tcBorders>
          </w:tcPr>
          <w:p w14:paraId="7154304A"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top w:val="single" w:sz="4" w:space="0" w:color="auto"/>
              <w:left w:val="single" w:sz="4" w:space="0" w:color="auto"/>
              <w:right w:val="single" w:sz="4" w:space="0" w:color="auto"/>
            </w:tcBorders>
          </w:tcPr>
          <w:p w14:paraId="45CD716E"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right w:val="single" w:sz="18" w:space="0" w:color="auto"/>
            </w:tcBorders>
            <w:shd w:val="clear" w:color="auto" w:fill="auto"/>
          </w:tcPr>
          <w:p w14:paraId="75856E30"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9C3501" w:rsidRPr="004E68B1" w14:paraId="04F9C8D1" w14:textId="77777777" w:rsidTr="008E311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742585D"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5744B02A"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Dropping tools from height</w:t>
            </w:r>
          </w:p>
        </w:tc>
        <w:tc>
          <w:tcPr>
            <w:tcW w:w="1620" w:type="dxa"/>
            <w:gridSpan w:val="6"/>
            <w:tcBorders>
              <w:left w:val="single" w:sz="4" w:space="0" w:color="auto"/>
              <w:right w:val="single" w:sz="4" w:space="0" w:color="auto"/>
            </w:tcBorders>
            <w:vAlign w:val="center"/>
          </w:tcPr>
          <w:p w14:paraId="012726EF" w14:textId="77777777" w:rsidR="009C3501" w:rsidRPr="004E68B1" w:rsidRDefault="009C3501" w:rsidP="008E311C">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560D52F9"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shd w:val="clear" w:color="auto" w:fill="auto"/>
          </w:tcPr>
          <w:p w14:paraId="5835047B"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9C3501" w:rsidRPr="004E68B1" w14:paraId="2798BADE" w14:textId="77777777" w:rsidTr="008E311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D999D23"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92E5628"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Random debris falling from height</w:t>
            </w:r>
          </w:p>
        </w:tc>
        <w:tc>
          <w:tcPr>
            <w:tcW w:w="1620" w:type="dxa"/>
            <w:gridSpan w:val="6"/>
            <w:tcBorders>
              <w:left w:val="single" w:sz="4" w:space="0" w:color="auto"/>
              <w:right w:val="single" w:sz="4" w:space="0" w:color="auto"/>
            </w:tcBorders>
          </w:tcPr>
          <w:p w14:paraId="51ABFB8C"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4DDDFA7B"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4"/>
            <w:tcBorders>
              <w:left w:val="single" w:sz="4" w:space="0" w:color="auto"/>
              <w:right w:val="single" w:sz="18" w:space="0" w:color="auto"/>
            </w:tcBorders>
            <w:shd w:val="clear" w:color="auto" w:fill="auto"/>
          </w:tcPr>
          <w:p w14:paraId="57DF2B9B"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9C3501" w:rsidRPr="004E68B1" w14:paraId="69A920C1" w14:textId="77777777" w:rsidTr="008E311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9459D28"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6EAADE72"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2C24B03B"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p>
        </w:tc>
        <w:tc>
          <w:tcPr>
            <w:tcW w:w="1620" w:type="dxa"/>
            <w:gridSpan w:val="6"/>
            <w:tcBorders>
              <w:left w:val="single" w:sz="4" w:space="0" w:color="auto"/>
              <w:right w:val="single" w:sz="4" w:space="0" w:color="auto"/>
            </w:tcBorders>
          </w:tcPr>
          <w:p w14:paraId="168981CE"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3445826B"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r>
      <w:tr w:rsidR="009C3501" w:rsidRPr="004E68B1" w14:paraId="4D993E5C" w14:textId="77777777" w:rsidTr="008E311C">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85A7CCF"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6272CBDE"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6903E61A"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p>
        </w:tc>
        <w:tc>
          <w:tcPr>
            <w:tcW w:w="1620" w:type="dxa"/>
            <w:gridSpan w:val="6"/>
            <w:tcBorders>
              <w:left w:val="single" w:sz="4" w:space="0" w:color="auto"/>
              <w:right w:val="single" w:sz="4" w:space="0" w:color="auto"/>
            </w:tcBorders>
          </w:tcPr>
          <w:p w14:paraId="559F6735"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5F474E71"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r>
      <w:tr w:rsidR="009C3501" w:rsidRPr="004E68B1" w14:paraId="535F8D62" w14:textId="77777777" w:rsidTr="008E311C">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AFA2C30"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3A7DDBF8"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096C8B38"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p>
        </w:tc>
        <w:tc>
          <w:tcPr>
            <w:tcW w:w="1620" w:type="dxa"/>
            <w:gridSpan w:val="6"/>
            <w:tcBorders>
              <w:left w:val="single" w:sz="4" w:space="0" w:color="auto"/>
              <w:bottom w:val="single" w:sz="18" w:space="0" w:color="auto"/>
              <w:right w:val="single" w:sz="4" w:space="0" w:color="auto"/>
            </w:tcBorders>
          </w:tcPr>
          <w:p w14:paraId="242599D2"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518AC2CA" w14:textId="77777777" w:rsidR="009C3501" w:rsidRPr="004E68B1" w:rsidRDefault="009C3501" w:rsidP="008E311C">
            <w:pPr>
              <w:spacing w:after="0" w:line="240" w:lineRule="auto"/>
              <w:jc w:val="center"/>
              <w:rPr>
                <w:rFonts w:ascii="Times New Roman" w:eastAsia="Times New Roman" w:hAnsi="Times New Roman" w:cs="Times New Roman"/>
                <w:szCs w:val="20"/>
                <w:lang w:eastAsia="en-GB"/>
              </w:rPr>
            </w:pPr>
          </w:p>
        </w:tc>
      </w:tr>
      <w:tr w:rsidR="009C3501" w:rsidRPr="004E68B1" w14:paraId="28ED6537" w14:textId="77777777" w:rsidTr="008E311C">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13BFC5D1"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 xml:space="preserve">Name  </w:t>
            </w:r>
          </w:p>
          <w:p w14:paraId="3F1494E7"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Position</w:t>
            </w:r>
            <w:r>
              <w:rPr>
                <w:rFonts w:ascii="Times New Roman" w:eastAsia="Times New Roman" w:hAnsi="Times New Roman" w:cs="Times New Roman"/>
                <w:szCs w:val="20"/>
                <w:lang w:eastAsia="en-GB"/>
              </w:rPr>
              <w:t>:</w:t>
            </w:r>
            <w:r w:rsidRPr="004E68B1">
              <w:rPr>
                <w:rFonts w:ascii="Times New Roman" w:eastAsia="Times New Roman" w:hAnsi="Times New Roman" w:cs="Times New Roman"/>
                <w:szCs w:val="20"/>
                <w:lang w:eastAsia="en-GB"/>
              </w:rPr>
              <w:t xml:space="preserve">  Senior Health and safety officer</w:t>
            </w:r>
          </w:p>
        </w:tc>
        <w:tc>
          <w:tcPr>
            <w:tcW w:w="3240" w:type="dxa"/>
            <w:gridSpan w:val="10"/>
            <w:tcBorders>
              <w:top w:val="single" w:sz="18" w:space="0" w:color="auto"/>
              <w:left w:val="single" w:sz="18" w:space="0" w:color="auto"/>
              <w:bottom w:val="single" w:sz="18" w:space="0" w:color="auto"/>
              <w:right w:val="single" w:sz="18" w:space="0" w:color="auto"/>
            </w:tcBorders>
          </w:tcPr>
          <w:p w14:paraId="13A141AE" w14:textId="77777777" w:rsidR="009C3501" w:rsidRPr="004E68B1" w:rsidRDefault="009C3501" w:rsidP="008E311C">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Signed</w:t>
            </w:r>
            <w:r>
              <w:rPr>
                <w:rFonts w:ascii="Times New Roman" w:eastAsia="Times New Roman" w:hAnsi="Times New Roman" w:cs="Times New Roman"/>
                <w:szCs w:val="20"/>
                <w:lang w:eastAsia="en-GB"/>
              </w:rPr>
              <w:t>:</w:t>
            </w:r>
          </w:p>
          <w:p w14:paraId="2C6168EF" w14:textId="67EE43A3" w:rsidR="009C3501" w:rsidRPr="004E68B1" w:rsidRDefault="008B67B4" w:rsidP="008E311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noProof/>
                <w:szCs w:val="20"/>
                <w:lang w:eastAsia="en-GB"/>
              </w:rPr>
              <mc:AlternateContent>
                <mc:Choice Requires="wpi">
                  <w:drawing>
                    <wp:anchor distT="0" distB="0" distL="114300" distR="114300" simplePos="0" relativeHeight="251659264" behindDoc="0" locked="0" layoutInCell="1" allowOverlap="1" wp14:anchorId="3AA5B608" wp14:editId="05EF4737">
                      <wp:simplePos x="0" y="0"/>
                      <wp:positionH relativeFrom="column">
                        <wp:posOffset>269740</wp:posOffset>
                      </wp:positionH>
                      <wp:positionV relativeFrom="paragraph">
                        <wp:posOffset>2645</wp:posOffset>
                      </wp:positionV>
                      <wp:extent cx="1445040" cy="238680"/>
                      <wp:effectExtent l="38100" t="38100" r="22225" b="47625"/>
                      <wp:wrapNone/>
                      <wp:docPr id="353281352"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1445040" cy="238680"/>
                            </w14:xfrm>
                          </w14:contentPart>
                        </a:graphicData>
                      </a:graphic>
                    </wp:anchor>
                  </w:drawing>
                </mc:Choice>
                <mc:Fallback>
                  <w:pict>
                    <v:shapetype w14:anchorId="33532A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0.75pt;margin-top:-.3pt;width:114.8pt;height:19.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">
                      <v:imagedata r:id="rId9" o:title=""/>
                    </v:shape>
                  </w:pict>
                </mc:Fallback>
              </mc:AlternateContent>
            </w:r>
          </w:p>
          <w:p w14:paraId="30035F8F" w14:textId="77777777" w:rsidR="009C3501" w:rsidRPr="004E68B1" w:rsidRDefault="009C3501" w:rsidP="008E311C">
            <w:pPr>
              <w:spacing w:after="0" w:line="240" w:lineRule="auto"/>
              <w:rPr>
                <w:rFonts w:ascii="Times New Roman" w:eastAsia="Times New Roman" w:hAnsi="Times New Roman" w:cs="Times New Roman"/>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0C75B669" w14:textId="77777777" w:rsidR="009C350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1AE39C3C" w14:textId="566EEA29" w:rsidR="009C3501" w:rsidRPr="004E68B1" w:rsidRDefault="001F6F6B" w:rsidP="008E311C">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8"/>
                <w:szCs w:val="28"/>
                <w:lang w:eastAsia="en-GB"/>
              </w:rPr>
              <w:t>29</w:t>
            </w:r>
            <w:r w:rsidR="009C3501" w:rsidRPr="00B3663B">
              <w:rPr>
                <w:rFonts w:ascii="Times New Roman" w:eastAsia="Times New Roman" w:hAnsi="Times New Roman" w:cs="Times New Roman"/>
                <w:sz w:val="28"/>
                <w:szCs w:val="28"/>
                <w:lang w:eastAsia="en-GB"/>
              </w:rPr>
              <w:t>/0</w:t>
            </w:r>
            <w:r>
              <w:rPr>
                <w:rFonts w:ascii="Times New Roman" w:eastAsia="Times New Roman" w:hAnsi="Times New Roman" w:cs="Times New Roman"/>
                <w:sz w:val="28"/>
                <w:szCs w:val="28"/>
                <w:lang w:eastAsia="en-GB"/>
              </w:rPr>
              <w:t>4</w:t>
            </w:r>
            <w:r w:rsidR="009C3501" w:rsidRPr="00B3663B">
              <w:rPr>
                <w:rFonts w:ascii="Times New Roman" w:eastAsia="Times New Roman" w:hAnsi="Times New Roman" w:cs="Times New Roman"/>
                <w:sz w:val="28"/>
                <w:szCs w:val="28"/>
                <w:lang w:eastAsia="en-GB"/>
              </w:rPr>
              <w:t>/2025</w:t>
            </w:r>
          </w:p>
        </w:tc>
      </w:tr>
      <w:tr w:rsidR="009C3501" w:rsidRPr="004E68B1" w14:paraId="24FDCBF6" w14:textId="77777777" w:rsidTr="008E311C">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3650CA65"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54714F3E"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19F9F377"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r>
      <w:tr w:rsidR="009C3501" w:rsidRPr="004E68B1" w14:paraId="3ECD6D04" w14:textId="77777777" w:rsidTr="008E311C">
        <w:trPr>
          <w:cantSplit/>
          <w:trHeight w:val="235"/>
        </w:trPr>
        <w:tc>
          <w:tcPr>
            <w:tcW w:w="2195" w:type="dxa"/>
            <w:gridSpan w:val="4"/>
            <w:tcBorders>
              <w:left w:val="single" w:sz="18" w:space="0" w:color="auto"/>
              <w:right w:val="single" w:sz="6" w:space="0" w:color="auto"/>
            </w:tcBorders>
          </w:tcPr>
          <w:p w14:paraId="37866AE5"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3ABF9474"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62AF07FF"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6FD2A404" w14:textId="77777777" w:rsidR="009C3501" w:rsidRPr="004E68B1" w:rsidRDefault="009C3501" w:rsidP="008E311C">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7EEB1A3F"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E97132" w:themeFill="accent2"/>
            <w:vAlign w:val="center"/>
          </w:tcPr>
          <w:p w14:paraId="1C5AD933"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44B4C2C"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37B61B3D"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03FB22C"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06A338F9"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9C3501" w:rsidRPr="004E68B1" w14:paraId="5A69DA94" w14:textId="77777777" w:rsidTr="008E311C">
        <w:trPr>
          <w:cantSplit/>
          <w:trHeight w:val="256"/>
        </w:trPr>
        <w:tc>
          <w:tcPr>
            <w:tcW w:w="2195" w:type="dxa"/>
            <w:gridSpan w:val="4"/>
            <w:tcBorders>
              <w:left w:val="single" w:sz="18" w:space="0" w:color="auto"/>
              <w:right w:val="single" w:sz="6" w:space="0" w:color="auto"/>
            </w:tcBorders>
          </w:tcPr>
          <w:p w14:paraId="69DC1402"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3AF87D99" w14:textId="77777777" w:rsidR="009C3501" w:rsidRPr="004E68B1" w:rsidRDefault="009C3501" w:rsidP="008E311C">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69F72D7F" w14:textId="77777777" w:rsidR="009C3501" w:rsidRPr="004E68B1" w:rsidRDefault="009C3501" w:rsidP="008E311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4A9955F3" w14:textId="77777777" w:rsidR="009C3501" w:rsidRPr="004E68B1" w:rsidRDefault="009C3501" w:rsidP="008E311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77832BEF" w14:textId="77777777" w:rsidR="009C3501" w:rsidRPr="004E68B1" w:rsidRDefault="009C3501" w:rsidP="008E311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7E3955CC"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789D7B8D"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4C99C795" w14:textId="77777777" w:rsidR="009C3501" w:rsidRPr="004E68B1" w:rsidRDefault="009C3501" w:rsidP="008E311C">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428A869B" w14:textId="77777777" w:rsidR="009C3501" w:rsidRPr="004E68B1" w:rsidRDefault="009C3501" w:rsidP="008E311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575ABC3A"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4EF3E7B1" w14:textId="77777777" w:rsidR="009C3501" w:rsidRPr="004E68B1" w:rsidRDefault="009C3501" w:rsidP="008E311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7E0C5D58"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B65F653"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51A7A3A5"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E97132" w:themeFill="accent2"/>
            <w:vAlign w:val="center"/>
          </w:tcPr>
          <w:p w14:paraId="273DD473"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0A0BFBA6"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08C1C7CE"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D1ADBAB"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9C3501" w:rsidRPr="004E68B1" w14:paraId="53E725CF" w14:textId="77777777" w:rsidTr="008E311C">
        <w:trPr>
          <w:cantSplit/>
          <w:trHeight w:val="254"/>
        </w:trPr>
        <w:tc>
          <w:tcPr>
            <w:tcW w:w="2195" w:type="dxa"/>
            <w:gridSpan w:val="4"/>
            <w:tcBorders>
              <w:left w:val="single" w:sz="18" w:space="0" w:color="auto"/>
              <w:right w:val="single" w:sz="6" w:space="0" w:color="auto"/>
            </w:tcBorders>
          </w:tcPr>
          <w:p w14:paraId="29F34718"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Borders>
              <w:left w:val="single" w:sz="4" w:space="0" w:color="auto"/>
              <w:right w:val="single" w:sz="6" w:space="0" w:color="auto"/>
            </w:tcBorders>
          </w:tcPr>
          <w:p w14:paraId="74FB29B3"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27BAAE4"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3D57D833"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E0E0187"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2A5D928D"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E97132" w:themeFill="accent2"/>
            <w:vAlign w:val="center"/>
          </w:tcPr>
          <w:p w14:paraId="62CC0476"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E97132" w:themeFill="accent2"/>
            <w:vAlign w:val="center"/>
          </w:tcPr>
          <w:p w14:paraId="47D40985"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2C7E0750"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79EB534A"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9C3501" w:rsidRPr="004E68B1" w14:paraId="63B47CBD" w14:textId="77777777" w:rsidTr="008E311C">
        <w:trPr>
          <w:cantSplit/>
          <w:trHeight w:val="254"/>
        </w:trPr>
        <w:tc>
          <w:tcPr>
            <w:tcW w:w="2195" w:type="dxa"/>
            <w:gridSpan w:val="4"/>
            <w:tcBorders>
              <w:left w:val="single" w:sz="18" w:space="0" w:color="auto"/>
              <w:right w:val="single" w:sz="6" w:space="0" w:color="auto"/>
            </w:tcBorders>
          </w:tcPr>
          <w:p w14:paraId="65A24DA3"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1E896572"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8058A3A"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794954F"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A30C10F"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0B6B0943"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244EF448"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E97132" w:themeFill="accent2"/>
            <w:vAlign w:val="center"/>
          </w:tcPr>
          <w:p w14:paraId="03FE36B1"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E97132" w:themeFill="accent2"/>
            <w:vAlign w:val="center"/>
          </w:tcPr>
          <w:p w14:paraId="4A84D12F"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E97132" w:themeFill="accent2"/>
            <w:vAlign w:val="center"/>
          </w:tcPr>
          <w:p w14:paraId="6459CA58"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9C3501" w:rsidRPr="004E68B1" w14:paraId="715A1EF8" w14:textId="77777777" w:rsidTr="008E311C">
        <w:trPr>
          <w:cantSplit/>
          <w:trHeight w:val="254"/>
        </w:trPr>
        <w:tc>
          <w:tcPr>
            <w:tcW w:w="2195" w:type="dxa"/>
            <w:gridSpan w:val="4"/>
            <w:tcBorders>
              <w:left w:val="single" w:sz="18" w:space="0" w:color="auto"/>
              <w:right w:val="single" w:sz="6" w:space="0" w:color="auto"/>
            </w:tcBorders>
          </w:tcPr>
          <w:p w14:paraId="1E2258A5"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Borders>
              <w:left w:val="single" w:sz="4" w:space="0" w:color="auto"/>
              <w:right w:val="single" w:sz="6" w:space="0" w:color="auto"/>
            </w:tcBorders>
          </w:tcPr>
          <w:p w14:paraId="26AF80B1"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5E8DC78"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15EBD16"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A88D87F"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1EE6625F"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07588F03"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B7317EA"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39696432"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E97132" w:themeFill="accent2"/>
            <w:vAlign w:val="center"/>
          </w:tcPr>
          <w:p w14:paraId="1B359321"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9C3501" w:rsidRPr="004E68B1" w14:paraId="4DAD863A" w14:textId="77777777" w:rsidTr="008E311C">
        <w:trPr>
          <w:cantSplit/>
          <w:trHeight w:val="254"/>
        </w:trPr>
        <w:tc>
          <w:tcPr>
            <w:tcW w:w="2195" w:type="dxa"/>
            <w:gridSpan w:val="4"/>
            <w:tcBorders>
              <w:left w:val="single" w:sz="18" w:space="0" w:color="auto"/>
              <w:right w:val="single" w:sz="6" w:space="0" w:color="auto"/>
            </w:tcBorders>
          </w:tcPr>
          <w:p w14:paraId="296302F6"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right w:val="single" w:sz="6" w:space="0" w:color="auto"/>
            </w:tcBorders>
          </w:tcPr>
          <w:p w14:paraId="56755C60"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F65B3E0"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BB292E2"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CB9C156"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7D3B0D41"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5D78711F"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70988B80"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272C9427"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743C704F"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9C3501" w:rsidRPr="004E68B1" w14:paraId="2675A93B" w14:textId="77777777" w:rsidTr="008E311C">
        <w:trPr>
          <w:cantSplit/>
          <w:trHeight w:val="254"/>
        </w:trPr>
        <w:tc>
          <w:tcPr>
            <w:tcW w:w="2195" w:type="dxa"/>
            <w:gridSpan w:val="4"/>
            <w:tcBorders>
              <w:left w:val="single" w:sz="18" w:space="0" w:color="auto"/>
              <w:right w:val="single" w:sz="6" w:space="0" w:color="auto"/>
            </w:tcBorders>
          </w:tcPr>
          <w:p w14:paraId="15033EE8"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Borders>
              <w:left w:val="single" w:sz="4" w:space="0" w:color="auto"/>
              <w:right w:val="single" w:sz="6" w:space="0" w:color="auto"/>
            </w:tcBorders>
          </w:tcPr>
          <w:p w14:paraId="389109F9"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2F385812"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1F977060"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0FBED172" w14:textId="77777777" w:rsidR="009C3501" w:rsidRPr="004E68B1" w:rsidRDefault="009C3501" w:rsidP="008E311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9C3501" w:rsidRPr="004E68B1" w14:paraId="781F7F04" w14:textId="77777777" w:rsidTr="008E311C">
        <w:trPr>
          <w:cantSplit/>
          <w:trHeight w:val="254"/>
        </w:trPr>
        <w:tc>
          <w:tcPr>
            <w:tcW w:w="2195" w:type="dxa"/>
            <w:gridSpan w:val="4"/>
            <w:tcBorders>
              <w:left w:val="single" w:sz="18" w:space="0" w:color="auto"/>
              <w:bottom w:val="single" w:sz="18" w:space="0" w:color="auto"/>
              <w:right w:val="single" w:sz="6" w:space="0" w:color="auto"/>
            </w:tcBorders>
          </w:tcPr>
          <w:p w14:paraId="0AE9F35C"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Borders>
              <w:left w:val="single" w:sz="4" w:space="0" w:color="auto"/>
              <w:bottom w:val="single" w:sz="18" w:space="0" w:color="auto"/>
              <w:right w:val="single" w:sz="6" w:space="0" w:color="auto"/>
            </w:tcBorders>
          </w:tcPr>
          <w:p w14:paraId="4C29C95E"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7A1EF6C8"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10EE5C7B"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35E9E0C"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E97132" w:themeFill="accent2"/>
          </w:tcPr>
          <w:p w14:paraId="7FE1F125"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19ED20E3"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9137577"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3A8E1745" w14:textId="77777777" w:rsidR="009C3501" w:rsidRPr="004E68B1" w:rsidRDefault="009C3501" w:rsidP="008E311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4D938D76" w14:textId="7E22A929" w:rsidR="009C3501" w:rsidRPr="00E60546" w:rsidRDefault="008E311C" w:rsidP="00E60546">
      <w:pPr>
        <w:tabs>
          <w:tab w:val="left" w:pos="976"/>
        </w:tabs>
      </w:pPr>
      <w:r w:rsidRPr="00D13F90">
        <w:rPr>
          <w:b/>
          <w:bCs/>
          <w:noProof/>
          <w:sz w:val="28"/>
          <w:szCs w:val="28"/>
          <w:u w:val="single"/>
        </w:rPr>
        <mc:AlternateContent>
          <mc:Choice Requires="wps">
            <w:drawing>
              <wp:anchor distT="45720" distB="45720" distL="114300" distR="114300" simplePos="0" relativeHeight="251661312" behindDoc="0" locked="0" layoutInCell="1" allowOverlap="1" wp14:anchorId="1CAE8B99" wp14:editId="69B48A39">
                <wp:simplePos x="0" y="0"/>
                <wp:positionH relativeFrom="column">
                  <wp:posOffset>-479425</wp:posOffset>
                </wp:positionH>
                <wp:positionV relativeFrom="paragraph">
                  <wp:posOffset>-576852</wp:posOffset>
                </wp:positionV>
                <wp:extent cx="1611085" cy="337457"/>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1085" cy="337457"/>
                        </a:xfrm>
                        <a:prstGeom prst="rect">
                          <a:avLst/>
                        </a:prstGeom>
                        <a:noFill/>
                        <a:ln w="9525">
                          <a:noFill/>
                          <a:miter lim="800000"/>
                          <a:headEnd/>
                          <a:tailEnd/>
                        </a:ln>
                      </wps:spPr>
                      <wps:txbx>
                        <w:txbxContent>
                          <w:p w14:paraId="6CF71383" w14:textId="503EC51C" w:rsidR="00D13F90" w:rsidRPr="00D13F90" w:rsidRDefault="00D13F90">
                            <w:pPr>
                              <w:rPr>
                                <w:b/>
                                <w:bCs/>
                                <w:sz w:val="28"/>
                                <w:szCs w:val="28"/>
                                <w:u w:val="single"/>
                              </w:rPr>
                            </w:pPr>
                            <w:r w:rsidRPr="000232A5">
                              <w:rPr>
                                <w:b/>
                                <w:bCs/>
                                <w:sz w:val="28"/>
                                <w:szCs w:val="28"/>
                                <w:u w:val="single"/>
                              </w:rPr>
                              <w:t>Risk 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AE8B99" id="_x0000_t202" coordsize="21600,21600" o:spt="202" path="m,l,21600r21600,l21600,xe">
                <v:stroke joinstyle="miter"/>
                <v:path gradientshapeok="t" o:connecttype="rect"/>
              </v:shapetype>
              <v:shape id="Text Box 2" o:spid="_x0000_s1026" type="#_x0000_t202" style="position:absolute;margin-left:-37.75pt;margin-top:-45.4pt;width:126.85pt;height:26.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" filled="f" stroked="f">
                <v:textbox>
                  <w:txbxContent>
                    <w:p w14:paraId="6CF71383" w14:textId="503EC51C" w:rsidR="00D13F90" w:rsidRPr="00D13F90" w:rsidRDefault="00D13F90">
                      <w:pPr>
                        <w:rPr>
                          <w:b/>
                          <w:bCs/>
                          <w:sz w:val="28"/>
                          <w:szCs w:val="28"/>
                          <w:u w:val="single"/>
                        </w:rPr>
                      </w:pPr>
                      <w:r w:rsidRPr="000232A5">
                        <w:rPr>
                          <w:b/>
                          <w:bCs/>
                          <w:sz w:val="28"/>
                          <w:szCs w:val="28"/>
                          <w:u w:val="single"/>
                        </w:rPr>
                        <w:t>Risk Assessment</w:t>
                      </w:r>
                    </w:p>
                  </w:txbxContent>
                </v:textbox>
              </v:shape>
            </w:pict>
          </mc:Fallback>
        </mc:AlternateContent>
      </w:r>
    </w:p>
    <w:p w14:paraId="0033E0FA" w14:textId="77777777" w:rsidR="00E06EAF" w:rsidRPr="00E06EAF" w:rsidRDefault="00E06EAF" w:rsidP="00E06EAF">
      <w:pPr>
        <w:rPr>
          <w:b/>
          <w:bCs/>
          <w:vanish/>
          <w:sz w:val="28"/>
          <w:szCs w:val="28"/>
          <w:u w:val="single"/>
        </w:rPr>
      </w:pPr>
      <w:r w:rsidRPr="00E06EAF">
        <w:rPr>
          <w:b/>
          <w:bCs/>
          <w:vanish/>
          <w:sz w:val="28"/>
          <w:szCs w:val="28"/>
          <w:u w:val="single"/>
        </w:rPr>
        <w:lastRenderedPageBreak/>
        <w:t>Bottom of Form</w:t>
      </w:r>
    </w:p>
    <w:p w14:paraId="7B0FE910" w14:textId="77777777" w:rsidR="009C3501" w:rsidRPr="000232A5" w:rsidRDefault="009C3501" w:rsidP="000232A5">
      <w:pPr>
        <w:rPr>
          <w:b/>
          <w:bCs/>
          <w:sz w:val="28"/>
          <w:szCs w:val="28"/>
          <w:u w:val="single"/>
        </w:rPr>
      </w:pPr>
    </w:p>
    <w:p w14:paraId="5815C93B" w14:textId="61AA6377" w:rsidR="000232A5" w:rsidRDefault="00116C4E" w:rsidP="000232A5">
      <w:pPr>
        <w:rPr>
          <w:b/>
          <w:bCs/>
          <w:sz w:val="28"/>
          <w:szCs w:val="28"/>
          <w:u w:val="single"/>
        </w:rPr>
      </w:pPr>
      <w:r w:rsidRPr="00116C4E">
        <w:rPr>
          <w:b/>
          <w:bCs/>
          <w:sz w:val="28"/>
          <w:szCs w:val="28"/>
          <w:u w:val="single"/>
        </w:rPr>
        <w:t>References</w:t>
      </w:r>
    </w:p>
    <w:p w14:paraId="6D50953F" w14:textId="1044F3BD" w:rsidR="008E311C" w:rsidRPr="006F378A" w:rsidRDefault="008E311C" w:rsidP="008E311C">
      <w:pPr>
        <w:pStyle w:val="NormalWeb"/>
        <w:numPr>
          <w:ilvl w:val="0"/>
          <w:numId w:val="28"/>
        </w:numPr>
        <w:spacing w:before="0" w:beforeAutospacing="0" w:after="0" w:afterAutospacing="0" w:line="360" w:lineRule="atLeast"/>
        <w:rPr>
          <w:rFonts w:asciiTheme="minorHAnsi" w:hAnsiTheme="minorHAnsi" w:cs="Calibri"/>
          <w:color w:val="000000"/>
        </w:rPr>
      </w:pPr>
      <w:r w:rsidRPr="006F378A">
        <w:rPr>
          <w:rFonts w:asciiTheme="minorHAnsi" w:hAnsiTheme="minorHAnsi" w:cs="Calibri"/>
          <w:color w:val="000000"/>
        </w:rPr>
        <w:t>GOV.UK (2022). </w:t>
      </w:r>
      <w:r w:rsidRPr="006F378A">
        <w:rPr>
          <w:rFonts w:asciiTheme="minorHAnsi" w:hAnsiTheme="minorHAnsi" w:cs="Calibri"/>
          <w:i/>
          <w:iCs/>
          <w:color w:val="000000"/>
        </w:rPr>
        <w:t>Building Safety Act 2022</w:t>
      </w:r>
      <w:r w:rsidRPr="006F378A">
        <w:rPr>
          <w:rFonts w:asciiTheme="minorHAnsi" w:hAnsiTheme="minorHAnsi" w:cs="Calibri"/>
          <w:color w:val="000000"/>
        </w:rPr>
        <w:t xml:space="preserve">. [online] Legislation.gov.uk. Available at: </w:t>
      </w:r>
      <w:hyperlink r:id="rId10" w:history="1">
        <w:r w:rsidRPr="006F378A">
          <w:rPr>
            <w:rStyle w:val="Hyperlink"/>
            <w:rFonts w:asciiTheme="minorHAnsi" w:hAnsiTheme="minorHAnsi" w:cs="Calibri"/>
          </w:rPr>
          <w:t>https://www.legislation.gov.uk/ukpga/2022/30/contents</w:t>
        </w:r>
      </w:hyperlink>
      <w:r w:rsidRPr="006F378A">
        <w:rPr>
          <w:rFonts w:asciiTheme="minorHAnsi" w:hAnsiTheme="minorHAnsi" w:cs="Calibri"/>
          <w:color w:val="000000"/>
        </w:rPr>
        <w:t xml:space="preserve"> Accessed</w:t>
      </w:r>
      <w:r w:rsidR="00AD69F8">
        <w:rPr>
          <w:rFonts w:asciiTheme="minorHAnsi" w:hAnsiTheme="minorHAnsi" w:cs="Calibri"/>
          <w:color w:val="000000"/>
        </w:rPr>
        <w:t xml:space="preserve"> </w:t>
      </w:r>
      <w:r w:rsidRPr="006F378A">
        <w:rPr>
          <w:rFonts w:asciiTheme="minorHAnsi" w:hAnsiTheme="minorHAnsi" w:cs="Calibri"/>
          <w:color w:val="000000"/>
        </w:rPr>
        <w:t>[</w:t>
      </w:r>
      <w:r w:rsidR="001F6F6B" w:rsidRPr="006F378A">
        <w:rPr>
          <w:rFonts w:asciiTheme="minorHAnsi" w:hAnsiTheme="minorHAnsi" w:cs="Calibri"/>
          <w:color w:val="000000"/>
        </w:rPr>
        <w:t>14/04/2025</w:t>
      </w:r>
      <w:r w:rsidRPr="006F378A">
        <w:rPr>
          <w:rFonts w:asciiTheme="minorHAnsi" w:hAnsiTheme="minorHAnsi" w:cs="Calibri"/>
          <w:color w:val="000000"/>
        </w:rPr>
        <w:t>]</w:t>
      </w:r>
    </w:p>
    <w:p w14:paraId="0C65D6ED" w14:textId="48884336" w:rsidR="001F6F6B" w:rsidRPr="006F378A" w:rsidRDefault="001F6F6B" w:rsidP="001F6F6B">
      <w:pPr>
        <w:pStyle w:val="NormalWeb"/>
        <w:numPr>
          <w:ilvl w:val="0"/>
          <w:numId w:val="28"/>
        </w:numPr>
        <w:spacing w:before="0" w:beforeAutospacing="0" w:after="0" w:afterAutospacing="0" w:line="360" w:lineRule="atLeast"/>
        <w:rPr>
          <w:rFonts w:asciiTheme="minorHAnsi" w:hAnsiTheme="minorHAnsi" w:cs="Calibri"/>
          <w:color w:val="000000"/>
        </w:rPr>
      </w:pPr>
      <w:r w:rsidRPr="006F378A">
        <w:rPr>
          <w:rFonts w:asciiTheme="minorHAnsi" w:hAnsiTheme="minorHAnsi" w:cs="Calibri"/>
          <w:color w:val="000000"/>
        </w:rPr>
        <w:t>UK Government (2011). </w:t>
      </w:r>
      <w:r w:rsidRPr="006F378A">
        <w:rPr>
          <w:rFonts w:asciiTheme="minorHAnsi" w:hAnsiTheme="minorHAnsi" w:cs="Calibri"/>
          <w:i/>
          <w:iCs/>
          <w:color w:val="000000"/>
        </w:rPr>
        <w:t>The Control of Substances Hazardous to Health Regulations 2002</w:t>
      </w:r>
      <w:r w:rsidRPr="006F378A">
        <w:rPr>
          <w:rFonts w:asciiTheme="minorHAnsi" w:hAnsiTheme="minorHAnsi" w:cs="Calibri"/>
          <w:color w:val="000000"/>
        </w:rPr>
        <w:t xml:space="preserve">. [online] Legislation.gov.uk. Available at: </w:t>
      </w:r>
      <w:hyperlink r:id="rId11" w:history="1">
        <w:r w:rsidRPr="006F378A">
          <w:rPr>
            <w:rStyle w:val="Hyperlink"/>
            <w:rFonts w:asciiTheme="minorHAnsi" w:hAnsiTheme="minorHAnsi" w:cs="Calibri"/>
          </w:rPr>
          <w:t>https://www.legislation.gov.uk/uksi/2002/2677/contents</w:t>
        </w:r>
      </w:hyperlink>
      <w:r w:rsidRPr="006F378A">
        <w:rPr>
          <w:rFonts w:asciiTheme="minorHAnsi" w:hAnsiTheme="minorHAnsi" w:cs="Calibri"/>
          <w:color w:val="000000"/>
        </w:rPr>
        <w:t xml:space="preserve"> Accessed [15/04/2025]</w:t>
      </w:r>
    </w:p>
    <w:p w14:paraId="35C155D7" w14:textId="17C10948" w:rsidR="008E311C" w:rsidRPr="00DB4CE2" w:rsidRDefault="001F6F6B" w:rsidP="00DB4CE2">
      <w:pPr>
        <w:pStyle w:val="NormalWeb"/>
        <w:numPr>
          <w:ilvl w:val="0"/>
          <w:numId w:val="28"/>
        </w:numPr>
        <w:spacing w:before="0" w:beforeAutospacing="0" w:after="0" w:afterAutospacing="0" w:line="360" w:lineRule="atLeast"/>
        <w:rPr>
          <w:rFonts w:asciiTheme="minorHAnsi" w:hAnsiTheme="minorHAnsi" w:cs="Calibri"/>
          <w:color w:val="000000"/>
        </w:rPr>
      </w:pPr>
      <w:r w:rsidRPr="006F378A">
        <w:rPr>
          <w:rFonts w:asciiTheme="minorHAnsi" w:hAnsiTheme="minorHAnsi" w:cs="Calibri"/>
          <w:color w:val="000000"/>
        </w:rPr>
        <w:t>HSE (2015). </w:t>
      </w:r>
      <w:r w:rsidRPr="006F378A">
        <w:rPr>
          <w:rFonts w:asciiTheme="minorHAnsi" w:hAnsiTheme="minorHAnsi" w:cs="Calibri"/>
          <w:i/>
          <w:iCs/>
          <w:color w:val="000000"/>
        </w:rPr>
        <w:t>Construction - Construction Design and Management Regulations 2015</w:t>
      </w:r>
      <w:r w:rsidRPr="006F378A">
        <w:rPr>
          <w:rFonts w:asciiTheme="minorHAnsi" w:hAnsiTheme="minorHAnsi" w:cs="Calibri"/>
          <w:color w:val="000000"/>
        </w:rPr>
        <w:t xml:space="preserve">. [online] Hse.gov.uk. Available at: </w:t>
      </w:r>
      <w:hyperlink r:id="rId12" w:history="1">
        <w:r w:rsidRPr="006F378A">
          <w:rPr>
            <w:rStyle w:val="Hyperlink"/>
            <w:rFonts w:asciiTheme="minorHAnsi" w:hAnsiTheme="minorHAnsi" w:cs="Calibri"/>
          </w:rPr>
          <w:t>https://www.hse.gov.uk/construction/cdm/2015/index.htm</w:t>
        </w:r>
        <w:r w:rsidRPr="006F378A">
          <w:rPr>
            <w:rStyle w:val="Hyperlink"/>
            <w:rFonts w:asciiTheme="minorHAnsi" w:hAnsiTheme="minorHAnsi" w:cs="Calibri"/>
          </w:rPr>
          <w:t>l</w:t>
        </w:r>
      </w:hyperlink>
      <w:r w:rsidRPr="006F378A">
        <w:rPr>
          <w:rFonts w:asciiTheme="minorHAnsi" w:hAnsiTheme="minorHAnsi" w:cs="Calibri"/>
          <w:color w:val="000000"/>
        </w:rPr>
        <w:t xml:space="preserve"> Accessed [15/04/2025]</w:t>
      </w:r>
    </w:p>
    <w:p w14:paraId="71B0F6EF" w14:textId="77777777" w:rsidR="008E311C" w:rsidRPr="008E311C" w:rsidRDefault="008E311C" w:rsidP="008E311C">
      <w:pPr>
        <w:tabs>
          <w:tab w:val="left" w:pos="3480"/>
        </w:tabs>
        <w:rPr>
          <w:sz w:val="28"/>
          <w:szCs w:val="28"/>
        </w:rPr>
      </w:pPr>
    </w:p>
    <w:sectPr w:rsidR="008E311C" w:rsidRPr="008E311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A3E78" w14:textId="77777777" w:rsidR="006F7E41" w:rsidRDefault="006F7E41" w:rsidP="009D15AA">
      <w:pPr>
        <w:spacing w:after="0" w:line="240" w:lineRule="auto"/>
      </w:pPr>
      <w:r>
        <w:separator/>
      </w:r>
    </w:p>
  </w:endnote>
  <w:endnote w:type="continuationSeparator" w:id="0">
    <w:p w14:paraId="23080367" w14:textId="77777777" w:rsidR="006F7E41" w:rsidRDefault="006F7E41" w:rsidP="009D1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4CE5" w14:textId="77777777" w:rsidR="009D15AA" w:rsidRDefault="009D1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997A6" w14:textId="77777777" w:rsidR="006F7E41" w:rsidRDefault="006F7E41" w:rsidP="009D15AA">
      <w:pPr>
        <w:spacing w:after="0" w:line="240" w:lineRule="auto"/>
      </w:pPr>
      <w:r>
        <w:separator/>
      </w:r>
    </w:p>
  </w:footnote>
  <w:footnote w:type="continuationSeparator" w:id="0">
    <w:p w14:paraId="3706876D" w14:textId="77777777" w:rsidR="006F7E41" w:rsidRDefault="006F7E41" w:rsidP="009D15AA">
      <w:pPr>
        <w:spacing w:after="0" w:line="240" w:lineRule="auto"/>
      </w:pPr>
      <w:r>
        <w:continuationSeparator/>
      </w:r>
    </w:p>
  </w:footnote>
  <w:footnote w:id="1">
    <w:p w14:paraId="24109D9F" w14:textId="37DD2D40" w:rsidR="008E311C" w:rsidRDefault="008E311C">
      <w:pPr>
        <w:pStyle w:val="FootnoteText"/>
      </w:pPr>
      <w:r>
        <w:rPr>
          <w:rStyle w:val="FootnoteReference"/>
        </w:rPr>
        <w:footnoteRef/>
      </w:r>
      <w:r>
        <w:t xml:space="preserve"> </w:t>
      </w:r>
      <w:r w:rsidR="006F378A">
        <w:rPr>
          <w:rFonts w:ascii="Calibri" w:hAnsi="Calibri" w:cs="Calibri"/>
          <w:i/>
          <w:iCs/>
          <w:color w:val="000000"/>
          <w:sz w:val="27"/>
          <w:szCs w:val="27"/>
        </w:rPr>
        <w:t>Building Safety Act 2022</w:t>
      </w:r>
    </w:p>
  </w:footnote>
  <w:footnote w:id="2">
    <w:p w14:paraId="7775C1FE" w14:textId="47E01136" w:rsidR="008E311C" w:rsidRDefault="008E311C">
      <w:pPr>
        <w:pStyle w:val="FootnoteText"/>
      </w:pPr>
      <w:r>
        <w:rPr>
          <w:rStyle w:val="FootnoteReference"/>
        </w:rPr>
        <w:footnoteRef/>
      </w:r>
      <w:r>
        <w:t xml:space="preserve"> </w:t>
      </w:r>
      <w:r w:rsidR="006F378A">
        <w:rPr>
          <w:rFonts w:ascii="Calibri" w:hAnsi="Calibri" w:cs="Calibri"/>
          <w:i/>
          <w:iCs/>
          <w:color w:val="000000"/>
          <w:sz w:val="27"/>
          <w:szCs w:val="27"/>
        </w:rPr>
        <w:t>The Control of Substances Hazardous to Health Regulations 2002</w:t>
      </w:r>
    </w:p>
  </w:footnote>
  <w:footnote w:id="3">
    <w:p w14:paraId="37FF96B3" w14:textId="3BD86BC4" w:rsidR="008E311C" w:rsidRDefault="008E311C">
      <w:pPr>
        <w:pStyle w:val="FootnoteText"/>
      </w:pPr>
      <w:r>
        <w:rPr>
          <w:rStyle w:val="FootnoteReference"/>
        </w:rPr>
        <w:footnoteRef/>
      </w:r>
      <w:r>
        <w:t xml:space="preserve"> </w:t>
      </w:r>
      <w:r w:rsidR="006F378A">
        <w:rPr>
          <w:rFonts w:ascii="Calibri" w:hAnsi="Calibri" w:cs="Calibri"/>
          <w:i/>
          <w:iCs/>
          <w:color w:val="000000"/>
          <w:sz w:val="27"/>
          <w:szCs w:val="27"/>
        </w:rPr>
        <w:t>Construction - Construction Design and Management Regulations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6B874" w14:textId="77777777" w:rsidR="00F73221" w:rsidRDefault="00F73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53D92"/>
    <w:multiLevelType w:val="multilevel"/>
    <w:tmpl w:val="7ACC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95628"/>
    <w:multiLevelType w:val="multilevel"/>
    <w:tmpl w:val="FF2A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42E1F"/>
    <w:multiLevelType w:val="multilevel"/>
    <w:tmpl w:val="0C96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317B4"/>
    <w:multiLevelType w:val="multilevel"/>
    <w:tmpl w:val="2E783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F5005"/>
    <w:multiLevelType w:val="multilevel"/>
    <w:tmpl w:val="497A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541710"/>
    <w:multiLevelType w:val="multilevel"/>
    <w:tmpl w:val="0674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386DBA"/>
    <w:multiLevelType w:val="multilevel"/>
    <w:tmpl w:val="72C6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E40DE3"/>
    <w:multiLevelType w:val="hybridMultilevel"/>
    <w:tmpl w:val="8FF4F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181170"/>
    <w:multiLevelType w:val="multilevel"/>
    <w:tmpl w:val="4886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565EA"/>
    <w:multiLevelType w:val="multilevel"/>
    <w:tmpl w:val="1FA0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710010"/>
    <w:multiLevelType w:val="hybridMultilevel"/>
    <w:tmpl w:val="4892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03291A"/>
    <w:multiLevelType w:val="multilevel"/>
    <w:tmpl w:val="EDF4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9A479C"/>
    <w:multiLevelType w:val="multilevel"/>
    <w:tmpl w:val="DCF6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4E3B9B"/>
    <w:multiLevelType w:val="multilevel"/>
    <w:tmpl w:val="B842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237D34"/>
    <w:multiLevelType w:val="multilevel"/>
    <w:tmpl w:val="3036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BE46F0"/>
    <w:multiLevelType w:val="multilevel"/>
    <w:tmpl w:val="40DC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7D6A1E"/>
    <w:multiLevelType w:val="hybridMultilevel"/>
    <w:tmpl w:val="B2A03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02BAD"/>
    <w:multiLevelType w:val="hybridMultilevel"/>
    <w:tmpl w:val="DF9CE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A76DE0"/>
    <w:multiLevelType w:val="multilevel"/>
    <w:tmpl w:val="0102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DD024D"/>
    <w:multiLevelType w:val="multilevel"/>
    <w:tmpl w:val="0600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0C4F9F"/>
    <w:multiLevelType w:val="multilevel"/>
    <w:tmpl w:val="B2562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67279D"/>
    <w:multiLevelType w:val="multilevel"/>
    <w:tmpl w:val="EB0EF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420915"/>
    <w:multiLevelType w:val="multilevel"/>
    <w:tmpl w:val="4F7A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256189"/>
    <w:multiLevelType w:val="multilevel"/>
    <w:tmpl w:val="196E0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FE5BBD"/>
    <w:multiLevelType w:val="multilevel"/>
    <w:tmpl w:val="3CF28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F05CE9"/>
    <w:multiLevelType w:val="multilevel"/>
    <w:tmpl w:val="519C1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210285"/>
    <w:multiLevelType w:val="multilevel"/>
    <w:tmpl w:val="D054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564695"/>
    <w:multiLevelType w:val="multilevel"/>
    <w:tmpl w:val="F6F6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84861">
    <w:abstractNumId w:val="26"/>
  </w:num>
  <w:num w:numId="2" w16cid:durableId="1080908071">
    <w:abstractNumId w:val="21"/>
  </w:num>
  <w:num w:numId="3" w16cid:durableId="1748459566">
    <w:abstractNumId w:val="24"/>
  </w:num>
  <w:num w:numId="4" w16cid:durableId="565915185">
    <w:abstractNumId w:val="3"/>
  </w:num>
  <w:num w:numId="5" w16cid:durableId="681318973">
    <w:abstractNumId w:val="13"/>
  </w:num>
  <w:num w:numId="6" w16cid:durableId="1688829792">
    <w:abstractNumId w:val="11"/>
  </w:num>
  <w:num w:numId="7" w16cid:durableId="839348024">
    <w:abstractNumId w:val="19"/>
  </w:num>
  <w:num w:numId="8" w16cid:durableId="597643593">
    <w:abstractNumId w:val="1"/>
  </w:num>
  <w:num w:numId="9" w16cid:durableId="666639816">
    <w:abstractNumId w:val="5"/>
  </w:num>
  <w:num w:numId="10" w16cid:durableId="937445568">
    <w:abstractNumId w:val="6"/>
  </w:num>
  <w:num w:numId="11" w16cid:durableId="1388530760">
    <w:abstractNumId w:val="25"/>
  </w:num>
  <w:num w:numId="12" w16cid:durableId="1033189175">
    <w:abstractNumId w:val="8"/>
  </w:num>
  <w:num w:numId="13" w16cid:durableId="175315888">
    <w:abstractNumId w:val="20"/>
  </w:num>
  <w:num w:numId="14" w16cid:durableId="2122257532">
    <w:abstractNumId w:val="15"/>
  </w:num>
  <w:num w:numId="15" w16cid:durableId="798181706">
    <w:abstractNumId w:val="0"/>
  </w:num>
  <w:num w:numId="16" w16cid:durableId="160313379">
    <w:abstractNumId w:val="14"/>
  </w:num>
  <w:num w:numId="17" w16cid:durableId="1169949316">
    <w:abstractNumId w:val="27"/>
  </w:num>
  <w:num w:numId="18" w16cid:durableId="1459108431">
    <w:abstractNumId w:val="9"/>
  </w:num>
  <w:num w:numId="19" w16cid:durableId="1496652160">
    <w:abstractNumId w:val="4"/>
  </w:num>
  <w:num w:numId="20" w16cid:durableId="1019772027">
    <w:abstractNumId w:val="22"/>
  </w:num>
  <w:num w:numId="21" w16cid:durableId="2064979255">
    <w:abstractNumId w:val="18"/>
  </w:num>
  <w:num w:numId="22" w16cid:durableId="613369803">
    <w:abstractNumId w:val="17"/>
  </w:num>
  <w:num w:numId="23" w16cid:durableId="1590770660">
    <w:abstractNumId w:val="16"/>
  </w:num>
  <w:num w:numId="24" w16cid:durableId="1734431755">
    <w:abstractNumId w:val="2"/>
  </w:num>
  <w:num w:numId="25" w16cid:durableId="539511578">
    <w:abstractNumId w:val="12"/>
  </w:num>
  <w:num w:numId="26" w16cid:durableId="689262209">
    <w:abstractNumId w:val="23"/>
  </w:num>
  <w:num w:numId="27" w16cid:durableId="1733386331">
    <w:abstractNumId w:val="10"/>
  </w:num>
  <w:num w:numId="28" w16cid:durableId="15952435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1E6"/>
    <w:rsid w:val="000232A5"/>
    <w:rsid w:val="000844B7"/>
    <w:rsid w:val="0009134C"/>
    <w:rsid w:val="000F7BD8"/>
    <w:rsid w:val="00116C4E"/>
    <w:rsid w:val="00136854"/>
    <w:rsid w:val="00164B76"/>
    <w:rsid w:val="001E300A"/>
    <w:rsid w:val="001F6F6B"/>
    <w:rsid w:val="00220266"/>
    <w:rsid w:val="00261CCF"/>
    <w:rsid w:val="002D286E"/>
    <w:rsid w:val="00354A8D"/>
    <w:rsid w:val="0037108D"/>
    <w:rsid w:val="004660A9"/>
    <w:rsid w:val="004D31E6"/>
    <w:rsid w:val="00522823"/>
    <w:rsid w:val="005D7C24"/>
    <w:rsid w:val="00620291"/>
    <w:rsid w:val="00632344"/>
    <w:rsid w:val="00657EAB"/>
    <w:rsid w:val="00673EC2"/>
    <w:rsid w:val="00681464"/>
    <w:rsid w:val="006F378A"/>
    <w:rsid w:val="006F7E41"/>
    <w:rsid w:val="0079021A"/>
    <w:rsid w:val="008B67B4"/>
    <w:rsid w:val="008D03C4"/>
    <w:rsid w:val="008E311C"/>
    <w:rsid w:val="009649BB"/>
    <w:rsid w:val="009C3501"/>
    <w:rsid w:val="009D15AA"/>
    <w:rsid w:val="009F7ACA"/>
    <w:rsid w:val="00A62816"/>
    <w:rsid w:val="00AA5FB8"/>
    <w:rsid w:val="00AB095B"/>
    <w:rsid w:val="00AD69F8"/>
    <w:rsid w:val="00AE00AB"/>
    <w:rsid w:val="00BD7EF8"/>
    <w:rsid w:val="00C33D8C"/>
    <w:rsid w:val="00C84AAB"/>
    <w:rsid w:val="00CA5AE1"/>
    <w:rsid w:val="00CC797E"/>
    <w:rsid w:val="00CF1640"/>
    <w:rsid w:val="00D07E60"/>
    <w:rsid w:val="00D13F90"/>
    <w:rsid w:val="00D60F35"/>
    <w:rsid w:val="00D64785"/>
    <w:rsid w:val="00D86DD1"/>
    <w:rsid w:val="00DB4CE2"/>
    <w:rsid w:val="00DE0C61"/>
    <w:rsid w:val="00E06EAF"/>
    <w:rsid w:val="00E10D99"/>
    <w:rsid w:val="00E60546"/>
    <w:rsid w:val="00E839D9"/>
    <w:rsid w:val="00EA363B"/>
    <w:rsid w:val="00F12064"/>
    <w:rsid w:val="00F37B58"/>
    <w:rsid w:val="00F73221"/>
    <w:rsid w:val="00FB48A1"/>
    <w:rsid w:val="00FC3F5E"/>
    <w:rsid w:val="00FF1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71C5"/>
  <w15:chartTrackingRefBased/>
  <w15:docId w15:val="{927BC934-8DE5-411E-B6B3-F2EDAE0E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1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1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1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1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1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1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1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1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1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1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1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1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1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1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1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1E6"/>
    <w:rPr>
      <w:rFonts w:eastAsiaTheme="majorEastAsia" w:cstheme="majorBidi"/>
      <w:color w:val="272727" w:themeColor="text1" w:themeTint="D8"/>
    </w:rPr>
  </w:style>
  <w:style w:type="paragraph" w:styleId="Title">
    <w:name w:val="Title"/>
    <w:basedOn w:val="Normal"/>
    <w:next w:val="Normal"/>
    <w:link w:val="TitleChar"/>
    <w:uiPriority w:val="10"/>
    <w:qFormat/>
    <w:rsid w:val="004D3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1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1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1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1E6"/>
    <w:pPr>
      <w:spacing w:before="160"/>
      <w:jc w:val="center"/>
    </w:pPr>
    <w:rPr>
      <w:i/>
      <w:iCs/>
      <w:color w:val="404040" w:themeColor="text1" w:themeTint="BF"/>
    </w:rPr>
  </w:style>
  <w:style w:type="character" w:customStyle="1" w:styleId="QuoteChar">
    <w:name w:val="Quote Char"/>
    <w:basedOn w:val="DefaultParagraphFont"/>
    <w:link w:val="Quote"/>
    <w:uiPriority w:val="29"/>
    <w:rsid w:val="004D31E6"/>
    <w:rPr>
      <w:i/>
      <w:iCs/>
      <w:color w:val="404040" w:themeColor="text1" w:themeTint="BF"/>
    </w:rPr>
  </w:style>
  <w:style w:type="paragraph" w:styleId="ListParagraph">
    <w:name w:val="List Paragraph"/>
    <w:basedOn w:val="Normal"/>
    <w:uiPriority w:val="34"/>
    <w:qFormat/>
    <w:rsid w:val="004D31E6"/>
    <w:pPr>
      <w:ind w:left="720"/>
      <w:contextualSpacing/>
    </w:pPr>
  </w:style>
  <w:style w:type="character" w:styleId="IntenseEmphasis">
    <w:name w:val="Intense Emphasis"/>
    <w:basedOn w:val="DefaultParagraphFont"/>
    <w:uiPriority w:val="21"/>
    <w:qFormat/>
    <w:rsid w:val="004D31E6"/>
    <w:rPr>
      <w:i/>
      <w:iCs/>
      <w:color w:val="0F4761" w:themeColor="accent1" w:themeShade="BF"/>
    </w:rPr>
  </w:style>
  <w:style w:type="paragraph" w:styleId="IntenseQuote">
    <w:name w:val="Intense Quote"/>
    <w:basedOn w:val="Normal"/>
    <w:next w:val="Normal"/>
    <w:link w:val="IntenseQuoteChar"/>
    <w:uiPriority w:val="30"/>
    <w:qFormat/>
    <w:rsid w:val="004D3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1E6"/>
    <w:rPr>
      <w:i/>
      <w:iCs/>
      <w:color w:val="0F4761" w:themeColor="accent1" w:themeShade="BF"/>
    </w:rPr>
  </w:style>
  <w:style w:type="character" w:styleId="IntenseReference">
    <w:name w:val="Intense Reference"/>
    <w:basedOn w:val="DefaultParagraphFont"/>
    <w:uiPriority w:val="32"/>
    <w:qFormat/>
    <w:rsid w:val="004D31E6"/>
    <w:rPr>
      <w:b/>
      <w:bCs/>
      <w:smallCaps/>
      <w:color w:val="0F4761" w:themeColor="accent1" w:themeShade="BF"/>
      <w:spacing w:val="5"/>
    </w:rPr>
  </w:style>
  <w:style w:type="paragraph" w:styleId="Header">
    <w:name w:val="header"/>
    <w:basedOn w:val="Normal"/>
    <w:link w:val="HeaderChar"/>
    <w:uiPriority w:val="99"/>
    <w:unhideWhenUsed/>
    <w:rsid w:val="009D15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5AA"/>
  </w:style>
  <w:style w:type="paragraph" w:styleId="Footer">
    <w:name w:val="footer"/>
    <w:basedOn w:val="Normal"/>
    <w:link w:val="FooterChar"/>
    <w:uiPriority w:val="99"/>
    <w:unhideWhenUsed/>
    <w:rsid w:val="009D15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5AA"/>
  </w:style>
  <w:style w:type="paragraph" w:styleId="FootnoteText">
    <w:name w:val="footnote text"/>
    <w:basedOn w:val="Normal"/>
    <w:link w:val="FootnoteTextChar"/>
    <w:uiPriority w:val="99"/>
    <w:semiHidden/>
    <w:unhideWhenUsed/>
    <w:rsid w:val="002202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0266"/>
    <w:rPr>
      <w:sz w:val="20"/>
      <w:szCs w:val="20"/>
    </w:rPr>
  </w:style>
  <w:style w:type="character" w:styleId="FootnoteReference">
    <w:name w:val="footnote reference"/>
    <w:basedOn w:val="DefaultParagraphFont"/>
    <w:uiPriority w:val="99"/>
    <w:semiHidden/>
    <w:unhideWhenUsed/>
    <w:rsid w:val="00220266"/>
    <w:rPr>
      <w:vertAlign w:val="superscript"/>
    </w:rPr>
  </w:style>
  <w:style w:type="paragraph" w:styleId="NormalWeb">
    <w:name w:val="Normal (Web)"/>
    <w:basedOn w:val="Normal"/>
    <w:uiPriority w:val="99"/>
    <w:unhideWhenUsed/>
    <w:rsid w:val="008E31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E311C"/>
    <w:rPr>
      <w:color w:val="467886" w:themeColor="hyperlink"/>
      <w:u w:val="single"/>
    </w:rPr>
  </w:style>
  <w:style w:type="character" w:styleId="UnresolvedMention">
    <w:name w:val="Unresolved Mention"/>
    <w:basedOn w:val="DefaultParagraphFont"/>
    <w:uiPriority w:val="99"/>
    <w:semiHidden/>
    <w:unhideWhenUsed/>
    <w:rsid w:val="008E311C"/>
    <w:rPr>
      <w:color w:val="605E5C"/>
      <w:shd w:val="clear" w:color="auto" w:fill="E1DFDD"/>
    </w:rPr>
  </w:style>
  <w:style w:type="paragraph" w:styleId="TOCHeading">
    <w:name w:val="TOC Heading"/>
    <w:basedOn w:val="Heading1"/>
    <w:next w:val="Normal"/>
    <w:uiPriority w:val="39"/>
    <w:unhideWhenUsed/>
    <w:qFormat/>
    <w:rsid w:val="006F378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844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4919">
      <w:bodyDiv w:val="1"/>
      <w:marLeft w:val="0"/>
      <w:marRight w:val="0"/>
      <w:marTop w:val="0"/>
      <w:marBottom w:val="0"/>
      <w:divBdr>
        <w:top w:val="none" w:sz="0" w:space="0" w:color="auto"/>
        <w:left w:val="none" w:sz="0" w:space="0" w:color="auto"/>
        <w:bottom w:val="none" w:sz="0" w:space="0" w:color="auto"/>
        <w:right w:val="none" w:sz="0" w:space="0" w:color="auto"/>
      </w:divBdr>
    </w:div>
    <w:div w:id="325327826">
      <w:bodyDiv w:val="1"/>
      <w:marLeft w:val="0"/>
      <w:marRight w:val="0"/>
      <w:marTop w:val="0"/>
      <w:marBottom w:val="0"/>
      <w:divBdr>
        <w:top w:val="none" w:sz="0" w:space="0" w:color="auto"/>
        <w:left w:val="none" w:sz="0" w:space="0" w:color="auto"/>
        <w:bottom w:val="none" w:sz="0" w:space="0" w:color="auto"/>
        <w:right w:val="none" w:sz="0" w:space="0" w:color="auto"/>
      </w:divBdr>
    </w:div>
    <w:div w:id="371001974">
      <w:bodyDiv w:val="1"/>
      <w:marLeft w:val="0"/>
      <w:marRight w:val="0"/>
      <w:marTop w:val="0"/>
      <w:marBottom w:val="0"/>
      <w:divBdr>
        <w:top w:val="none" w:sz="0" w:space="0" w:color="auto"/>
        <w:left w:val="none" w:sz="0" w:space="0" w:color="auto"/>
        <w:bottom w:val="none" w:sz="0" w:space="0" w:color="auto"/>
        <w:right w:val="none" w:sz="0" w:space="0" w:color="auto"/>
      </w:divBdr>
    </w:div>
    <w:div w:id="385958555">
      <w:bodyDiv w:val="1"/>
      <w:marLeft w:val="0"/>
      <w:marRight w:val="0"/>
      <w:marTop w:val="0"/>
      <w:marBottom w:val="0"/>
      <w:divBdr>
        <w:top w:val="none" w:sz="0" w:space="0" w:color="auto"/>
        <w:left w:val="none" w:sz="0" w:space="0" w:color="auto"/>
        <w:bottom w:val="none" w:sz="0" w:space="0" w:color="auto"/>
        <w:right w:val="none" w:sz="0" w:space="0" w:color="auto"/>
      </w:divBdr>
      <w:divsChild>
        <w:div w:id="1408959118">
          <w:marLeft w:val="0"/>
          <w:marRight w:val="0"/>
          <w:marTop w:val="0"/>
          <w:marBottom w:val="0"/>
          <w:divBdr>
            <w:top w:val="none" w:sz="0" w:space="0" w:color="auto"/>
            <w:left w:val="none" w:sz="0" w:space="0" w:color="auto"/>
            <w:bottom w:val="none" w:sz="0" w:space="0" w:color="auto"/>
            <w:right w:val="none" w:sz="0" w:space="0" w:color="auto"/>
          </w:divBdr>
          <w:divsChild>
            <w:div w:id="1517571186">
              <w:marLeft w:val="0"/>
              <w:marRight w:val="0"/>
              <w:marTop w:val="0"/>
              <w:marBottom w:val="0"/>
              <w:divBdr>
                <w:top w:val="none" w:sz="0" w:space="0" w:color="auto"/>
                <w:left w:val="none" w:sz="0" w:space="0" w:color="auto"/>
                <w:bottom w:val="none" w:sz="0" w:space="0" w:color="auto"/>
                <w:right w:val="none" w:sz="0" w:space="0" w:color="auto"/>
              </w:divBdr>
              <w:divsChild>
                <w:div w:id="1904678255">
                  <w:marLeft w:val="0"/>
                  <w:marRight w:val="0"/>
                  <w:marTop w:val="0"/>
                  <w:marBottom w:val="0"/>
                  <w:divBdr>
                    <w:top w:val="none" w:sz="0" w:space="0" w:color="auto"/>
                    <w:left w:val="none" w:sz="0" w:space="0" w:color="auto"/>
                    <w:bottom w:val="none" w:sz="0" w:space="0" w:color="auto"/>
                    <w:right w:val="none" w:sz="0" w:space="0" w:color="auto"/>
                  </w:divBdr>
                  <w:divsChild>
                    <w:div w:id="918831638">
                      <w:marLeft w:val="0"/>
                      <w:marRight w:val="0"/>
                      <w:marTop w:val="0"/>
                      <w:marBottom w:val="0"/>
                      <w:divBdr>
                        <w:top w:val="none" w:sz="0" w:space="0" w:color="auto"/>
                        <w:left w:val="none" w:sz="0" w:space="0" w:color="auto"/>
                        <w:bottom w:val="none" w:sz="0" w:space="0" w:color="auto"/>
                        <w:right w:val="none" w:sz="0" w:space="0" w:color="auto"/>
                      </w:divBdr>
                      <w:divsChild>
                        <w:div w:id="1899970966">
                          <w:marLeft w:val="0"/>
                          <w:marRight w:val="0"/>
                          <w:marTop w:val="0"/>
                          <w:marBottom w:val="0"/>
                          <w:divBdr>
                            <w:top w:val="none" w:sz="0" w:space="0" w:color="auto"/>
                            <w:left w:val="none" w:sz="0" w:space="0" w:color="auto"/>
                            <w:bottom w:val="none" w:sz="0" w:space="0" w:color="auto"/>
                            <w:right w:val="none" w:sz="0" w:space="0" w:color="auto"/>
                          </w:divBdr>
                          <w:divsChild>
                            <w:div w:id="1814104825">
                              <w:marLeft w:val="0"/>
                              <w:marRight w:val="0"/>
                              <w:marTop w:val="0"/>
                              <w:marBottom w:val="0"/>
                              <w:divBdr>
                                <w:top w:val="none" w:sz="0" w:space="0" w:color="auto"/>
                                <w:left w:val="none" w:sz="0" w:space="0" w:color="auto"/>
                                <w:bottom w:val="none" w:sz="0" w:space="0" w:color="auto"/>
                                <w:right w:val="none" w:sz="0" w:space="0" w:color="auto"/>
                              </w:divBdr>
                              <w:divsChild>
                                <w:div w:id="1117606263">
                                  <w:marLeft w:val="0"/>
                                  <w:marRight w:val="0"/>
                                  <w:marTop w:val="0"/>
                                  <w:marBottom w:val="0"/>
                                  <w:divBdr>
                                    <w:top w:val="none" w:sz="0" w:space="0" w:color="auto"/>
                                    <w:left w:val="none" w:sz="0" w:space="0" w:color="auto"/>
                                    <w:bottom w:val="none" w:sz="0" w:space="0" w:color="auto"/>
                                    <w:right w:val="none" w:sz="0" w:space="0" w:color="auto"/>
                                  </w:divBdr>
                                  <w:divsChild>
                                    <w:div w:id="887835385">
                                      <w:marLeft w:val="0"/>
                                      <w:marRight w:val="0"/>
                                      <w:marTop w:val="0"/>
                                      <w:marBottom w:val="0"/>
                                      <w:divBdr>
                                        <w:top w:val="none" w:sz="0" w:space="0" w:color="auto"/>
                                        <w:left w:val="none" w:sz="0" w:space="0" w:color="auto"/>
                                        <w:bottom w:val="none" w:sz="0" w:space="0" w:color="auto"/>
                                        <w:right w:val="none" w:sz="0" w:space="0" w:color="auto"/>
                                      </w:divBdr>
                                      <w:divsChild>
                                        <w:div w:id="69935244">
                                          <w:marLeft w:val="0"/>
                                          <w:marRight w:val="0"/>
                                          <w:marTop w:val="0"/>
                                          <w:marBottom w:val="0"/>
                                          <w:divBdr>
                                            <w:top w:val="none" w:sz="0" w:space="0" w:color="auto"/>
                                            <w:left w:val="none" w:sz="0" w:space="0" w:color="auto"/>
                                            <w:bottom w:val="none" w:sz="0" w:space="0" w:color="auto"/>
                                            <w:right w:val="none" w:sz="0" w:space="0" w:color="auto"/>
                                          </w:divBdr>
                                          <w:divsChild>
                                            <w:div w:id="305624282">
                                              <w:marLeft w:val="0"/>
                                              <w:marRight w:val="0"/>
                                              <w:marTop w:val="0"/>
                                              <w:marBottom w:val="0"/>
                                              <w:divBdr>
                                                <w:top w:val="none" w:sz="0" w:space="0" w:color="auto"/>
                                                <w:left w:val="none" w:sz="0" w:space="0" w:color="auto"/>
                                                <w:bottom w:val="none" w:sz="0" w:space="0" w:color="auto"/>
                                                <w:right w:val="none" w:sz="0" w:space="0" w:color="auto"/>
                                              </w:divBdr>
                                              <w:divsChild>
                                                <w:div w:id="56919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484174">
          <w:marLeft w:val="0"/>
          <w:marRight w:val="0"/>
          <w:marTop w:val="0"/>
          <w:marBottom w:val="0"/>
          <w:divBdr>
            <w:top w:val="none" w:sz="0" w:space="0" w:color="auto"/>
            <w:left w:val="none" w:sz="0" w:space="0" w:color="auto"/>
            <w:bottom w:val="none" w:sz="0" w:space="0" w:color="auto"/>
            <w:right w:val="none" w:sz="0" w:space="0" w:color="auto"/>
          </w:divBdr>
          <w:divsChild>
            <w:div w:id="360011706">
              <w:marLeft w:val="0"/>
              <w:marRight w:val="0"/>
              <w:marTop w:val="0"/>
              <w:marBottom w:val="0"/>
              <w:divBdr>
                <w:top w:val="none" w:sz="0" w:space="0" w:color="auto"/>
                <w:left w:val="none" w:sz="0" w:space="0" w:color="auto"/>
                <w:bottom w:val="none" w:sz="0" w:space="0" w:color="auto"/>
                <w:right w:val="none" w:sz="0" w:space="0" w:color="auto"/>
              </w:divBdr>
              <w:divsChild>
                <w:div w:id="143545801">
                  <w:marLeft w:val="0"/>
                  <w:marRight w:val="0"/>
                  <w:marTop w:val="0"/>
                  <w:marBottom w:val="0"/>
                  <w:divBdr>
                    <w:top w:val="none" w:sz="0" w:space="0" w:color="auto"/>
                    <w:left w:val="none" w:sz="0" w:space="0" w:color="auto"/>
                    <w:bottom w:val="none" w:sz="0" w:space="0" w:color="auto"/>
                    <w:right w:val="none" w:sz="0" w:space="0" w:color="auto"/>
                  </w:divBdr>
                  <w:divsChild>
                    <w:div w:id="180369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875092">
      <w:bodyDiv w:val="1"/>
      <w:marLeft w:val="0"/>
      <w:marRight w:val="0"/>
      <w:marTop w:val="0"/>
      <w:marBottom w:val="0"/>
      <w:divBdr>
        <w:top w:val="none" w:sz="0" w:space="0" w:color="auto"/>
        <w:left w:val="none" w:sz="0" w:space="0" w:color="auto"/>
        <w:bottom w:val="none" w:sz="0" w:space="0" w:color="auto"/>
        <w:right w:val="none" w:sz="0" w:space="0" w:color="auto"/>
      </w:divBdr>
    </w:div>
    <w:div w:id="793325048">
      <w:bodyDiv w:val="1"/>
      <w:marLeft w:val="0"/>
      <w:marRight w:val="0"/>
      <w:marTop w:val="0"/>
      <w:marBottom w:val="0"/>
      <w:divBdr>
        <w:top w:val="none" w:sz="0" w:space="0" w:color="auto"/>
        <w:left w:val="none" w:sz="0" w:space="0" w:color="auto"/>
        <w:bottom w:val="none" w:sz="0" w:space="0" w:color="auto"/>
        <w:right w:val="none" w:sz="0" w:space="0" w:color="auto"/>
      </w:divBdr>
    </w:div>
    <w:div w:id="830951228">
      <w:bodyDiv w:val="1"/>
      <w:marLeft w:val="0"/>
      <w:marRight w:val="0"/>
      <w:marTop w:val="0"/>
      <w:marBottom w:val="0"/>
      <w:divBdr>
        <w:top w:val="none" w:sz="0" w:space="0" w:color="auto"/>
        <w:left w:val="none" w:sz="0" w:space="0" w:color="auto"/>
        <w:bottom w:val="none" w:sz="0" w:space="0" w:color="auto"/>
        <w:right w:val="none" w:sz="0" w:space="0" w:color="auto"/>
      </w:divBdr>
    </w:div>
    <w:div w:id="871383200">
      <w:bodyDiv w:val="1"/>
      <w:marLeft w:val="0"/>
      <w:marRight w:val="0"/>
      <w:marTop w:val="0"/>
      <w:marBottom w:val="0"/>
      <w:divBdr>
        <w:top w:val="none" w:sz="0" w:space="0" w:color="auto"/>
        <w:left w:val="none" w:sz="0" w:space="0" w:color="auto"/>
        <w:bottom w:val="none" w:sz="0" w:space="0" w:color="auto"/>
        <w:right w:val="none" w:sz="0" w:space="0" w:color="auto"/>
      </w:divBdr>
    </w:div>
    <w:div w:id="945621260">
      <w:bodyDiv w:val="1"/>
      <w:marLeft w:val="0"/>
      <w:marRight w:val="0"/>
      <w:marTop w:val="0"/>
      <w:marBottom w:val="0"/>
      <w:divBdr>
        <w:top w:val="none" w:sz="0" w:space="0" w:color="auto"/>
        <w:left w:val="none" w:sz="0" w:space="0" w:color="auto"/>
        <w:bottom w:val="none" w:sz="0" w:space="0" w:color="auto"/>
        <w:right w:val="none" w:sz="0" w:space="0" w:color="auto"/>
      </w:divBdr>
    </w:div>
    <w:div w:id="1061904185">
      <w:bodyDiv w:val="1"/>
      <w:marLeft w:val="0"/>
      <w:marRight w:val="0"/>
      <w:marTop w:val="0"/>
      <w:marBottom w:val="0"/>
      <w:divBdr>
        <w:top w:val="none" w:sz="0" w:space="0" w:color="auto"/>
        <w:left w:val="none" w:sz="0" w:space="0" w:color="auto"/>
        <w:bottom w:val="none" w:sz="0" w:space="0" w:color="auto"/>
        <w:right w:val="none" w:sz="0" w:space="0" w:color="auto"/>
      </w:divBdr>
    </w:div>
    <w:div w:id="1117987008">
      <w:bodyDiv w:val="1"/>
      <w:marLeft w:val="0"/>
      <w:marRight w:val="0"/>
      <w:marTop w:val="0"/>
      <w:marBottom w:val="0"/>
      <w:divBdr>
        <w:top w:val="none" w:sz="0" w:space="0" w:color="auto"/>
        <w:left w:val="none" w:sz="0" w:space="0" w:color="auto"/>
        <w:bottom w:val="none" w:sz="0" w:space="0" w:color="auto"/>
        <w:right w:val="none" w:sz="0" w:space="0" w:color="auto"/>
      </w:divBdr>
    </w:div>
    <w:div w:id="1204631369">
      <w:bodyDiv w:val="1"/>
      <w:marLeft w:val="0"/>
      <w:marRight w:val="0"/>
      <w:marTop w:val="0"/>
      <w:marBottom w:val="0"/>
      <w:divBdr>
        <w:top w:val="none" w:sz="0" w:space="0" w:color="auto"/>
        <w:left w:val="none" w:sz="0" w:space="0" w:color="auto"/>
        <w:bottom w:val="none" w:sz="0" w:space="0" w:color="auto"/>
        <w:right w:val="none" w:sz="0" w:space="0" w:color="auto"/>
      </w:divBdr>
      <w:divsChild>
        <w:div w:id="158154201">
          <w:marLeft w:val="0"/>
          <w:marRight w:val="0"/>
          <w:marTop w:val="0"/>
          <w:marBottom w:val="0"/>
          <w:divBdr>
            <w:top w:val="none" w:sz="0" w:space="0" w:color="auto"/>
            <w:left w:val="none" w:sz="0" w:space="0" w:color="auto"/>
            <w:bottom w:val="none" w:sz="0" w:space="0" w:color="auto"/>
            <w:right w:val="none" w:sz="0" w:space="0" w:color="auto"/>
          </w:divBdr>
          <w:divsChild>
            <w:div w:id="2049793197">
              <w:marLeft w:val="0"/>
              <w:marRight w:val="0"/>
              <w:marTop w:val="0"/>
              <w:marBottom w:val="0"/>
              <w:divBdr>
                <w:top w:val="none" w:sz="0" w:space="0" w:color="auto"/>
                <w:left w:val="none" w:sz="0" w:space="0" w:color="auto"/>
                <w:bottom w:val="none" w:sz="0" w:space="0" w:color="auto"/>
                <w:right w:val="none" w:sz="0" w:space="0" w:color="auto"/>
              </w:divBdr>
              <w:divsChild>
                <w:div w:id="680161264">
                  <w:marLeft w:val="0"/>
                  <w:marRight w:val="0"/>
                  <w:marTop w:val="0"/>
                  <w:marBottom w:val="0"/>
                  <w:divBdr>
                    <w:top w:val="none" w:sz="0" w:space="0" w:color="auto"/>
                    <w:left w:val="none" w:sz="0" w:space="0" w:color="auto"/>
                    <w:bottom w:val="none" w:sz="0" w:space="0" w:color="auto"/>
                    <w:right w:val="none" w:sz="0" w:space="0" w:color="auto"/>
                  </w:divBdr>
                  <w:divsChild>
                    <w:div w:id="401221772">
                      <w:marLeft w:val="0"/>
                      <w:marRight w:val="0"/>
                      <w:marTop w:val="0"/>
                      <w:marBottom w:val="0"/>
                      <w:divBdr>
                        <w:top w:val="none" w:sz="0" w:space="0" w:color="auto"/>
                        <w:left w:val="none" w:sz="0" w:space="0" w:color="auto"/>
                        <w:bottom w:val="none" w:sz="0" w:space="0" w:color="auto"/>
                        <w:right w:val="none" w:sz="0" w:space="0" w:color="auto"/>
                      </w:divBdr>
                      <w:divsChild>
                        <w:div w:id="637494363">
                          <w:marLeft w:val="0"/>
                          <w:marRight w:val="0"/>
                          <w:marTop w:val="0"/>
                          <w:marBottom w:val="0"/>
                          <w:divBdr>
                            <w:top w:val="none" w:sz="0" w:space="0" w:color="auto"/>
                            <w:left w:val="none" w:sz="0" w:space="0" w:color="auto"/>
                            <w:bottom w:val="none" w:sz="0" w:space="0" w:color="auto"/>
                            <w:right w:val="none" w:sz="0" w:space="0" w:color="auto"/>
                          </w:divBdr>
                          <w:divsChild>
                            <w:div w:id="1829586840">
                              <w:marLeft w:val="0"/>
                              <w:marRight w:val="0"/>
                              <w:marTop w:val="0"/>
                              <w:marBottom w:val="0"/>
                              <w:divBdr>
                                <w:top w:val="none" w:sz="0" w:space="0" w:color="auto"/>
                                <w:left w:val="none" w:sz="0" w:space="0" w:color="auto"/>
                                <w:bottom w:val="none" w:sz="0" w:space="0" w:color="auto"/>
                                <w:right w:val="none" w:sz="0" w:space="0" w:color="auto"/>
                              </w:divBdr>
                              <w:divsChild>
                                <w:div w:id="171785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298588">
      <w:bodyDiv w:val="1"/>
      <w:marLeft w:val="0"/>
      <w:marRight w:val="0"/>
      <w:marTop w:val="0"/>
      <w:marBottom w:val="0"/>
      <w:divBdr>
        <w:top w:val="none" w:sz="0" w:space="0" w:color="auto"/>
        <w:left w:val="none" w:sz="0" w:space="0" w:color="auto"/>
        <w:bottom w:val="none" w:sz="0" w:space="0" w:color="auto"/>
        <w:right w:val="none" w:sz="0" w:space="0" w:color="auto"/>
      </w:divBdr>
      <w:divsChild>
        <w:div w:id="422990798">
          <w:marLeft w:val="0"/>
          <w:marRight w:val="0"/>
          <w:marTop w:val="0"/>
          <w:marBottom w:val="0"/>
          <w:divBdr>
            <w:top w:val="none" w:sz="0" w:space="0" w:color="auto"/>
            <w:left w:val="none" w:sz="0" w:space="0" w:color="auto"/>
            <w:bottom w:val="none" w:sz="0" w:space="0" w:color="auto"/>
            <w:right w:val="none" w:sz="0" w:space="0" w:color="auto"/>
          </w:divBdr>
          <w:divsChild>
            <w:div w:id="1544975085">
              <w:marLeft w:val="0"/>
              <w:marRight w:val="0"/>
              <w:marTop w:val="0"/>
              <w:marBottom w:val="0"/>
              <w:divBdr>
                <w:top w:val="none" w:sz="0" w:space="0" w:color="auto"/>
                <w:left w:val="none" w:sz="0" w:space="0" w:color="auto"/>
                <w:bottom w:val="none" w:sz="0" w:space="0" w:color="auto"/>
                <w:right w:val="none" w:sz="0" w:space="0" w:color="auto"/>
              </w:divBdr>
              <w:divsChild>
                <w:div w:id="211112768">
                  <w:marLeft w:val="0"/>
                  <w:marRight w:val="0"/>
                  <w:marTop w:val="0"/>
                  <w:marBottom w:val="0"/>
                  <w:divBdr>
                    <w:top w:val="none" w:sz="0" w:space="0" w:color="auto"/>
                    <w:left w:val="none" w:sz="0" w:space="0" w:color="auto"/>
                    <w:bottom w:val="none" w:sz="0" w:space="0" w:color="auto"/>
                    <w:right w:val="none" w:sz="0" w:space="0" w:color="auto"/>
                  </w:divBdr>
                  <w:divsChild>
                    <w:div w:id="502206685">
                      <w:marLeft w:val="0"/>
                      <w:marRight w:val="0"/>
                      <w:marTop w:val="0"/>
                      <w:marBottom w:val="0"/>
                      <w:divBdr>
                        <w:top w:val="none" w:sz="0" w:space="0" w:color="auto"/>
                        <w:left w:val="none" w:sz="0" w:space="0" w:color="auto"/>
                        <w:bottom w:val="none" w:sz="0" w:space="0" w:color="auto"/>
                        <w:right w:val="none" w:sz="0" w:space="0" w:color="auto"/>
                      </w:divBdr>
                      <w:divsChild>
                        <w:div w:id="803696291">
                          <w:marLeft w:val="0"/>
                          <w:marRight w:val="0"/>
                          <w:marTop w:val="0"/>
                          <w:marBottom w:val="0"/>
                          <w:divBdr>
                            <w:top w:val="none" w:sz="0" w:space="0" w:color="auto"/>
                            <w:left w:val="none" w:sz="0" w:space="0" w:color="auto"/>
                            <w:bottom w:val="none" w:sz="0" w:space="0" w:color="auto"/>
                            <w:right w:val="none" w:sz="0" w:space="0" w:color="auto"/>
                          </w:divBdr>
                          <w:divsChild>
                            <w:div w:id="435826462">
                              <w:marLeft w:val="0"/>
                              <w:marRight w:val="0"/>
                              <w:marTop w:val="0"/>
                              <w:marBottom w:val="0"/>
                              <w:divBdr>
                                <w:top w:val="none" w:sz="0" w:space="0" w:color="auto"/>
                                <w:left w:val="none" w:sz="0" w:space="0" w:color="auto"/>
                                <w:bottom w:val="none" w:sz="0" w:space="0" w:color="auto"/>
                                <w:right w:val="none" w:sz="0" w:space="0" w:color="auto"/>
                              </w:divBdr>
                              <w:divsChild>
                                <w:div w:id="192108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379999">
      <w:bodyDiv w:val="1"/>
      <w:marLeft w:val="0"/>
      <w:marRight w:val="0"/>
      <w:marTop w:val="0"/>
      <w:marBottom w:val="0"/>
      <w:divBdr>
        <w:top w:val="none" w:sz="0" w:space="0" w:color="auto"/>
        <w:left w:val="none" w:sz="0" w:space="0" w:color="auto"/>
        <w:bottom w:val="none" w:sz="0" w:space="0" w:color="auto"/>
        <w:right w:val="none" w:sz="0" w:space="0" w:color="auto"/>
      </w:divBdr>
    </w:div>
    <w:div w:id="1547791935">
      <w:bodyDiv w:val="1"/>
      <w:marLeft w:val="0"/>
      <w:marRight w:val="0"/>
      <w:marTop w:val="0"/>
      <w:marBottom w:val="0"/>
      <w:divBdr>
        <w:top w:val="none" w:sz="0" w:space="0" w:color="auto"/>
        <w:left w:val="none" w:sz="0" w:space="0" w:color="auto"/>
        <w:bottom w:val="none" w:sz="0" w:space="0" w:color="auto"/>
        <w:right w:val="none" w:sz="0" w:space="0" w:color="auto"/>
      </w:divBdr>
    </w:div>
    <w:div w:id="1596787920">
      <w:bodyDiv w:val="1"/>
      <w:marLeft w:val="0"/>
      <w:marRight w:val="0"/>
      <w:marTop w:val="0"/>
      <w:marBottom w:val="0"/>
      <w:divBdr>
        <w:top w:val="none" w:sz="0" w:space="0" w:color="auto"/>
        <w:left w:val="none" w:sz="0" w:space="0" w:color="auto"/>
        <w:bottom w:val="none" w:sz="0" w:space="0" w:color="auto"/>
        <w:right w:val="none" w:sz="0" w:space="0" w:color="auto"/>
      </w:divBdr>
    </w:div>
    <w:div w:id="1744329562">
      <w:bodyDiv w:val="1"/>
      <w:marLeft w:val="0"/>
      <w:marRight w:val="0"/>
      <w:marTop w:val="0"/>
      <w:marBottom w:val="0"/>
      <w:divBdr>
        <w:top w:val="none" w:sz="0" w:space="0" w:color="auto"/>
        <w:left w:val="none" w:sz="0" w:space="0" w:color="auto"/>
        <w:bottom w:val="none" w:sz="0" w:space="0" w:color="auto"/>
        <w:right w:val="none" w:sz="0" w:space="0" w:color="auto"/>
      </w:divBdr>
    </w:div>
    <w:div w:id="1891959975">
      <w:bodyDiv w:val="1"/>
      <w:marLeft w:val="0"/>
      <w:marRight w:val="0"/>
      <w:marTop w:val="0"/>
      <w:marBottom w:val="0"/>
      <w:divBdr>
        <w:top w:val="none" w:sz="0" w:space="0" w:color="auto"/>
        <w:left w:val="none" w:sz="0" w:space="0" w:color="auto"/>
        <w:bottom w:val="none" w:sz="0" w:space="0" w:color="auto"/>
        <w:right w:val="none" w:sz="0" w:space="0" w:color="auto"/>
      </w:divBdr>
      <w:divsChild>
        <w:div w:id="530648144">
          <w:marLeft w:val="0"/>
          <w:marRight w:val="0"/>
          <w:marTop w:val="0"/>
          <w:marBottom w:val="0"/>
          <w:divBdr>
            <w:top w:val="none" w:sz="0" w:space="0" w:color="auto"/>
            <w:left w:val="none" w:sz="0" w:space="0" w:color="auto"/>
            <w:bottom w:val="none" w:sz="0" w:space="0" w:color="auto"/>
            <w:right w:val="none" w:sz="0" w:space="0" w:color="auto"/>
          </w:divBdr>
          <w:divsChild>
            <w:div w:id="2081755265">
              <w:marLeft w:val="0"/>
              <w:marRight w:val="0"/>
              <w:marTop w:val="0"/>
              <w:marBottom w:val="0"/>
              <w:divBdr>
                <w:top w:val="none" w:sz="0" w:space="0" w:color="auto"/>
                <w:left w:val="none" w:sz="0" w:space="0" w:color="auto"/>
                <w:bottom w:val="none" w:sz="0" w:space="0" w:color="auto"/>
                <w:right w:val="none" w:sz="0" w:space="0" w:color="auto"/>
              </w:divBdr>
              <w:divsChild>
                <w:div w:id="1181620863">
                  <w:marLeft w:val="0"/>
                  <w:marRight w:val="0"/>
                  <w:marTop w:val="0"/>
                  <w:marBottom w:val="0"/>
                  <w:divBdr>
                    <w:top w:val="none" w:sz="0" w:space="0" w:color="auto"/>
                    <w:left w:val="none" w:sz="0" w:space="0" w:color="auto"/>
                    <w:bottom w:val="none" w:sz="0" w:space="0" w:color="auto"/>
                    <w:right w:val="none" w:sz="0" w:space="0" w:color="auto"/>
                  </w:divBdr>
                  <w:divsChild>
                    <w:div w:id="461656311">
                      <w:marLeft w:val="0"/>
                      <w:marRight w:val="0"/>
                      <w:marTop w:val="0"/>
                      <w:marBottom w:val="0"/>
                      <w:divBdr>
                        <w:top w:val="none" w:sz="0" w:space="0" w:color="auto"/>
                        <w:left w:val="none" w:sz="0" w:space="0" w:color="auto"/>
                        <w:bottom w:val="none" w:sz="0" w:space="0" w:color="auto"/>
                        <w:right w:val="none" w:sz="0" w:space="0" w:color="auto"/>
                      </w:divBdr>
                      <w:divsChild>
                        <w:div w:id="800196889">
                          <w:marLeft w:val="0"/>
                          <w:marRight w:val="0"/>
                          <w:marTop w:val="0"/>
                          <w:marBottom w:val="0"/>
                          <w:divBdr>
                            <w:top w:val="none" w:sz="0" w:space="0" w:color="auto"/>
                            <w:left w:val="none" w:sz="0" w:space="0" w:color="auto"/>
                            <w:bottom w:val="none" w:sz="0" w:space="0" w:color="auto"/>
                            <w:right w:val="none" w:sz="0" w:space="0" w:color="auto"/>
                          </w:divBdr>
                          <w:divsChild>
                            <w:div w:id="420764262">
                              <w:marLeft w:val="0"/>
                              <w:marRight w:val="0"/>
                              <w:marTop w:val="0"/>
                              <w:marBottom w:val="0"/>
                              <w:divBdr>
                                <w:top w:val="none" w:sz="0" w:space="0" w:color="auto"/>
                                <w:left w:val="none" w:sz="0" w:space="0" w:color="auto"/>
                                <w:bottom w:val="none" w:sz="0" w:space="0" w:color="auto"/>
                                <w:right w:val="none" w:sz="0" w:space="0" w:color="auto"/>
                              </w:divBdr>
                              <w:divsChild>
                                <w:div w:id="950353451">
                                  <w:marLeft w:val="0"/>
                                  <w:marRight w:val="0"/>
                                  <w:marTop w:val="0"/>
                                  <w:marBottom w:val="0"/>
                                  <w:divBdr>
                                    <w:top w:val="none" w:sz="0" w:space="0" w:color="auto"/>
                                    <w:left w:val="none" w:sz="0" w:space="0" w:color="auto"/>
                                    <w:bottom w:val="none" w:sz="0" w:space="0" w:color="auto"/>
                                    <w:right w:val="none" w:sz="0" w:space="0" w:color="auto"/>
                                  </w:divBdr>
                                  <w:divsChild>
                                    <w:div w:id="1052922243">
                                      <w:marLeft w:val="0"/>
                                      <w:marRight w:val="0"/>
                                      <w:marTop w:val="0"/>
                                      <w:marBottom w:val="0"/>
                                      <w:divBdr>
                                        <w:top w:val="none" w:sz="0" w:space="0" w:color="auto"/>
                                        <w:left w:val="none" w:sz="0" w:space="0" w:color="auto"/>
                                        <w:bottom w:val="none" w:sz="0" w:space="0" w:color="auto"/>
                                        <w:right w:val="none" w:sz="0" w:space="0" w:color="auto"/>
                                      </w:divBdr>
                                      <w:divsChild>
                                        <w:div w:id="352850346">
                                          <w:marLeft w:val="0"/>
                                          <w:marRight w:val="0"/>
                                          <w:marTop w:val="0"/>
                                          <w:marBottom w:val="0"/>
                                          <w:divBdr>
                                            <w:top w:val="none" w:sz="0" w:space="0" w:color="auto"/>
                                            <w:left w:val="none" w:sz="0" w:space="0" w:color="auto"/>
                                            <w:bottom w:val="none" w:sz="0" w:space="0" w:color="auto"/>
                                            <w:right w:val="none" w:sz="0" w:space="0" w:color="auto"/>
                                          </w:divBdr>
                                          <w:divsChild>
                                            <w:div w:id="96827214">
                                              <w:marLeft w:val="0"/>
                                              <w:marRight w:val="0"/>
                                              <w:marTop w:val="0"/>
                                              <w:marBottom w:val="0"/>
                                              <w:divBdr>
                                                <w:top w:val="none" w:sz="0" w:space="0" w:color="auto"/>
                                                <w:left w:val="none" w:sz="0" w:space="0" w:color="auto"/>
                                                <w:bottom w:val="none" w:sz="0" w:space="0" w:color="auto"/>
                                                <w:right w:val="none" w:sz="0" w:space="0" w:color="auto"/>
                                              </w:divBdr>
                                              <w:divsChild>
                                                <w:div w:id="16057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0874692">
          <w:marLeft w:val="0"/>
          <w:marRight w:val="0"/>
          <w:marTop w:val="0"/>
          <w:marBottom w:val="0"/>
          <w:divBdr>
            <w:top w:val="none" w:sz="0" w:space="0" w:color="auto"/>
            <w:left w:val="none" w:sz="0" w:space="0" w:color="auto"/>
            <w:bottom w:val="none" w:sz="0" w:space="0" w:color="auto"/>
            <w:right w:val="none" w:sz="0" w:space="0" w:color="auto"/>
          </w:divBdr>
          <w:divsChild>
            <w:div w:id="2036610176">
              <w:marLeft w:val="0"/>
              <w:marRight w:val="0"/>
              <w:marTop w:val="0"/>
              <w:marBottom w:val="0"/>
              <w:divBdr>
                <w:top w:val="none" w:sz="0" w:space="0" w:color="auto"/>
                <w:left w:val="none" w:sz="0" w:space="0" w:color="auto"/>
                <w:bottom w:val="none" w:sz="0" w:space="0" w:color="auto"/>
                <w:right w:val="none" w:sz="0" w:space="0" w:color="auto"/>
              </w:divBdr>
              <w:divsChild>
                <w:div w:id="1708947598">
                  <w:marLeft w:val="0"/>
                  <w:marRight w:val="0"/>
                  <w:marTop w:val="0"/>
                  <w:marBottom w:val="0"/>
                  <w:divBdr>
                    <w:top w:val="none" w:sz="0" w:space="0" w:color="auto"/>
                    <w:left w:val="none" w:sz="0" w:space="0" w:color="auto"/>
                    <w:bottom w:val="none" w:sz="0" w:space="0" w:color="auto"/>
                    <w:right w:val="none" w:sz="0" w:space="0" w:color="auto"/>
                  </w:divBdr>
                  <w:divsChild>
                    <w:div w:id="5707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54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construction/cdm/2015/index.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2/2677/conten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lation.gov.uk/ukpga/2022/30/content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5T13:01:53.805"/>
    </inkml:context>
    <inkml:brush xml:id="br0">
      <inkml:brushProperty name="width" value="0.035" units="cm"/>
      <inkml:brushProperty name="height" value="0.035" units="cm"/>
    </inkml:brush>
  </inkml:definitions>
  <inkml:trace contextRef="#ctx0" brushRef="#br0">1 481 24575,'937'-26'0,"-383"-33"-364,-385 33 182,211-63 0,-374 88 188,35-14 229,-39 15-214,0-1-1,-1 0 0,1 0 1,0 0-1,-1 0 0,1 0 1,0 0-1,-1-1 0,0 1 0,1 0 1,-1-1-1,0 1 0,1-1 1,-1 1-1,0-1 0,0 0 1,1-3-1,-2 5-16,0-1-1,0 0 1,0 1 0,0-1 0,0 0 0,0 1-1,-1-1 1,1 0 0,0 1 0,0-1 0,-1 0-1,1 1 1,0-1 0,-1 0 0,1 1 0,0-1-1,-1 1 1,1-1 0,-1 1 0,1-1 0,-1 1-1,1-1 1,-1 1 0,1-1 0,-1 1 0,0 0-1,1-1 1,-1 1 0,0 0 0,1 0 0,-1 0-1,0-1 1,1 1 0,-2 0 0,-26-5-22,26 5 24,-19-1-6,0 1 0,0 0 0,0 2 0,1 1 0,-28 6 0,-103 35 0,122-34 0,-398 143 0,330-116 0,-85 42 0,85-36 0,67-29 0,25-7 0,15-4 0,18-2 0,-26-1 0,80-6 0,1-4 0,-1-3 0,84-25 0,-62 14 0,392-105 0,-390 94 0,-1-5 0,155-83 0,-198 91 0,-27 14 0,34-22 0,-66 38 0,0 0 0,0-1 0,0 1 0,-1-1 0,1 1 0,-1-1 0,1 0 0,-1 1 0,0-1 0,0-1 0,0 1 0,0 0 0,2-7 0,-4 9 0,0-1 0,1 0 0,-1 1 0,0-1 0,0 0 0,-1 1 0,1-1 0,0 0 0,-1 1 0,1-1 0,-1 0 0,1 1 0,-1-1 0,1 1 0,-1-1 0,0 1 0,0-1 0,0 1 0,0 0 0,0-1 0,0 1 0,0 0 0,-1 0 0,1 0 0,0 0 0,-1 0 0,1 0 0,-1 0 0,1 0 0,-1 1 0,-2-2 0,-7-3 0,0 1 0,-1 0 0,1 1 0,-1 1 0,1-1 0,-1 2 0,0 0 0,-20 0 0,-3 3 0,-58 9 0,91-10 0,-8 0 0,0 0 0,0 1 0,0 0 0,1 1 0,-1 0 0,1 1 0,0 0 0,0 0 0,0 1 0,-10 7 0,18-11 0,0-1 0,0 1 0,0 0 0,1-1 0,-1 1 0,0 0 0,1 0 0,-1 0 0,1 0 0,-1 0 0,1-1 0,-1 1 0,1 0 0,0 0 0,-1 0 0,1 0 0,0 0 0,0 0 0,0 0 0,0 0 0,0 1 0,0-1 0,0 0 0,0 0 0,0 0 0,0 0 0,1 0 0,-1 0 0,0 0 0,1 0 0,-1-1 0,0 1 0,1 0 0,0 0 0,-1 0 0,1 0 0,-1 0 0,1-1 0,0 1 0,0 0 0,-1 0 0,1-1 0,0 1 0,0-1 0,1 1 0,5 5 0,1-2 0,-1 1 0,1-1 0,10 3 0,-15-6 0,51 20 0,0-3 0,84 17 0,117 6 0,514 17 0,-700-56 0,86 6 0,-133-5 0,-1 1 0,0 0 0,0 2 0,0 0 0,20 10 0,-16-7 0,-20-7 0,0-1 0,0 1 0,0-1 0,-1 2 0,1-1 0,-1 0 0,1 1 0,-1 0 0,0 0 0,0 0 0,0 0 0,4 5 0,-8-7 0,0 0 0,1 0 0,-1 0 0,0 0 0,0 0 0,0 0 0,0 0 0,0 0 0,0 0 0,0 0 0,0 0 0,0 0 0,-1 0 0,1 0 0,0 0 0,-1 0 0,1 0 0,-1 0 0,1 0 0,-1 0 0,1 0 0,-1-1 0,0 1 0,1 0 0,-1 0 0,0-1 0,0 1 0,1 0 0,-1-1 0,0 1 0,0-1 0,0 1 0,0-1 0,0 1 0,0-1 0,-1 1 0,-40 16 0,38-15 0,-50 15 0,0 4 0,1 1 0,2 3 0,-84 53 0,98-45 0,36-32 0,0 0 0,0-1 0,1 1 0,-1 0 0,0 0 0,1 0 0,-1 0 0,1 1 0,-1-1 0,1 0 0,-1 0 0,1 0 0,0 0 0,-1 3 0,2-4 0,-1 1 0,0-1 0,0 1 0,1-1 0,-1 1 0,1-1 0,-1 1 0,0-1 0,1 1 0,-1-1 0,1 1 0,-1-1 0,1 0 0,-1 1 0,1-1 0,0 0 0,-1 1 0,1-1 0,-1 0 0,1 0 0,0 0 0,-1 0 0,1 0 0,0 1 0,-1-1 0,1 0 0,-1 0 0,1 0 0,0-1 0,-1 1 0,2 0 0,25-1 0,0-1 0,0-2 0,48-12 0,-37 7 0,39-4 0,-9 9-1365,-41 4-5461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655F2-C2C9-4815-A0D8-D5F78FCB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1869</Words>
  <Characters>11312</Characters>
  <Application>Microsoft Office Word</Application>
  <DocSecurity>0</DocSecurity>
  <Lines>390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Thomas</dc:creator>
  <cp:keywords/>
  <dc:description/>
  <cp:lastModifiedBy>Oliver Thomas</cp:lastModifiedBy>
  <cp:revision>58</cp:revision>
  <dcterms:created xsi:type="dcterms:W3CDTF">2025-02-03T14:40:00Z</dcterms:created>
  <dcterms:modified xsi:type="dcterms:W3CDTF">2025-05-15T13:25:00Z</dcterms:modified>
</cp:coreProperties>
</file>