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E00DF" w14:textId="59FCE68E" w:rsidR="006E0B38" w:rsidRDefault="00811B8A" w:rsidP="00811B8A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Working in set design, in the creative industry,</w:t>
      </w:r>
      <w:r w:rsidR="00881867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several essential skills for study and employment are vital for a successful career. </w:t>
      </w:r>
    </w:p>
    <w:p w14:paraId="5625AD67" w14:textId="69B0352A" w:rsidR="006355FC" w:rsidRPr="007378C9" w:rsidRDefault="00D866E3" w:rsidP="00811B8A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  <w:r>
        <w:rPr>
          <w:rFonts w:eastAsiaTheme="minorEastAsia" w:hAnsi="Calibri"/>
          <w:color w:val="000000" w:themeColor="text1"/>
          <w:kern w:val="24"/>
          <w:sz w:val="24"/>
          <w:szCs w:val="24"/>
        </w:rPr>
        <w:t>It’s</w:t>
      </w:r>
      <w:r w:rsidR="006355FC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important to </w:t>
      </w:r>
      <w:r w:rsidR="00E97FDD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have the skill to study effectively </w:t>
      </w:r>
      <w:r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and </w:t>
      </w:r>
      <w:r w:rsidR="00C02F7C" w:rsidRPr="00C02F7C">
        <w:rPr>
          <w:rFonts w:eastAsiaTheme="minorEastAsia" w:hAnsi="Calibri"/>
          <w:color w:val="000000" w:themeColor="text1"/>
          <w:kern w:val="24"/>
          <w:sz w:val="24"/>
          <w:szCs w:val="24"/>
        </w:rPr>
        <w:t>gain the knowledge and experience you need to succeed</w:t>
      </w:r>
      <w:r w:rsidR="00E97FDD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in your career. A </w:t>
      </w:r>
      <w:r w:rsidR="00C02F7C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good example of a learning strategy that can help you is the </w:t>
      </w:r>
      <w:r w:rsidR="004F674C">
        <w:rPr>
          <w:rFonts w:eastAsiaTheme="minorEastAsia" w:hAnsi="Calibri"/>
          <w:color w:val="000000" w:themeColor="text1"/>
          <w:kern w:val="24"/>
          <w:sz w:val="24"/>
          <w:szCs w:val="24"/>
        </w:rPr>
        <w:t>“</w:t>
      </w:r>
      <w:r w:rsidR="00C02F7C">
        <w:rPr>
          <w:rFonts w:eastAsiaTheme="minorEastAsia" w:hAnsi="Calibri"/>
          <w:color w:val="000000" w:themeColor="text1"/>
          <w:kern w:val="24"/>
          <w:sz w:val="24"/>
          <w:szCs w:val="24"/>
        </w:rPr>
        <w:t>CREAM strategy</w:t>
      </w:r>
      <w:r w:rsidR="004F674C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for learning”</w:t>
      </w:r>
      <w:r w:rsidR="00C02F7C">
        <w:rPr>
          <w:rFonts w:eastAsiaTheme="minorEastAsia" w:hAnsi="Calibri"/>
          <w:color w:val="000000" w:themeColor="text1"/>
          <w:kern w:val="24"/>
          <w:sz w:val="24"/>
          <w:szCs w:val="24"/>
        </w:rPr>
        <w:t>.</w:t>
      </w:r>
      <w:r w:rsidR="00FB3A56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(</w:t>
      </w:r>
      <w:r w:rsidR="00042940" w:rsidRPr="00042940">
        <w:rPr>
          <w:rFonts w:eastAsiaTheme="minorEastAsia" w:hAnsi="Calibri"/>
          <w:color w:val="000000" w:themeColor="text1"/>
          <w:kern w:val="24"/>
          <w:sz w:val="24"/>
          <w:szCs w:val="24"/>
        </w:rPr>
        <w:t>Cottrell, 2019, p. 89)</w:t>
      </w:r>
      <w:r w:rsidR="00042940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C02F7C">
        <w:rPr>
          <w:rFonts w:eastAsiaTheme="minorEastAsia" w:hAnsi="Calibri"/>
          <w:color w:val="000000" w:themeColor="text1"/>
          <w:kern w:val="24"/>
          <w:sz w:val="24"/>
          <w:szCs w:val="24"/>
        </w:rPr>
        <w:t>This strategy helps you with 5 individual skills but allows each skill to enhance the others</w:t>
      </w:r>
      <w:r w:rsidR="004F674C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, this will make you a well-rounded student with a larger skill set. </w:t>
      </w:r>
    </w:p>
    <w:p w14:paraId="403C5430" w14:textId="157920BC" w:rsidR="00811B8A" w:rsidRPr="007378C9" w:rsidRDefault="00811B8A" w:rsidP="00811B8A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One of the skills </w:t>
      </w:r>
      <w:r w:rsidR="00F50CDF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needed for successful employment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is the ability to research different areas to produce accurate and authentic designs. For example, if you are producing a piece of work based in the 1920s </w:t>
      </w:r>
      <w:r w:rsidR="003A44D3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don't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include elements that</w:t>
      </w:r>
      <w:r w:rsidR="003A44D3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didn’t exist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until the 1940s. “Whether you are working for someone else or yourself, the ability to research and find relevant information is vital for informed decision-</w:t>
      </w:r>
      <w:r w:rsidR="009912F7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making”</w:t>
      </w:r>
      <w:r w:rsidR="009912F7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(</w:t>
      </w:r>
      <w:r w:rsidR="009912F7" w:rsidRPr="009912F7">
        <w:rPr>
          <w:rFonts w:eastAsiaTheme="minorEastAsia" w:hAnsi="Calibri"/>
          <w:color w:val="000000" w:themeColor="text1"/>
          <w:kern w:val="24"/>
          <w:sz w:val="24"/>
          <w:szCs w:val="24"/>
        </w:rPr>
        <w:t>Top 3 transferable skills for creative graduates (Careers and Employability, 2021)</w:t>
      </w:r>
      <w:r w:rsidR="009912F7">
        <w:rPr>
          <w:rFonts w:eastAsiaTheme="minorEastAsia" w:hAnsi="Calibri"/>
          <w:color w:val="000000" w:themeColor="text1"/>
          <w:kern w:val="24"/>
          <w:sz w:val="24"/>
          <w:szCs w:val="24"/>
        </w:rPr>
        <w:t>)</w:t>
      </w:r>
    </w:p>
    <w:p w14:paraId="18368F9B" w14:textId="665B9228" w:rsidR="00103134" w:rsidRPr="007378C9" w:rsidRDefault="00BA2C4D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A</w:t>
      </w:r>
      <w:r w:rsidR="00881867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further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skill </w:t>
      </w:r>
      <w:r w:rsidR="00A63B7C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for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successful</w:t>
      </w:r>
      <w:r w:rsidR="00A63B7C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employment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in the </w:t>
      </w:r>
      <w:r w:rsidR="006323D7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design industry is the ability t</w:t>
      </w:r>
      <w:r w:rsidR="00073DDB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o work with a team</w:t>
      </w:r>
      <w:r w:rsidR="006323D7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. </w:t>
      </w:r>
      <w:r w:rsidR="00353FC6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This is </w:t>
      </w:r>
      <w:r w:rsidR="00811B8A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crucial</w:t>
      </w:r>
      <w:r w:rsidR="00353FC6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as working with a range of people and cultures</w:t>
      </w:r>
      <w:r w:rsidR="00A248E8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will be a regular occurrence</w:t>
      </w:r>
      <w:r w:rsidR="00353FC6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. </w:t>
      </w:r>
      <w:r w:rsidR="00CA22F2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Blockbuster </w:t>
      </w:r>
      <w:r w:rsidR="00353FC6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films can have hundreds of people </w:t>
      </w:r>
      <w:r w:rsidR="00C70F6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and </w:t>
      </w:r>
      <w:r w:rsidR="00A248E8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several departments</w:t>
      </w:r>
      <w:r w:rsidR="00353FC6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. </w:t>
      </w:r>
    </w:p>
    <w:p w14:paraId="0EBA40AC" w14:textId="77777777" w:rsidR="00DF10E5" w:rsidRPr="00DF10E5" w:rsidRDefault="009C6DE7" w:rsidP="00DF10E5">
      <w:pPr>
        <w:ind w:left="720"/>
        <w:rPr>
          <w:rFonts w:eastAsiaTheme="minorEastAsia" w:hAnsi="Calibri"/>
          <w:color w:val="000000" w:themeColor="text1"/>
          <w:kern w:val="24"/>
        </w:rPr>
      </w:pP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Their</w:t>
      </w:r>
      <w:r w:rsidR="00C276FF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ability to interact with people on all different levels helps them achieve their goals as well as secure a reputation in the business for being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a </w:t>
      </w:r>
      <w:r w:rsidR="00C276FF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professio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nal who is an excellent team player</w:t>
      </w:r>
      <w:r w:rsidR="004B5BC6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. </w:t>
      </w:r>
      <w:r w:rsidR="00DF10E5" w:rsidRPr="00DF10E5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(Clark and </w:t>
      </w:r>
      <w:proofErr w:type="spellStart"/>
      <w:r w:rsidR="00DF10E5" w:rsidRPr="00DF10E5">
        <w:rPr>
          <w:rFonts w:eastAsiaTheme="minorEastAsia" w:hAnsi="Calibri"/>
          <w:color w:val="000000" w:themeColor="text1"/>
          <w:kern w:val="24"/>
          <w:sz w:val="24"/>
          <w:szCs w:val="24"/>
        </w:rPr>
        <w:t>Fehl</w:t>
      </w:r>
      <w:proofErr w:type="spellEnd"/>
      <w:r w:rsidR="00DF10E5" w:rsidRPr="00DF10E5">
        <w:rPr>
          <w:rFonts w:eastAsiaTheme="minorEastAsia" w:hAnsi="Calibri"/>
          <w:color w:val="000000" w:themeColor="text1"/>
          <w:kern w:val="24"/>
          <w:sz w:val="24"/>
          <w:szCs w:val="24"/>
        </w:rPr>
        <w:t>, 2010, p. 192)</w:t>
      </w:r>
    </w:p>
    <w:p w14:paraId="54AC0D04" w14:textId="4AFEA67C" w:rsidR="005F2643" w:rsidRPr="007378C9" w:rsidRDefault="008C7826">
      <w:pPr>
        <w:rPr>
          <w:rFonts w:ascii="Georgia" w:hAnsi="Georgia"/>
          <w:color w:val="292B2C"/>
          <w:sz w:val="10"/>
          <w:szCs w:val="10"/>
          <w:shd w:val="clear" w:color="auto" w:fill="FFFFFF"/>
        </w:rPr>
      </w:pP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Being a</w:t>
      </w:r>
      <w:r w:rsidR="00726F4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team player is a </w:t>
      </w:r>
      <w:r w:rsidR="00726F4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great example of a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transferable skill</w:t>
      </w:r>
      <w:r w:rsidR="009237BD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; </w:t>
      </w:r>
      <w:r w:rsidR="001742A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other </w:t>
      </w:r>
      <w:r w:rsidR="009237BD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transferable</w:t>
      </w:r>
      <w:r w:rsidR="001742A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skills ca</w:t>
      </w:r>
      <w:r w:rsidR="009237BD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n </w:t>
      </w:r>
      <w:r w:rsidR="001742A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include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9237BD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communication, </w:t>
      </w:r>
      <w:r w:rsidR="008B48E0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flexibility,</w:t>
      </w:r>
      <w:r w:rsidR="009237BD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and hard work. These skills </w:t>
      </w:r>
      <w:r w:rsidR="00726F4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will </w:t>
      </w:r>
      <w:r w:rsidR="001742A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develop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your career</w:t>
      </w:r>
      <w:r w:rsidR="00726F4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C70F6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and </w:t>
      </w:r>
      <w:r w:rsidR="001742A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help you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through</w:t>
      </w:r>
      <w:r w:rsidR="0006142C">
        <w:rPr>
          <w:rFonts w:eastAsiaTheme="minorEastAsia" w:hAnsi="Calibri"/>
          <w:color w:val="000000" w:themeColor="text1"/>
          <w:kern w:val="24"/>
          <w:sz w:val="24"/>
          <w:szCs w:val="24"/>
        </w:rPr>
        <w:t>out</w:t>
      </w:r>
      <w:r w:rsidR="009237BD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different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aspects of your life.</w:t>
      </w:r>
      <w:r w:rsidR="001742A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9237BD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726F4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“Being able to listen to instructions and cooperate with team members to solve problems and work through tasks will increase productivity massively.</w:t>
      </w:r>
      <w:r w:rsidR="00FB3A56">
        <w:rPr>
          <w:rFonts w:eastAsiaTheme="minorEastAsia" w:hAnsi="Calibri"/>
          <w:color w:val="000000" w:themeColor="text1"/>
          <w:kern w:val="24"/>
          <w:sz w:val="24"/>
          <w:szCs w:val="24"/>
        </w:rPr>
        <w:t>”</w:t>
      </w:r>
      <w:r w:rsidR="004E0175" w:rsidRPr="004E0175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4E0175">
        <w:rPr>
          <w:rFonts w:eastAsiaTheme="minorEastAsia" w:hAnsi="Calibri"/>
          <w:color w:val="000000" w:themeColor="text1"/>
          <w:kern w:val="24"/>
          <w:sz w:val="24"/>
          <w:szCs w:val="24"/>
        </w:rPr>
        <w:t>(</w:t>
      </w:r>
      <w:r w:rsidR="004E0175" w:rsidRPr="004E0175">
        <w:rPr>
          <w:rFonts w:eastAsiaTheme="minorEastAsia" w:hAnsi="Calibri"/>
          <w:color w:val="000000" w:themeColor="text1"/>
          <w:kern w:val="24"/>
          <w:sz w:val="24"/>
          <w:szCs w:val="24"/>
        </w:rPr>
        <w:t>KATIE FIDDAMAN (2019) described some of the skills that you might need in order to progress successfully into the creative industries.</w:t>
      </w:r>
      <w:r w:rsidR="004E0175">
        <w:rPr>
          <w:rFonts w:eastAsiaTheme="minorEastAsia" w:hAnsi="Calibri"/>
          <w:color w:val="000000" w:themeColor="text1"/>
          <w:kern w:val="24"/>
          <w:sz w:val="24"/>
          <w:szCs w:val="24"/>
        </w:rPr>
        <w:t>)</w:t>
      </w:r>
    </w:p>
    <w:p w14:paraId="02C9CC05" w14:textId="3866332A" w:rsidR="00B15B19" w:rsidRPr="004E0175" w:rsidRDefault="00B15B19">
      <w:pPr>
        <w:rPr>
          <w:rFonts w:eastAsiaTheme="minorEastAsia" w:hAnsi="Calibri"/>
          <w:color w:val="000000" w:themeColor="text1"/>
          <w:kern w:val="24"/>
        </w:rPr>
      </w:pP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Finally, there are different ways people can gain employment in the creative industry</w:t>
      </w:r>
      <w:r w:rsidR="00B72E1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8B48E0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(</w:t>
      </w:r>
      <w:r w:rsidR="00B72E1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e.g.,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being employed </w:t>
      </w:r>
      <w:r w:rsidR="00B72E1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by a company</w:t>
      </w:r>
      <w:r w:rsidR="008B48E0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)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however </w:t>
      </w:r>
      <w:r w:rsidR="00B72E1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another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option is to</w:t>
      </w:r>
      <w:r w:rsidR="00BF157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freelance. “Work in the creative industries is often freelance or performed on a short‐term contractual basis, as creative businesses constantly form and re‐form value‐chains to create new products” </w:t>
      </w:r>
      <w:r w:rsidR="004E0175" w:rsidRPr="004E0175">
        <w:rPr>
          <w:rFonts w:eastAsiaTheme="minorEastAsia" w:hAnsi="Calibri"/>
          <w:color w:val="000000" w:themeColor="text1"/>
          <w:kern w:val="24"/>
          <w:sz w:val="24"/>
          <w:szCs w:val="24"/>
        </w:rPr>
        <w:t>(Bridgstock, 2011)</w:t>
      </w:r>
      <w:r w:rsidR="004E0175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BF157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B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enefits to working freelance </w:t>
      </w:r>
      <w:r w:rsidR="00BF157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include opportunities</w:t>
      </w:r>
      <w:r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for travel </w:t>
      </w:r>
      <w:r w:rsidR="00BF157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and experience on</w:t>
      </w:r>
      <w:r w:rsidR="00B72E1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BF157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a</w:t>
      </w:r>
      <w:r w:rsidR="008B48E0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B72E1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range of projects</w:t>
      </w:r>
      <w:r w:rsidR="0006142C">
        <w:rPr>
          <w:rFonts w:eastAsiaTheme="minorEastAsia" w:hAnsi="Calibri"/>
          <w:color w:val="000000" w:themeColor="text1"/>
          <w:kern w:val="24"/>
          <w:sz w:val="24"/>
          <w:szCs w:val="24"/>
        </w:rPr>
        <w:t>,</w:t>
      </w:r>
      <w:r w:rsidR="00B72E1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</w:t>
      </w:r>
      <w:r w:rsidR="008B48E0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nonetheless </w:t>
      </w:r>
      <w:r w:rsidR="00B72E11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there are some elements of freelancing that require certain skills.</w:t>
      </w:r>
      <w:r w:rsidR="003A44D3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 The skills of organisation and time management are critical </w:t>
      </w:r>
      <w:r w:rsidR="008B48E0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if you are working on several projects at once or consecutively. </w:t>
      </w:r>
      <w:r w:rsidR="00A63B7C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You must also be skilled in </w:t>
      </w:r>
      <w:r w:rsidR="00DB526E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financial and </w:t>
      </w:r>
      <w:r w:rsidR="00A63B7C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>money management to ensure y</w:t>
      </w:r>
      <w:r w:rsidR="00DB526E" w:rsidRPr="007378C9"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ou can continue freelancing as sometimes it may be several months until your next project. </w:t>
      </w:r>
    </w:p>
    <w:p w14:paraId="222F05BF" w14:textId="5037F54F" w:rsidR="005F2643" w:rsidRDefault="005F2643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</w:p>
    <w:p w14:paraId="0DCAB18B" w14:textId="3409CCCE" w:rsidR="00CF1E4B" w:rsidRDefault="00CF1E4B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</w:p>
    <w:p w14:paraId="7702D439" w14:textId="4294834C" w:rsidR="00CF1E4B" w:rsidRDefault="00CF1E4B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</w:p>
    <w:p w14:paraId="69907EB8" w14:textId="675A53B9" w:rsidR="00CF1E4B" w:rsidRDefault="00CF1E4B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</w:p>
    <w:p w14:paraId="01010069" w14:textId="77777777" w:rsidR="00D06B28" w:rsidRDefault="00D06B28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</w:p>
    <w:p w14:paraId="3916C1CF" w14:textId="36735141" w:rsidR="00CF1E4B" w:rsidRDefault="00CF1E4B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  <w:r>
        <w:rPr>
          <w:rFonts w:eastAsiaTheme="minorEastAsia" w:hAnsi="Calibri"/>
          <w:color w:val="000000" w:themeColor="text1"/>
          <w:kern w:val="24"/>
          <w:sz w:val="24"/>
          <w:szCs w:val="24"/>
        </w:rPr>
        <w:t xml:space="preserve">Bibliography </w:t>
      </w:r>
    </w:p>
    <w:p w14:paraId="23F7D6D7" w14:textId="339C59DC" w:rsidR="00CF1E4B" w:rsidRPr="007378C9" w:rsidRDefault="00CF1E4B">
      <w:pPr>
        <w:rPr>
          <w:rFonts w:eastAsiaTheme="minorEastAsia" w:hAnsi="Calibri"/>
          <w:color w:val="000000" w:themeColor="text1"/>
          <w:kern w:val="24"/>
          <w:sz w:val="24"/>
          <w:szCs w:val="24"/>
        </w:rPr>
      </w:pPr>
    </w:p>
    <w:p w14:paraId="67F2392C" w14:textId="72AAE74E" w:rsidR="005F2643" w:rsidRDefault="00B9755B" w:rsidP="004E0175">
      <w:pPr>
        <w:pStyle w:val="NormalWeb"/>
        <w:numPr>
          <w:ilvl w:val="0"/>
          <w:numId w:val="3"/>
        </w:numPr>
        <w:spacing w:before="200" w:beforeAutospacing="0" w:after="0" w:afterAutospacing="0" w:line="360" w:lineRule="auto"/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</w:pPr>
      <w:r w:rsidRPr="00B9755B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Cottrell, S. (2019) </w:t>
      </w:r>
      <w:r w:rsidRPr="00B9755B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 xml:space="preserve">The Study Skills Handbook.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5</w:t>
      </w:r>
      <w:r w:rsidRPr="00B9755B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  <w:vertAlign w:val="superscript"/>
        </w:rPr>
        <w:t>th</w:t>
      </w:r>
      <w:r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</w:t>
      </w:r>
      <w:r w:rsidRPr="00B9755B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edn. London: Red Globe Press.</w:t>
      </w:r>
    </w:p>
    <w:p w14:paraId="21788835" w14:textId="77777777" w:rsidR="00471D15" w:rsidRPr="00471D15" w:rsidRDefault="00471D15" w:rsidP="00471D15">
      <w:pPr>
        <w:pStyle w:val="NormalWeb"/>
        <w:spacing w:before="200" w:beforeAutospacing="0" w:after="0" w:afterAutospacing="0" w:line="360" w:lineRule="auto"/>
        <w:rPr>
          <w:sz w:val="6"/>
          <w:szCs w:val="6"/>
        </w:rPr>
      </w:pPr>
    </w:p>
    <w:p w14:paraId="58C8F5F7" w14:textId="139854B9" w:rsidR="00DF10E5" w:rsidRPr="004E0175" w:rsidRDefault="00471D15" w:rsidP="004E0175">
      <w:pPr>
        <w:pStyle w:val="ListParagraph"/>
        <w:numPr>
          <w:ilvl w:val="0"/>
          <w:numId w:val="3"/>
        </w:numPr>
        <w:spacing w:line="360" w:lineRule="auto"/>
        <w:rPr>
          <w:rFonts w:eastAsiaTheme="minorEastAsia" w:hAnsi="Calibri"/>
          <w:color w:val="000000" w:themeColor="text1"/>
          <w:kern w:val="24"/>
        </w:rPr>
      </w:pPr>
      <w:r w:rsidRPr="004E0175">
        <w:rPr>
          <w:rFonts w:hAnsi="Calibri"/>
          <w:color w:val="000000" w:themeColor="text1"/>
          <w:kern w:val="24"/>
        </w:rPr>
        <w:t xml:space="preserve">Careers and Employability (2021) </w:t>
      </w:r>
      <w:r w:rsidRPr="004E0175">
        <w:rPr>
          <w:rFonts w:hAnsi="Calibri"/>
          <w:i/>
          <w:iCs/>
          <w:color w:val="000000" w:themeColor="text1"/>
          <w:kern w:val="24"/>
        </w:rPr>
        <w:t xml:space="preserve">Top 3 transferable skills for creative graduates. </w:t>
      </w:r>
      <w:r w:rsidRPr="004E0175">
        <w:rPr>
          <w:rFonts w:hAnsi="Calibri"/>
          <w:color w:val="000000" w:themeColor="text1"/>
          <w:kern w:val="24"/>
        </w:rPr>
        <w:t xml:space="preserve">Available at: </w:t>
      </w:r>
      <w:hyperlink r:id="rId6" w:history="1">
        <w:r w:rsidRPr="004E0175">
          <w:rPr>
            <w:rStyle w:val="Hyperlink"/>
            <w:rFonts w:hAnsi="Calibri"/>
            <w:kern w:val="24"/>
          </w:rPr>
          <w:t>https://www.arts.ac.uk/students/student-careers/stories/top-3-transferable-skills-for-creative-graduates</w:t>
        </w:r>
      </w:hyperlink>
      <w:r w:rsidRPr="004E0175">
        <w:rPr>
          <w:rFonts w:hAnsi="Calibri"/>
          <w:color w:val="000000" w:themeColor="text1"/>
          <w:kern w:val="24"/>
        </w:rPr>
        <w:t xml:space="preserve"> (Accessed: 20 October 2022). </w:t>
      </w:r>
    </w:p>
    <w:p w14:paraId="5C6E231A" w14:textId="2E0E0AD8" w:rsidR="00044F97" w:rsidRPr="00044F97" w:rsidRDefault="00DF10E5" w:rsidP="00E0563E">
      <w:pPr>
        <w:pStyle w:val="NormalWeb"/>
        <w:numPr>
          <w:ilvl w:val="0"/>
          <w:numId w:val="3"/>
        </w:numPr>
        <w:spacing w:before="200" w:beforeAutospacing="0" w:after="0" w:afterAutospacing="0" w:line="216" w:lineRule="auto"/>
        <w:rPr>
          <w:sz w:val="22"/>
          <w:szCs w:val="22"/>
        </w:rPr>
      </w:pPr>
      <w:r w:rsidRPr="00044F9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Clark, R. P. and </w:t>
      </w:r>
      <w:proofErr w:type="spellStart"/>
      <w:r w:rsidRPr="00044F9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Fehl</w:t>
      </w:r>
      <w:proofErr w:type="spellEnd"/>
      <w:r w:rsidRPr="00044F9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, P. (2010). </w:t>
      </w:r>
      <w:r w:rsidRPr="00044F97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>Career Opportunities in the Visual Arts.</w:t>
      </w:r>
      <w:r w:rsidRPr="00044F9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 United States: Facts </w:t>
      </w:r>
      <w:proofErr w:type="gramStart"/>
      <w:r w:rsidRPr="00044F9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On</w:t>
      </w:r>
      <w:proofErr w:type="gramEnd"/>
      <w:r w:rsidRPr="00044F97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File, Incorporated</w:t>
      </w:r>
      <w:r w:rsidR="008F1FD3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.</w:t>
      </w:r>
    </w:p>
    <w:p w14:paraId="4C68B105" w14:textId="00D11E7B" w:rsidR="004E0175" w:rsidRPr="00044F97" w:rsidRDefault="00044F97" w:rsidP="004E0175">
      <w:pPr>
        <w:pStyle w:val="NormalWeb"/>
        <w:numPr>
          <w:ilvl w:val="0"/>
          <w:numId w:val="3"/>
        </w:numPr>
        <w:spacing w:before="200" w:beforeAutospacing="0" w:after="0" w:afterAutospacing="0" w:line="360" w:lineRule="auto"/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</w:pPr>
      <w:r w:rsidRPr="00044F97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 xml:space="preserve">Fiddaman, K. (2019) ‘7 essential skills for the creative industries’, </w:t>
      </w:r>
      <w:r w:rsidRPr="00044F97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sz w:val="22"/>
          <w:szCs w:val="22"/>
        </w:rPr>
        <w:t xml:space="preserve">ESCAPE STUDIOS </w:t>
      </w:r>
      <w:r w:rsidRPr="00044F97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 xml:space="preserve">[blog]. 8 October. Available at: </w:t>
      </w:r>
      <w:hyperlink r:id="rId7" w:history="1">
        <w:r w:rsidRPr="00044F97">
          <w:rPr>
            <w:rFonts w:asciiTheme="minorHAnsi" w:eastAsiaTheme="minorEastAsia" w:hAnsiTheme="minorHAnsi" w:cstheme="minorHAnsi"/>
            <w:color w:val="000000" w:themeColor="text1"/>
            <w:kern w:val="24"/>
            <w:sz w:val="22"/>
            <w:szCs w:val="22"/>
            <w:u w:val="single"/>
          </w:rPr>
          <w:t>https://blog.pearsoncollegelondon.ac.uk/2019/10/08/7-essential-skills-for-the-creative-industries/</w:t>
        </w:r>
      </w:hyperlink>
      <w:r w:rsidRPr="00044F97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 xml:space="preserve"> (Accessed: 20 October 2022)</w:t>
      </w:r>
    </w:p>
    <w:p w14:paraId="1291A565" w14:textId="77777777" w:rsidR="000925C2" w:rsidRDefault="000925C2" w:rsidP="000925C2">
      <w:pPr>
        <w:spacing w:after="0" w:line="216" w:lineRule="auto"/>
        <w:contextualSpacing/>
        <w:rPr>
          <w:rFonts w:ascii="Calibri" w:eastAsia="+mn-ea" w:hAnsi="Calibri" w:cs="+mn-cs"/>
          <w:color w:val="000000"/>
          <w:kern w:val="24"/>
          <w:lang w:eastAsia="en-GB"/>
        </w:rPr>
      </w:pPr>
    </w:p>
    <w:p w14:paraId="16C120E7" w14:textId="7E0E4E2F" w:rsidR="000925C2" w:rsidRPr="004E0175" w:rsidRDefault="000925C2" w:rsidP="004E0175">
      <w:pPr>
        <w:pStyle w:val="ListParagraph"/>
        <w:numPr>
          <w:ilvl w:val="0"/>
          <w:numId w:val="3"/>
        </w:numPr>
        <w:spacing w:after="0" w:line="216" w:lineRule="auto"/>
        <w:rPr>
          <w:rFonts w:ascii="Calibri" w:eastAsia="+mn-ea" w:hAnsi="Calibri" w:cs="+mn-cs"/>
          <w:color w:val="000000"/>
          <w:kern w:val="24"/>
          <w:lang w:eastAsia="en-GB"/>
        </w:rPr>
      </w:pPr>
      <w:r w:rsidRPr="004E0175">
        <w:rPr>
          <w:rFonts w:ascii="Calibri" w:eastAsia="+mn-ea" w:hAnsi="Calibri" w:cs="+mn-cs"/>
          <w:color w:val="000000"/>
          <w:kern w:val="24"/>
          <w:lang w:eastAsia="en-GB"/>
        </w:rPr>
        <w:t xml:space="preserve">Bridgstock, R. (2011) ‘Skills for creative industries graduate success’, </w:t>
      </w:r>
      <w:r w:rsidRPr="004E0175">
        <w:rPr>
          <w:rFonts w:ascii="Calibri" w:eastAsia="+mn-ea" w:hAnsi="Calibri" w:cs="+mn-cs"/>
          <w:i/>
          <w:iCs/>
          <w:color w:val="000000"/>
          <w:kern w:val="24"/>
          <w:lang w:eastAsia="en-GB"/>
        </w:rPr>
        <w:t>Emerald insight</w:t>
      </w:r>
      <w:r w:rsidRPr="004E0175">
        <w:rPr>
          <w:rFonts w:ascii="Calibri" w:eastAsia="+mn-ea" w:hAnsi="Calibri" w:cs="+mn-cs"/>
          <w:color w:val="000000"/>
          <w:kern w:val="24"/>
          <w:lang w:eastAsia="en-GB"/>
        </w:rPr>
        <w:t xml:space="preserve">, 15th February. Available at: </w:t>
      </w:r>
      <w:hyperlink r:id="rId8" w:history="1">
        <w:r w:rsidRPr="004E0175">
          <w:rPr>
            <w:rFonts w:ascii="Calibri" w:eastAsia="+mn-ea" w:hAnsi="Calibri" w:cs="+mn-cs"/>
            <w:color w:val="000000"/>
            <w:kern w:val="24"/>
            <w:u w:val="single"/>
            <w:lang w:eastAsia="en-GB"/>
          </w:rPr>
          <w:t>https://www.emerald.com/insight/content/doi/10.1108/00400911111102333/full/html</w:t>
        </w:r>
      </w:hyperlink>
      <w:r w:rsidRPr="004E0175">
        <w:rPr>
          <w:rFonts w:ascii="Calibri" w:eastAsia="+mn-ea" w:hAnsi="Calibri" w:cs="+mn-cs"/>
          <w:color w:val="000000"/>
          <w:kern w:val="24"/>
          <w:lang w:eastAsia="en-GB"/>
        </w:rPr>
        <w:t xml:space="preserve"> (Accessed: 20 October 2022). </w:t>
      </w:r>
    </w:p>
    <w:p w14:paraId="6858B54C" w14:textId="77777777" w:rsidR="000C43D9" w:rsidRPr="000C43D9" w:rsidRDefault="000C43D9" w:rsidP="00471D15">
      <w:pPr>
        <w:pStyle w:val="NormalWeb"/>
        <w:spacing w:before="200" w:beforeAutospacing="0" w:after="0" w:afterAutospacing="0" w:line="360" w:lineRule="auto"/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</w:pPr>
    </w:p>
    <w:p w14:paraId="1C0042FE" w14:textId="4E7BDF8F" w:rsidR="005F2643" w:rsidRDefault="00206456">
      <w:pPr>
        <w:rPr>
          <w:rFonts w:eastAsiaTheme="minorEastAsia" w:hAnsi="Calibri"/>
          <w:color w:val="000000" w:themeColor="text1"/>
          <w:kern w:val="24"/>
        </w:rPr>
      </w:pPr>
      <w:r w:rsidRPr="00206456">
        <w:rPr>
          <w:rFonts w:eastAsiaTheme="minorEastAsia" w:hAnsi="Calibri"/>
          <w:color w:val="000000" w:themeColor="text1"/>
          <w:kern w:val="24"/>
        </w:rPr>
        <w:t xml:space="preserve">Word count excluding quotes is 308. </w:t>
      </w:r>
    </w:p>
    <w:p w14:paraId="013C5030" w14:textId="01DCEFBF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13E62F9B" w14:textId="00BD1BA6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71DA5B53" w14:textId="60EE6132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3413A749" w14:textId="7105797A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7A1234FA" w14:textId="27875E2C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0F348180" w14:textId="6C58B1DC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21AC4520" w14:textId="68E4AE5F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280252DF" w14:textId="16A1B273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5447A0F8" w14:textId="5AF736F7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590478A5" w14:textId="1B9546C2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48C83AC5" w14:textId="44837D8B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03741F82" w14:textId="18E961D2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4C5A737B" w14:textId="450D0662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1FBAA922" w14:textId="56F7346C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64A3007A" w14:textId="5C564214" w:rsidR="00833119" w:rsidRDefault="00833119">
      <w:pPr>
        <w:rPr>
          <w:rFonts w:eastAsiaTheme="minorEastAsia" w:hAnsi="Calibri"/>
          <w:color w:val="000000" w:themeColor="text1"/>
          <w:kern w:val="24"/>
        </w:rPr>
      </w:pPr>
    </w:p>
    <w:p w14:paraId="7431D978" w14:textId="3770D97D" w:rsidR="00833119" w:rsidRPr="00833119" w:rsidRDefault="00833119">
      <w:pPr>
        <w:rPr>
          <w:rFonts w:eastAsiaTheme="minorEastAsia" w:hAnsi="Calibri"/>
          <w:color w:val="000000" w:themeColor="text1"/>
          <w:kern w:val="24"/>
          <w:sz w:val="28"/>
          <w:szCs w:val="28"/>
        </w:rPr>
      </w:pPr>
    </w:p>
    <w:p w14:paraId="7F5464DA" w14:textId="066D7CAB" w:rsidR="00833119" w:rsidRDefault="00833119">
      <w:pPr>
        <w:rPr>
          <w:rFonts w:eastAsiaTheme="minorEastAsia" w:hAnsi="Calibri"/>
          <w:color w:val="000000" w:themeColor="text1"/>
          <w:kern w:val="24"/>
          <w:sz w:val="28"/>
          <w:szCs w:val="28"/>
        </w:rPr>
      </w:pPr>
      <w:r w:rsidRPr="00833119">
        <w:rPr>
          <w:rFonts w:eastAsiaTheme="minorEastAsia" w:hAnsi="Calibri"/>
          <w:color w:val="000000" w:themeColor="text1"/>
          <w:kern w:val="24"/>
          <w:sz w:val="28"/>
          <w:szCs w:val="28"/>
        </w:rPr>
        <w:t xml:space="preserve">Review </w:t>
      </w:r>
    </w:p>
    <w:p w14:paraId="31546B83" w14:textId="0EAD4DB2" w:rsidR="00833119" w:rsidRDefault="00833119">
      <w:pPr>
        <w:rPr>
          <w:rFonts w:eastAsiaTheme="minorEastAsia" w:hAnsi="Calibri"/>
          <w:color w:val="000000" w:themeColor="text1"/>
          <w:kern w:val="24"/>
          <w:sz w:val="28"/>
          <w:szCs w:val="28"/>
        </w:rPr>
      </w:pPr>
    </w:p>
    <w:p w14:paraId="298A559F" w14:textId="6FFD46F9" w:rsidR="00833119" w:rsidRDefault="005C3383">
      <w:pPr>
        <w:rPr>
          <w:rFonts w:eastAsiaTheme="minorEastAsia" w:hAnsi="Calibri"/>
          <w:color w:val="000000" w:themeColor="text1"/>
          <w:kern w:val="24"/>
        </w:rPr>
      </w:pPr>
      <w:r>
        <w:rPr>
          <w:rFonts w:eastAsiaTheme="minorEastAsia" w:hAnsi="Calibri"/>
          <w:color w:val="000000" w:themeColor="text1"/>
          <w:kern w:val="24"/>
        </w:rPr>
        <w:t xml:space="preserve">I think that my essay should meet the criteria for </w:t>
      </w:r>
      <w:r w:rsidR="00DA678F">
        <w:rPr>
          <w:rFonts w:eastAsiaTheme="minorEastAsia" w:hAnsi="Calibri"/>
          <w:color w:val="000000" w:themeColor="text1"/>
          <w:kern w:val="24"/>
        </w:rPr>
        <w:t>a grade</w:t>
      </w:r>
      <w:r w:rsidR="00D717A4">
        <w:rPr>
          <w:rFonts w:eastAsiaTheme="minorEastAsia" w:hAnsi="Calibri"/>
          <w:color w:val="000000" w:themeColor="text1"/>
          <w:kern w:val="24"/>
        </w:rPr>
        <w:t xml:space="preserve"> of </w:t>
      </w:r>
      <w:r w:rsidR="00860DF8">
        <w:rPr>
          <w:rFonts w:eastAsiaTheme="minorEastAsia" w:hAnsi="Calibri"/>
          <w:color w:val="000000" w:themeColor="text1"/>
          <w:kern w:val="24"/>
        </w:rPr>
        <w:t>5</w:t>
      </w:r>
      <w:r w:rsidR="00400748">
        <w:rPr>
          <w:rFonts w:eastAsiaTheme="minorEastAsia" w:hAnsi="Calibri"/>
          <w:color w:val="000000" w:themeColor="text1"/>
          <w:kern w:val="24"/>
        </w:rPr>
        <w:t>7</w:t>
      </w:r>
      <w:r w:rsidR="00860DF8">
        <w:rPr>
          <w:rFonts w:eastAsiaTheme="minorEastAsia" w:hAnsi="Calibri"/>
          <w:color w:val="000000" w:themeColor="text1"/>
          <w:kern w:val="24"/>
        </w:rPr>
        <w:t>-62%</w:t>
      </w:r>
      <w:r w:rsidR="00DA678F">
        <w:rPr>
          <w:rFonts w:eastAsiaTheme="minorEastAsia" w:hAnsi="Calibri"/>
          <w:color w:val="000000" w:themeColor="text1"/>
          <w:kern w:val="24"/>
        </w:rPr>
        <w:t xml:space="preserve"> I have followed the referencing handbook</w:t>
      </w:r>
      <w:r w:rsidR="00860DF8">
        <w:rPr>
          <w:rFonts w:eastAsiaTheme="minorEastAsia" w:hAnsi="Calibri"/>
          <w:color w:val="000000" w:themeColor="text1"/>
          <w:kern w:val="24"/>
        </w:rPr>
        <w:t xml:space="preserve"> closely</w:t>
      </w:r>
      <w:r w:rsidR="00DA678F">
        <w:rPr>
          <w:rFonts w:eastAsiaTheme="minorEastAsia" w:hAnsi="Calibri"/>
          <w:color w:val="000000" w:themeColor="text1"/>
          <w:kern w:val="24"/>
        </w:rPr>
        <w:t>, so I am confident that</w:t>
      </w:r>
      <w:r w:rsidR="00860DF8">
        <w:rPr>
          <w:rFonts w:eastAsiaTheme="minorEastAsia" w:hAnsi="Calibri"/>
          <w:color w:val="000000" w:themeColor="text1"/>
          <w:kern w:val="24"/>
        </w:rPr>
        <w:t xml:space="preserve"> I have</w:t>
      </w:r>
      <w:r w:rsidR="00860DF8" w:rsidRPr="00860DF8">
        <w:rPr>
          <w:rFonts w:cs="Arial"/>
        </w:rPr>
        <w:t xml:space="preserve"> </w:t>
      </w:r>
      <w:r w:rsidR="00860DF8" w:rsidRPr="00066984">
        <w:rPr>
          <w:rFonts w:cs="Arial"/>
        </w:rPr>
        <w:t>generally sound referencing, with very few inaccuracies</w:t>
      </w:r>
      <w:r w:rsidR="00657A9B">
        <w:rPr>
          <w:rFonts w:cs="Arial"/>
        </w:rPr>
        <w:t xml:space="preserve"> or </w:t>
      </w:r>
      <w:r w:rsidR="00860DF8" w:rsidRPr="00066984">
        <w:rPr>
          <w:rFonts w:cs="Arial"/>
        </w:rPr>
        <w:t>inconsistencies.</w:t>
      </w:r>
      <w:r w:rsidR="00860DF8">
        <w:rPr>
          <w:rFonts w:cs="Arial"/>
        </w:rPr>
        <w:t xml:space="preserve"> </w:t>
      </w:r>
      <w:r w:rsidR="00DA678F">
        <w:rPr>
          <w:rFonts w:eastAsiaTheme="minorEastAsia" w:hAnsi="Calibri"/>
          <w:color w:val="000000" w:themeColor="text1"/>
          <w:kern w:val="24"/>
        </w:rPr>
        <w:t xml:space="preserve">I also used a range of different sources including a textbook, </w:t>
      </w:r>
      <w:r w:rsidR="00657A9B">
        <w:rPr>
          <w:rFonts w:eastAsiaTheme="minorEastAsia" w:hAnsi="Calibri"/>
          <w:color w:val="000000" w:themeColor="text1"/>
          <w:kern w:val="24"/>
        </w:rPr>
        <w:t xml:space="preserve">an </w:t>
      </w:r>
      <w:r w:rsidR="00DA678F">
        <w:rPr>
          <w:rFonts w:eastAsiaTheme="minorEastAsia" w:hAnsi="Calibri"/>
          <w:color w:val="000000" w:themeColor="text1"/>
          <w:kern w:val="24"/>
        </w:rPr>
        <w:t xml:space="preserve">article and </w:t>
      </w:r>
      <w:r w:rsidR="00657A9B">
        <w:rPr>
          <w:rFonts w:eastAsiaTheme="minorEastAsia" w:hAnsi="Calibri"/>
          <w:color w:val="000000" w:themeColor="text1"/>
          <w:kern w:val="24"/>
        </w:rPr>
        <w:t xml:space="preserve">a </w:t>
      </w:r>
      <w:r w:rsidR="00DA678F">
        <w:rPr>
          <w:rFonts w:eastAsiaTheme="minorEastAsia" w:hAnsi="Calibri"/>
          <w:color w:val="000000" w:themeColor="text1"/>
          <w:kern w:val="24"/>
        </w:rPr>
        <w:t>blog</w:t>
      </w:r>
      <w:r w:rsidR="00657A9B">
        <w:rPr>
          <w:rFonts w:eastAsiaTheme="minorEastAsia" w:hAnsi="Calibri"/>
          <w:color w:val="000000" w:themeColor="text1"/>
          <w:kern w:val="24"/>
        </w:rPr>
        <w:t xml:space="preserve">. </w:t>
      </w:r>
    </w:p>
    <w:p w14:paraId="1245827E" w14:textId="236F1CAA" w:rsidR="00657A9B" w:rsidRDefault="002C00F8">
      <w:pPr>
        <w:rPr>
          <w:rFonts w:eastAsiaTheme="minorEastAsia" w:hAnsi="Calibri"/>
          <w:color w:val="000000" w:themeColor="text1"/>
          <w:kern w:val="24"/>
        </w:rPr>
      </w:pPr>
      <w:r>
        <w:rPr>
          <w:rFonts w:eastAsiaTheme="minorEastAsia" w:hAnsi="Calibri"/>
          <w:color w:val="000000" w:themeColor="text1"/>
          <w:kern w:val="24"/>
        </w:rPr>
        <w:t xml:space="preserve">I have a similarity score of 25%. I am happy with this score, but I feel like I could improve it by choosing smaller quotes </w:t>
      </w:r>
      <w:r w:rsidR="002E4A1B">
        <w:rPr>
          <w:rFonts w:eastAsiaTheme="minorEastAsia" w:hAnsi="Calibri"/>
          <w:color w:val="000000" w:themeColor="text1"/>
          <w:kern w:val="24"/>
        </w:rPr>
        <w:t>so that I have more room for writing. I could also paraphrase</w:t>
      </w:r>
      <w:r>
        <w:rPr>
          <w:rFonts w:eastAsiaTheme="minorEastAsia" w:hAnsi="Calibri"/>
          <w:color w:val="000000" w:themeColor="text1"/>
          <w:kern w:val="24"/>
        </w:rPr>
        <w:t xml:space="preserve"> </w:t>
      </w:r>
      <w:r w:rsidR="002E4A1B">
        <w:rPr>
          <w:rFonts w:eastAsiaTheme="minorEastAsia" w:hAnsi="Calibri"/>
          <w:color w:val="000000" w:themeColor="text1"/>
          <w:kern w:val="24"/>
        </w:rPr>
        <w:t xml:space="preserve">my quotes </w:t>
      </w:r>
      <w:r>
        <w:rPr>
          <w:rFonts w:eastAsiaTheme="minorEastAsia" w:hAnsi="Calibri"/>
          <w:color w:val="000000" w:themeColor="text1"/>
          <w:kern w:val="24"/>
        </w:rPr>
        <w:t>to make them smaller</w:t>
      </w:r>
      <w:r w:rsidR="002E4A1B">
        <w:rPr>
          <w:rFonts w:eastAsiaTheme="minorEastAsia" w:hAnsi="Calibri"/>
          <w:color w:val="000000" w:themeColor="text1"/>
          <w:kern w:val="24"/>
        </w:rPr>
        <w:t xml:space="preserve"> and more straight to the point. </w:t>
      </w:r>
    </w:p>
    <w:p w14:paraId="04C1FAAE" w14:textId="77777777" w:rsidR="00657A9B" w:rsidRDefault="00657A9B">
      <w:pPr>
        <w:rPr>
          <w:rFonts w:eastAsiaTheme="minorEastAsia" w:hAnsi="Calibri"/>
          <w:color w:val="000000" w:themeColor="text1"/>
          <w:kern w:val="24"/>
        </w:rPr>
      </w:pPr>
    </w:p>
    <w:p w14:paraId="0FF7F080" w14:textId="35D21067" w:rsidR="00D717A4" w:rsidRDefault="00D717A4">
      <w:pPr>
        <w:rPr>
          <w:rFonts w:eastAsiaTheme="minorEastAsia" w:hAnsi="Calibri"/>
          <w:color w:val="000000" w:themeColor="text1"/>
          <w:kern w:val="24"/>
        </w:rPr>
      </w:pPr>
    </w:p>
    <w:p w14:paraId="0467351E" w14:textId="77777777" w:rsidR="00833119" w:rsidRPr="00206456" w:rsidRDefault="00833119">
      <w:pPr>
        <w:rPr>
          <w:rFonts w:eastAsiaTheme="minorEastAsia" w:hAnsi="Calibri"/>
          <w:color w:val="000000" w:themeColor="text1"/>
          <w:kern w:val="24"/>
        </w:rPr>
      </w:pPr>
    </w:p>
    <w:sectPr w:rsidR="00833119" w:rsidRPr="002064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A1196"/>
    <w:multiLevelType w:val="hybridMultilevel"/>
    <w:tmpl w:val="CC7AEE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A04EBB"/>
    <w:multiLevelType w:val="hybridMultilevel"/>
    <w:tmpl w:val="3788E938"/>
    <w:lvl w:ilvl="0" w:tplc="C11CF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F29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9633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42D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80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86C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8606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AA0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A0B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6090F8E"/>
    <w:multiLevelType w:val="hybridMultilevel"/>
    <w:tmpl w:val="C816B14A"/>
    <w:lvl w:ilvl="0" w:tplc="EE6E7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4CA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60C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B800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D21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C04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1C3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0AC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0A1D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3639002">
    <w:abstractNumId w:val="1"/>
  </w:num>
  <w:num w:numId="2" w16cid:durableId="768044820">
    <w:abstractNumId w:val="2"/>
  </w:num>
  <w:num w:numId="3" w16cid:durableId="106633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C4D"/>
    <w:rsid w:val="00042940"/>
    <w:rsid w:val="00044F97"/>
    <w:rsid w:val="0006142C"/>
    <w:rsid w:val="00073DDB"/>
    <w:rsid w:val="000925C2"/>
    <w:rsid w:val="000C43D9"/>
    <w:rsid w:val="000F1CB0"/>
    <w:rsid w:val="00103134"/>
    <w:rsid w:val="001742A1"/>
    <w:rsid w:val="00206456"/>
    <w:rsid w:val="002C00F8"/>
    <w:rsid w:val="002E4A1B"/>
    <w:rsid w:val="00353FC6"/>
    <w:rsid w:val="00371C41"/>
    <w:rsid w:val="003A44D3"/>
    <w:rsid w:val="00400748"/>
    <w:rsid w:val="00471D15"/>
    <w:rsid w:val="004B5BC6"/>
    <w:rsid w:val="004E0175"/>
    <w:rsid w:val="004F674C"/>
    <w:rsid w:val="00534536"/>
    <w:rsid w:val="005C3383"/>
    <w:rsid w:val="005F2643"/>
    <w:rsid w:val="006323D7"/>
    <w:rsid w:val="006355FC"/>
    <w:rsid w:val="00641E3C"/>
    <w:rsid w:val="006514CC"/>
    <w:rsid w:val="00657A9B"/>
    <w:rsid w:val="006E0B38"/>
    <w:rsid w:val="00726F41"/>
    <w:rsid w:val="007378C9"/>
    <w:rsid w:val="007F604B"/>
    <w:rsid w:val="00811B8A"/>
    <w:rsid w:val="00833119"/>
    <w:rsid w:val="00860DF8"/>
    <w:rsid w:val="00881867"/>
    <w:rsid w:val="008B48E0"/>
    <w:rsid w:val="008C7826"/>
    <w:rsid w:val="008F1FD3"/>
    <w:rsid w:val="00900C5F"/>
    <w:rsid w:val="009237BD"/>
    <w:rsid w:val="009912F7"/>
    <w:rsid w:val="009C6DE7"/>
    <w:rsid w:val="00A1152A"/>
    <w:rsid w:val="00A248E8"/>
    <w:rsid w:val="00A63B7C"/>
    <w:rsid w:val="00B15B19"/>
    <w:rsid w:val="00B72E11"/>
    <w:rsid w:val="00B9755B"/>
    <w:rsid w:val="00BA2C4D"/>
    <w:rsid w:val="00BF1571"/>
    <w:rsid w:val="00C02F7C"/>
    <w:rsid w:val="00C07365"/>
    <w:rsid w:val="00C276FF"/>
    <w:rsid w:val="00C70F69"/>
    <w:rsid w:val="00CA22F2"/>
    <w:rsid w:val="00CF1E4B"/>
    <w:rsid w:val="00D06B28"/>
    <w:rsid w:val="00D717A4"/>
    <w:rsid w:val="00D866E3"/>
    <w:rsid w:val="00DA678F"/>
    <w:rsid w:val="00DB526E"/>
    <w:rsid w:val="00DF10E5"/>
    <w:rsid w:val="00E97FDD"/>
    <w:rsid w:val="00F50CDF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1F47F"/>
  <w15:chartTrackingRefBased/>
  <w15:docId w15:val="{3BFA1A50-2609-4C98-B03C-06EBE301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26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264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42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E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5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864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047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erald.com/insight/content/doi/10.1108/00400911111102333/full/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blog.pearsoncollegelondon.ac.uk/2019/10/08/7-essential-skills-for-the-creative-industrie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ts.ac.uk/students/student-careers/stories/top-3-transferable-skills-for-creative-graduate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79BA9-7E74-4BFD-A3A9-A5738FFDD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Measor (2202458)</dc:creator>
  <cp:keywords/>
  <dc:description/>
  <cp:lastModifiedBy>Sam Measor (2202458)</cp:lastModifiedBy>
  <cp:revision>12</cp:revision>
  <dcterms:created xsi:type="dcterms:W3CDTF">2022-10-20T16:50:00Z</dcterms:created>
  <dcterms:modified xsi:type="dcterms:W3CDTF">2022-10-24T22:37:00Z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fe92beeb-c706-4509-b5e8-b63394d6e2cb</vt:lpwstr>
  </property>
</Properties>
</file>