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19901702"/>
        <w:docPartObj>
          <w:docPartGallery w:val="Cover Pages"/>
          <w:docPartUnique/>
        </w:docPartObj>
      </w:sdtPr>
      <w:sdtEndPr>
        <w:rPr>
          <w:rFonts w:ascii="Arial" w:eastAsia="Times New Roman" w:hAnsi="Arial" w:cs="Arial"/>
          <w:color w:val="0E101A"/>
          <w:sz w:val="24"/>
          <w:szCs w:val="24"/>
          <w:u w:val="single"/>
          <w:lang w:eastAsia="en-GB"/>
        </w:rPr>
      </w:sdtEndPr>
      <w:sdtContent>
        <w:p w14:paraId="144BBDEF" w14:textId="1D5CE30A" w:rsidR="00260E64" w:rsidRDefault="00260E64">
          <w:r>
            <w:rPr>
              <w:noProof/>
            </w:rPr>
            <mc:AlternateContent>
              <mc:Choice Requires="wpg">
                <w:drawing>
                  <wp:anchor distT="0" distB="0" distL="114300" distR="114300" simplePos="0" relativeHeight="251662336" behindDoc="0" locked="0" layoutInCell="1" allowOverlap="1" wp14:anchorId="38C238C4" wp14:editId="2CD007A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0A07FF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qSexgAAANwAAAAPAAAAZHJzL2Rvd25yZXYueG1sRI9Pb8Iw&#10;DMXvSHyHyEi7oJF2gmnrCIg/mwTHMaRdrcY01RqnNFnpvv18mLSbrff83s/L9eAb1VMX68AG8lkG&#10;irgMtubKwPnj7f4JVEzIFpvAZOCHIqxX49ESCxtu/E79KVVKQjgWaMCl1BZax9KRxzgLLbFol9B5&#10;TLJ2lbYd3iTcN/ohyx61x5qlwWFLO0fl1+nbG7huj9P9Oe/d53R4nV/y+SLsn4/G3E2GzQuoREP6&#10;N/9dH6zgLwRfnpEJ9OoXAAD//wMAUEsBAi0AFAAGAAgAAAAhANvh9svuAAAAhQEAABMAAAAAAAAA&#10;AAAAAAAAAAAAAFtDb250ZW50X1R5cGVzXS54bWxQSwECLQAUAAYACAAAACEAWvQsW78AAAAVAQAA&#10;CwAAAAAAAAAAAAAAAAAfAQAAX3JlbHMvLnJlbHNQSwECLQAUAAYACAAAACEAcHqknsYAAADcAAAA&#10;DwAAAAAAAAAAAAAAAAAHAgAAZHJzL2Rvd25yZXYueG1sUEsFBgAAAAADAAMAtwAAAPoCAAAAAA==&#10;" path="m,l7312660,r,1129665l3619500,733425,,1091565,,xe" fillcolor="#6f6f74 [3204]" stroked="f" strokeweight="1.1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KHwwAAANwAAAAPAAAAZHJzL2Rvd25yZXYueG1sRE9NawIx&#10;EL0L/ocwgjfNqlh0a5TF0mLBg9oKPQ6bcbO4mSybVFd/fSMUvM3jfc5i1dpKXKjxpWMFo2ECgjh3&#10;uuRCwffX+2AGwgdkjZVjUnAjD6tlt7PAVLsr7+lyCIWIIexTVGBCqFMpfW7Ioh+6mjhyJ9dYDBE2&#10;hdQNXmO4reQ4SV6kxZJjg8Ga1oby8+HXKjgef/ZlmM/fPs52m8lPszvdJ5lS/V6bvYII1Ian+N+9&#10;0XH+dASPZ+IFcvkHAAD//wMAUEsBAi0AFAAGAAgAAAAhANvh9svuAAAAhQEAABMAAAAAAAAAAAAA&#10;AAAAAAAAAFtDb250ZW50X1R5cGVzXS54bWxQSwECLQAUAAYACAAAACEAWvQsW78AAAAVAQAACwAA&#10;AAAAAAAAAAAAAAAfAQAAX3JlbHMvLnJlbHNQSwECLQAUAAYACAAAACEA2Ppih8MAAADcAAAADwAA&#10;AAAAAAAAAAAAAAAHAgAAZHJzL2Rvd25yZXYueG1sUEsFBgAAAAADAAMAtwAAAPcCAAAAAA==&#10;" stroked="f" strokeweight="1.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7444099" wp14:editId="106F352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BA37562" w14:textId="4493F8AC" w:rsidR="00260E64" w:rsidRDefault="00260E64">
                                    <w:pPr>
                                      <w:pStyle w:val="NoSpacing"/>
                                      <w:jc w:val="right"/>
                                      <w:rPr>
                                        <w:color w:val="595959" w:themeColor="text1" w:themeTint="A6"/>
                                        <w:sz w:val="28"/>
                                        <w:szCs w:val="28"/>
                                      </w:rPr>
                                    </w:pPr>
                                    <w:r>
                                      <w:rPr>
                                        <w:color w:val="595959" w:themeColor="text1" w:themeTint="A6"/>
                                        <w:sz w:val="28"/>
                                        <w:szCs w:val="28"/>
                                      </w:rPr>
                                      <w:t>Aaron Samuel Williams (1900369)</w:t>
                                    </w:r>
                                  </w:p>
                                </w:sdtContent>
                              </w:sdt>
                              <w:p w14:paraId="28DB1262" w14:textId="2C7C2C4E" w:rsidR="00260E64" w:rsidRDefault="00260E64" w:rsidP="00260E64">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744409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BA37562" w14:textId="4493F8AC" w:rsidR="00260E64" w:rsidRDefault="00260E64">
                              <w:pPr>
                                <w:pStyle w:val="NoSpacing"/>
                                <w:jc w:val="right"/>
                                <w:rPr>
                                  <w:color w:val="595959" w:themeColor="text1" w:themeTint="A6"/>
                                  <w:sz w:val="28"/>
                                  <w:szCs w:val="28"/>
                                </w:rPr>
                              </w:pPr>
                              <w:r>
                                <w:rPr>
                                  <w:color w:val="595959" w:themeColor="text1" w:themeTint="A6"/>
                                  <w:sz w:val="28"/>
                                  <w:szCs w:val="28"/>
                                </w:rPr>
                                <w:t>Aaron Samuel Williams (1900369)</w:t>
                              </w:r>
                            </w:p>
                          </w:sdtContent>
                        </w:sdt>
                        <w:p w14:paraId="28DB1262" w14:textId="2C7C2C4E" w:rsidR="00260E64" w:rsidRDefault="00260E64" w:rsidP="00260E64">
                          <w:pPr>
                            <w:pStyle w:val="NoSpacing"/>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555FD18" wp14:editId="1EDB4DD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8FC0502" w14:textId="25509EB3" w:rsidR="00260E64" w:rsidRDefault="00260E64">
                                    <w:pPr>
                                      <w:pStyle w:val="NoSpacing"/>
                                      <w:jc w:val="right"/>
                                      <w:rPr>
                                        <w:color w:val="595959" w:themeColor="text1" w:themeTint="A6"/>
                                        <w:sz w:val="20"/>
                                        <w:szCs w:val="20"/>
                                      </w:rPr>
                                    </w:pPr>
                                    <w:r>
                                      <w:rPr>
                                        <w:color w:val="595959" w:themeColor="text1" w:themeTint="A6"/>
                                        <w:sz w:val="20"/>
                                        <w:szCs w:val="20"/>
                                      </w:rPr>
                                      <w:t xml:space="preserve">Lecturer: Jane Thomas </w:t>
                                    </w:r>
                                    <w:r>
                                      <w:rPr>
                                        <w:color w:val="595959" w:themeColor="text1" w:themeTint="A6"/>
                                        <w:sz w:val="20"/>
                                        <w:szCs w:val="20"/>
                                      </w:rPr>
                                      <w:br/>
                                      <w:t>Deadline: 07/01/2022</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555FD18"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8FC0502" w14:textId="25509EB3" w:rsidR="00260E64" w:rsidRDefault="00260E64">
                              <w:pPr>
                                <w:pStyle w:val="NoSpacing"/>
                                <w:jc w:val="right"/>
                                <w:rPr>
                                  <w:color w:val="595959" w:themeColor="text1" w:themeTint="A6"/>
                                  <w:sz w:val="20"/>
                                  <w:szCs w:val="20"/>
                                </w:rPr>
                              </w:pPr>
                              <w:r>
                                <w:rPr>
                                  <w:color w:val="595959" w:themeColor="text1" w:themeTint="A6"/>
                                  <w:sz w:val="20"/>
                                  <w:szCs w:val="20"/>
                                </w:rPr>
                                <w:t xml:space="preserve">Lecturer: Jane Thomas </w:t>
                              </w:r>
                              <w:r>
                                <w:rPr>
                                  <w:color w:val="595959" w:themeColor="text1" w:themeTint="A6"/>
                                  <w:sz w:val="20"/>
                                  <w:szCs w:val="20"/>
                                </w:rPr>
                                <w:br/>
                                <w:t>Deadline: 07/01/2022</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E464649" wp14:editId="4903512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58ED61" w14:textId="30398B54" w:rsidR="00260E64" w:rsidRPr="00F13123" w:rsidRDefault="00F13123">
                                <w:pPr>
                                  <w:jc w:val="right"/>
                                  <w:rPr>
                                    <w:color w:val="6F6F74" w:themeColor="accent1"/>
                                    <w:sz w:val="64"/>
                                    <w:szCs w:val="64"/>
                                  </w:rPr>
                                </w:pPr>
                                <w:sdt>
                                  <w:sdtPr>
                                    <w:rPr>
                                      <w:rFonts w:ascii="Arial" w:eastAsia="Times New Roman" w:hAnsi="Arial" w:cs="Arial"/>
                                      <w:color w:val="0E101A"/>
                                      <w:sz w:val="24"/>
                                      <w:szCs w:val="24"/>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F13123">
                                      <w:rPr>
                                        <w:rFonts w:ascii="Arial" w:eastAsia="Times New Roman" w:hAnsi="Arial" w:cs="Arial"/>
                                        <w:color w:val="0E101A"/>
                                        <w:sz w:val="24"/>
                                        <w:szCs w:val="24"/>
                                        <w:lang w:eastAsia="en-GB"/>
                                      </w:rPr>
                                      <w:t>A Critical Evaluation of the Nature and Extent of Offending and if the Impact of Early Intervention Can Help to Curve Offending</w:t>
                                    </w:r>
                                  </w:sdtContent>
                                </w:sdt>
                              </w:p>
                              <w:p w14:paraId="799758EF" w14:textId="63935592" w:rsidR="00260E64" w:rsidRDefault="00260E64" w:rsidP="00260E64">
                                <w:pP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E464649"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758ED61" w14:textId="30398B54" w:rsidR="00260E64" w:rsidRPr="00F13123" w:rsidRDefault="00F13123">
                          <w:pPr>
                            <w:jc w:val="right"/>
                            <w:rPr>
                              <w:color w:val="6F6F74" w:themeColor="accent1"/>
                              <w:sz w:val="64"/>
                              <w:szCs w:val="64"/>
                            </w:rPr>
                          </w:pPr>
                          <w:sdt>
                            <w:sdtPr>
                              <w:rPr>
                                <w:rFonts w:ascii="Arial" w:eastAsia="Times New Roman" w:hAnsi="Arial" w:cs="Arial"/>
                                <w:color w:val="0E101A"/>
                                <w:sz w:val="24"/>
                                <w:szCs w:val="24"/>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F13123">
                                <w:rPr>
                                  <w:rFonts w:ascii="Arial" w:eastAsia="Times New Roman" w:hAnsi="Arial" w:cs="Arial"/>
                                  <w:color w:val="0E101A"/>
                                  <w:sz w:val="24"/>
                                  <w:szCs w:val="24"/>
                                  <w:lang w:eastAsia="en-GB"/>
                                </w:rPr>
                                <w:t>A Critical Evaluation of the Nature and Extent of Offending and if the Impact of Early Intervention Can Help to Curve Offending</w:t>
                              </w:r>
                            </w:sdtContent>
                          </w:sdt>
                        </w:p>
                        <w:p w14:paraId="799758EF" w14:textId="63935592" w:rsidR="00260E64" w:rsidRDefault="00260E64" w:rsidP="00260E64">
                          <w:pPr>
                            <w:rPr>
                              <w:smallCaps/>
                              <w:color w:val="404040" w:themeColor="text1" w:themeTint="BF"/>
                              <w:sz w:val="36"/>
                              <w:szCs w:val="36"/>
                            </w:rPr>
                          </w:pPr>
                        </w:p>
                      </w:txbxContent>
                    </v:textbox>
                    <w10:wrap type="square" anchorx="page" anchory="page"/>
                  </v:shape>
                </w:pict>
              </mc:Fallback>
            </mc:AlternateContent>
          </w:r>
        </w:p>
        <w:p w14:paraId="22CE33BC" w14:textId="1F4D684A" w:rsidR="00260E64" w:rsidRDefault="00260E64">
          <w:pPr>
            <w:rPr>
              <w:rFonts w:ascii="Arial" w:eastAsia="Times New Roman" w:hAnsi="Arial" w:cs="Arial"/>
              <w:color w:val="0E101A"/>
              <w:sz w:val="24"/>
              <w:szCs w:val="24"/>
              <w:u w:val="single"/>
              <w:lang w:eastAsia="en-GB"/>
            </w:rPr>
          </w:pPr>
          <w:r>
            <w:rPr>
              <w:rFonts w:ascii="Arial" w:eastAsia="Times New Roman" w:hAnsi="Arial" w:cs="Arial"/>
              <w:color w:val="0E101A"/>
              <w:sz w:val="24"/>
              <w:szCs w:val="24"/>
              <w:u w:val="single"/>
              <w:lang w:eastAsia="en-GB"/>
            </w:rPr>
            <w:br w:type="page"/>
          </w:r>
        </w:p>
      </w:sdtContent>
    </w:sdt>
    <w:p w14:paraId="7967A842" w14:textId="05D6F6FE" w:rsidR="004A3970" w:rsidRPr="004A3970" w:rsidRDefault="004A3970" w:rsidP="004A3970">
      <w:pPr>
        <w:spacing w:after="0" w:line="480" w:lineRule="auto"/>
        <w:jc w:val="center"/>
        <w:rPr>
          <w:rFonts w:ascii="Arial" w:eastAsia="Times New Roman" w:hAnsi="Arial" w:cs="Arial"/>
          <w:color w:val="0E101A"/>
          <w:sz w:val="24"/>
          <w:szCs w:val="24"/>
          <w:u w:val="single"/>
          <w:lang w:eastAsia="en-GB"/>
        </w:rPr>
      </w:pPr>
      <w:r>
        <w:rPr>
          <w:rFonts w:ascii="Arial" w:eastAsia="Times New Roman" w:hAnsi="Arial" w:cs="Arial"/>
          <w:color w:val="0E101A"/>
          <w:sz w:val="24"/>
          <w:szCs w:val="24"/>
          <w:u w:val="single"/>
          <w:lang w:eastAsia="en-GB"/>
        </w:rPr>
        <w:lastRenderedPageBreak/>
        <w:t>A C</w:t>
      </w:r>
      <w:r w:rsidRPr="004A3970">
        <w:rPr>
          <w:rFonts w:ascii="Arial" w:eastAsia="Times New Roman" w:hAnsi="Arial" w:cs="Arial"/>
          <w:color w:val="0E101A"/>
          <w:sz w:val="24"/>
          <w:szCs w:val="24"/>
          <w:u w:val="single"/>
          <w:lang w:eastAsia="en-GB"/>
        </w:rPr>
        <w:t xml:space="preserve">ritical </w:t>
      </w:r>
      <w:r>
        <w:rPr>
          <w:rFonts w:ascii="Arial" w:eastAsia="Times New Roman" w:hAnsi="Arial" w:cs="Arial"/>
          <w:color w:val="0E101A"/>
          <w:sz w:val="24"/>
          <w:szCs w:val="24"/>
          <w:u w:val="single"/>
          <w:lang w:eastAsia="en-GB"/>
        </w:rPr>
        <w:t>E</w:t>
      </w:r>
      <w:r w:rsidRPr="004A3970">
        <w:rPr>
          <w:rFonts w:ascii="Arial" w:eastAsia="Times New Roman" w:hAnsi="Arial" w:cs="Arial"/>
          <w:color w:val="0E101A"/>
          <w:sz w:val="24"/>
          <w:szCs w:val="24"/>
          <w:u w:val="single"/>
          <w:lang w:eastAsia="en-GB"/>
        </w:rPr>
        <w:t>valuat</w:t>
      </w:r>
      <w:r>
        <w:rPr>
          <w:rFonts w:ascii="Arial" w:eastAsia="Times New Roman" w:hAnsi="Arial" w:cs="Arial"/>
          <w:color w:val="0E101A"/>
          <w:sz w:val="24"/>
          <w:szCs w:val="24"/>
          <w:u w:val="single"/>
          <w:lang w:eastAsia="en-GB"/>
        </w:rPr>
        <w:t>ion of</w:t>
      </w:r>
      <w:r w:rsidRPr="004A3970">
        <w:rPr>
          <w:rFonts w:ascii="Arial" w:eastAsia="Times New Roman" w:hAnsi="Arial" w:cs="Arial"/>
          <w:color w:val="0E101A"/>
          <w:sz w:val="24"/>
          <w:szCs w:val="24"/>
          <w:u w:val="single"/>
          <w:lang w:eastAsia="en-GB"/>
        </w:rPr>
        <w:t xml:space="preserve"> the </w:t>
      </w:r>
      <w:r>
        <w:rPr>
          <w:rFonts w:ascii="Arial" w:eastAsia="Times New Roman" w:hAnsi="Arial" w:cs="Arial"/>
          <w:color w:val="0E101A"/>
          <w:sz w:val="24"/>
          <w:szCs w:val="24"/>
          <w:u w:val="single"/>
          <w:lang w:eastAsia="en-GB"/>
        </w:rPr>
        <w:t>N</w:t>
      </w:r>
      <w:r w:rsidRPr="004A3970">
        <w:rPr>
          <w:rFonts w:ascii="Arial" w:eastAsia="Times New Roman" w:hAnsi="Arial" w:cs="Arial"/>
          <w:color w:val="0E101A"/>
          <w:sz w:val="24"/>
          <w:szCs w:val="24"/>
          <w:u w:val="single"/>
          <w:lang w:eastAsia="en-GB"/>
        </w:rPr>
        <w:t xml:space="preserve">ature and </w:t>
      </w:r>
      <w:r>
        <w:rPr>
          <w:rFonts w:ascii="Arial" w:eastAsia="Times New Roman" w:hAnsi="Arial" w:cs="Arial"/>
          <w:color w:val="0E101A"/>
          <w:sz w:val="24"/>
          <w:szCs w:val="24"/>
          <w:u w:val="single"/>
          <w:lang w:eastAsia="en-GB"/>
        </w:rPr>
        <w:t>E</w:t>
      </w:r>
      <w:r w:rsidRPr="004A3970">
        <w:rPr>
          <w:rFonts w:ascii="Arial" w:eastAsia="Times New Roman" w:hAnsi="Arial" w:cs="Arial"/>
          <w:color w:val="0E101A"/>
          <w:sz w:val="24"/>
          <w:szCs w:val="24"/>
          <w:u w:val="single"/>
          <w:lang w:eastAsia="en-GB"/>
        </w:rPr>
        <w:t>xten</w:t>
      </w:r>
      <w:r>
        <w:rPr>
          <w:rFonts w:ascii="Arial" w:eastAsia="Times New Roman" w:hAnsi="Arial" w:cs="Arial"/>
          <w:color w:val="0E101A"/>
          <w:sz w:val="24"/>
          <w:szCs w:val="24"/>
          <w:u w:val="single"/>
          <w:lang w:eastAsia="en-GB"/>
        </w:rPr>
        <w:t>t</w:t>
      </w:r>
      <w:r w:rsidRPr="004A3970">
        <w:rPr>
          <w:rFonts w:ascii="Arial" w:eastAsia="Times New Roman" w:hAnsi="Arial" w:cs="Arial"/>
          <w:color w:val="0E101A"/>
          <w:sz w:val="24"/>
          <w:szCs w:val="24"/>
          <w:u w:val="single"/>
          <w:lang w:eastAsia="en-GB"/>
        </w:rPr>
        <w:t xml:space="preserve"> of </w:t>
      </w:r>
      <w:r>
        <w:rPr>
          <w:rFonts w:ascii="Arial" w:eastAsia="Times New Roman" w:hAnsi="Arial" w:cs="Arial"/>
          <w:color w:val="0E101A"/>
          <w:sz w:val="24"/>
          <w:szCs w:val="24"/>
          <w:u w:val="single"/>
          <w:lang w:eastAsia="en-GB"/>
        </w:rPr>
        <w:t>O</w:t>
      </w:r>
      <w:r w:rsidRPr="004A3970">
        <w:rPr>
          <w:rFonts w:ascii="Arial" w:eastAsia="Times New Roman" w:hAnsi="Arial" w:cs="Arial"/>
          <w:color w:val="0E101A"/>
          <w:sz w:val="24"/>
          <w:szCs w:val="24"/>
          <w:u w:val="single"/>
          <w:lang w:eastAsia="en-GB"/>
        </w:rPr>
        <w:t xml:space="preserve">ffending and if the </w:t>
      </w:r>
      <w:r>
        <w:rPr>
          <w:rFonts w:ascii="Arial" w:eastAsia="Times New Roman" w:hAnsi="Arial" w:cs="Arial"/>
          <w:color w:val="0E101A"/>
          <w:sz w:val="24"/>
          <w:szCs w:val="24"/>
          <w:u w:val="single"/>
          <w:lang w:eastAsia="en-GB"/>
        </w:rPr>
        <w:t>I</w:t>
      </w:r>
      <w:r w:rsidRPr="004A3970">
        <w:rPr>
          <w:rFonts w:ascii="Arial" w:eastAsia="Times New Roman" w:hAnsi="Arial" w:cs="Arial"/>
          <w:color w:val="0E101A"/>
          <w:sz w:val="24"/>
          <w:szCs w:val="24"/>
          <w:u w:val="single"/>
          <w:lang w:eastAsia="en-GB"/>
        </w:rPr>
        <w:t xml:space="preserve">mpact of </w:t>
      </w:r>
      <w:r>
        <w:rPr>
          <w:rFonts w:ascii="Arial" w:eastAsia="Times New Roman" w:hAnsi="Arial" w:cs="Arial"/>
          <w:color w:val="0E101A"/>
          <w:sz w:val="24"/>
          <w:szCs w:val="24"/>
          <w:u w:val="single"/>
          <w:lang w:eastAsia="en-GB"/>
        </w:rPr>
        <w:t>E</w:t>
      </w:r>
      <w:r w:rsidRPr="004A3970">
        <w:rPr>
          <w:rFonts w:ascii="Arial" w:eastAsia="Times New Roman" w:hAnsi="Arial" w:cs="Arial"/>
          <w:color w:val="0E101A"/>
          <w:sz w:val="24"/>
          <w:szCs w:val="24"/>
          <w:u w:val="single"/>
          <w:lang w:eastAsia="en-GB"/>
        </w:rPr>
        <w:t xml:space="preserve">arly </w:t>
      </w:r>
      <w:r>
        <w:rPr>
          <w:rFonts w:ascii="Arial" w:eastAsia="Times New Roman" w:hAnsi="Arial" w:cs="Arial"/>
          <w:color w:val="0E101A"/>
          <w:sz w:val="24"/>
          <w:szCs w:val="24"/>
          <w:u w:val="single"/>
          <w:lang w:eastAsia="en-GB"/>
        </w:rPr>
        <w:t>I</w:t>
      </w:r>
      <w:r w:rsidRPr="004A3970">
        <w:rPr>
          <w:rFonts w:ascii="Arial" w:eastAsia="Times New Roman" w:hAnsi="Arial" w:cs="Arial"/>
          <w:color w:val="0E101A"/>
          <w:sz w:val="24"/>
          <w:szCs w:val="24"/>
          <w:u w:val="single"/>
          <w:lang w:eastAsia="en-GB"/>
        </w:rPr>
        <w:t xml:space="preserve">ntervention </w:t>
      </w:r>
      <w:r>
        <w:rPr>
          <w:rFonts w:ascii="Arial" w:eastAsia="Times New Roman" w:hAnsi="Arial" w:cs="Arial"/>
          <w:color w:val="0E101A"/>
          <w:sz w:val="24"/>
          <w:szCs w:val="24"/>
          <w:u w:val="single"/>
          <w:lang w:eastAsia="en-GB"/>
        </w:rPr>
        <w:t>C</w:t>
      </w:r>
      <w:r w:rsidRPr="004A3970">
        <w:rPr>
          <w:rFonts w:ascii="Arial" w:eastAsia="Times New Roman" w:hAnsi="Arial" w:cs="Arial"/>
          <w:color w:val="0E101A"/>
          <w:sz w:val="24"/>
          <w:szCs w:val="24"/>
          <w:u w:val="single"/>
          <w:lang w:eastAsia="en-GB"/>
        </w:rPr>
        <w:t xml:space="preserve">an </w:t>
      </w:r>
      <w:r>
        <w:rPr>
          <w:rFonts w:ascii="Arial" w:eastAsia="Times New Roman" w:hAnsi="Arial" w:cs="Arial"/>
          <w:color w:val="0E101A"/>
          <w:sz w:val="24"/>
          <w:szCs w:val="24"/>
          <w:u w:val="single"/>
          <w:lang w:eastAsia="en-GB"/>
        </w:rPr>
        <w:t>H</w:t>
      </w:r>
      <w:r w:rsidRPr="004A3970">
        <w:rPr>
          <w:rFonts w:ascii="Arial" w:eastAsia="Times New Roman" w:hAnsi="Arial" w:cs="Arial"/>
          <w:color w:val="0E101A"/>
          <w:sz w:val="24"/>
          <w:szCs w:val="24"/>
          <w:u w:val="single"/>
          <w:lang w:eastAsia="en-GB"/>
        </w:rPr>
        <w:t xml:space="preserve">elp to </w:t>
      </w:r>
      <w:r>
        <w:rPr>
          <w:rFonts w:ascii="Arial" w:eastAsia="Times New Roman" w:hAnsi="Arial" w:cs="Arial"/>
          <w:color w:val="0E101A"/>
          <w:sz w:val="24"/>
          <w:szCs w:val="24"/>
          <w:u w:val="single"/>
          <w:lang w:eastAsia="en-GB"/>
        </w:rPr>
        <w:t>C</w:t>
      </w:r>
      <w:r w:rsidRPr="004A3970">
        <w:rPr>
          <w:rFonts w:ascii="Arial" w:eastAsia="Times New Roman" w:hAnsi="Arial" w:cs="Arial"/>
          <w:color w:val="0E101A"/>
          <w:sz w:val="24"/>
          <w:szCs w:val="24"/>
          <w:u w:val="single"/>
          <w:lang w:eastAsia="en-GB"/>
        </w:rPr>
        <w:t xml:space="preserve">urve </w:t>
      </w:r>
      <w:r>
        <w:rPr>
          <w:rFonts w:ascii="Arial" w:eastAsia="Times New Roman" w:hAnsi="Arial" w:cs="Arial"/>
          <w:color w:val="0E101A"/>
          <w:sz w:val="24"/>
          <w:szCs w:val="24"/>
          <w:u w:val="single"/>
          <w:lang w:eastAsia="en-GB"/>
        </w:rPr>
        <w:t>O</w:t>
      </w:r>
      <w:r w:rsidRPr="004A3970">
        <w:rPr>
          <w:rFonts w:ascii="Arial" w:eastAsia="Times New Roman" w:hAnsi="Arial" w:cs="Arial"/>
          <w:color w:val="0E101A"/>
          <w:sz w:val="24"/>
          <w:szCs w:val="24"/>
          <w:u w:val="single"/>
          <w:lang w:eastAsia="en-GB"/>
        </w:rPr>
        <w:t>ffending</w:t>
      </w:r>
    </w:p>
    <w:p w14:paraId="4672B1AB" w14:textId="77777777" w:rsidR="004A3970" w:rsidRDefault="004A3970" w:rsidP="00032FBD">
      <w:pPr>
        <w:spacing w:after="0" w:line="480" w:lineRule="auto"/>
        <w:rPr>
          <w:rFonts w:ascii="Arial" w:eastAsia="Times New Roman" w:hAnsi="Arial" w:cs="Arial"/>
          <w:color w:val="0E101A"/>
          <w:sz w:val="24"/>
          <w:szCs w:val="24"/>
          <w:lang w:eastAsia="en-GB"/>
        </w:rPr>
      </w:pPr>
    </w:p>
    <w:p w14:paraId="76B59305" w14:textId="774252E2"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The origin of criminal behaviour has been widely debated among scholars and academics over the past centuries. There are primarily two approaches to psychology, specifically when looking at criminal behaviour, which are the nature and nurture theories. Both hold significance in psychological theories as they try to describe why someone behaves a certain way. Understanding this will allow for a critical evaluation of the nature of criminal behaviour, its extent, and a look at whether early intervention prevents offending successfully.</w:t>
      </w:r>
    </w:p>
    <w:p w14:paraId="43BE735A" w14:textId="77777777" w:rsidR="00D11E93" w:rsidRDefault="00032FBD" w:rsidP="00032FBD">
      <w:pPr>
        <w:spacing w:after="0" w:line="480" w:lineRule="auto"/>
        <w:ind w:firstLine="720"/>
        <w:rPr>
          <w:rFonts w:ascii="Arial" w:eastAsia="Times New Roman" w:hAnsi="Arial" w:cs="Arial"/>
          <w:color w:val="0E101A"/>
          <w:sz w:val="24"/>
          <w:szCs w:val="24"/>
          <w:lang w:eastAsia="en-GB"/>
        </w:rPr>
      </w:pPr>
      <w:r w:rsidRPr="00032FBD">
        <w:rPr>
          <w:rFonts w:ascii="Arial" w:eastAsia="Times New Roman" w:hAnsi="Arial" w:cs="Arial"/>
          <w:color w:val="0E101A"/>
          <w:sz w:val="24"/>
          <w:szCs w:val="24"/>
          <w:lang w:eastAsia="en-GB"/>
        </w:rPr>
        <w:t xml:space="preserve">Coyne and Wright (2014) give a brief overview of the meaning of the nature theory which asserts that criminal behaviour is biologically based on genetic inheritance and the structure and functions of people’s brains and other psychological responses. According to Raine (2002), there are multiple biological factors for a criminal to behave a certain way. Genetics in twin studies show that 100% of genes are identical, so also are their traits. Furthermore, monozygotic (MZ) twins are known as identical twins, if one twin is a criminal, the other will 70% likely commit crime too. However, dizygotic (DZ) twins are less alike genetically and the link between them behaving alike is significantly less. Other factors like adoption show correlations between children with biological criminal parents being more likely to commit crimes than those who have no biological criminal parents when being raised by non-criminal foster parents, thus excluding any environmental influences. Lastly, psychophysiological factors such as low arousal are one of the strongest pieces of evidence of biological factors which show links between people with low heart rates to be less fearful in their actions. This is shown in studies of bomb </w:t>
      </w:r>
      <w:r w:rsidRPr="00032FBD">
        <w:rPr>
          <w:rFonts w:ascii="Arial" w:eastAsia="Times New Roman" w:hAnsi="Arial" w:cs="Arial"/>
          <w:color w:val="0E101A"/>
          <w:sz w:val="24"/>
          <w:szCs w:val="24"/>
          <w:lang w:eastAsia="en-GB"/>
        </w:rPr>
        <w:lastRenderedPageBreak/>
        <w:t xml:space="preserve">disposal operators who had received awards for gallantry while being compared to those who had not received rewards, the results were that the heart rate of those who had awards was lower (Cox et al, 1983). The experiment was repeated by O’Connor et al (2011) and the findings showed very similar results with minor exceptions, strengthening the theory of fearlessness. </w:t>
      </w:r>
    </w:p>
    <w:p w14:paraId="2ED625AC" w14:textId="2C834A19" w:rsidR="00032FBD" w:rsidRPr="00032FBD" w:rsidRDefault="00032FBD" w:rsidP="00032FBD">
      <w:pPr>
        <w:spacing w:after="0" w:line="480" w:lineRule="auto"/>
        <w:ind w:firstLine="720"/>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In contrast, McMillan, and </w:t>
      </w:r>
      <w:proofErr w:type="spellStart"/>
      <w:r w:rsidRPr="00032FBD">
        <w:rPr>
          <w:rFonts w:ascii="Arial" w:eastAsia="Times New Roman" w:hAnsi="Arial" w:cs="Arial"/>
          <w:color w:val="0E101A"/>
          <w:sz w:val="24"/>
          <w:szCs w:val="24"/>
          <w:lang w:eastAsia="en-GB"/>
        </w:rPr>
        <w:t>Rachman</w:t>
      </w:r>
      <w:proofErr w:type="spellEnd"/>
      <w:r w:rsidRPr="00032FBD">
        <w:rPr>
          <w:rFonts w:ascii="Arial" w:eastAsia="Times New Roman" w:hAnsi="Arial" w:cs="Arial"/>
          <w:color w:val="0E101A"/>
          <w:sz w:val="24"/>
          <w:szCs w:val="24"/>
          <w:lang w:eastAsia="en-GB"/>
        </w:rPr>
        <w:t xml:space="preserve"> (1987) found that among British paratroopers in the Falkland War who had received awards, the heart rate did not differ from those who had not received awards, but, both groups had lower responses than the non-awarded bomb disposal operators. Moffit and Ross (2010) emphasise the biological vulnerability aspects of a person. They argue that virtually all human behaviours are under a biological influence and go on to explain that biological factors such as hormones, neurotransmitters and birth complications can be used to predict antisocial behaviour in individuals. Lastly, they also argue that social aspects of criminal behaviour are very broad and neglect certain issues, which they raise. For example, most people who are socially disadvantaged do not turn to a criminal lifestyle and on the contrary wealthy people commit crimes too. </w:t>
      </w:r>
    </w:p>
    <w:p w14:paraId="686FFEE4" w14:textId="02EF10CE" w:rsidR="00032FBD" w:rsidRPr="00032FBD" w:rsidRDefault="00032FBD" w:rsidP="00032FBD">
      <w:pPr>
        <w:spacing w:after="0" w:line="480" w:lineRule="auto"/>
        <w:ind w:firstLine="720"/>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On the other hand, the nurture theory looks more at social influences which shape</w:t>
      </w:r>
      <w:r w:rsidR="00D11E93">
        <w:rPr>
          <w:rFonts w:ascii="Arial" w:eastAsia="Times New Roman" w:hAnsi="Arial" w:cs="Arial"/>
          <w:color w:val="0E101A"/>
          <w:sz w:val="24"/>
          <w:szCs w:val="24"/>
          <w:lang w:eastAsia="en-GB"/>
        </w:rPr>
        <w:t>s</w:t>
      </w:r>
      <w:r w:rsidRPr="00032FBD">
        <w:rPr>
          <w:rFonts w:ascii="Arial" w:eastAsia="Times New Roman" w:hAnsi="Arial" w:cs="Arial"/>
          <w:color w:val="0E101A"/>
          <w:sz w:val="24"/>
          <w:szCs w:val="24"/>
          <w:lang w:eastAsia="en-GB"/>
        </w:rPr>
        <w:t xml:space="preserve"> criminal behaviour. According to </w:t>
      </w:r>
      <w:proofErr w:type="spellStart"/>
      <w:r w:rsidRPr="00032FBD">
        <w:rPr>
          <w:rFonts w:ascii="Arial" w:eastAsia="Times New Roman" w:hAnsi="Arial" w:cs="Arial"/>
          <w:color w:val="0E101A"/>
          <w:sz w:val="24"/>
          <w:szCs w:val="24"/>
          <w:lang w:eastAsia="en-GB"/>
        </w:rPr>
        <w:t>Wachs</w:t>
      </w:r>
      <w:proofErr w:type="spellEnd"/>
      <w:r w:rsidRPr="00032FBD">
        <w:rPr>
          <w:rFonts w:ascii="Arial" w:eastAsia="Times New Roman" w:hAnsi="Arial" w:cs="Arial"/>
          <w:color w:val="0E101A"/>
          <w:sz w:val="24"/>
          <w:szCs w:val="24"/>
          <w:lang w:eastAsia="en-GB"/>
        </w:rPr>
        <w:t xml:space="preserve"> (1992), many environmental and social factors are included to adapt cognitive performance. He raises cultural and societal factors, social-emotional development, issues within families or without families, and cognitive competence. Hetherington (1989) agrees that boys in divorced families and children in remarried families had more of a problem adjusting than those in non-divorced families which eventually led to further pressing matters such as emotional distress which would put them at a higher risk of committing a crime. This is further supported by Mazerolle et al (2003) which highlights anger as a </w:t>
      </w:r>
      <w:r w:rsidRPr="00032FBD">
        <w:rPr>
          <w:rFonts w:ascii="Arial" w:eastAsia="Times New Roman" w:hAnsi="Arial" w:cs="Arial"/>
          <w:color w:val="0E101A"/>
          <w:sz w:val="24"/>
          <w:szCs w:val="24"/>
          <w:lang w:eastAsia="en-GB"/>
        </w:rPr>
        <w:lastRenderedPageBreak/>
        <w:t xml:space="preserve">critical component of criminal behaviour and the angrier someone becomes, so also are the chances of them committing a crime. These factors highlight the mental state of a person, primarily their way of thinking and intelligence after being exposed to some type of external factor or influence. An example of a social factor such as this is shown by Baron (2003) which uses a sample of 400 homeless youth who are more likely to commit crimes and use drugs because of the situation they are in. Social control is one of the major aspects of their behaviour due to them not being able to live like people who are employed and live in houses. Gottfredson and Hirschi (1990) explore self-control as a trait which people who do not commit crimes have, but those with a lack of self-control will be at a much higher risk of offending, social factors such as </w:t>
      </w:r>
      <w:r w:rsidR="00D11E93" w:rsidRPr="00032FBD">
        <w:rPr>
          <w:rFonts w:ascii="Arial" w:eastAsia="Times New Roman" w:hAnsi="Arial" w:cs="Arial"/>
          <w:color w:val="0E101A"/>
          <w:sz w:val="24"/>
          <w:szCs w:val="24"/>
          <w:lang w:eastAsia="en-GB"/>
        </w:rPr>
        <w:t>homeless</w:t>
      </w:r>
      <w:r w:rsidR="00D11E93">
        <w:rPr>
          <w:rFonts w:ascii="Arial" w:eastAsia="Times New Roman" w:hAnsi="Arial" w:cs="Arial"/>
          <w:color w:val="0E101A"/>
          <w:sz w:val="24"/>
          <w:szCs w:val="24"/>
          <w:lang w:eastAsia="en-GB"/>
        </w:rPr>
        <w:t>ness</w:t>
      </w:r>
      <w:r w:rsidRPr="00032FBD">
        <w:rPr>
          <w:rFonts w:ascii="Arial" w:eastAsia="Times New Roman" w:hAnsi="Arial" w:cs="Arial"/>
          <w:color w:val="0E101A"/>
          <w:sz w:val="24"/>
          <w:szCs w:val="24"/>
          <w:lang w:eastAsia="en-GB"/>
        </w:rPr>
        <w:t xml:space="preserve"> is an element which may cause a lack of self-control. Both theories are defined by their extreme one-sided view of the matter. However, evidence suggests the truth behind both theories although they try to contrast one another. </w:t>
      </w:r>
    </w:p>
    <w:p w14:paraId="2B924EA4" w14:textId="70DF2A5C" w:rsidR="00032FBD" w:rsidRPr="00032FBD" w:rsidRDefault="00032FBD" w:rsidP="00032FBD">
      <w:pPr>
        <w:spacing w:after="0" w:line="480" w:lineRule="auto"/>
        <w:ind w:firstLine="720"/>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There are many characteristics to offending which are from gender which is biological to the social class which is environmentally influenced. According to Steffensmeier and Allan (1996), criminologists agree that the gender gap in crime is universal and that women are far less likely to commit crimes compared to men. In agreement is Davies (2010) which identifies the gender gap as a useful term for readers to grasp. She shows visuals of graphs which show that the link between crime and men are on a linear increase whereas women are steadier and go up slowly as the women rates of crime are far less than men. Nagel and Hagan (1983) explain that women’s involvement in property crime is more significant than other crimes, however, it is still less than that of crimes committed by men. </w:t>
      </w:r>
    </w:p>
    <w:p w14:paraId="26DFACF1" w14:textId="2537A791"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lastRenderedPageBreak/>
        <w:t xml:space="preserve">On the other hand, Moffitt et al (2001) describe that men and woman exhibit similar behaviour to alcohol and drug-related offences, but with antisocial behaviour, men are more likely to commit it. Davies (2010) agrees and shows the rank order of the population in prison by offence, men’s highest-ranking crime is violence against a person and the highest for women is drug offences. Vandiver (2010) argues that the biggest gender gap is in sexual offences as only 10% of sexual offences are committed by women in New York. Heimer and </w:t>
      </w:r>
      <w:proofErr w:type="spellStart"/>
      <w:r w:rsidRPr="00032FBD">
        <w:rPr>
          <w:rFonts w:ascii="Arial" w:eastAsia="Times New Roman" w:hAnsi="Arial" w:cs="Arial"/>
          <w:color w:val="0E101A"/>
          <w:sz w:val="24"/>
          <w:szCs w:val="24"/>
          <w:lang w:eastAsia="en-GB"/>
        </w:rPr>
        <w:t>Kruttschnitt</w:t>
      </w:r>
      <w:proofErr w:type="spellEnd"/>
      <w:r w:rsidRPr="00032FBD">
        <w:rPr>
          <w:rFonts w:ascii="Arial" w:eastAsia="Times New Roman" w:hAnsi="Arial" w:cs="Arial"/>
          <w:color w:val="0E101A"/>
          <w:sz w:val="24"/>
          <w:szCs w:val="24"/>
          <w:lang w:eastAsia="en-GB"/>
        </w:rPr>
        <w:t xml:space="preserve"> (2006) analyse the reasons for young women committing a crime; these include: living in a poverty-stricken area, family negligence, doing poorly in school, learning about the crime lifestyle from parents and making connections with criminal individuals or groups which are social aspects for criminal behaviour. Regarding the blame for crime, in specific crimes such as abortion and prostitution, women seem to have more blame for those crimes than men, although men may be involved in them (</w:t>
      </w:r>
      <w:proofErr w:type="spellStart"/>
      <w:r w:rsidRPr="00032FBD">
        <w:rPr>
          <w:rFonts w:ascii="Arial" w:eastAsia="Times New Roman" w:hAnsi="Arial" w:cs="Arial"/>
          <w:color w:val="0E101A"/>
          <w:sz w:val="24"/>
          <w:szCs w:val="24"/>
          <w:lang w:eastAsia="en-GB"/>
        </w:rPr>
        <w:t>Morash</w:t>
      </w:r>
      <w:proofErr w:type="spellEnd"/>
      <w:r w:rsidRPr="00032FBD">
        <w:rPr>
          <w:rFonts w:ascii="Arial" w:eastAsia="Times New Roman" w:hAnsi="Arial" w:cs="Arial"/>
          <w:color w:val="0E101A"/>
          <w:sz w:val="24"/>
          <w:szCs w:val="24"/>
          <w:lang w:eastAsia="en-GB"/>
        </w:rPr>
        <w:t>, 2006).  </w:t>
      </w:r>
    </w:p>
    <w:p w14:paraId="6DFA5857" w14:textId="016F42B7" w:rsidR="00032FBD" w:rsidRPr="00032FBD" w:rsidRDefault="00032FBD" w:rsidP="00032FBD">
      <w:pPr>
        <w:spacing w:after="0" w:line="480" w:lineRule="auto"/>
        <w:ind w:firstLine="720"/>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According to Steffensmeier et al (2017), there is a relationship link between adolescent peaked age and crime which is due to social and cultural conditions which lead them to commit crimes. This is further supported by Hagan and McCarthy (2010) which interviewed youth who w</w:t>
      </w:r>
      <w:r w:rsidR="006C7D76">
        <w:rPr>
          <w:rFonts w:ascii="Arial" w:eastAsia="Times New Roman" w:hAnsi="Arial" w:cs="Arial"/>
          <w:color w:val="0E101A"/>
          <w:sz w:val="24"/>
          <w:szCs w:val="24"/>
          <w:lang w:eastAsia="en-GB"/>
        </w:rPr>
        <w:t>ere</w:t>
      </w:r>
      <w:r w:rsidRPr="00032FBD">
        <w:rPr>
          <w:rFonts w:ascii="Arial" w:eastAsia="Times New Roman" w:hAnsi="Arial" w:cs="Arial"/>
          <w:color w:val="0E101A"/>
          <w:sz w:val="24"/>
          <w:szCs w:val="24"/>
          <w:lang w:eastAsia="en-GB"/>
        </w:rPr>
        <w:t xml:space="preserve"> homeless and committed crimes. Their answers were honest and mentioned that their life before leaving home was mainly abused by their parents because they were involved with alcohol and drugs.</w:t>
      </w:r>
      <w:r w:rsidR="006C7D76">
        <w:rPr>
          <w:rFonts w:ascii="Arial" w:eastAsia="Times New Roman" w:hAnsi="Arial" w:cs="Arial"/>
          <w:color w:val="0E101A"/>
          <w:sz w:val="24"/>
          <w:szCs w:val="24"/>
          <w:lang w:eastAsia="en-GB"/>
        </w:rPr>
        <w:t xml:space="preserve"> </w:t>
      </w:r>
      <w:r w:rsidRPr="00032FBD">
        <w:rPr>
          <w:rFonts w:ascii="Arial" w:eastAsia="Times New Roman" w:hAnsi="Arial" w:cs="Arial"/>
          <w:color w:val="0E101A"/>
          <w:sz w:val="24"/>
          <w:szCs w:val="24"/>
          <w:lang w:eastAsia="en-GB"/>
        </w:rPr>
        <w:t>Therefore, a result of their crimes led to them leaving home and being homeless and due to the social conditions like having money and a home, they could not live that life</w:t>
      </w:r>
      <w:r w:rsidR="006C7D76">
        <w:rPr>
          <w:rFonts w:ascii="Arial" w:eastAsia="Times New Roman" w:hAnsi="Arial" w:cs="Arial"/>
          <w:color w:val="0E101A"/>
          <w:sz w:val="24"/>
          <w:szCs w:val="24"/>
          <w:lang w:eastAsia="en-GB"/>
        </w:rPr>
        <w:t>style</w:t>
      </w:r>
      <w:r w:rsidRPr="00032FBD">
        <w:rPr>
          <w:rFonts w:ascii="Arial" w:eastAsia="Times New Roman" w:hAnsi="Arial" w:cs="Arial"/>
          <w:color w:val="0E101A"/>
          <w:sz w:val="24"/>
          <w:szCs w:val="24"/>
          <w:lang w:eastAsia="en-GB"/>
        </w:rPr>
        <w:t>. This difficult lifestyle and previous exposure to crime in their childhood led them to live a lifestyle of crime with drug and alcohol abuse. This shows that crime has a knock-on effect on issues although they are indirect.</w:t>
      </w:r>
    </w:p>
    <w:p w14:paraId="381BE3B0" w14:textId="599C8512" w:rsidR="00032FBD" w:rsidRPr="00032FBD" w:rsidRDefault="00032FBD" w:rsidP="00032FBD">
      <w:pPr>
        <w:spacing w:after="0" w:line="480" w:lineRule="auto"/>
        <w:ind w:firstLine="720"/>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lastRenderedPageBreak/>
        <w:t>The social control theory argues that youth must be controlled to repress their criminal tendencies and control is kept through two aspects which are external such as relationships and internal such as upheld norms of an individual (Delaney, 2021). Similarly, Waters (1999) uses data over 100 years of immigrant youths who commit crimes and the study revealed that patterns of crime were consequences of misunderstanding between parents and children, gangs, and cultural differences. Sullivan (1989) explores the relationship between youth who commit crimes and their school involvement and sees similar patterns between youth who have little school involvement and are more likely to commit crimes. These reasons highlight the potential of no intent or no thought to commit specific crimes, therefore the importance of understanding why crime is committed is paramount for helping offenders. Muncie (2014) explains that each theory for predicting crime is important because each one is current and has something to offer to help understand crime. </w:t>
      </w:r>
    </w:p>
    <w:p w14:paraId="20FAA7F0" w14:textId="504A0170" w:rsidR="00032FBD" w:rsidRPr="00032FBD" w:rsidRDefault="00032FBD" w:rsidP="006C7D76">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Boggs (1965) demonstrates the sociologist view of examining and interpreting data of criminal behaviours by exploring various factors both internal and external to understand why people commit a crime. Data is collected within a specific area and then is analysed and broken down into different sections for an easier understanding of the information by looking at the age, sex, race of offenders. Davidson (2019) breaks down serious offences in England and Wales in 1979 and states that most offences were property offences which made up 95% of the total crimes. Furthermore, depending on the location the crimes committed were also different which would lead to an easier prediction of the crimes which would be committed. However, Sampson (2000) argues that the sociological analysis of crime data has fundamental challenges to the questions raised by certain theories. The notion that poverty causes crime is raised, however, is disputed because studies have shown </w:t>
      </w:r>
      <w:r w:rsidRPr="00032FBD">
        <w:rPr>
          <w:rFonts w:ascii="Arial" w:eastAsia="Times New Roman" w:hAnsi="Arial" w:cs="Arial"/>
          <w:color w:val="0E101A"/>
          <w:sz w:val="24"/>
          <w:szCs w:val="24"/>
          <w:lang w:eastAsia="en-GB"/>
        </w:rPr>
        <w:lastRenderedPageBreak/>
        <w:t xml:space="preserve">that crimes are also committed in wealthy areas. Tittle et al (1978) also argue that literature shows that age, sex, race, and social class are </w:t>
      </w:r>
      <w:proofErr w:type="gramStart"/>
      <w:r w:rsidRPr="00032FBD">
        <w:rPr>
          <w:rFonts w:ascii="Arial" w:eastAsia="Times New Roman" w:hAnsi="Arial" w:cs="Arial"/>
          <w:color w:val="0E101A"/>
          <w:sz w:val="24"/>
          <w:szCs w:val="24"/>
          <w:lang w:eastAsia="en-GB"/>
        </w:rPr>
        <w:t>fairly average</w:t>
      </w:r>
      <w:proofErr w:type="gramEnd"/>
      <w:r w:rsidRPr="00032FBD">
        <w:rPr>
          <w:rFonts w:ascii="Arial" w:eastAsia="Times New Roman" w:hAnsi="Arial" w:cs="Arial"/>
          <w:color w:val="0E101A"/>
          <w:sz w:val="24"/>
          <w:szCs w:val="24"/>
          <w:lang w:eastAsia="en-GB"/>
        </w:rPr>
        <w:t xml:space="preserve"> in crimes rates and social class does not seem to be any different from the others which are contrary to general theories.</w:t>
      </w:r>
    </w:p>
    <w:p w14:paraId="4B09633A" w14:textId="547E1545" w:rsidR="00032FBD" w:rsidRPr="00032FBD" w:rsidRDefault="00032FBD" w:rsidP="00032FBD">
      <w:pPr>
        <w:spacing w:after="0" w:line="480" w:lineRule="auto"/>
        <w:ind w:firstLine="720"/>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Moving on to a critical evaluation of early intervention requires a look into youth offending statistics, the crimes committed and ways to prevent it from occurring in the future. According to the Wales Safer Communities Network (2021), safeguarding should be the primary priority for those working alongside people. Within safeguarding, early intervention seeks to address issues and face them by looking at the root cause of a problem. Preventing an issue from arising would result in the successful prevention of further escalation for the individual. The overall goal of early intervention is to reduce the long-term impact for a victim and to protect them from criminal activity. The early intervention comes from multiple pieces of legislation, the majority comes from wellbeing laws such as the Social Services and Wellbeing Act (Wales) 2014, anaw 4, which covers the general duties of social workers and the needs and wellbeing of victims. The Wellbeing of Future Generations (Wales) Act 2015 covers a healthier, more equal, and vibrant culture within Wales which directly aims to prevent crime and the Safeguarding Boards (Functions and Procedures) Regulations (2015) which aims for multiple safeguarding boards to work together in sharing information and data for early intervention projects to be effective in curving offending rates. The NSPCC (2021) also emphasises the importance of providing timely support in addressing issues early enough to reduce risk factors in a child’s life. </w:t>
      </w:r>
    </w:p>
    <w:p w14:paraId="42307506" w14:textId="77777777" w:rsidR="00032FBD" w:rsidRPr="00032FBD" w:rsidRDefault="00032FBD" w:rsidP="00032FBD">
      <w:pPr>
        <w:spacing w:after="0" w:line="480" w:lineRule="auto"/>
        <w:ind w:firstLine="720"/>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Therefore, as these issues arise, current strategies and plans have been laid out to prevent young people from committing crimes or living a lifestyle of criminal </w:t>
      </w:r>
      <w:r w:rsidRPr="00032FBD">
        <w:rPr>
          <w:rFonts w:ascii="Arial" w:eastAsia="Times New Roman" w:hAnsi="Arial" w:cs="Arial"/>
          <w:color w:val="0E101A"/>
          <w:sz w:val="24"/>
          <w:szCs w:val="24"/>
          <w:lang w:eastAsia="en-GB"/>
        </w:rPr>
        <w:lastRenderedPageBreak/>
        <w:t>behaviour. Michael (2021), the Police and Crime Commissioner for South Wales presented a new collaborative project, namely ‘Step into Sport’ which is funded by the South Wales Police Youth Trust and Cardiff Metropolitan University. The project aims to create opportunities for communities in Cardiff by using sports clubs as a method for preventing young people from being drawn into a lifestyle of crime. The crimes often they are involved in are gang-style activity and being exploited and they do not realise their lives are being damaged. </w:t>
      </w:r>
    </w:p>
    <w:p w14:paraId="58062F8F" w14:textId="10703069" w:rsidR="00032FBD" w:rsidRPr="00032FBD" w:rsidRDefault="00032FBD" w:rsidP="00032FBD">
      <w:pPr>
        <w:spacing w:after="0" w:line="480" w:lineRule="auto"/>
        <w:ind w:firstLine="720"/>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The Police and Crime Commissioner for South Wales (2021) also stated that the police have worked with Public Health Wales to design a response to their research on Adverse Childhood Experiences (ACEs). This £6.8 million programme with Public Health Wales could reduce crime levels by preventing ACEs by using methods of neighbourhood policing, working within communities, tackling serious crimes, and focusing on current key issues. Furthermore, the year 2020 has been one of the most challenging years ever due to the impact of Covid-19 and lockdown restrictions which put significant demands on the police service, but the resilience of staff of officers allowed for a way to work through it. </w:t>
      </w:r>
    </w:p>
    <w:p w14:paraId="005B6CA0" w14:textId="77777777" w:rsidR="00032FBD" w:rsidRPr="00032FBD" w:rsidRDefault="00032FBD" w:rsidP="00032FBD">
      <w:pPr>
        <w:spacing w:after="0" w:line="480" w:lineRule="auto"/>
        <w:ind w:firstLine="720"/>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The Centre for Justice Innovation (2021) lays out the 18-25 project which aims to divert young adults away from the Criminal Justice System into interventions and support which would be tailored to the needs of the individual. An objective of this project would be to understand why people offend, understanding this would result in efforts to prevent reoffending and focus more on rehabilitation than imprisonment and punishment. The Prison Reform Trust (2021) echoes similar views which describe imprisonment as damaging to individuals, claiming that offenders will reoffend within a year of them leaving prison and raising the issue of the budget of the Youth Justice Board on locking up children in England and Wales. Lastly, they </w:t>
      </w:r>
      <w:r w:rsidRPr="00032FBD">
        <w:rPr>
          <w:rFonts w:ascii="Arial" w:eastAsia="Times New Roman" w:hAnsi="Arial" w:cs="Arial"/>
          <w:color w:val="0E101A"/>
          <w:sz w:val="24"/>
          <w:szCs w:val="24"/>
          <w:lang w:eastAsia="en-GB"/>
        </w:rPr>
        <w:lastRenderedPageBreak/>
        <w:t>believe that the prison system should be reversed for children and young people because they will have a better chance of turning their lives around and keeping out of trouble if they have activities to do.  </w:t>
      </w:r>
    </w:p>
    <w:p w14:paraId="4E62EA46" w14:textId="10EBD80E" w:rsidR="00032FBD" w:rsidRPr="00032FBD" w:rsidRDefault="00032FBD" w:rsidP="00032FBD">
      <w:pPr>
        <w:spacing w:after="0" w:line="480" w:lineRule="auto"/>
        <w:ind w:firstLine="720"/>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According to Smith et al (2013), a sample of 1,331 prisoners was looked at for reoffending statistics in England which showed that 67% of the reoffending prisoners were serving sentences of less than six months which highlights that most reoffending rates are due to lesser crimes. Vaughan and Payne (2016) explore similar findings in Wales in that 58% of prisoners are reoffenders that have a sentence of less than a year. Although the rates of reoffending seem large, the Ministry of Justice (2021) published that the overall proven reoffending rate was 26.7% for January to March in 2019 and decreased by 2.1% in the same quarter in 2018. Furthermore, the Ministry of Justice (2013) acknowledged different factors commonly associated with reoffending which were drug and alcohol misuse, lack of employment, suitable accommodation to name a few which led to someone committing another crime after already serving a sentence. However, in relation to youth crime, the Youth Justice Board (2021) states that the number of children and young people that reoffended in England and Wales has slightly increased by being compared with data from 10 years ago. Interestingly, in 2018 if an offender had no previous offences the chance of them to re-offend was 20.8% but compared to someone who had 11 previous offences their chances of reoffending was much higher at 71.6%.</w:t>
      </w:r>
    </w:p>
    <w:p w14:paraId="43C26974" w14:textId="0B6E0928" w:rsidR="00032FBD" w:rsidRPr="00032FBD" w:rsidRDefault="00032FBD" w:rsidP="00032FBD">
      <w:pPr>
        <w:spacing w:after="0" w:line="480" w:lineRule="auto"/>
        <w:ind w:firstLine="720"/>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The Early Intervention Foundation (2021) explains that evidence-based early intervention is important for developing effective programmes which directly impacts crime reduction and reoffending. Becoming a Man (BAM) was a programme in Illinois, Chicago which aimed towards developing the skills of young people </w:t>
      </w:r>
      <w:r w:rsidRPr="00032FBD">
        <w:rPr>
          <w:rFonts w:ascii="Arial" w:eastAsia="Times New Roman" w:hAnsi="Arial" w:cs="Arial"/>
          <w:color w:val="0E101A"/>
          <w:sz w:val="24"/>
          <w:szCs w:val="24"/>
          <w:lang w:eastAsia="en-GB"/>
        </w:rPr>
        <w:lastRenderedPageBreak/>
        <w:t xml:space="preserve">surrounding positive identity, resilience, and a sense of belonging to a group that found success in increased school performance and reductions in arrests for all crimes which was measured by Chicago Police arrest records (Heller et al, 2017). Lastly, Ross et al (2011) draw the conclusion on early intervention programs for crime reduction and reoffending by analysing data from the United States and the programs which have proven to be effective and to use them in the United Kingdom. </w:t>
      </w:r>
      <w:proofErr w:type="spellStart"/>
      <w:r w:rsidRPr="00032FBD">
        <w:rPr>
          <w:rFonts w:ascii="Arial" w:eastAsia="Times New Roman" w:hAnsi="Arial" w:cs="Arial"/>
          <w:color w:val="0E101A"/>
          <w:sz w:val="24"/>
          <w:szCs w:val="24"/>
          <w:lang w:eastAsia="en-GB"/>
        </w:rPr>
        <w:t>Lispey</w:t>
      </w:r>
      <w:proofErr w:type="spellEnd"/>
      <w:r w:rsidRPr="00032FBD">
        <w:rPr>
          <w:rFonts w:ascii="Arial" w:eastAsia="Times New Roman" w:hAnsi="Arial" w:cs="Arial"/>
          <w:color w:val="0E101A"/>
          <w:sz w:val="24"/>
          <w:szCs w:val="24"/>
          <w:lang w:eastAsia="en-GB"/>
        </w:rPr>
        <w:t xml:space="preserve"> (2009) highlights four key characteristics for the success of the studies explored: the methods used, the type and mode of the intervention, the quality of the programme implementation and the characteristics of the young people being treated.</w:t>
      </w:r>
    </w:p>
    <w:p w14:paraId="14547031" w14:textId="2D8FBA4B" w:rsidR="00032FBD" w:rsidRPr="00032FBD" w:rsidRDefault="00032FBD" w:rsidP="00032FBD">
      <w:pPr>
        <w:spacing w:after="0" w:line="480" w:lineRule="auto"/>
        <w:ind w:firstLine="720"/>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In conclusion, theorists and academics have often tried to understand why people commit crimes and have resorted to believing their theory which is either the nature and nurture side and they have their evidence to back it up. However, evidence on both sides indicates that both are true in their own way and explain partly why someone commits a crime. Evidence on the biological side shows the studies of twins being similar in behaviours along with British paratroopers and bomb disposal operators which demonstrate their abilities to be on a higher level than others due to genetics under the theory of fearlessness. On the other hand, evidence for the nurture side are environmental and social factors which draw people into a lifestyle of crime which is highlighted by orphans with family issues, behavioural </w:t>
      </w:r>
      <w:proofErr w:type="gramStart"/>
      <w:r w:rsidRPr="00032FBD">
        <w:rPr>
          <w:rFonts w:ascii="Arial" w:eastAsia="Times New Roman" w:hAnsi="Arial" w:cs="Arial"/>
          <w:color w:val="0E101A"/>
          <w:sz w:val="24"/>
          <w:szCs w:val="24"/>
          <w:lang w:eastAsia="en-GB"/>
        </w:rPr>
        <w:t>issues</w:t>
      </w:r>
      <w:proofErr w:type="gramEnd"/>
      <w:r w:rsidRPr="00032FBD">
        <w:rPr>
          <w:rFonts w:ascii="Arial" w:eastAsia="Times New Roman" w:hAnsi="Arial" w:cs="Arial"/>
          <w:color w:val="0E101A"/>
          <w:sz w:val="24"/>
          <w:szCs w:val="24"/>
          <w:lang w:eastAsia="en-GB"/>
        </w:rPr>
        <w:t xml:space="preserve"> and homeless youth. Further critical evaluation of the nature and extent of offending characteristics is also looked at. The gender gap highlights the nature of men being more likely to commit crimes than women, evidence suggests that men tend to commit more violent crimes against people whereas women are related more to property crime. Comparing and contrasting the gender gap allows for insight into </w:t>
      </w:r>
      <w:r w:rsidRPr="00032FBD">
        <w:rPr>
          <w:rFonts w:ascii="Arial" w:eastAsia="Times New Roman" w:hAnsi="Arial" w:cs="Arial"/>
          <w:color w:val="0E101A"/>
          <w:sz w:val="24"/>
          <w:szCs w:val="24"/>
          <w:lang w:eastAsia="en-GB"/>
        </w:rPr>
        <w:lastRenderedPageBreak/>
        <w:t>gender and crime which in some respects are similar and different. However, both have similar social-environmental views as poverty and family issues can be applied to both genders. A look at the ages of criminals also was needed to understand the topic further as links between youth and crime were higher than that of the elderly. Gangs seem to affect younger people greater than older people due to the sense of belonging to a group and having a type of family that they may not have had with their biological or adoptive parents. Factors such as school involvement result in higher crime rates in youth and therefore important for keeping them busy in school is needed to prevent crime among youths. The way this data is collected has been argued against due to the potential for challenges to be raised which cause questions about theories and lead to the data having to be linked to a one-sided theory. Early intervention methods have been raised to try to prevent crime and reoffending rates. Wales has laid out the Step into Sport project for young people in Cardiff and an 18-25 project also aims to divert young people away from crime by keeping them busy in activities. The projects are new, but similar projects in Chicago proved successful and the United Kingdom followed similar projects used in the United States for potential future success in early intervention.        </w:t>
      </w:r>
    </w:p>
    <w:p w14:paraId="0660D49B" w14:textId="77777777" w:rsidR="00032FBD" w:rsidRPr="00032FBD" w:rsidRDefault="00032FBD" w:rsidP="00032FBD">
      <w:pPr>
        <w:spacing w:after="240" w:line="240" w:lineRule="auto"/>
        <w:rPr>
          <w:rFonts w:ascii="Times New Roman" w:eastAsia="Times New Roman" w:hAnsi="Times New Roman" w:cs="Times New Roman"/>
          <w:sz w:val="24"/>
          <w:szCs w:val="24"/>
          <w:lang w:eastAsia="en-GB"/>
        </w:rPr>
      </w:pPr>
      <w:r w:rsidRPr="00032FBD">
        <w:rPr>
          <w:rFonts w:ascii="Times New Roman" w:eastAsia="Times New Roman" w:hAnsi="Times New Roman" w:cs="Times New Roman"/>
          <w:sz w:val="24"/>
          <w:szCs w:val="24"/>
          <w:lang w:eastAsia="en-GB"/>
        </w:rPr>
        <w:br/>
      </w:r>
      <w:r w:rsidRPr="00032FBD">
        <w:rPr>
          <w:rFonts w:ascii="Times New Roman" w:eastAsia="Times New Roman" w:hAnsi="Times New Roman" w:cs="Times New Roman"/>
          <w:sz w:val="24"/>
          <w:szCs w:val="24"/>
          <w:lang w:eastAsia="en-GB"/>
        </w:rPr>
        <w:br/>
      </w:r>
      <w:r w:rsidRPr="00032FBD">
        <w:rPr>
          <w:rFonts w:ascii="Times New Roman" w:eastAsia="Times New Roman" w:hAnsi="Times New Roman" w:cs="Times New Roman"/>
          <w:sz w:val="24"/>
          <w:szCs w:val="24"/>
          <w:lang w:eastAsia="en-GB"/>
        </w:rPr>
        <w:br/>
      </w:r>
      <w:r w:rsidRPr="00032FBD">
        <w:rPr>
          <w:rFonts w:ascii="Times New Roman" w:eastAsia="Times New Roman" w:hAnsi="Times New Roman" w:cs="Times New Roman"/>
          <w:sz w:val="24"/>
          <w:szCs w:val="24"/>
          <w:lang w:eastAsia="en-GB"/>
        </w:rPr>
        <w:br/>
      </w:r>
      <w:r w:rsidRPr="00032FBD">
        <w:rPr>
          <w:rFonts w:ascii="Times New Roman" w:eastAsia="Times New Roman" w:hAnsi="Times New Roman" w:cs="Times New Roman"/>
          <w:sz w:val="24"/>
          <w:szCs w:val="24"/>
          <w:lang w:eastAsia="en-GB"/>
        </w:rPr>
        <w:br/>
      </w:r>
      <w:r w:rsidRPr="00032FBD">
        <w:rPr>
          <w:rFonts w:ascii="Times New Roman" w:eastAsia="Times New Roman" w:hAnsi="Times New Roman" w:cs="Times New Roman"/>
          <w:sz w:val="24"/>
          <w:szCs w:val="24"/>
          <w:lang w:eastAsia="en-GB"/>
        </w:rPr>
        <w:br/>
      </w:r>
      <w:r w:rsidRPr="00032FBD">
        <w:rPr>
          <w:rFonts w:ascii="Times New Roman" w:eastAsia="Times New Roman" w:hAnsi="Times New Roman" w:cs="Times New Roman"/>
          <w:sz w:val="24"/>
          <w:szCs w:val="24"/>
          <w:lang w:eastAsia="en-GB"/>
        </w:rPr>
        <w:br/>
      </w:r>
      <w:r w:rsidRPr="00032FBD">
        <w:rPr>
          <w:rFonts w:ascii="Times New Roman" w:eastAsia="Times New Roman" w:hAnsi="Times New Roman" w:cs="Times New Roman"/>
          <w:sz w:val="24"/>
          <w:szCs w:val="24"/>
          <w:lang w:eastAsia="en-GB"/>
        </w:rPr>
        <w:br/>
      </w:r>
      <w:r w:rsidRPr="00032FBD">
        <w:rPr>
          <w:rFonts w:ascii="Times New Roman" w:eastAsia="Times New Roman" w:hAnsi="Times New Roman" w:cs="Times New Roman"/>
          <w:sz w:val="24"/>
          <w:szCs w:val="24"/>
          <w:lang w:eastAsia="en-GB"/>
        </w:rPr>
        <w:br/>
      </w:r>
    </w:p>
    <w:p w14:paraId="2E03C710" w14:textId="77777777" w:rsidR="00032FBD" w:rsidRDefault="00032FBD" w:rsidP="00032FBD">
      <w:pPr>
        <w:spacing w:after="0" w:line="480" w:lineRule="auto"/>
        <w:rPr>
          <w:rFonts w:ascii="Arial" w:eastAsia="Times New Roman" w:hAnsi="Arial" w:cs="Arial"/>
          <w:color w:val="0E101A"/>
          <w:sz w:val="24"/>
          <w:szCs w:val="24"/>
          <w:lang w:eastAsia="en-GB"/>
        </w:rPr>
      </w:pPr>
    </w:p>
    <w:p w14:paraId="14DB1224" w14:textId="77777777" w:rsidR="00032FBD" w:rsidRDefault="00032FBD" w:rsidP="00032FBD">
      <w:pPr>
        <w:spacing w:after="0" w:line="480" w:lineRule="auto"/>
        <w:rPr>
          <w:rFonts w:ascii="Arial" w:eastAsia="Times New Roman" w:hAnsi="Arial" w:cs="Arial"/>
          <w:color w:val="0E101A"/>
          <w:sz w:val="24"/>
          <w:szCs w:val="24"/>
          <w:lang w:eastAsia="en-GB"/>
        </w:rPr>
      </w:pPr>
    </w:p>
    <w:p w14:paraId="16546B15" w14:textId="77777777" w:rsidR="00F52497" w:rsidRDefault="00F52497" w:rsidP="00032FBD">
      <w:pPr>
        <w:spacing w:after="0" w:line="480" w:lineRule="auto"/>
        <w:rPr>
          <w:rFonts w:ascii="Arial" w:eastAsia="Times New Roman" w:hAnsi="Arial" w:cs="Arial"/>
          <w:color w:val="0E101A"/>
          <w:sz w:val="24"/>
          <w:szCs w:val="24"/>
          <w:lang w:eastAsia="en-GB"/>
        </w:rPr>
      </w:pPr>
    </w:p>
    <w:p w14:paraId="4BC8F8C1" w14:textId="1D6A6940" w:rsidR="00032FBD" w:rsidRPr="00032FBD" w:rsidRDefault="00032FBD" w:rsidP="00032FBD">
      <w:pPr>
        <w:spacing w:after="0" w:line="480" w:lineRule="auto"/>
        <w:rPr>
          <w:rFonts w:ascii="Times New Roman" w:eastAsia="Times New Roman" w:hAnsi="Times New Roman" w:cs="Times New Roman"/>
          <w:sz w:val="24"/>
          <w:szCs w:val="24"/>
          <w:u w:val="single"/>
          <w:lang w:eastAsia="en-GB"/>
        </w:rPr>
      </w:pPr>
      <w:r w:rsidRPr="00032FBD">
        <w:rPr>
          <w:rFonts w:ascii="Arial" w:eastAsia="Times New Roman" w:hAnsi="Arial" w:cs="Arial"/>
          <w:color w:val="0E101A"/>
          <w:sz w:val="24"/>
          <w:szCs w:val="24"/>
          <w:u w:val="single"/>
          <w:lang w:eastAsia="en-GB"/>
        </w:rPr>
        <w:lastRenderedPageBreak/>
        <w:t>References</w:t>
      </w:r>
    </w:p>
    <w:p w14:paraId="77FBD1A9"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12A74086"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Baron, S. W (2003) ‘Self-Control, Social Consequences, and Criminal </w:t>
      </w:r>
      <w:proofErr w:type="spellStart"/>
      <w:r w:rsidRPr="00032FBD">
        <w:rPr>
          <w:rFonts w:ascii="Arial" w:eastAsia="Times New Roman" w:hAnsi="Arial" w:cs="Arial"/>
          <w:color w:val="0E101A"/>
          <w:sz w:val="24"/>
          <w:szCs w:val="24"/>
          <w:lang w:eastAsia="en-GB"/>
        </w:rPr>
        <w:t>Behavior</w:t>
      </w:r>
      <w:proofErr w:type="spellEnd"/>
      <w:r w:rsidRPr="00032FBD">
        <w:rPr>
          <w:rFonts w:ascii="Arial" w:eastAsia="Times New Roman" w:hAnsi="Arial" w:cs="Arial"/>
          <w:color w:val="0E101A"/>
          <w:sz w:val="24"/>
          <w:szCs w:val="24"/>
          <w:lang w:eastAsia="en-GB"/>
        </w:rPr>
        <w:t xml:space="preserve">: Street Youth and the General Theory of Crime’, </w:t>
      </w:r>
      <w:r w:rsidRPr="00032FBD">
        <w:rPr>
          <w:rFonts w:ascii="Arial" w:eastAsia="Times New Roman" w:hAnsi="Arial" w:cs="Arial"/>
          <w:i/>
          <w:iCs/>
          <w:color w:val="0E101A"/>
          <w:sz w:val="24"/>
          <w:szCs w:val="24"/>
          <w:lang w:eastAsia="en-GB"/>
        </w:rPr>
        <w:t>Journal of Research in Crime and Delinquency</w:t>
      </w:r>
      <w:r w:rsidRPr="00032FBD">
        <w:rPr>
          <w:rFonts w:ascii="Arial" w:eastAsia="Times New Roman" w:hAnsi="Arial" w:cs="Arial"/>
          <w:color w:val="0E101A"/>
          <w:sz w:val="24"/>
          <w:szCs w:val="24"/>
          <w:lang w:eastAsia="en-GB"/>
        </w:rPr>
        <w:t>, 40(4), pp. 403-425.</w:t>
      </w:r>
    </w:p>
    <w:p w14:paraId="35631F89"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Available at: </w:t>
      </w:r>
      <w:hyperlink r:id="rId7" w:history="1">
        <w:r w:rsidRPr="00032FBD">
          <w:rPr>
            <w:rFonts w:ascii="Arial" w:eastAsia="Times New Roman" w:hAnsi="Arial" w:cs="Arial"/>
            <w:color w:val="4A6EE0"/>
            <w:sz w:val="24"/>
            <w:szCs w:val="24"/>
            <w:u w:val="single"/>
            <w:lang w:eastAsia="en-GB"/>
          </w:rPr>
          <w:t>https://journals.sagepub.com/doi/abs/10.1177/0022427803256071?journalCode=jrca</w:t>
        </w:r>
      </w:hyperlink>
      <w:r w:rsidRPr="00032FBD">
        <w:rPr>
          <w:rFonts w:ascii="Arial" w:eastAsia="Times New Roman" w:hAnsi="Arial" w:cs="Arial"/>
          <w:color w:val="0E101A"/>
          <w:sz w:val="24"/>
          <w:szCs w:val="24"/>
          <w:lang w:eastAsia="en-GB"/>
        </w:rPr>
        <w:t> </w:t>
      </w:r>
    </w:p>
    <w:p w14:paraId="36BD8FDB"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02/12/2021) </w:t>
      </w:r>
    </w:p>
    <w:p w14:paraId="21448A2B"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5D7563A5"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Boggs, S. L (1965) ‘Urban Crime Patterns’, </w:t>
      </w:r>
      <w:r w:rsidRPr="00032FBD">
        <w:rPr>
          <w:rFonts w:ascii="Arial" w:eastAsia="Times New Roman" w:hAnsi="Arial" w:cs="Arial"/>
          <w:i/>
          <w:iCs/>
          <w:color w:val="0E101A"/>
          <w:sz w:val="24"/>
          <w:szCs w:val="24"/>
          <w:lang w:eastAsia="en-GB"/>
        </w:rPr>
        <w:t>American Sociological Review</w:t>
      </w:r>
      <w:r w:rsidRPr="00032FBD">
        <w:rPr>
          <w:rFonts w:ascii="Arial" w:eastAsia="Times New Roman" w:hAnsi="Arial" w:cs="Arial"/>
          <w:color w:val="0E101A"/>
          <w:sz w:val="24"/>
          <w:szCs w:val="24"/>
          <w:lang w:eastAsia="en-GB"/>
        </w:rPr>
        <w:t>, 30(6), pp. 899-908.</w:t>
      </w:r>
    </w:p>
    <w:p w14:paraId="7B7C8A7A"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Available at: </w:t>
      </w:r>
      <w:hyperlink r:id="rId8" w:anchor="metadata_info_tab_contents" w:history="1">
        <w:r w:rsidRPr="00032FBD">
          <w:rPr>
            <w:rFonts w:ascii="Arial" w:eastAsia="Times New Roman" w:hAnsi="Arial" w:cs="Arial"/>
            <w:color w:val="4A6EE0"/>
            <w:sz w:val="24"/>
            <w:szCs w:val="24"/>
            <w:u w:val="single"/>
            <w:lang w:eastAsia="en-GB"/>
          </w:rPr>
          <w:t>https://www.jstor.org/stable/2090968?casa_token=1TVIZ1meD4wAAAAA%3AkaWmy6h9ucdTQSe4lxC9oznbNJBTJ-GY_i5VBYoaxnGZPWhH8AYLZG9alRFTqmO8XY8v6EW6V5r-bElcPoBMdInMwvcCu-GoTE1nTJjabEs9lTFwVQ4&amp;seq=1#metadata_info_tab_contents</w:t>
        </w:r>
      </w:hyperlink>
      <w:r w:rsidRPr="00032FBD">
        <w:rPr>
          <w:rFonts w:ascii="Arial" w:eastAsia="Times New Roman" w:hAnsi="Arial" w:cs="Arial"/>
          <w:color w:val="0E101A"/>
          <w:sz w:val="24"/>
          <w:szCs w:val="24"/>
          <w:lang w:eastAsia="en-GB"/>
        </w:rPr>
        <w:t> </w:t>
      </w:r>
    </w:p>
    <w:p w14:paraId="73D96CD8"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05/12/2021) </w:t>
      </w:r>
    </w:p>
    <w:p w14:paraId="7731847D"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41B4B083"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Centre for Justice Innovation (2021) </w:t>
      </w:r>
      <w:r w:rsidRPr="00032FBD">
        <w:rPr>
          <w:rFonts w:ascii="Arial" w:eastAsia="Times New Roman" w:hAnsi="Arial" w:cs="Arial"/>
          <w:i/>
          <w:iCs/>
          <w:color w:val="0E101A"/>
          <w:sz w:val="24"/>
          <w:szCs w:val="24"/>
          <w:lang w:eastAsia="en-GB"/>
        </w:rPr>
        <w:t>18-25 Diversion scheme</w:t>
      </w:r>
      <w:r w:rsidRPr="00032FBD">
        <w:rPr>
          <w:rFonts w:ascii="Arial" w:eastAsia="Times New Roman" w:hAnsi="Arial" w:cs="Arial"/>
          <w:color w:val="0E101A"/>
          <w:sz w:val="24"/>
          <w:szCs w:val="24"/>
          <w:lang w:eastAsia="en-GB"/>
        </w:rPr>
        <w:t>.</w:t>
      </w:r>
    </w:p>
    <w:p w14:paraId="4BE46A3B"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Available at: </w:t>
      </w:r>
      <w:hyperlink r:id="rId9" w:history="1">
        <w:r w:rsidRPr="00032FBD">
          <w:rPr>
            <w:rFonts w:ascii="Arial" w:eastAsia="Times New Roman" w:hAnsi="Arial" w:cs="Arial"/>
            <w:color w:val="4A6EE0"/>
            <w:sz w:val="24"/>
            <w:szCs w:val="24"/>
            <w:u w:val="single"/>
            <w:lang w:eastAsia="en-GB"/>
          </w:rPr>
          <w:t>https://justiceinnovation.org/project/18-25-diversion-scheme</w:t>
        </w:r>
      </w:hyperlink>
      <w:r w:rsidRPr="00032FBD">
        <w:rPr>
          <w:rFonts w:ascii="Arial" w:eastAsia="Times New Roman" w:hAnsi="Arial" w:cs="Arial"/>
          <w:color w:val="0E101A"/>
          <w:sz w:val="24"/>
          <w:szCs w:val="24"/>
          <w:lang w:eastAsia="en-GB"/>
        </w:rPr>
        <w:t> </w:t>
      </w:r>
    </w:p>
    <w:p w14:paraId="14CC2EB4"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06/12/2021)</w:t>
      </w:r>
    </w:p>
    <w:p w14:paraId="78287DFD"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44764181"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Commissioner for Wales (2015) </w:t>
      </w:r>
      <w:r w:rsidRPr="00032FBD">
        <w:rPr>
          <w:rFonts w:ascii="Arial" w:eastAsia="Times New Roman" w:hAnsi="Arial" w:cs="Arial"/>
          <w:i/>
          <w:iCs/>
          <w:color w:val="0E101A"/>
          <w:sz w:val="24"/>
          <w:szCs w:val="24"/>
          <w:lang w:eastAsia="en-GB"/>
        </w:rPr>
        <w:t>Well-being of Future Generations (Wales) Act 2015</w:t>
      </w:r>
      <w:r w:rsidRPr="00032FBD">
        <w:rPr>
          <w:rFonts w:ascii="Arial" w:eastAsia="Times New Roman" w:hAnsi="Arial" w:cs="Arial"/>
          <w:color w:val="0E101A"/>
          <w:sz w:val="24"/>
          <w:szCs w:val="24"/>
          <w:lang w:eastAsia="en-GB"/>
        </w:rPr>
        <w:t>.</w:t>
      </w:r>
    </w:p>
    <w:p w14:paraId="07BBCF9A"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Available at: </w:t>
      </w:r>
      <w:hyperlink r:id="rId10" w:history="1">
        <w:r w:rsidRPr="00032FBD">
          <w:rPr>
            <w:rFonts w:ascii="Arial" w:eastAsia="Times New Roman" w:hAnsi="Arial" w:cs="Arial"/>
            <w:color w:val="4A6EE0"/>
            <w:sz w:val="24"/>
            <w:szCs w:val="24"/>
            <w:u w:val="single"/>
            <w:lang w:eastAsia="en-GB"/>
          </w:rPr>
          <w:t>https://www.futuregenerations.wales/about-us/future-generations-act/</w:t>
        </w:r>
      </w:hyperlink>
      <w:r w:rsidRPr="00032FBD">
        <w:rPr>
          <w:rFonts w:ascii="Arial" w:eastAsia="Times New Roman" w:hAnsi="Arial" w:cs="Arial"/>
          <w:color w:val="0E101A"/>
          <w:sz w:val="24"/>
          <w:szCs w:val="24"/>
          <w:lang w:eastAsia="en-GB"/>
        </w:rPr>
        <w:t> </w:t>
      </w:r>
    </w:p>
    <w:p w14:paraId="4B180356"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08/12/2021)</w:t>
      </w:r>
    </w:p>
    <w:p w14:paraId="7344E383"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34D920A9"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Cox. D, Hallam. R, O’Connor. K, </w:t>
      </w:r>
      <w:proofErr w:type="spellStart"/>
      <w:r w:rsidRPr="00032FBD">
        <w:rPr>
          <w:rFonts w:ascii="Arial" w:eastAsia="Times New Roman" w:hAnsi="Arial" w:cs="Arial"/>
          <w:color w:val="0E101A"/>
          <w:sz w:val="24"/>
          <w:szCs w:val="24"/>
          <w:lang w:eastAsia="en-GB"/>
        </w:rPr>
        <w:t>Rachman</w:t>
      </w:r>
      <w:proofErr w:type="spellEnd"/>
      <w:r w:rsidRPr="00032FBD">
        <w:rPr>
          <w:rFonts w:ascii="Arial" w:eastAsia="Times New Roman" w:hAnsi="Arial" w:cs="Arial"/>
          <w:color w:val="0E101A"/>
          <w:sz w:val="24"/>
          <w:szCs w:val="24"/>
          <w:lang w:eastAsia="en-GB"/>
        </w:rPr>
        <w:t xml:space="preserve">. S (1983) ‘An experimental analysis of fearlessness and courage’, </w:t>
      </w:r>
      <w:r w:rsidRPr="00032FBD">
        <w:rPr>
          <w:rFonts w:ascii="Arial" w:eastAsia="Times New Roman" w:hAnsi="Arial" w:cs="Arial"/>
          <w:i/>
          <w:iCs/>
          <w:color w:val="0E101A"/>
          <w:sz w:val="24"/>
          <w:szCs w:val="24"/>
          <w:lang w:eastAsia="en-GB"/>
        </w:rPr>
        <w:t>British Journal of Psychology</w:t>
      </w:r>
      <w:r w:rsidRPr="00032FBD">
        <w:rPr>
          <w:rFonts w:ascii="Arial" w:eastAsia="Times New Roman" w:hAnsi="Arial" w:cs="Arial"/>
          <w:color w:val="0E101A"/>
          <w:sz w:val="24"/>
          <w:szCs w:val="24"/>
          <w:lang w:eastAsia="en-GB"/>
        </w:rPr>
        <w:t>, 74(1), pp. 107-117.</w:t>
      </w:r>
    </w:p>
    <w:p w14:paraId="08C6C7D8"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Available at: </w:t>
      </w:r>
      <w:hyperlink r:id="rId11" w:history="1">
        <w:r w:rsidRPr="00032FBD">
          <w:rPr>
            <w:rFonts w:ascii="Arial" w:eastAsia="Times New Roman" w:hAnsi="Arial" w:cs="Arial"/>
            <w:color w:val="4A6EE0"/>
            <w:sz w:val="24"/>
            <w:szCs w:val="24"/>
            <w:u w:val="single"/>
            <w:lang w:eastAsia="en-GB"/>
          </w:rPr>
          <w:t>https://bpspsychub.onlinelibrary.wiley.com/doi/abs/10.1111/j.2044-8295.1983.tb01847.x</w:t>
        </w:r>
      </w:hyperlink>
      <w:r w:rsidRPr="00032FBD">
        <w:rPr>
          <w:rFonts w:ascii="Arial" w:eastAsia="Times New Roman" w:hAnsi="Arial" w:cs="Arial"/>
          <w:color w:val="0E101A"/>
          <w:sz w:val="24"/>
          <w:szCs w:val="24"/>
          <w:lang w:eastAsia="en-GB"/>
        </w:rPr>
        <w:t> </w:t>
      </w:r>
    </w:p>
    <w:p w14:paraId="4CED51C8"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30/11/2021)</w:t>
      </w:r>
    </w:p>
    <w:p w14:paraId="476734DB"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5D638F2C"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Coyne. M, Wright, J. P (2014) </w:t>
      </w:r>
      <w:r w:rsidRPr="00032FBD">
        <w:rPr>
          <w:rFonts w:ascii="Arial" w:eastAsia="Times New Roman" w:hAnsi="Arial" w:cs="Arial"/>
          <w:i/>
          <w:iCs/>
          <w:color w:val="0E101A"/>
          <w:sz w:val="24"/>
          <w:szCs w:val="24"/>
          <w:lang w:eastAsia="en-GB"/>
        </w:rPr>
        <w:t>Nature Versus Nurture</w:t>
      </w:r>
      <w:r w:rsidRPr="00032FBD">
        <w:rPr>
          <w:rFonts w:ascii="Arial" w:eastAsia="Times New Roman" w:hAnsi="Arial" w:cs="Arial"/>
          <w:color w:val="0E101A"/>
          <w:sz w:val="24"/>
          <w:szCs w:val="24"/>
          <w:lang w:eastAsia="en-GB"/>
        </w:rPr>
        <w:t>.</w:t>
      </w:r>
    </w:p>
    <w:p w14:paraId="4F786E1D"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Available at: </w:t>
      </w:r>
      <w:hyperlink r:id="rId12" w:history="1">
        <w:r w:rsidRPr="00032FBD">
          <w:rPr>
            <w:rFonts w:ascii="Arial" w:eastAsia="Times New Roman" w:hAnsi="Arial" w:cs="Arial"/>
            <w:color w:val="4A6EE0"/>
            <w:sz w:val="24"/>
            <w:szCs w:val="24"/>
            <w:u w:val="single"/>
            <w:lang w:eastAsia="en-GB"/>
          </w:rPr>
          <w:t>https://www.oxfordbibliographies.com/view/document/obo-9780195396607/obo-9780195396607-0163.xml</w:t>
        </w:r>
      </w:hyperlink>
      <w:r w:rsidRPr="00032FBD">
        <w:rPr>
          <w:rFonts w:ascii="Arial" w:eastAsia="Times New Roman" w:hAnsi="Arial" w:cs="Arial"/>
          <w:color w:val="0E101A"/>
          <w:sz w:val="24"/>
          <w:szCs w:val="24"/>
          <w:lang w:eastAsia="en-GB"/>
        </w:rPr>
        <w:t> </w:t>
      </w:r>
    </w:p>
    <w:p w14:paraId="5A253449"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30/11/2021) </w:t>
      </w:r>
    </w:p>
    <w:p w14:paraId="6053C7FB"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092BE4DE"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Davies. P (2010) </w:t>
      </w:r>
      <w:r w:rsidRPr="00032FBD">
        <w:rPr>
          <w:rFonts w:ascii="Arial" w:eastAsia="Times New Roman" w:hAnsi="Arial" w:cs="Arial"/>
          <w:i/>
          <w:iCs/>
          <w:color w:val="0E101A"/>
          <w:sz w:val="24"/>
          <w:szCs w:val="24"/>
          <w:lang w:eastAsia="en-GB"/>
        </w:rPr>
        <w:t>Gender, Crime and Victimisation</w:t>
      </w:r>
      <w:r w:rsidRPr="00032FBD">
        <w:rPr>
          <w:rFonts w:ascii="Arial" w:eastAsia="Times New Roman" w:hAnsi="Arial" w:cs="Arial"/>
          <w:color w:val="0E101A"/>
          <w:sz w:val="24"/>
          <w:szCs w:val="24"/>
          <w:lang w:eastAsia="en-GB"/>
        </w:rPr>
        <w:t>, California: SAGE.</w:t>
      </w:r>
    </w:p>
    <w:p w14:paraId="73F7D5B6"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05CEA8BF"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Davidson, R. N (2019) </w:t>
      </w:r>
      <w:r w:rsidRPr="00032FBD">
        <w:rPr>
          <w:rFonts w:ascii="Arial" w:eastAsia="Times New Roman" w:hAnsi="Arial" w:cs="Arial"/>
          <w:i/>
          <w:iCs/>
          <w:color w:val="0E101A"/>
          <w:sz w:val="24"/>
          <w:szCs w:val="24"/>
          <w:lang w:eastAsia="en-GB"/>
        </w:rPr>
        <w:t>Crime and Environment</w:t>
      </w:r>
      <w:r w:rsidRPr="00032FBD">
        <w:rPr>
          <w:rFonts w:ascii="Arial" w:eastAsia="Times New Roman" w:hAnsi="Arial" w:cs="Arial"/>
          <w:color w:val="0E101A"/>
          <w:sz w:val="24"/>
          <w:szCs w:val="24"/>
          <w:lang w:eastAsia="en-GB"/>
        </w:rPr>
        <w:t>, Oxford: Routledge.  </w:t>
      </w:r>
    </w:p>
    <w:p w14:paraId="642C6427"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160B11EC"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Delaney, A. X (2021) </w:t>
      </w:r>
      <w:r w:rsidRPr="00032FBD">
        <w:rPr>
          <w:rFonts w:ascii="Arial" w:eastAsia="Times New Roman" w:hAnsi="Arial" w:cs="Arial"/>
          <w:i/>
          <w:iCs/>
          <w:color w:val="0E101A"/>
          <w:sz w:val="24"/>
          <w:szCs w:val="24"/>
          <w:lang w:eastAsia="en-GB"/>
        </w:rPr>
        <w:t xml:space="preserve">Norms of Violence Violent Socialization Processes and the </w:t>
      </w:r>
      <w:proofErr w:type="spellStart"/>
      <w:r w:rsidRPr="00032FBD">
        <w:rPr>
          <w:rFonts w:ascii="Arial" w:eastAsia="Times New Roman" w:hAnsi="Arial" w:cs="Arial"/>
          <w:i/>
          <w:iCs/>
          <w:color w:val="0E101A"/>
          <w:sz w:val="24"/>
          <w:szCs w:val="24"/>
          <w:lang w:eastAsia="en-GB"/>
        </w:rPr>
        <w:t>Spillover</w:t>
      </w:r>
      <w:proofErr w:type="spellEnd"/>
      <w:r w:rsidRPr="00032FBD">
        <w:rPr>
          <w:rFonts w:ascii="Arial" w:eastAsia="Times New Roman" w:hAnsi="Arial" w:cs="Arial"/>
          <w:i/>
          <w:iCs/>
          <w:color w:val="0E101A"/>
          <w:sz w:val="24"/>
          <w:szCs w:val="24"/>
          <w:lang w:eastAsia="en-GB"/>
        </w:rPr>
        <w:t xml:space="preserve"> Effect for Youth Crime</w:t>
      </w:r>
      <w:r w:rsidRPr="00032FBD">
        <w:rPr>
          <w:rFonts w:ascii="Arial" w:eastAsia="Times New Roman" w:hAnsi="Arial" w:cs="Arial"/>
          <w:color w:val="0E101A"/>
          <w:sz w:val="24"/>
          <w:szCs w:val="24"/>
          <w:lang w:eastAsia="en-GB"/>
        </w:rPr>
        <w:t>, New York: Routledge.</w:t>
      </w:r>
    </w:p>
    <w:p w14:paraId="41BB57D6"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4B25830F"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Early Intervention Foundation (2021) </w:t>
      </w:r>
      <w:r w:rsidRPr="00032FBD">
        <w:rPr>
          <w:rFonts w:ascii="Arial" w:eastAsia="Times New Roman" w:hAnsi="Arial" w:cs="Arial"/>
          <w:i/>
          <w:iCs/>
          <w:color w:val="0E101A"/>
          <w:sz w:val="24"/>
          <w:szCs w:val="24"/>
          <w:lang w:eastAsia="en-GB"/>
        </w:rPr>
        <w:t>Why early intervention matters</w:t>
      </w:r>
      <w:r w:rsidRPr="00032FBD">
        <w:rPr>
          <w:rFonts w:ascii="Arial" w:eastAsia="Times New Roman" w:hAnsi="Arial" w:cs="Arial"/>
          <w:color w:val="0E101A"/>
          <w:sz w:val="24"/>
          <w:szCs w:val="24"/>
          <w:lang w:eastAsia="en-GB"/>
        </w:rPr>
        <w:t>.</w:t>
      </w:r>
    </w:p>
    <w:p w14:paraId="7921B9E0"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Available at: </w:t>
      </w:r>
      <w:hyperlink r:id="rId13" w:history="1">
        <w:r w:rsidRPr="00032FBD">
          <w:rPr>
            <w:rFonts w:ascii="Arial" w:eastAsia="Times New Roman" w:hAnsi="Arial" w:cs="Arial"/>
            <w:color w:val="4A6EE0"/>
            <w:sz w:val="24"/>
            <w:szCs w:val="24"/>
            <w:u w:val="single"/>
            <w:lang w:eastAsia="en-GB"/>
          </w:rPr>
          <w:t>https://www.eif.org.uk/why-it-matters/how-do-we-know-it-works</w:t>
        </w:r>
      </w:hyperlink>
      <w:r w:rsidRPr="00032FBD">
        <w:rPr>
          <w:rFonts w:ascii="Arial" w:eastAsia="Times New Roman" w:hAnsi="Arial" w:cs="Arial"/>
          <w:color w:val="0E101A"/>
          <w:sz w:val="24"/>
          <w:szCs w:val="24"/>
          <w:lang w:eastAsia="en-GB"/>
        </w:rPr>
        <w:t> </w:t>
      </w:r>
    </w:p>
    <w:p w14:paraId="1DE4C801"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08/12/2021) </w:t>
      </w:r>
    </w:p>
    <w:p w14:paraId="6CD98B21"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w:t>
      </w:r>
    </w:p>
    <w:p w14:paraId="70BB56BD"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Gottfredson, M. R, Hirschi. T (1990) </w:t>
      </w:r>
      <w:r w:rsidRPr="00032FBD">
        <w:rPr>
          <w:rFonts w:ascii="Arial" w:eastAsia="Times New Roman" w:hAnsi="Arial" w:cs="Arial"/>
          <w:i/>
          <w:iCs/>
          <w:color w:val="0E101A"/>
          <w:sz w:val="24"/>
          <w:szCs w:val="24"/>
          <w:lang w:eastAsia="en-GB"/>
        </w:rPr>
        <w:t>A general theory of crime.</w:t>
      </w:r>
      <w:r w:rsidRPr="00032FBD">
        <w:rPr>
          <w:rFonts w:ascii="Arial" w:eastAsia="Times New Roman" w:hAnsi="Arial" w:cs="Arial"/>
          <w:color w:val="0E101A"/>
          <w:sz w:val="24"/>
          <w:szCs w:val="24"/>
          <w:lang w:eastAsia="en-GB"/>
        </w:rPr>
        <w:t xml:space="preserve"> California: Stanford University Press.</w:t>
      </w:r>
    </w:p>
    <w:p w14:paraId="5DFB8446"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150E55C3"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Hagan. J, McCarthy. B (2010) </w:t>
      </w:r>
      <w:r w:rsidRPr="00032FBD">
        <w:rPr>
          <w:rFonts w:ascii="Arial" w:eastAsia="Times New Roman" w:hAnsi="Arial" w:cs="Arial"/>
          <w:i/>
          <w:iCs/>
          <w:color w:val="0E101A"/>
          <w:sz w:val="24"/>
          <w:szCs w:val="24"/>
          <w:lang w:eastAsia="en-GB"/>
        </w:rPr>
        <w:t>Youth Crime and Homelessness</w:t>
      </w:r>
      <w:r w:rsidRPr="00032FBD">
        <w:rPr>
          <w:rFonts w:ascii="Arial" w:eastAsia="Times New Roman" w:hAnsi="Arial" w:cs="Arial"/>
          <w:color w:val="0E101A"/>
          <w:sz w:val="24"/>
          <w:szCs w:val="24"/>
          <w:lang w:eastAsia="en-GB"/>
        </w:rPr>
        <w:t>, Cambridge: Cambridge University Press.  </w:t>
      </w:r>
    </w:p>
    <w:p w14:paraId="61FCD5A2"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3B9C7FBE"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lastRenderedPageBreak/>
        <w:t xml:space="preserve">Heimer. K, </w:t>
      </w:r>
      <w:proofErr w:type="spellStart"/>
      <w:r w:rsidRPr="00032FBD">
        <w:rPr>
          <w:rFonts w:ascii="Arial" w:eastAsia="Times New Roman" w:hAnsi="Arial" w:cs="Arial"/>
          <w:color w:val="0E101A"/>
          <w:sz w:val="24"/>
          <w:szCs w:val="24"/>
          <w:lang w:eastAsia="en-GB"/>
        </w:rPr>
        <w:t>Kruttschnitt</w:t>
      </w:r>
      <w:proofErr w:type="spellEnd"/>
      <w:r w:rsidRPr="00032FBD">
        <w:rPr>
          <w:rFonts w:ascii="Arial" w:eastAsia="Times New Roman" w:hAnsi="Arial" w:cs="Arial"/>
          <w:color w:val="0E101A"/>
          <w:sz w:val="24"/>
          <w:szCs w:val="24"/>
          <w:lang w:eastAsia="en-GB"/>
        </w:rPr>
        <w:t xml:space="preserve">. C (2006) </w:t>
      </w:r>
      <w:r w:rsidRPr="00032FBD">
        <w:rPr>
          <w:rFonts w:ascii="Arial" w:eastAsia="Times New Roman" w:hAnsi="Arial" w:cs="Arial"/>
          <w:i/>
          <w:iCs/>
          <w:color w:val="0E101A"/>
          <w:sz w:val="24"/>
          <w:szCs w:val="24"/>
          <w:lang w:eastAsia="en-GB"/>
        </w:rPr>
        <w:t>Gender and Crime: Patterns of Victimization and Offending</w:t>
      </w:r>
      <w:r w:rsidRPr="00032FBD">
        <w:rPr>
          <w:rFonts w:ascii="Arial" w:eastAsia="Times New Roman" w:hAnsi="Arial" w:cs="Arial"/>
          <w:color w:val="0E101A"/>
          <w:sz w:val="24"/>
          <w:szCs w:val="24"/>
          <w:lang w:eastAsia="en-GB"/>
        </w:rPr>
        <w:t>, Manhattan: NYU Press.</w:t>
      </w:r>
    </w:p>
    <w:p w14:paraId="7DDD7855"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345E4CB1"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Heller, S. B, Shah, A. K, </w:t>
      </w:r>
      <w:proofErr w:type="spellStart"/>
      <w:r w:rsidRPr="00032FBD">
        <w:rPr>
          <w:rFonts w:ascii="Arial" w:eastAsia="Times New Roman" w:hAnsi="Arial" w:cs="Arial"/>
          <w:color w:val="0E101A"/>
          <w:sz w:val="24"/>
          <w:szCs w:val="24"/>
          <w:lang w:eastAsia="en-GB"/>
        </w:rPr>
        <w:t>Gurvan</w:t>
      </w:r>
      <w:proofErr w:type="spellEnd"/>
      <w:r w:rsidRPr="00032FBD">
        <w:rPr>
          <w:rFonts w:ascii="Arial" w:eastAsia="Times New Roman" w:hAnsi="Arial" w:cs="Arial"/>
          <w:color w:val="0E101A"/>
          <w:sz w:val="24"/>
          <w:szCs w:val="24"/>
          <w:lang w:eastAsia="en-GB"/>
        </w:rPr>
        <w:t xml:space="preserve">. J, Ludwig. J, Mullainathan. S, Pollack, H. A (2017) ‘Thinking, fast and slow? Some field experiments to reduce crime and dropout in Chicago’, </w:t>
      </w:r>
      <w:r w:rsidRPr="00032FBD">
        <w:rPr>
          <w:rFonts w:ascii="Arial" w:eastAsia="Times New Roman" w:hAnsi="Arial" w:cs="Arial"/>
          <w:i/>
          <w:iCs/>
          <w:color w:val="0E101A"/>
          <w:sz w:val="24"/>
          <w:szCs w:val="24"/>
          <w:lang w:eastAsia="en-GB"/>
        </w:rPr>
        <w:t>Quarterly Journal of Economics</w:t>
      </w:r>
      <w:r w:rsidRPr="00032FBD">
        <w:rPr>
          <w:rFonts w:ascii="Arial" w:eastAsia="Times New Roman" w:hAnsi="Arial" w:cs="Arial"/>
          <w:color w:val="0E101A"/>
          <w:sz w:val="24"/>
          <w:szCs w:val="24"/>
          <w:lang w:eastAsia="en-GB"/>
        </w:rPr>
        <w:t>, 132(1), pp. 1-54.</w:t>
      </w:r>
    </w:p>
    <w:p w14:paraId="20B0E6DD"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Available at: </w:t>
      </w:r>
      <w:hyperlink r:id="rId14" w:history="1">
        <w:r w:rsidRPr="00032FBD">
          <w:rPr>
            <w:rFonts w:ascii="Arial" w:eastAsia="Times New Roman" w:hAnsi="Arial" w:cs="Arial"/>
            <w:color w:val="4A6EE0"/>
            <w:sz w:val="24"/>
            <w:szCs w:val="24"/>
            <w:u w:val="single"/>
            <w:lang w:eastAsia="en-GB"/>
          </w:rPr>
          <w:t>https://pubmed.ncbi.nlm.nih.gov/29456270/</w:t>
        </w:r>
      </w:hyperlink>
      <w:r w:rsidRPr="00032FBD">
        <w:rPr>
          <w:rFonts w:ascii="Arial" w:eastAsia="Times New Roman" w:hAnsi="Arial" w:cs="Arial"/>
          <w:color w:val="0E101A"/>
          <w:sz w:val="24"/>
          <w:szCs w:val="24"/>
          <w:lang w:eastAsia="en-GB"/>
        </w:rPr>
        <w:t>  </w:t>
      </w:r>
    </w:p>
    <w:p w14:paraId="3D95677B"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08/12/2021)</w:t>
      </w:r>
    </w:p>
    <w:p w14:paraId="27AFA031"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17A14EB8"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Hetherington, E. M (1989) ‘Coping with Family Transitions: Winners, Losers, and Survivors’, </w:t>
      </w:r>
      <w:r w:rsidRPr="00032FBD">
        <w:rPr>
          <w:rFonts w:ascii="Arial" w:eastAsia="Times New Roman" w:hAnsi="Arial" w:cs="Arial"/>
          <w:i/>
          <w:iCs/>
          <w:color w:val="0E101A"/>
          <w:sz w:val="24"/>
          <w:szCs w:val="24"/>
          <w:lang w:eastAsia="en-GB"/>
        </w:rPr>
        <w:t>Child Development</w:t>
      </w:r>
      <w:r w:rsidRPr="00032FBD">
        <w:rPr>
          <w:rFonts w:ascii="Arial" w:eastAsia="Times New Roman" w:hAnsi="Arial" w:cs="Arial"/>
          <w:color w:val="0E101A"/>
          <w:sz w:val="24"/>
          <w:szCs w:val="24"/>
          <w:lang w:eastAsia="en-GB"/>
        </w:rPr>
        <w:t>, 60(1), pp. 1-14.</w:t>
      </w:r>
    </w:p>
    <w:p w14:paraId="2255B74C"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Available at: </w:t>
      </w:r>
      <w:hyperlink r:id="rId15" w:anchor="metadata_info_tab_contents" w:history="1">
        <w:r w:rsidRPr="00032FBD">
          <w:rPr>
            <w:rFonts w:ascii="Arial" w:eastAsia="Times New Roman" w:hAnsi="Arial" w:cs="Arial"/>
            <w:color w:val="4A6EE0"/>
            <w:sz w:val="24"/>
            <w:szCs w:val="24"/>
            <w:u w:val="single"/>
            <w:lang w:eastAsia="en-GB"/>
          </w:rPr>
          <w:t>https://www.jstor.org/stable/1131066?seq=1#metadata_info_tab_contents</w:t>
        </w:r>
      </w:hyperlink>
      <w:r w:rsidRPr="00032FBD">
        <w:rPr>
          <w:rFonts w:ascii="Arial" w:eastAsia="Times New Roman" w:hAnsi="Arial" w:cs="Arial"/>
          <w:color w:val="0E101A"/>
          <w:sz w:val="24"/>
          <w:szCs w:val="24"/>
          <w:lang w:eastAsia="en-GB"/>
        </w:rPr>
        <w:t> </w:t>
      </w:r>
    </w:p>
    <w:p w14:paraId="4D6598E7"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02/12/2021)</w:t>
      </w:r>
    </w:p>
    <w:p w14:paraId="4DA7BBE5"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36E02233"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Lipsey, M. W (2009) ‘The Primary Factors that Characterize Effective Interventions with Juvenile Offenders: A Meta-Analytic Overview’, </w:t>
      </w:r>
      <w:r w:rsidRPr="00032FBD">
        <w:rPr>
          <w:rFonts w:ascii="Arial" w:eastAsia="Times New Roman" w:hAnsi="Arial" w:cs="Arial"/>
          <w:i/>
          <w:iCs/>
          <w:color w:val="0E101A"/>
          <w:sz w:val="24"/>
          <w:szCs w:val="24"/>
          <w:lang w:eastAsia="en-GB"/>
        </w:rPr>
        <w:t>Victims and Offenders</w:t>
      </w:r>
      <w:r w:rsidRPr="00032FBD">
        <w:rPr>
          <w:rFonts w:ascii="Arial" w:eastAsia="Times New Roman" w:hAnsi="Arial" w:cs="Arial"/>
          <w:color w:val="0E101A"/>
          <w:sz w:val="24"/>
          <w:szCs w:val="24"/>
          <w:lang w:eastAsia="en-GB"/>
        </w:rPr>
        <w:t>, 4(4), pp. 124-147.</w:t>
      </w:r>
    </w:p>
    <w:p w14:paraId="4F8CC87B"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Available at: </w:t>
      </w:r>
      <w:hyperlink r:id="rId16" w:history="1">
        <w:r w:rsidRPr="00032FBD">
          <w:rPr>
            <w:rFonts w:ascii="Arial" w:eastAsia="Times New Roman" w:hAnsi="Arial" w:cs="Arial"/>
            <w:color w:val="4A6EE0"/>
            <w:sz w:val="24"/>
            <w:szCs w:val="24"/>
            <w:u w:val="single"/>
            <w:lang w:eastAsia="en-GB"/>
          </w:rPr>
          <w:t>https://www.researchgate.net/publication/228662112_The_Primary_Factors_that_Characterize_Effective_Interventions_with_Juvenile_Offenders_A_Meta-Analytic_Overview</w:t>
        </w:r>
      </w:hyperlink>
      <w:r w:rsidRPr="00032FBD">
        <w:rPr>
          <w:rFonts w:ascii="Arial" w:eastAsia="Times New Roman" w:hAnsi="Arial" w:cs="Arial"/>
          <w:color w:val="0E101A"/>
          <w:sz w:val="24"/>
          <w:szCs w:val="24"/>
          <w:lang w:eastAsia="en-GB"/>
        </w:rPr>
        <w:t> </w:t>
      </w:r>
    </w:p>
    <w:p w14:paraId="66F3FB3C"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08/12/2021) </w:t>
      </w:r>
    </w:p>
    <w:p w14:paraId="38FA23DC"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6F3E7A72"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Mazerolle. P, Piquero, A. P, </w:t>
      </w:r>
      <w:proofErr w:type="spellStart"/>
      <w:r w:rsidRPr="00032FBD">
        <w:rPr>
          <w:rFonts w:ascii="Arial" w:eastAsia="Times New Roman" w:hAnsi="Arial" w:cs="Arial"/>
          <w:color w:val="0E101A"/>
          <w:sz w:val="24"/>
          <w:szCs w:val="24"/>
          <w:lang w:eastAsia="en-GB"/>
        </w:rPr>
        <w:t>Capowich</w:t>
      </w:r>
      <w:proofErr w:type="spellEnd"/>
      <w:r w:rsidRPr="00032FBD">
        <w:rPr>
          <w:rFonts w:ascii="Arial" w:eastAsia="Times New Roman" w:hAnsi="Arial" w:cs="Arial"/>
          <w:color w:val="0E101A"/>
          <w:sz w:val="24"/>
          <w:szCs w:val="24"/>
          <w:lang w:eastAsia="en-GB"/>
        </w:rPr>
        <w:t xml:space="preserve">, G. E (2003) ‘Examining the Links between Strain, Situational and Dispositional Anger, and Crime: Further Specifying and Testing General Strain Theory’, </w:t>
      </w:r>
      <w:r w:rsidRPr="00032FBD">
        <w:rPr>
          <w:rFonts w:ascii="Arial" w:eastAsia="Times New Roman" w:hAnsi="Arial" w:cs="Arial"/>
          <w:i/>
          <w:iCs/>
          <w:color w:val="0E101A"/>
          <w:sz w:val="24"/>
          <w:szCs w:val="24"/>
          <w:lang w:eastAsia="en-GB"/>
        </w:rPr>
        <w:t>Youth &amp; Society</w:t>
      </w:r>
      <w:r w:rsidRPr="00032FBD">
        <w:rPr>
          <w:rFonts w:ascii="Arial" w:eastAsia="Times New Roman" w:hAnsi="Arial" w:cs="Arial"/>
          <w:color w:val="0E101A"/>
          <w:sz w:val="24"/>
          <w:szCs w:val="24"/>
          <w:lang w:eastAsia="en-GB"/>
        </w:rPr>
        <w:t>, 35(2), pp. 131-157.</w:t>
      </w:r>
    </w:p>
    <w:p w14:paraId="4AEC6B36"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lastRenderedPageBreak/>
        <w:t xml:space="preserve">Available at: </w:t>
      </w:r>
      <w:hyperlink r:id="rId17" w:history="1">
        <w:r w:rsidRPr="00032FBD">
          <w:rPr>
            <w:rFonts w:ascii="Arial" w:eastAsia="Times New Roman" w:hAnsi="Arial" w:cs="Arial"/>
            <w:color w:val="4A6EE0"/>
            <w:sz w:val="24"/>
            <w:szCs w:val="24"/>
            <w:u w:val="single"/>
            <w:lang w:eastAsia="en-GB"/>
          </w:rPr>
          <w:t>https://journals.sagepub.com/doi/abs/10.1177/0044118x03255029?casa_token=8-4H3dhKY8MAAAAA:ybWR_Ujatr2vapEA350r288UIZUVJ8-k3aN7U-qg4Z2qMXlUhZouLXZdRBd7zKfe-U1ByJjHGvHQ</w:t>
        </w:r>
      </w:hyperlink>
      <w:r w:rsidRPr="00032FBD">
        <w:rPr>
          <w:rFonts w:ascii="Arial" w:eastAsia="Times New Roman" w:hAnsi="Arial" w:cs="Arial"/>
          <w:color w:val="0E101A"/>
          <w:sz w:val="24"/>
          <w:szCs w:val="24"/>
          <w:lang w:eastAsia="en-GB"/>
        </w:rPr>
        <w:t> </w:t>
      </w:r>
    </w:p>
    <w:p w14:paraId="6AD9E3EF"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02/12/2021) </w:t>
      </w:r>
    </w:p>
    <w:p w14:paraId="440A488D"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598E2575"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McMillan, T. M, </w:t>
      </w:r>
      <w:proofErr w:type="spellStart"/>
      <w:r w:rsidRPr="00032FBD">
        <w:rPr>
          <w:rFonts w:ascii="Arial" w:eastAsia="Times New Roman" w:hAnsi="Arial" w:cs="Arial"/>
          <w:color w:val="0E101A"/>
          <w:sz w:val="24"/>
          <w:szCs w:val="24"/>
          <w:lang w:eastAsia="en-GB"/>
        </w:rPr>
        <w:t>Rachman</w:t>
      </w:r>
      <w:proofErr w:type="spellEnd"/>
      <w:r w:rsidRPr="00032FBD">
        <w:rPr>
          <w:rFonts w:ascii="Arial" w:eastAsia="Times New Roman" w:hAnsi="Arial" w:cs="Arial"/>
          <w:color w:val="0E101A"/>
          <w:sz w:val="24"/>
          <w:szCs w:val="24"/>
          <w:lang w:eastAsia="en-GB"/>
        </w:rPr>
        <w:t xml:space="preserve">, S. J (1987) ‘Fearlessness and courage: A laboratory study of paratrooper veterans of the Falklands War’, </w:t>
      </w:r>
      <w:r w:rsidRPr="00032FBD">
        <w:rPr>
          <w:rFonts w:ascii="Arial" w:eastAsia="Times New Roman" w:hAnsi="Arial" w:cs="Arial"/>
          <w:i/>
          <w:iCs/>
          <w:color w:val="0E101A"/>
          <w:sz w:val="24"/>
          <w:szCs w:val="24"/>
          <w:lang w:eastAsia="en-GB"/>
        </w:rPr>
        <w:t>British Journal of Psychology</w:t>
      </w:r>
      <w:r w:rsidRPr="00032FBD">
        <w:rPr>
          <w:rFonts w:ascii="Arial" w:eastAsia="Times New Roman" w:hAnsi="Arial" w:cs="Arial"/>
          <w:color w:val="0E101A"/>
          <w:sz w:val="24"/>
          <w:szCs w:val="24"/>
          <w:lang w:eastAsia="en-GB"/>
        </w:rPr>
        <w:t>, 78(3), pp. 375-383.</w:t>
      </w:r>
    </w:p>
    <w:p w14:paraId="3D3FEA59"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Available at: </w:t>
      </w:r>
      <w:hyperlink r:id="rId18" w:history="1">
        <w:r w:rsidRPr="00032FBD">
          <w:rPr>
            <w:rFonts w:ascii="Arial" w:eastAsia="Times New Roman" w:hAnsi="Arial" w:cs="Arial"/>
            <w:color w:val="4A6EE0"/>
            <w:sz w:val="24"/>
            <w:szCs w:val="24"/>
            <w:u w:val="single"/>
            <w:lang w:eastAsia="en-GB"/>
          </w:rPr>
          <w:t>https://psycnet.apa.org/record/1988-28832-001</w:t>
        </w:r>
      </w:hyperlink>
      <w:r w:rsidRPr="00032FBD">
        <w:rPr>
          <w:rFonts w:ascii="Arial" w:eastAsia="Times New Roman" w:hAnsi="Arial" w:cs="Arial"/>
          <w:color w:val="0E101A"/>
          <w:sz w:val="24"/>
          <w:szCs w:val="24"/>
          <w:lang w:eastAsia="en-GB"/>
        </w:rPr>
        <w:t> </w:t>
      </w:r>
    </w:p>
    <w:p w14:paraId="580E20F0"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30/11/2021)  </w:t>
      </w:r>
    </w:p>
    <w:p w14:paraId="31127167"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2B954A92"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Michael, A (2021) </w:t>
      </w:r>
      <w:r w:rsidRPr="00032FBD">
        <w:rPr>
          <w:rFonts w:ascii="Arial" w:eastAsia="Times New Roman" w:hAnsi="Arial" w:cs="Arial"/>
          <w:i/>
          <w:iCs/>
          <w:color w:val="0E101A"/>
          <w:sz w:val="24"/>
          <w:szCs w:val="24"/>
          <w:lang w:eastAsia="en-GB"/>
        </w:rPr>
        <w:t>South Wales Police Youth Trust and Cardiff Metropolitan University launch new early intervention sport scheme</w:t>
      </w:r>
      <w:r w:rsidRPr="00032FBD">
        <w:rPr>
          <w:rFonts w:ascii="Arial" w:eastAsia="Times New Roman" w:hAnsi="Arial" w:cs="Arial"/>
          <w:color w:val="0E101A"/>
          <w:sz w:val="24"/>
          <w:szCs w:val="24"/>
          <w:lang w:eastAsia="en-GB"/>
        </w:rPr>
        <w:t>.</w:t>
      </w:r>
    </w:p>
    <w:p w14:paraId="195A87D3"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Available at: </w:t>
      </w:r>
      <w:hyperlink r:id="rId19" w:history="1">
        <w:r w:rsidRPr="00032FBD">
          <w:rPr>
            <w:rFonts w:ascii="Arial" w:eastAsia="Times New Roman" w:hAnsi="Arial" w:cs="Arial"/>
            <w:color w:val="4A6EE0"/>
            <w:sz w:val="24"/>
            <w:szCs w:val="24"/>
            <w:u w:val="single"/>
            <w:lang w:eastAsia="en-GB"/>
          </w:rPr>
          <w:t>https://commissioner.south-wales.police.uk/en/news/south-wales-police-youth-trust-and-cardiff-metropolitan-university-launch-new-early-intervention-sport-scheme/</w:t>
        </w:r>
      </w:hyperlink>
      <w:r w:rsidRPr="00032FBD">
        <w:rPr>
          <w:rFonts w:ascii="Arial" w:eastAsia="Times New Roman" w:hAnsi="Arial" w:cs="Arial"/>
          <w:color w:val="0E101A"/>
          <w:sz w:val="24"/>
          <w:szCs w:val="24"/>
          <w:lang w:eastAsia="en-GB"/>
        </w:rPr>
        <w:t> </w:t>
      </w:r>
    </w:p>
    <w:p w14:paraId="411979C0"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06/12/2021)</w:t>
      </w:r>
    </w:p>
    <w:p w14:paraId="09609B43"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5A310B04"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Ministry of Justice (2013) </w:t>
      </w:r>
      <w:r w:rsidRPr="00032FBD">
        <w:rPr>
          <w:rFonts w:ascii="Arial" w:eastAsia="Times New Roman" w:hAnsi="Arial" w:cs="Arial"/>
          <w:i/>
          <w:iCs/>
          <w:color w:val="0E101A"/>
          <w:sz w:val="24"/>
          <w:szCs w:val="24"/>
          <w:lang w:eastAsia="en-GB"/>
        </w:rPr>
        <w:t>Transforming Rehabilitation: a summary of evidence on reducing reoffending</w:t>
      </w:r>
      <w:r w:rsidRPr="00032FBD">
        <w:rPr>
          <w:rFonts w:ascii="Arial" w:eastAsia="Times New Roman" w:hAnsi="Arial" w:cs="Arial"/>
          <w:color w:val="0E101A"/>
          <w:sz w:val="24"/>
          <w:szCs w:val="24"/>
          <w:lang w:eastAsia="en-GB"/>
        </w:rPr>
        <w:t>.</w:t>
      </w:r>
    </w:p>
    <w:p w14:paraId="268082B4"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Available at: </w:t>
      </w:r>
      <w:hyperlink r:id="rId20" w:history="1">
        <w:r w:rsidRPr="00032FBD">
          <w:rPr>
            <w:rFonts w:ascii="Arial" w:eastAsia="Times New Roman" w:hAnsi="Arial" w:cs="Arial"/>
            <w:color w:val="4A6EE0"/>
            <w:sz w:val="24"/>
            <w:szCs w:val="24"/>
            <w:u w:val="single"/>
            <w:lang w:eastAsia="en-GB"/>
          </w:rPr>
          <w:t>https://assets.publishing.service.gov.uk/government/uploads/system/uploads/attachment_data/file/243718/evidence-reduce-reoffending.pdf</w:t>
        </w:r>
      </w:hyperlink>
      <w:r w:rsidRPr="00032FBD">
        <w:rPr>
          <w:rFonts w:ascii="Arial" w:eastAsia="Times New Roman" w:hAnsi="Arial" w:cs="Arial"/>
          <w:color w:val="0E101A"/>
          <w:sz w:val="24"/>
          <w:szCs w:val="24"/>
          <w:lang w:eastAsia="en-GB"/>
        </w:rPr>
        <w:t> </w:t>
      </w:r>
    </w:p>
    <w:p w14:paraId="2B22FC99"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08/12/2021) </w:t>
      </w:r>
    </w:p>
    <w:p w14:paraId="78413ED0"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7A13AB78"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Ministry of Justice (2021) </w:t>
      </w:r>
      <w:r w:rsidRPr="00032FBD">
        <w:rPr>
          <w:rFonts w:ascii="Arial" w:eastAsia="Times New Roman" w:hAnsi="Arial" w:cs="Arial"/>
          <w:i/>
          <w:iCs/>
          <w:color w:val="0E101A"/>
          <w:sz w:val="24"/>
          <w:szCs w:val="24"/>
          <w:lang w:eastAsia="en-GB"/>
        </w:rPr>
        <w:t>Proven reoffending statistics: January to March 2019</w:t>
      </w:r>
      <w:r w:rsidRPr="00032FBD">
        <w:rPr>
          <w:rFonts w:ascii="Arial" w:eastAsia="Times New Roman" w:hAnsi="Arial" w:cs="Arial"/>
          <w:color w:val="0E101A"/>
          <w:sz w:val="24"/>
          <w:szCs w:val="24"/>
          <w:lang w:eastAsia="en-GB"/>
        </w:rPr>
        <w:t>.</w:t>
      </w:r>
    </w:p>
    <w:p w14:paraId="5FA608D0"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lastRenderedPageBreak/>
        <w:t xml:space="preserve">Available at: </w:t>
      </w:r>
      <w:hyperlink r:id="rId21" w:anchor="statisticians-comment" w:history="1">
        <w:r w:rsidRPr="00032FBD">
          <w:rPr>
            <w:rFonts w:ascii="Arial" w:eastAsia="Times New Roman" w:hAnsi="Arial" w:cs="Arial"/>
            <w:color w:val="4A6EE0"/>
            <w:sz w:val="24"/>
            <w:szCs w:val="24"/>
            <w:u w:val="single"/>
            <w:lang w:eastAsia="en-GB"/>
          </w:rPr>
          <w:t>https://www.gov.uk/government/statistics/proven-reoffending-statistics-january-to-march-2019/proven-reoffending-statistics-january-to-march-2019#statisticians-comment</w:t>
        </w:r>
      </w:hyperlink>
      <w:r w:rsidRPr="00032FBD">
        <w:rPr>
          <w:rFonts w:ascii="Arial" w:eastAsia="Times New Roman" w:hAnsi="Arial" w:cs="Arial"/>
          <w:color w:val="0E101A"/>
          <w:sz w:val="24"/>
          <w:szCs w:val="24"/>
          <w:lang w:eastAsia="en-GB"/>
        </w:rPr>
        <w:t> </w:t>
      </w:r>
    </w:p>
    <w:p w14:paraId="7FACF4E4"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08/12/2021)  </w:t>
      </w:r>
    </w:p>
    <w:p w14:paraId="293BCD29"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763A5AF5"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Moffit, T. E, Caspi. A, Rutter. M, Silva, P. A (2001) </w:t>
      </w:r>
      <w:r w:rsidRPr="00032FBD">
        <w:rPr>
          <w:rFonts w:ascii="Arial" w:eastAsia="Times New Roman" w:hAnsi="Arial" w:cs="Arial"/>
          <w:i/>
          <w:iCs/>
          <w:color w:val="0E101A"/>
          <w:sz w:val="24"/>
          <w:szCs w:val="24"/>
          <w:lang w:eastAsia="en-GB"/>
        </w:rPr>
        <w:t>Sex Differences in Antisocial Behaviour: Conduct Disorder, Delinquency, and Violence in the Dunedin Longitudinal Study</w:t>
      </w:r>
      <w:r w:rsidRPr="00032FBD">
        <w:rPr>
          <w:rFonts w:ascii="Arial" w:eastAsia="Times New Roman" w:hAnsi="Arial" w:cs="Arial"/>
          <w:color w:val="0E101A"/>
          <w:sz w:val="24"/>
          <w:szCs w:val="24"/>
          <w:lang w:eastAsia="en-GB"/>
        </w:rPr>
        <w:t>, in Blumstein. A, Farrington. D (ed.), Cambridge: Cambridge University Press. </w:t>
      </w:r>
    </w:p>
    <w:p w14:paraId="37C06AA1"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6BC7859E"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proofErr w:type="spellStart"/>
      <w:r w:rsidRPr="00032FBD">
        <w:rPr>
          <w:rFonts w:ascii="Arial" w:eastAsia="Times New Roman" w:hAnsi="Arial" w:cs="Arial"/>
          <w:color w:val="0E101A"/>
          <w:sz w:val="24"/>
          <w:szCs w:val="24"/>
          <w:lang w:eastAsia="en-GB"/>
        </w:rPr>
        <w:t>Morash</w:t>
      </w:r>
      <w:proofErr w:type="spellEnd"/>
      <w:r w:rsidRPr="00032FBD">
        <w:rPr>
          <w:rFonts w:ascii="Arial" w:eastAsia="Times New Roman" w:hAnsi="Arial" w:cs="Arial"/>
          <w:color w:val="0E101A"/>
          <w:sz w:val="24"/>
          <w:szCs w:val="24"/>
          <w:lang w:eastAsia="en-GB"/>
        </w:rPr>
        <w:t xml:space="preserve">. M (2006) </w:t>
      </w:r>
      <w:r w:rsidRPr="00032FBD">
        <w:rPr>
          <w:rFonts w:ascii="Arial" w:eastAsia="Times New Roman" w:hAnsi="Arial" w:cs="Arial"/>
          <w:i/>
          <w:iCs/>
          <w:color w:val="0E101A"/>
          <w:sz w:val="24"/>
          <w:szCs w:val="24"/>
          <w:lang w:eastAsia="en-GB"/>
        </w:rPr>
        <w:t>Understanding Gender, Crime, and Justice</w:t>
      </w:r>
      <w:r w:rsidRPr="00032FBD">
        <w:rPr>
          <w:rFonts w:ascii="Arial" w:eastAsia="Times New Roman" w:hAnsi="Arial" w:cs="Arial"/>
          <w:color w:val="0E101A"/>
          <w:sz w:val="24"/>
          <w:szCs w:val="24"/>
          <w:lang w:eastAsia="en-GB"/>
        </w:rPr>
        <w:t>, California: SAGE. </w:t>
      </w:r>
    </w:p>
    <w:p w14:paraId="605DE426"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0D06796C"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Moffitt, T. E, Ross. S, Raine. A (2010) ‘Crime and Biology’, in Wilson, J. Q and Petersilia. J (ed.) </w:t>
      </w:r>
      <w:r w:rsidRPr="00032FBD">
        <w:rPr>
          <w:rFonts w:ascii="Arial" w:eastAsia="Times New Roman" w:hAnsi="Arial" w:cs="Arial"/>
          <w:i/>
          <w:iCs/>
          <w:color w:val="0E101A"/>
          <w:sz w:val="24"/>
          <w:szCs w:val="24"/>
          <w:lang w:eastAsia="en-GB"/>
        </w:rPr>
        <w:t>Crime - Public Policies for Crime Control</w:t>
      </w:r>
      <w:r w:rsidRPr="00032FBD">
        <w:rPr>
          <w:rFonts w:ascii="Arial" w:eastAsia="Times New Roman" w:hAnsi="Arial" w:cs="Arial"/>
          <w:color w:val="0E101A"/>
          <w:sz w:val="24"/>
          <w:szCs w:val="24"/>
          <w:lang w:eastAsia="en-GB"/>
        </w:rPr>
        <w:t>, California: ICS Press. </w:t>
      </w:r>
    </w:p>
    <w:p w14:paraId="4C6CE220"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082BC0D1"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Muncie. J (2014) </w:t>
      </w:r>
      <w:r w:rsidRPr="00032FBD">
        <w:rPr>
          <w:rFonts w:ascii="Arial" w:eastAsia="Times New Roman" w:hAnsi="Arial" w:cs="Arial"/>
          <w:i/>
          <w:iCs/>
          <w:color w:val="0E101A"/>
          <w:sz w:val="24"/>
          <w:szCs w:val="24"/>
          <w:lang w:eastAsia="en-GB"/>
        </w:rPr>
        <w:t>Youth and Crime</w:t>
      </w:r>
      <w:r w:rsidRPr="00032FBD">
        <w:rPr>
          <w:rFonts w:ascii="Arial" w:eastAsia="Times New Roman" w:hAnsi="Arial" w:cs="Arial"/>
          <w:color w:val="0E101A"/>
          <w:sz w:val="24"/>
          <w:szCs w:val="24"/>
          <w:lang w:eastAsia="en-GB"/>
        </w:rPr>
        <w:t>, California: SAGE. </w:t>
      </w:r>
    </w:p>
    <w:p w14:paraId="1190C794"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7A452E56"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Nagel, I. H, Hagan. J (1983) ‘Gender and Crime: Offense Patterns and Criminal Court Sanctions’, </w:t>
      </w:r>
      <w:r w:rsidRPr="00032FBD">
        <w:rPr>
          <w:rFonts w:ascii="Arial" w:eastAsia="Times New Roman" w:hAnsi="Arial" w:cs="Arial"/>
          <w:i/>
          <w:iCs/>
          <w:color w:val="0E101A"/>
          <w:sz w:val="24"/>
          <w:szCs w:val="24"/>
          <w:lang w:eastAsia="en-GB"/>
        </w:rPr>
        <w:t>The University of Chicago Press Journal</w:t>
      </w:r>
      <w:r w:rsidRPr="00032FBD">
        <w:rPr>
          <w:rFonts w:ascii="Arial" w:eastAsia="Times New Roman" w:hAnsi="Arial" w:cs="Arial"/>
          <w:color w:val="0E101A"/>
          <w:sz w:val="24"/>
          <w:szCs w:val="24"/>
          <w:lang w:eastAsia="en-GB"/>
        </w:rPr>
        <w:t>, 4, pp. 91-144.</w:t>
      </w:r>
    </w:p>
    <w:p w14:paraId="4B0F9493"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Available at: </w:t>
      </w:r>
      <w:hyperlink r:id="rId22" w:history="1">
        <w:r w:rsidRPr="00032FBD">
          <w:rPr>
            <w:rFonts w:ascii="Arial" w:eastAsia="Times New Roman" w:hAnsi="Arial" w:cs="Arial"/>
            <w:color w:val="4A6EE0"/>
            <w:sz w:val="24"/>
            <w:szCs w:val="24"/>
            <w:u w:val="single"/>
            <w:lang w:eastAsia="en-GB"/>
          </w:rPr>
          <w:t>https://www.journals.uchicago.edu/action/showCitFormats?doi=10.1086%2F449087</w:t>
        </w:r>
      </w:hyperlink>
      <w:r w:rsidRPr="00032FBD">
        <w:rPr>
          <w:rFonts w:ascii="Arial" w:eastAsia="Times New Roman" w:hAnsi="Arial" w:cs="Arial"/>
          <w:color w:val="0E101A"/>
          <w:sz w:val="24"/>
          <w:szCs w:val="24"/>
          <w:lang w:eastAsia="en-GB"/>
        </w:rPr>
        <w:t> </w:t>
      </w:r>
    </w:p>
    <w:p w14:paraId="2FC3A4A5"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03/12/2021)  </w:t>
      </w:r>
    </w:p>
    <w:p w14:paraId="7F900E3A"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547EC16D"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NSPCC (2021) </w:t>
      </w:r>
      <w:r w:rsidRPr="00032FBD">
        <w:rPr>
          <w:rFonts w:ascii="Arial" w:eastAsia="Times New Roman" w:hAnsi="Arial" w:cs="Arial"/>
          <w:i/>
          <w:iCs/>
          <w:color w:val="0E101A"/>
          <w:sz w:val="24"/>
          <w:szCs w:val="24"/>
          <w:lang w:eastAsia="en-GB"/>
        </w:rPr>
        <w:t>Early help (or early intervention)</w:t>
      </w:r>
      <w:r w:rsidRPr="00032FBD">
        <w:rPr>
          <w:rFonts w:ascii="Arial" w:eastAsia="Times New Roman" w:hAnsi="Arial" w:cs="Arial"/>
          <w:color w:val="0E101A"/>
          <w:sz w:val="24"/>
          <w:szCs w:val="24"/>
          <w:lang w:eastAsia="en-GB"/>
        </w:rPr>
        <w:t>.</w:t>
      </w:r>
    </w:p>
    <w:p w14:paraId="1DCF6444"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Available at: </w:t>
      </w:r>
      <w:hyperlink r:id="rId23" w:history="1">
        <w:r w:rsidRPr="00032FBD">
          <w:rPr>
            <w:rFonts w:ascii="Arial" w:eastAsia="Times New Roman" w:hAnsi="Arial" w:cs="Arial"/>
            <w:color w:val="4A6EE0"/>
            <w:sz w:val="24"/>
            <w:szCs w:val="24"/>
            <w:u w:val="single"/>
            <w:lang w:eastAsia="en-GB"/>
          </w:rPr>
          <w:t>https://learning.nspcc.org.uk/safeguarding-child-protection/early-help-early-intervention</w:t>
        </w:r>
      </w:hyperlink>
      <w:r w:rsidRPr="00032FBD">
        <w:rPr>
          <w:rFonts w:ascii="Arial" w:eastAsia="Times New Roman" w:hAnsi="Arial" w:cs="Arial"/>
          <w:color w:val="0E101A"/>
          <w:sz w:val="24"/>
          <w:szCs w:val="24"/>
          <w:lang w:eastAsia="en-GB"/>
        </w:rPr>
        <w:t> </w:t>
      </w:r>
    </w:p>
    <w:p w14:paraId="38464D3C"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06/12/2021) </w:t>
      </w:r>
    </w:p>
    <w:p w14:paraId="7C0DCA0A"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380CDA45"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lastRenderedPageBreak/>
        <w:t xml:space="preserve">O’Connor. K, Hallam. R, </w:t>
      </w:r>
      <w:proofErr w:type="spellStart"/>
      <w:r w:rsidRPr="00032FBD">
        <w:rPr>
          <w:rFonts w:ascii="Arial" w:eastAsia="Times New Roman" w:hAnsi="Arial" w:cs="Arial"/>
          <w:color w:val="0E101A"/>
          <w:sz w:val="24"/>
          <w:szCs w:val="24"/>
          <w:lang w:eastAsia="en-GB"/>
        </w:rPr>
        <w:t>Rachman</w:t>
      </w:r>
      <w:proofErr w:type="spellEnd"/>
      <w:r w:rsidRPr="00032FBD">
        <w:rPr>
          <w:rFonts w:ascii="Arial" w:eastAsia="Times New Roman" w:hAnsi="Arial" w:cs="Arial"/>
          <w:color w:val="0E101A"/>
          <w:sz w:val="24"/>
          <w:szCs w:val="24"/>
          <w:lang w:eastAsia="en-GB"/>
        </w:rPr>
        <w:t xml:space="preserve">. S (2011) ‘Fearlessness and courage: A replication experiment’, </w:t>
      </w:r>
      <w:r w:rsidRPr="00032FBD">
        <w:rPr>
          <w:rFonts w:ascii="Arial" w:eastAsia="Times New Roman" w:hAnsi="Arial" w:cs="Arial"/>
          <w:i/>
          <w:iCs/>
          <w:color w:val="0E101A"/>
          <w:sz w:val="24"/>
          <w:szCs w:val="24"/>
          <w:lang w:eastAsia="en-GB"/>
        </w:rPr>
        <w:t>British Journal of Psychology</w:t>
      </w:r>
      <w:r w:rsidRPr="00032FBD">
        <w:rPr>
          <w:rFonts w:ascii="Arial" w:eastAsia="Times New Roman" w:hAnsi="Arial" w:cs="Arial"/>
          <w:color w:val="0E101A"/>
          <w:sz w:val="24"/>
          <w:szCs w:val="24"/>
          <w:lang w:eastAsia="en-GB"/>
        </w:rPr>
        <w:t>, 76(2), pp. 187-197.</w:t>
      </w:r>
    </w:p>
    <w:p w14:paraId="601E4DA0"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Available at: </w:t>
      </w:r>
      <w:hyperlink r:id="rId24" w:history="1">
        <w:r w:rsidRPr="00032FBD">
          <w:rPr>
            <w:rFonts w:ascii="Arial" w:eastAsia="Times New Roman" w:hAnsi="Arial" w:cs="Arial"/>
            <w:color w:val="4A6EE0"/>
            <w:sz w:val="24"/>
            <w:szCs w:val="24"/>
            <w:u w:val="single"/>
            <w:lang w:eastAsia="en-GB"/>
          </w:rPr>
          <w:t>https://www.researchgate.net/publication/229604286_Fearlessness_and_courage_A_replication_experiment</w:t>
        </w:r>
      </w:hyperlink>
      <w:r w:rsidRPr="00032FBD">
        <w:rPr>
          <w:rFonts w:ascii="Arial" w:eastAsia="Times New Roman" w:hAnsi="Arial" w:cs="Arial"/>
          <w:color w:val="0E101A"/>
          <w:sz w:val="24"/>
          <w:szCs w:val="24"/>
          <w:lang w:eastAsia="en-GB"/>
        </w:rPr>
        <w:t> </w:t>
      </w:r>
    </w:p>
    <w:p w14:paraId="0594D4AF"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30/11/2021)</w:t>
      </w:r>
    </w:p>
    <w:p w14:paraId="39B00415"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3099708C"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Police and Crime Commissioner for South Wales (2021) </w:t>
      </w:r>
      <w:r w:rsidRPr="00032FBD">
        <w:rPr>
          <w:rFonts w:ascii="Arial" w:eastAsia="Times New Roman" w:hAnsi="Arial" w:cs="Arial"/>
          <w:i/>
          <w:iCs/>
          <w:color w:val="0E101A"/>
          <w:sz w:val="24"/>
          <w:szCs w:val="24"/>
          <w:lang w:eastAsia="en-GB"/>
        </w:rPr>
        <w:t>Police &amp; Crime Plan 2021-2025</w:t>
      </w:r>
      <w:r w:rsidRPr="00032FBD">
        <w:rPr>
          <w:rFonts w:ascii="Arial" w:eastAsia="Times New Roman" w:hAnsi="Arial" w:cs="Arial"/>
          <w:color w:val="0E101A"/>
          <w:sz w:val="24"/>
          <w:szCs w:val="24"/>
          <w:lang w:eastAsia="en-GB"/>
        </w:rPr>
        <w:t>.</w:t>
      </w:r>
    </w:p>
    <w:p w14:paraId="097F7950"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Available at: </w:t>
      </w:r>
      <w:hyperlink r:id="rId25" w:history="1">
        <w:r w:rsidRPr="00032FBD">
          <w:rPr>
            <w:rFonts w:ascii="Arial" w:eastAsia="Times New Roman" w:hAnsi="Arial" w:cs="Arial"/>
            <w:color w:val="4A6EE0"/>
            <w:sz w:val="24"/>
            <w:szCs w:val="24"/>
            <w:u w:val="single"/>
            <w:lang w:eastAsia="en-GB"/>
          </w:rPr>
          <w:t>https://www.southwalescommissioner.org.uk/en/your-commissioner/police-crime-plan-2021-2025/</w:t>
        </w:r>
      </w:hyperlink>
      <w:r w:rsidRPr="00032FBD">
        <w:rPr>
          <w:rFonts w:ascii="Arial" w:eastAsia="Times New Roman" w:hAnsi="Arial" w:cs="Arial"/>
          <w:color w:val="0E101A"/>
          <w:sz w:val="24"/>
          <w:szCs w:val="24"/>
          <w:lang w:eastAsia="en-GB"/>
        </w:rPr>
        <w:t> </w:t>
      </w:r>
    </w:p>
    <w:p w14:paraId="7A5DAC5A"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06/12/2021)</w:t>
      </w:r>
    </w:p>
    <w:p w14:paraId="76AA0508"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73900C59"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Prison Reform Trust (2021) </w:t>
      </w:r>
      <w:r w:rsidRPr="00032FBD">
        <w:rPr>
          <w:rFonts w:ascii="Arial" w:eastAsia="Times New Roman" w:hAnsi="Arial" w:cs="Arial"/>
          <w:i/>
          <w:iCs/>
          <w:color w:val="0E101A"/>
          <w:sz w:val="24"/>
          <w:szCs w:val="24"/>
          <w:lang w:eastAsia="en-GB"/>
        </w:rPr>
        <w:t xml:space="preserve">A Healthy Approach </w:t>
      </w:r>
      <w:proofErr w:type="gramStart"/>
      <w:r w:rsidRPr="00032FBD">
        <w:rPr>
          <w:rFonts w:ascii="Arial" w:eastAsia="Times New Roman" w:hAnsi="Arial" w:cs="Arial"/>
          <w:i/>
          <w:iCs/>
          <w:color w:val="0E101A"/>
          <w:sz w:val="24"/>
          <w:szCs w:val="24"/>
          <w:lang w:eastAsia="en-GB"/>
        </w:rPr>
        <w:t>To</w:t>
      </w:r>
      <w:proofErr w:type="gramEnd"/>
      <w:r w:rsidRPr="00032FBD">
        <w:rPr>
          <w:rFonts w:ascii="Arial" w:eastAsia="Times New Roman" w:hAnsi="Arial" w:cs="Arial"/>
          <w:i/>
          <w:iCs/>
          <w:color w:val="0E101A"/>
          <w:sz w:val="24"/>
          <w:szCs w:val="24"/>
          <w:lang w:eastAsia="en-GB"/>
        </w:rPr>
        <w:t xml:space="preserve"> Children And Young People In Trouble</w:t>
      </w:r>
      <w:r w:rsidRPr="00032FBD">
        <w:rPr>
          <w:rFonts w:ascii="Arial" w:eastAsia="Times New Roman" w:hAnsi="Arial" w:cs="Arial"/>
          <w:color w:val="0E101A"/>
          <w:sz w:val="24"/>
          <w:szCs w:val="24"/>
          <w:lang w:eastAsia="en-GB"/>
        </w:rPr>
        <w:t>.</w:t>
      </w:r>
    </w:p>
    <w:p w14:paraId="7836A9B1"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Available at: </w:t>
      </w:r>
      <w:hyperlink r:id="rId26" w:history="1">
        <w:r w:rsidRPr="00032FBD">
          <w:rPr>
            <w:rFonts w:ascii="Arial" w:eastAsia="Times New Roman" w:hAnsi="Arial" w:cs="Arial"/>
            <w:color w:val="4A6EE0"/>
            <w:sz w:val="24"/>
            <w:szCs w:val="24"/>
            <w:u w:val="single"/>
            <w:lang w:eastAsia="en-GB"/>
          </w:rPr>
          <w:t>http://www.prisonreformtrust.org.uk/WhatWeDo/ProjectsResearch/Childrenandyoungpeople</w:t>
        </w:r>
      </w:hyperlink>
      <w:r w:rsidRPr="00032FBD">
        <w:rPr>
          <w:rFonts w:ascii="Arial" w:eastAsia="Times New Roman" w:hAnsi="Arial" w:cs="Arial"/>
          <w:color w:val="0E101A"/>
          <w:sz w:val="24"/>
          <w:szCs w:val="24"/>
          <w:lang w:eastAsia="en-GB"/>
        </w:rPr>
        <w:t> </w:t>
      </w:r>
    </w:p>
    <w:p w14:paraId="6418D2C6"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06/12/2021)</w:t>
      </w:r>
    </w:p>
    <w:p w14:paraId="275AF04A"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66C1121C"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Raine, A (2010) ‘The Biological Basis of Crime’, in Wilson, J. Q and Petersilia. J (ed.) </w:t>
      </w:r>
      <w:r w:rsidRPr="00032FBD">
        <w:rPr>
          <w:rFonts w:ascii="Arial" w:eastAsia="Times New Roman" w:hAnsi="Arial" w:cs="Arial"/>
          <w:i/>
          <w:iCs/>
          <w:color w:val="0E101A"/>
          <w:sz w:val="24"/>
          <w:szCs w:val="24"/>
          <w:lang w:eastAsia="en-GB"/>
        </w:rPr>
        <w:t>Crime - Public Policies for Crime Control</w:t>
      </w:r>
      <w:r w:rsidRPr="00032FBD">
        <w:rPr>
          <w:rFonts w:ascii="Arial" w:eastAsia="Times New Roman" w:hAnsi="Arial" w:cs="Arial"/>
          <w:color w:val="0E101A"/>
          <w:sz w:val="24"/>
          <w:szCs w:val="24"/>
          <w:lang w:eastAsia="en-GB"/>
        </w:rPr>
        <w:t>, California: ICS Press. </w:t>
      </w:r>
    </w:p>
    <w:p w14:paraId="17E0A41A"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20042A73"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Ross. A, Duckworth. K, Smith, D. J, </w:t>
      </w:r>
      <w:proofErr w:type="spellStart"/>
      <w:r w:rsidRPr="00032FBD">
        <w:rPr>
          <w:rFonts w:ascii="Arial" w:eastAsia="Times New Roman" w:hAnsi="Arial" w:cs="Arial"/>
          <w:color w:val="0E101A"/>
          <w:sz w:val="24"/>
          <w:szCs w:val="24"/>
          <w:lang w:eastAsia="en-GB"/>
        </w:rPr>
        <w:t>Wyness</w:t>
      </w:r>
      <w:proofErr w:type="spellEnd"/>
      <w:r w:rsidRPr="00032FBD">
        <w:rPr>
          <w:rFonts w:ascii="Arial" w:eastAsia="Times New Roman" w:hAnsi="Arial" w:cs="Arial"/>
          <w:color w:val="0E101A"/>
          <w:sz w:val="24"/>
          <w:szCs w:val="24"/>
          <w:lang w:eastAsia="en-GB"/>
        </w:rPr>
        <w:t xml:space="preserve">. G, Schoon. I (2011) </w:t>
      </w:r>
      <w:r w:rsidRPr="00032FBD">
        <w:rPr>
          <w:rFonts w:ascii="Arial" w:eastAsia="Times New Roman" w:hAnsi="Arial" w:cs="Arial"/>
          <w:i/>
          <w:iCs/>
          <w:color w:val="0E101A"/>
          <w:sz w:val="24"/>
          <w:szCs w:val="24"/>
          <w:lang w:eastAsia="en-GB"/>
        </w:rPr>
        <w:t>Prevention and Reduction: A review of strategies for intervening early to prevent or reduce youth crime and anti-social behaviour</w:t>
      </w:r>
      <w:r w:rsidRPr="00032FBD">
        <w:rPr>
          <w:rFonts w:ascii="Arial" w:eastAsia="Times New Roman" w:hAnsi="Arial" w:cs="Arial"/>
          <w:color w:val="0E101A"/>
          <w:sz w:val="24"/>
          <w:szCs w:val="24"/>
          <w:lang w:eastAsia="en-GB"/>
        </w:rPr>
        <w:t>, Manchester: Department for Education. </w:t>
      </w:r>
    </w:p>
    <w:p w14:paraId="5ADD4FAC"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lastRenderedPageBreak/>
        <w:t xml:space="preserve">Available at: </w:t>
      </w:r>
      <w:hyperlink r:id="rId27" w:history="1">
        <w:r w:rsidRPr="00032FBD">
          <w:rPr>
            <w:rFonts w:ascii="Arial" w:eastAsia="Times New Roman" w:hAnsi="Arial" w:cs="Arial"/>
            <w:color w:val="4A6EE0"/>
            <w:sz w:val="24"/>
            <w:szCs w:val="24"/>
            <w:u w:val="single"/>
            <w:lang w:eastAsia="en-GB"/>
          </w:rPr>
          <w:t>https://assets.publishing.service.gov.uk/government/uploads/system/uploads/attachment_data/file/182548/DFE-RR111.pdf</w:t>
        </w:r>
      </w:hyperlink>
      <w:r w:rsidRPr="00032FBD">
        <w:rPr>
          <w:rFonts w:ascii="Arial" w:eastAsia="Times New Roman" w:hAnsi="Arial" w:cs="Arial"/>
          <w:color w:val="0E101A"/>
          <w:sz w:val="24"/>
          <w:szCs w:val="24"/>
          <w:lang w:eastAsia="en-GB"/>
        </w:rPr>
        <w:t> </w:t>
      </w:r>
    </w:p>
    <w:p w14:paraId="774667C7"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08/12/2021)  </w:t>
      </w:r>
    </w:p>
    <w:p w14:paraId="63082584"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4A942C44"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Safeguarding Boards (Functions and Procedures) (Wales) Regulations (2015) No. 1466.</w:t>
      </w:r>
    </w:p>
    <w:p w14:paraId="31731B73"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Available at: </w:t>
      </w:r>
      <w:hyperlink r:id="rId28" w:history="1">
        <w:r w:rsidRPr="00032FBD">
          <w:rPr>
            <w:rFonts w:ascii="Arial" w:eastAsia="Times New Roman" w:hAnsi="Arial" w:cs="Arial"/>
            <w:color w:val="4A6EE0"/>
            <w:sz w:val="24"/>
            <w:szCs w:val="24"/>
            <w:u w:val="single"/>
            <w:lang w:eastAsia="en-GB"/>
          </w:rPr>
          <w:t>https://www.legislation.gov.uk/wsi/2015/1466/contents/made</w:t>
        </w:r>
      </w:hyperlink>
      <w:r w:rsidRPr="00032FBD">
        <w:rPr>
          <w:rFonts w:ascii="Arial" w:eastAsia="Times New Roman" w:hAnsi="Arial" w:cs="Arial"/>
          <w:color w:val="0E101A"/>
          <w:sz w:val="24"/>
          <w:szCs w:val="24"/>
          <w:lang w:eastAsia="en-GB"/>
        </w:rPr>
        <w:t> </w:t>
      </w:r>
    </w:p>
    <w:p w14:paraId="27F0D016"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06/12/2021)</w:t>
      </w:r>
    </w:p>
    <w:p w14:paraId="5C6BB681"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2B455CE3"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Sampson, R. K (2000) ‘Whither the Sociological Study of Crime?’, </w:t>
      </w:r>
      <w:r w:rsidRPr="00032FBD">
        <w:rPr>
          <w:rFonts w:ascii="Arial" w:eastAsia="Times New Roman" w:hAnsi="Arial" w:cs="Arial"/>
          <w:i/>
          <w:iCs/>
          <w:color w:val="0E101A"/>
          <w:sz w:val="24"/>
          <w:szCs w:val="24"/>
          <w:lang w:eastAsia="en-GB"/>
        </w:rPr>
        <w:t>Annual Review of Sociology</w:t>
      </w:r>
      <w:r w:rsidRPr="00032FBD">
        <w:rPr>
          <w:rFonts w:ascii="Arial" w:eastAsia="Times New Roman" w:hAnsi="Arial" w:cs="Arial"/>
          <w:color w:val="0E101A"/>
          <w:sz w:val="24"/>
          <w:szCs w:val="24"/>
          <w:lang w:eastAsia="en-GB"/>
        </w:rPr>
        <w:t>, 26, pp. 711-714.</w:t>
      </w:r>
    </w:p>
    <w:p w14:paraId="1F094B21"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Available at: </w:t>
      </w:r>
      <w:hyperlink r:id="rId29" w:history="1">
        <w:r w:rsidRPr="00032FBD">
          <w:rPr>
            <w:rFonts w:ascii="Arial" w:eastAsia="Times New Roman" w:hAnsi="Arial" w:cs="Arial"/>
            <w:color w:val="4A6EE0"/>
            <w:sz w:val="24"/>
            <w:szCs w:val="24"/>
            <w:u w:val="single"/>
            <w:lang w:eastAsia="en-GB"/>
          </w:rPr>
          <w:t>https://www.annualreviews.org/doi/abs/10.1146/annurev.soc.26.1.711?journalCode=soc</w:t>
        </w:r>
      </w:hyperlink>
      <w:r w:rsidRPr="00032FBD">
        <w:rPr>
          <w:rFonts w:ascii="Arial" w:eastAsia="Times New Roman" w:hAnsi="Arial" w:cs="Arial"/>
          <w:color w:val="0E101A"/>
          <w:sz w:val="24"/>
          <w:szCs w:val="24"/>
          <w:lang w:eastAsia="en-GB"/>
        </w:rPr>
        <w:t> </w:t>
      </w:r>
    </w:p>
    <w:p w14:paraId="42940296"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05/12/2021)</w:t>
      </w:r>
    </w:p>
    <w:p w14:paraId="433406EA"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3DFA115B"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Smith, I. B, University of Surrey, Hopkins. K, Ministry of Justice (2013) </w:t>
      </w:r>
      <w:r w:rsidRPr="00032FBD">
        <w:rPr>
          <w:rFonts w:ascii="Arial" w:eastAsia="Times New Roman" w:hAnsi="Arial" w:cs="Arial"/>
          <w:i/>
          <w:iCs/>
          <w:color w:val="0E101A"/>
          <w:sz w:val="24"/>
          <w:szCs w:val="24"/>
          <w:lang w:eastAsia="en-GB"/>
        </w:rPr>
        <w:t>The factors associated with proven re-offending following release from prison: findings from Waves 1 to 3 of SPCR</w:t>
      </w:r>
      <w:r w:rsidRPr="00032FBD">
        <w:rPr>
          <w:rFonts w:ascii="Arial" w:eastAsia="Times New Roman" w:hAnsi="Arial" w:cs="Arial"/>
          <w:color w:val="0E101A"/>
          <w:sz w:val="24"/>
          <w:szCs w:val="24"/>
          <w:lang w:eastAsia="en-GB"/>
        </w:rPr>
        <w:t>.</w:t>
      </w:r>
    </w:p>
    <w:p w14:paraId="3D789B70"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Available at: </w:t>
      </w:r>
      <w:hyperlink r:id="rId30" w:history="1">
        <w:r w:rsidRPr="00032FBD">
          <w:rPr>
            <w:rFonts w:ascii="Arial" w:eastAsia="Times New Roman" w:hAnsi="Arial" w:cs="Arial"/>
            <w:color w:val="4A6EE0"/>
            <w:sz w:val="24"/>
            <w:szCs w:val="24"/>
            <w:u w:val="single"/>
            <w:lang w:eastAsia="en-GB"/>
          </w:rPr>
          <w:t>https://assets.publishing.service.gov.uk/government/uploads/system/uploads/attachment_data/file/491119/re-offending-release-waves-1-3-spcr-findings.pdf</w:t>
        </w:r>
      </w:hyperlink>
      <w:r w:rsidRPr="00032FBD">
        <w:rPr>
          <w:rFonts w:ascii="Arial" w:eastAsia="Times New Roman" w:hAnsi="Arial" w:cs="Arial"/>
          <w:color w:val="0E101A"/>
          <w:sz w:val="24"/>
          <w:szCs w:val="24"/>
          <w:lang w:eastAsia="en-GB"/>
        </w:rPr>
        <w:t> </w:t>
      </w:r>
    </w:p>
    <w:p w14:paraId="56EFE72F"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08/12/2021) </w:t>
      </w:r>
    </w:p>
    <w:p w14:paraId="4C84EB90"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224DC5F6"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Social Services and Wellbeing Act (Wales) 2014, anaw 4. </w:t>
      </w:r>
    </w:p>
    <w:p w14:paraId="1CB02F42"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Available at: </w:t>
      </w:r>
      <w:hyperlink r:id="rId31" w:history="1">
        <w:r w:rsidRPr="00032FBD">
          <w:rPr>
            <w:rFonts w:ascii="Arial" w:eastAsia="Times New Roman" w:hAnsi="Arial" w:cs="Arial"/>
            <w:color w:val="4A6EE0"/>
            <w:sz w:val="24"/>
            <w:szCs w:val="24"/>
            <w:u w:val="single"/>
            <w:lang w:eastAsia="en-GB"/>
          </w:rPr>
          <w:t>https://www.legislation.gov.uk/anaw/2014/4/contents</w:t>
        </w:r>
      </w:hyperlink>
      <w:r w:rsidRPr="00032FBD">
        <w:rPr>
          <w:rFonts w:ascii="Arial" w:eastAsia="Times New Roman" w:hAnsi="Arial" w:cs="Arial"/>
          <w:color w:val="0E101A"/>
          <w:sz w:val="24"/>
          <w:szCs w:val="24"/>
          <w:lang w:eastAsia="en-GB"/>
        </w:rPr>
        <w:t> </w:t>
      </w:r>
    </w:p>
    <w:p w14:paraId="2E11B5FE"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lastRenderedPageBreak/>
        <w:t>(Accessed: 08/12/2021) </w:t>
      </w:r>
    </w:p>
    <w:p w14:paraId="787FA1E5"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5372B91D"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Steffensmeier. D, Allan. E (1996) ‘GENDER AND CRIME: Toward a Gendered Theory of Female Offending’, </w:t>
      </w:r>
      <w:r w:rsidRPr="00032FBD">
        <w:rPr>
          <w:rFonts w:ascii="Arial" w:eastAsia="Times New Roman" w:hAnsi="Arial" w:cs="Arial"/>
          <w:i/>
          <w:iCs/>
          <w:color w:val="0E101A"/>
          <w:sz w:val="24"/>
          <w:szCs w:val="24"/>
          <w:lang w:eastAsia="en-GB"/>
        </w:rPr>
        <w:t>Annual Review of Sociology</w:t>
      </w:r>
      <w:r w:rsidRPr="00032FBD">
        <w:rPr>
          <w:rFonts w:ascii="Arial" w:eastAsia="Times New Roman" w:hAnsi="Arial" w:cs="Arial"/>
          <w:color w:val="0E101A"/>
          <w:sz w:val="24"/>
          <w:szCs w:val="24"/>
          <w:lang w:eastAsia="en-GB"/>
        </w:rPr>
        <w:t>, 22(1), p. 459.</w:t>
      </w:r>
    </w:p>
    <w:p w14:paraId="73346F2A"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Available at: </w:t>
      </w:r>
      <w:hyperlink r:id="rId32" w:anchor="AN=9704023946&amp;db=bth" w:history="1">
        <w:r w:rsidRPr="00032FBD">
          <w:rPr>
            <w:rFonts w:ascii="Arial" w:eastAsia="Times New Roman" w:hAnsi="Arial" w:cs="Arial"/>
            <w:color w:val="4A6EE0"/>
            <w:sz w:val="24"/>
            <w:szCs w:val="24"/>
            <w:u w:val="single"/>
            <w:lang w:eastAsia="en-GB"/>
          </w:rPr>
          <w:t>https://web-p-ebscohost-com.ezproxy.uwtsd.ac.uk/ehost/detail/detail?vid=0&amp;sid=b34186a9-59dc-4b53-992f-408eade7c09f%40redis&amp;bdata=JnNpdGU9ZWhvc3QtbGl2ZQ%3d%3d#AN=9704023946&amp;db=bth</w:t>
        </w:r>
      </w:hyperlink>
      <w:r w:rsidRPr="00032FBD">
        <w:rPr>
          <w:rFonts w:ascii="Arial" w:eastAsia="Times New Roman" w:hAnsi="Arial" w:cs="Arial"/>
          <w:color w:val="0E101A"/>
          <w:sz w:val="24"/>
          <w:szCs w:val="24"/>
          <w:lang w:eastAsia="en-GB"/>
        </w:rPr>
        <w:t> </w:t>
      </w:r>
    </w:p>
    <w:p w14:paraId="3D999219"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03/12/2021) </w:t>
      </w:r>
    </w:p>
    <w:p w14:paraId="47869C07"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121C954F"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Steffensmeier. D, Zhong. H, Lu. Y (2017) ‘AGE AND ITS RELATION TO CRIME IN TAIWAN AND THE UNITED STATES: INVARIANT, OR DOES CULTURAL CONTEXT MATTER?’, </w:t>
      </w:r>
      <w:r w:rsidRPr="00032FBD">
        <w:rPr>
          <w:rFonts w:ascii="Arial" w:eastAsia="Times New Roman" w:hAnsi="Arial" w:cs="Arial"/>
          <w:i/>
          <w:iCs/>
          <w:color w:val="0E101A"/>
          <w:sz w:val="24"/>
          <w:szCs w:val="24"/>
          <w:lang w:eastAsia="en-GB"/>
        </w:rPr>
        <w:t>Criminology</w:t>
      </w:r>
      <w:r w:rsidRPr="00032FBD">
        <w:rPr>
          <w:rFonts w:ascii="Arial" w:eastAsia="Times New Roman" w:hAnsi="Arial" w:cs="Arial"/>
          <w:color w:val="0E101A"/>
          <w:sz w:val="24"/>
          <w:szCs w:val="24"/>
          <w:lang w:eastAsia="en-GB"/>
        </w:rPr>
        <w:t>, 55(2), pp. 377-404.</w:t>
      </w:r>
    </w:p>
    <w:p w14:paraId="6D98A63A"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Available at: </w:t>
      </w:r>
      <w:hyperlink r:id="rId33" w:history="1">
        <w:r w:rsidRPr="00032FBD">
          <w:rPr>
            <w:rFonts w:ascii="Arial" w:eastAsia="Times New Roman" w:hAnsi="Arial" w:cs="Arial"/>
            <w:color w:val="4A6EE0"/>
            <w:sz w:val="24"/>
            <w:szCs w:val="24"/>
            <w:u w:val="single"/>
            <w:lang w:eastAsia="en-GB"/>
          </w:rPr>
          <w:t>https://onlinelibrary-wiley-com.ezproxy.uwtsd.ac.uk/doi/full/10.1111/1745-9125.12139</w:t>
        </w:r>
      </w:hyperlink>
      <w:r w:rsidRPr="00032FBD">
        <w:rPr>
          <w:rFonts w:ascii="Arial" w:eastAsia="Times New Roman" w:hAnsi="Arial" w:cs="Arial"/>
          <w:color w:val="0E101A"/>
          <w:sz w:val="24"/>
          <w:szCs w:val="24"/>
          <w:lang w:eastAsia="en-GB"/>
        </w:rPr>
        <w:t> </w:t>
      </w:r>
    </w:p>
    <w:p w14:paraId="142DF78F"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05/12/2021) </w:t>
      </w:r>
    </w:p>
    <w:p w14:paraId="427EDF6C"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184E0E19"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Sullivan, M. L (1989) ‘"Getting Paid": Youth Crime and Work in the Inner City’, </w:t>
      </w:r>
      <w:r w:rsidRPr="00032FBD">
        <w:rPr>
          <w:rFonts w:ascii="Arial" w:eastAsia="Times New Roman" w:hAnsi="Arial" w:cs="Arial"/>
          <w:i/>
          <w:iCs/>
          <w:color w:val="0E101A"/>
          <w:sz w:val="24"/>
          <w:szCs w:val="24"/>
          <w:lang w:eastAsia="en-GB"/>
        </w:rPr>
        <w:t>Cornell University Press,</w:t>
      </w:r>
      <w:r w:rsidRPr="00032FBD">
        <w:rPr>
          <w:rFonts w:ascii="Arial" w:eastAsia="Times New Roman" w:hAnsi="Arial" w:cs="Arial"/>
          <w:color w:val="0E101A"/>
          <w:sz w:val="24"/>
          <w:szCs w:val="24"/>
          <w:lang w:eastAsia="en-GB"/>
        </w:rPr>
        <w:t xml:space="preserve"> pp. 29-57.</w:t>
      </w:r>
    </w:p>
    <w:p w14:paraId="057FA316"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Available: </w:t>
      </w:r>
      <w:hyperlink r:id="rId34" w:anchor="metadata_info_tab_contents" w:history="1">
        <w:r w:rsidRPr="00032FBD">
          <w:rPr>
            <w:rFonts w:ascii="Arial" w:eastAsia="Times New Roman" w:hAnsi="Arial" w:cs="Arial"/>
            <w:color w:val="4A6EE0"/>
            <w:sz w:val="24"/>
            <w:szCs w:val="24"/>
            <w:u w:val="single"/>
            <w:lang w:eastAsia="en-GB"/>
          </w:rPr>
          <w:t>https://www-jstor-org.ezproxy.uwtsd.ac.uk/stable/10.7591/j.ctv1nhn10.7?refreqid=excelsior%3A44ea8b810621549ed1fea97dee6f8294&amp;seq=1#metadata_info_tab_contents</w:t>
        </w:r>
      </w:hyperlink>
      <w:r w:rsidRPr="00032FBD">
        <w:rPr>
          <w:rFonts w:ascii="Arial" w:eastAsia="Times New Roman" w:hAnsi="Arial" w:cs="Arial"/>
          <w:color w:val="0E101A"/>
          <w:sz w:val="24"/>
          <w:szCs w:val="24"/>
          <w:lang w:eastAsia="en-GB"/>
        </w:rPr>
        <w:t> </w:t>
      </w:r>
    </w:p>
    <w:p w14:paraId="0CA039D8"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05/12/2021)   </w:t>
      </w:r>
    </w:p>
    <w:p w14:paraId="79D7C571"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65BE862C"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Tittle, C. R, </w:t>
      </w:r>
      <w:proofErr w:type="spellStart"/>
      <w:r w:rsidRPr="00032FBD">
        <w:rPr>
          <w:rFonts w:ascii="Arial" w:eastAsia="Times New Roman" w:hAnsi="Arial" w:cs="Arial"/>
          <w:color w:val="0E101A"/>
          <w:sz w:val="24"/>
          <w:szCs w:val="24"/>
          <w:lang w:eastAsia="en-GB"/>
        </w:rPr>
        <w:t>Villemez</w:t>
      </w:r>
      <w:proofErr w:type="spellEnd"/>
      <w:r w:rsidRPr="00032FBD">
        <w:rPr>
          <w:rFonts w:ascii="Arial" w:eastAsia="Times New Roman" w:hAnsi="Arial" w:cs="Arial"/>
          <w:color w:val="0E101A"/>
          <w:sz w:val="24"/>
          <w:szCs w:val="24"/>
          <w:lang w:eastAsia="en-GB"/>
        </w:rPr>
        <w:t>, W. J, Smith, D. A (1978) ‘The Myth of Social Class and Criminality: An Empirical Assessment of the Empirical Evidence</w:t>
      </w:r>
      <w:proofErr w:type="gramStart"/>
      <w:r w:rsidRPr="00032FBD">
        <w:rPr>
          <w:rFonts w:ascii="Arial" w:eastAsia="Times New Roman" w:hAnsi="Arial" w:cs="Arial"/>
          <w:color w:val="0E101A"/>
          <w:sz w:val="24"/>
          <w:szCs w:val="24"/>
          <w:lang w:eastAsia="en-GB"/>
        </w:rPr>
        <w:t xml:space="preserve">’, </w:t>
      </w:r>
      <w:r w:rsidRPr="00032FBD">
        <w:rPr>
          <w:rFonts w:ascii="Arial" w:eastAsia="Times New Roman" w:hAnsi="Arial" w:cs="Arial"/>
          <w:i/>
          <w:iCs/>
          <w:color w:val="0E101A"/>
          <w:sz w:val="24"/>
          <w:szCs w:val="24"/>
          <w:lang w:eastAsia="en-GB"/>
        </w:rPr>
        <w:t> American</w:t>
      </w:r>
      <w:proofErr w:type="gramEnd"/>
      <w:r w:rsidRPr="00032FBD">
        <w:rPr>
          <w:rFonts w:ascii="Arial" w:eastAsia="Times New Roman" w:hAnsi="Arial" w:cs="Arial"/>
          <w:i/>
          <w:iCs/>
          <w:color w:val="0E101A"/>
          <w:sz w:val="24"/>
          <w:szCs w:val="24"/>
          <w:lang w:eastAsia="en-GB"/>
        </w:rPr>
        <w:t xml:space="preserve"> Sociological Review</w:t>
      </w:r>
      <w:r w:rsidRPr="00032FBD">
        <w:rPr>
          <w:rFonts w:ascii="Arial" w:eastAsia="Times New Roman" w:hAnsi="Arial" w:cs="Arial"/>
          <w:color w:val="0E101A"/>
          <w:sz w:val="24"/>
          <w:szCs w:val="24"/>
          <w:lang w:eastAsia="en-GB"/>
        </w:rPr>
        <w:t>, 43(5), pp. 643-656.</w:t>
      </w:r>
    </w:p>
    <w:p w14:paraId="592E2538"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lastRenderedPageBreak/>
        <w:t xml:space="preserve">Available at: </w:t>
      </w:r>
      <w:hyperlink r:id="rId35" w:anchor="metadata_info_tab_contents" w:history="1">
        <w:r w:rsidRPr="00032FBD">
          <w:rPr>
            <w:rFonts w:ascii="Arial" w:eastAsia="Times New Roman" w:hAnsi="Arial" w:cs="Arial"/>
            <w:color w:val="4A6EE0"/>
            <w:sz w:val="24"/>
            <w:szCs w:val="24"/>
            <w:u w:val="single"/>
            <w:lang w:eastAsia="en-GB"/>
          </w:rPr>
          <w:t>https://www.jstor.org/stable/2094541?seq=1#metadata_info_tab_contents</w:t>
        </w:r>
      </w:hyperlink>
      <w:r w:rsidRPr="00032FBD">
        <w:rPr>
          <w:rFonts w:ascii="Arial" w:eastAsia="Times New Roman" w:hAnsi="Arial" w:cs="Arial"/>
          <w:color w:val="0E101A"/>
          <w:sz w:val="24"/>
          <w:szCs w:val="24"/>
          <w:lang w:eastAsia="en-GB"/>
        </w:rPr>
        <w:t> </w:t>
      </w:r>
    </w:p>
    <w:p w14:paraId="5A56AA03"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05/12/2021) </w:t>
      </w:r>
    </w:p>
    <w:p w14:paraId="49C518AB"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29504152"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Vandiver, D. M (2010) ‘Assessing Gender Differences and Co-Offending Patterns of a Predominantly "Male-Oriented" Crime: A Comparison of a Cross-National Sample of Juvenile Boys and Girls Arrested for a Sexual Offense’, </w:t>
      </w:r>
      <w:r w:rsidRPr="00032FBD">
        <w:rPr>
          <w:rFonts w:ascii="Arial" w:eastAsia="Times New Roman" w:hAnsi="Arial" w:cs="Arial"/>
          <w:i/>
          <w:iCs/>
          <w:color w:val="0E101A"/>
          <w:sz w:val="24"/>
          <w:szCs w:val="24"/>
          <w:lang w:eastAsia="en-GB"/>
        </w:rPr>
        <w:t>Violence and Victims</w:t>
      </w:r>
      <w:r w:rsidRPr="00032FBD">
        <w:rPr>
          <w:rFonts w:ascii="Arial" w:eastAsia="Times New Roman" w:hAnsi="Arial" w:cs="Arial"/>
          <w:color w:val="0E101A"/>
          <w:sz w:val="24"/>
          <w:szCs w:val="24"/>
          <w:lang w:eastAsia="en-GB"/>
        </w:rPr>
        <w:t>, 25(2), pp. 243-264.</w:t>
      </w:r>
    </w:p>
    <w:p w14:paraId="06E6C188"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Available at: </w:t>
      </w:r>
      <w:hyperlink r:id="rId36" w:history="1">
        <w:r w:rsidRPr="00032FBD">
          <w:rPr>
            <w:rFonts w:ascii="Arial" w:eastAsia="Times New Roman" w:hAnsi="Arial" w:cs="Arial"/>
            <w:color w:val="4A6EE0"/>
            <w:sz w:val="24"/>
            <w:szCs w:val="24"/>
            <w:u w:val="single"/>
            <w:lang w:eastAsia="en-GB"/>
          </w:rPr>
          <w:t>https://www.proquest.com/docview/287937985/fulltext/407D57219F3945C9PQ/1?accountid=130472</w:t>
        </w:r>
      </w:hyperlink>
      <w:r w:rsidRPr="00032FBD">
        <w:rPr>
          <w:rFonts w:ascii="Arial" w:eastAsia="Times New Roman" w:hAnsi="Arial" w:cs="Arial"/>
          <w:color w:val="0E101A"/>
          <w:sz w:val="24"/>
          <w:szCs w:val="24"/>
          <w:lang w:eastAsia="en-GB"/>
        </w:rPr>
        <w:t> </w:t>
      </w:r>
    </w:p>
    <w:p w14:paraId="5D9B309B"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03/12/2021)</w:t>
      </w:r>
    </w:p>
    <w:p w14:paraId="25A49EF9"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3773892E"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Vaughan. P, Payne. S (2016) </w:t>
      </w:r>
      <w:r w:rsidRPr="00032FBD">
        <w:rPr>
          <w:rFonts w:ascii="Arial" w:eastAsia="Times New Roman" w:hAnsi="Arial" w:cs="Arial"/>
          <w:i/>
          <w:iCs/>
          <w:color w:val="0E101A"/>
          <w:sz w:val="24"/>
          <w:szCs w:val="24"/>
          <w:lang w:eastAsia="en-GB"/>
        </w:rPr>
        <w:t>Wales Reducing Reoffending Strategy 2014 - 2016</w:t>
      </w:r>
      <w:r w:rsidRPr="00032FBD">
        <w:rPr>
          <w:rFonts w:ascii="Arial" w:eastAsia="Times New Roman" w:hAnsi="Arial" w:cs="Arial"/>
          <w:color w:val="0E101A"/>
          <w:sz w:val="24"/>
          <w:szCs w:val="24"/>
          <w:lang w:eastAsia="en-GB"/>
        </w:rPr>
        <w:t>.</w:t>
      </w:r>
    </w:p>
    <w:p w14:paraId="66627191"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Available at: </w:t>
      </w:r>
      <w:hyperlink r:id="rId37" w:history="1">
        <w:r w:rsidRPr="00032FBD">
          <w:rPr>
            <w:rFonts w:ascii="Arial" w:eastAsia="Times New Roman" w:hAnsi="Arial" w:cs="Arial"/>
            <w:color w:val="4A6EE0"/>
            <w:sz w:val="24"/>
            <w:szCs w:val="24"/>
            <w:u w:val="single"/>
            <w:lang w:eastAsia="en-GB"/>
          </w:rPr>
          <w:t>https://assets.publishing.service.gov.uk/government/uploads/system/uploads/attachment_data/file/453579/Wales-Reducing-Reoffending-Strategy-_e_.pdf</w:t>
        </w:r>
      </w:hyperlink>
      <w:r w:rsidRPr="00032FBD">
        <w:rPr>
          <w:rFonts w:ascii="Arial" w:eastAsia="Times New Roman" w:hAnsi="Arial" w:cs="Arial"/>
          <w:color w:val="0E101A"/>
          <w:sz w:val="24"/>
          <w:szCs w:val="24"/>
          <w:lang w:eastAsia="en-GB"/>
        </w:rPr>
        <w:t> </w:t>
      </w:r>
    </w:p>
    <w:p w14:paraId="69ABA8EE"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08/12/2021)</w:t>
      </w:r>
    </w:p>
    <w:p w14:paraId="797CA9D2"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3E8BC4B1"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proofErr w:type="spellStart"/>
      <w:r w:rsidRPr="00032FBD">
        <w:rPr>
          <w:rFonts w:ascii="Arial" w:eastAsia="Times New Roman" w:hAnsi="Arial" w:cs="Arial"/>
          <w:color w:val="0E101A"/>
          <w:sz w:val="24"/>
          <w:szCs w:val="24"/>
          <w:lang w:eastAsia="en-GB"/>
        </w:rPr>
        <w:t>Wachs</w:t>
      </w:r>
      <w:proofErr w:type="spellEnd"/>
      <w:r w:rsidRPr="00032FBD">
        <w:rPr>
          <w:rFonts w:ascii="Arial" w:eastAsia="Times New Roman" w:hAnsi="Arial" w:cs="Arial"/>
          <w:color w:val="0E101A"/>
          <w:sz w:val="24"/>
          <w:szCs w:val="24"/>
          <w:lang w:eastAsia="en-GB"/>
        </w:rPr>
        <w:t xml:space="preserve">, T. D (1992) </w:t>
      </w:r>
      <w:r w:rsidRPr="00032FBD">
        <w:rPr>
          <w:rFonts w:ascii="Arial" w:eastAsia="Times New Roman" w:hAnsi="Arial" w:cs="Arial"/>
          <w:i/>
          <w:iCs/>
          <w:color w:val="0E101A"/>
          <w:sz w:val="24"/>
          <w:szCs w:val="24"/>
          <w:lang w:eastAsia="en-GB"/>
        </w:rPr>
        <w:t>The Nature of Nurture</w:t>
      </w:r>
      <w:r w:rsidRPr="00032FBD">
        <w:rPr>
          <w:rFonts w:ascii="Arial" w:eastAsia="Times New Roman" w:hAnsi="Arial" w:cs="Arial"/>
          <w:color w:val="0E101A"/>
          <w:sz w:val="24"/>
          <w:szCs w:val="24"/>
          <w:lang w:eastAsia="en-GB"/>
        </w:rPr>
        <w:t>, California: SAGE Publications, Inc. </w:t>
      </w:r>
    </w:p>
    <w:p w14:paraId="13058741"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562290FE"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Wales Safer Communities Network (2021) </w:t>
      </w:r>
      <w:r w:rsidRPr="00032FBD">
        <w:rPr>
          <w:rFonts w:ascii="Arial" w:eastAsia="Times New Roman" w:hAnsi="Arial" w:cs="Arial"/>
          <w:i/>
          <w:iCs/>
          <w:color w:val="0E101A"/>
          <w:sz w:val="24"/>
          <w:szCs w:val="24"/>
          <w:lang w:eastAsia="en-GB"/>
        </w:rPr>
        <w:t>Safeguarding and Early Intervention</w:t>
      </w:r>
      <w:r w:rsidRPr="00032FBD">
        <w:rPr>
          <w:rFonts w:ascii="Arial" w:eastAsia="Times New Roman" w:hAnsi="Arial" w:cs="Arial"/>
          <w:color w:val="0E101A"/>
          <w:sz w:val="24"/>
          <w:szCs w:val="24"/>
          <w:lang w:eastAsia="en-GB"/>
        </w:rPr>
        <w:t>.</w:t>
      </w:r>
    </w:p>
    <w:p w14:paraId="07214BF3"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Available at: </w:t>
      </w:r>
      <w:hyperlink r:id="rId38" w:history="1">
        <w:r w:rsidRPr="00032FBD">
          <w:rPr>
            <w:rFonts w:ascii="Arial" w:eastAsia="Times New Roman" w:hAnsi="Arial" w:cs="Arial"/>
            <w:color w:val="4A6EE0"/>
            <w:sz w:val="24"/>
            <w:szCs w:val="24"/>
            <w:u w:val="single"/>
            <w:lang w:eastAsia="en-GB"/>
          </w:rPr>
          <w:t>https://safercommunities.wales/safeguarding-early-intervention/</w:t>
        </w:r>
      </w:hyperlink>
      <w:r w:rsidRPr="00032FBD">
        <w:rPr>
          <w:rFonts w:ascii="Arial" w:eastAsia="Times New Roman" w:hAnsi="Arial" w:cs="Arial"/>
          <w:color w:val="0E101A"/>
          <w:sz w:val="24"/>
          <w:szCs w:val="24"/>
          <w:lang w:eastAsia="en-GB"/>
        </w:rPr>
        <w:t> </w:t>
      </w:r>
    </w:p>
    <w:p w14:paraId="236B5D6E"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06/12/2021) </w:t>
      </w:r>
    </w:p>
    <w:p w14:paraId="68EC089E"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4213966D"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Waters. T (1999) </w:t>
      </w:r>
      <w:r w:rsidRPr="00032FBD">
        <w:rPr>
          <w:rFonts w:ascii="Arial" w:eastAsia="Times New Roman" w:hAnsi="Arial" w:cs="Arial"/>
          <w:i/>
          <w:iCs/>
          <w:color w:val="0E101A"/>
          <w:sz w:val="24"/>
          <w:szCs w:val="24"/>
          <w:lang w:eastAsia="en-GB"/>
        </w:rPr>
        <w:t>Crime &amp; Immigrant Youth</w:t>
      </w:r>
      <w:r w:rsidRPr="00032FBD">
        <w:rPr>
          <w:rFonts w:ascii="Arial" w:eastAsia="Times New Roman" w:hAnsi="Arial" w:cs="Arial"/>
          <w:color w:val="0E101A"/>
          <w:sz w:val="24"/>
          <w:szCs w:val="24"/>
          <w:lang w:eastAsia="en-GB"/>
        </w:rPr>
        <w:t>, California: SAGE Publications, Inc. </w:t>
      </w:r>
    </w:p>
    <w:p w14:paraId="047EA533" w14:textId="77777777" w:rsidR="00032FBD" w:rsidRPr="00032FBD" w:rsidRDefault="00032FBD" w:rsidP="00032FBD">
      <w:pPr>
        <w:spacing w:after="0" w:line="240" w:lineRule="auto"/>
        <w:rPr>
          <w:rFonts w:ascii="Times New Roman" w:eastAsia="Times New Roman" w:hAnsi="Times New Roman" w:cs="Times New Roman"/>
          <w:sz w:val="24"/>
          <w:szCs w:val="24"/>
          <w:lang w:eastAsia="en-GB"/>
        </w:rPr>
      </w:pPr>
    </w:p>
    <w:p w14:paraId="09944197"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xml:space="preserve">Youth Justice Board, Ministry of Justice (2021) </w:t>
      </w:r>
      <w:r w:rsidRPr="00032FBD">
        <w:rPr>
          <w:rFonts w:ascii="Arial" w:eastAsia="Times New Roman" w:hAnsi="Arial" w:cs="Arial"/>
          <w:i/>
          <w:iCs/>
          <w:color w:val="0E101A"/>
          <w:sz w:val="24"/>
          <w:szCs w:val="24"/>
          <w:lang w:eastAsia="en-GB"/>
        </w:rPr>
        <w:t>Youth Justice Statistics 2019/20</w:t>
      </w:r>
      <w:r w:rsidRPr="00032FBD">
        <w:rPr>
          <w:rFonts w:ascii="Arial" w:eastAsia="Times New Roman" w:hAnsi="Arial" w:cs="Arial"/>
          <w:color w:val="0E101A"/>
          <w:sz w:val="24"/>
          <w:szCs w:val="24"/>
          <w:lang w:eastAsia="en-GB"/>
        </w:rPr>
        <w:t>.</w:t>
      </w:r>
    </w:p>
    <w:p w14:paraId="17A4E9D7"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lastRenderedPageBreak/>
        <w:t xml:space="preserve">Available at: </w:t>
      </w:r>
      <w:hyperlink r:id="rId39" w:history="1">
        <w:r w:rsidRPr="00032FBD">
          <w:rPr>
            <w:rFonts w:ascii="Arial" w:eastAsia="Times New Roman" w:hAnsi="Arial" w:cs="Arial"/>
            <w:color w:val="4A6EE0"/>
            <w:sz w:val="24"/>
            <w:szCs w:val="24"/>
            <w:u w:val="single"/>
            <w:lang w:eastAsia="en-GB"/>
          </w:rPr>
          <w:t>https://assets.publishing.service.gov.uk/government/uploads/system/uploads/attachment_data/file/956621/youth-justice-statistics-2019-2020.pdf</w:t>
        </w:r>
      </w:hyperlink>
      <w:r w:rsidRPr="00032FBD">
        <w:rPr>
          <w:rFonts w:ascii="Arial" w:eastAsia="Times New Roman" w:hAnsi="Arial" w:cs="Arial"/>
          <w:color w:val="0E101A"/>
          <w:sz w:val="24"/>
          <w:szCs w:val="24"/>
          <w:lang w:eastAsia="en-GB"/>
        </w:rPr>
        <w:t> </w:t>
      </w:r>
    </w:p>
    <w:p w14:paraId="2CABA87C"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(Accessed: 08/12/2021)</w:t>
      </w:r>
    </w:p>
    <w:p w14:paraId="506B6C8C" w14:textId="77777777" w:rsidR="00032FBD" w:rsidRPr="00032FBD" w:rsidRDefault="00032FBD" w:rsidP="00032FBD">
      <w:pPr>
        <w:spacing w:after="240" w:line="240" w:lineRule="auto"/>
        <w:rPr>
          <w:rFonts w:ascii="Times New Roman" w:eastAsia="Times New Roman" w:hAnsi="Times New Roman" w:cs="Times New Roman"/>
          <w:sz w:val="24"/>
          <w:szCs w:val="24"/>
          <w:lang w:eastAsia="en-GB"/>
        </w:rPr>
      </w:pPr>
      <w:r w:rsidRPr="00032FBD">
        <w:rPr>
          <w:rFonts w:ascii="Times New Roman" w:eastAsia="Times New Roman" w:hAnsi="Times New Roman" w:cs="Times New Roman"/>
          <w:sz w:val="24"/>
          <w:szCs w:val="24"/>
          <w:lang w:eastAsia="en-GB"/>
        </w:rPr>
        <w:br/>
      </w:r>
      <w:r w:rsidRPr="00032FBD">
        <w:rPr>
          <w:rFonts w:ascii="Times New Roman" w:eastAsia="Times New Roman" w:hAnsi="Times New Roman" w:cs="Times New Roman"/>
          <w:sz w:val="24"/>
          <w:szCs w:val="24"/>
          <w:lang w:eastAsia="en-GB"/>
        </w:rPr>
        <w:br/>
      </w:r>
    </w:p>
    <w:p w14:paraId="443005FC" w14:textId="77777777" w:rsidR="00032FBD" w:rsidRPr="00032FBD" w:rsidRDefault="00032FBD" w:rsidP="00032FBD">
      <w:pPr>
        <w:spacing w:after="0" w:line="480" w:lineRule="auto"/>
        <w:rPr>
          <w:rFonts w:ascii="Times New Roman" w:eastAsia="Times New Roman" w:hAnsi="Times New Roman" w:cs="Times New Roman"/>
          <w:sz w:val="24"/>
          <w:szCs w:val="24"/>
          <w:lang w:eastAsia="en-GB"/>
        </w:rPr>
      </w:pPr>
      <w:r w:rsidRPr="00032FBD">
        <w:rPr>
          <w:rFonts w:ascii="Arial" w:eastAsia="Times New Roman" w:hAnsi="Arial" w:cs="Arial"/>
          <w:color w:val="0E101A"/>
          <w:sz w:val="24"/>
          <w:szCs w:val="24"/>
          <w:lang w:eastAsia="en-GB"/>
        </w:rPr>
        <w:t> </w:t>
      </w:r>
    </w:p>
    <w:p w14:paraId="6B6D480F" w14:textId="01626732" w:rsidR="00204F54" w:rsidRDefault="00032FBD" w:rsidP="00032FBD">
      <w:r w:rsidRPr="00032FBD">
        <w:rPr>
          <w:rFonts w:ascii="Times New Roman" w:eastAsia="Times New Roman" w:hAnsi="Times New Roman" w:cs="Times New Roman"/>
          <w:sz w:val="24"/>
          <w:szCs w:val="24"/>
          <w:lang w:eastAsia="en-GB"/>
        </w:rPr>
        <w:br/>
      </w:r>
    </w:p>
    <w:sectPr w:rsidR="00204F54" w:rsidSect="00260E6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Schoolbook">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FBD"/>
    <w:rsid w:val="00032FBD"/>
    <w:rsid w:val="00204F54"/>
    <w:rsid w:val="00260E64"/>
    <w:rsid w:val="004A3970"/>
    <w:rsid w:val="006C7D76"/>
    <w:rsid w:val="00CB003A"/>
    <w:rsid w:val="00D11E93"/>
    <w:rsid w:val="00F13123"/>
    <w:rsid w:val="00F524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3F597"/>
  <w15:chartTrackingRefBased/>
  <w15:docId w15:val="{12C09D81-1B1D-4D53-BC66-721BFB724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32F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32FBD"/>
    <w:rPr>
      <w:color w:val="0000FF"/>
      <w:u w:val="single"/>
    </w:rPr>
  </w:style>
  <w:style w:type="paragraph" w:styleId="NoSpacing">
    <w:name w:val="No Spacing"/>
    <w:link w:val="NoSpacingChar"/>
    <w:uiPriority w:val="1"/>
    <w:qFormat/>
    <w:rsid w:val="00260E6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0E6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277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f.org.uk/why-it-matters/how-do-we-know-it-works" TargetMode="External"/><Relationship Id="rId18" Type="http://schemas.openxmlformats.org/officeDocument/2006/relationships/hyperlink" Target="https://psycnet.apa.org/record/1988-28832-001" TargetMode="External"/><Relationship Id="rId26" Type="http://schemas.openxmlformats.org/officeDocument/2006/relationships/hyperlink" Target="http://www.prisonreformtrust.org.uk/WhatWeDo/ProjectsResearch/Childrenandyoungpeople" TargetMode="External"/><Relationship Id="rId39" Type="http://schemas.openxmlformats.org/officeDocument/2006/relationships/hyperlink" Target="https://assets.publishing.service.gov.uk/government/uploads/system/uploads/attachment_data/file/956621/youth-justice-statistics-2019-2020.pdf" TargetMode="External"/><Relationship Id="rId21" Type="http://schemas.openxmlformats.org/officeDocument/2006/relationships/hyperlink" Target="https://www.gov.uk/government/statistics/proven-reoffending-statistics-january-to-march-2019/proven-reoffending-statistics-january-to-march-2019" TargetMode="External"/><Relationship Id="rId34" Type="http://schemas.openxmlformats.org/officeDocument/2006/relationships/hyperlink" Target="https://www-jstor-org.ezproxy.uwtsd.ac.uk/stable/10.7591/j.ctv1nhn10.7?refreqid=excelsior%3A44ea8b810621549ed1fea97dee6f8294&amp;seq=1" TargetMode="External"/><Relationship Id="rId7" Type="http://schemas.openxmlformats.org/officeDocument/2006/relationships/hyperlink" Target="https://journals.sagepub.com/doi/abs/10.1177/0022427803256071?journalCode=jrca" TargetMode="External"/><Relationship Id="rId2" Type="http://schemas.openxmlformats.org/officeDocument/2006/relationships/styles" Target="styles.xml"/><Relationship Id="rId16" Type="http://schemas.openxmlformats.org/officeDocument/2006/relationships/hyperlink" Target="https://www.researchgate.net/publication/228662112_The_Primary_Factors_that_Characterize_Effective_Interventions_with_Juvenile_Offenders_A_Meta-Analytic_Overview" TargetMode="External"/><Relationship Id="rId20" Type="http://schemas.openxmlformats.org/officeDocument/2006/relationships/hyperlink" Target="https://assets.publishing.service.gov.uk/government/uploads/system/uploads/attachment_data/file/243718/evidence-reduce-reoffending.pdf" TargetMode="External"/><Relationship Id="rId29" Type="http://schemas.openxmlformats.org/officeDocument/2006/relationships/hyperlink" Target="https://www.annualreviews.org/doi/abs/10.1146/annurev.soc.26.1.711?journalCode=soc"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bpspsychub.onlinelibrary.wiley.com/doi/abs/10.1111/j.2044-8295.1983.tb01847.x" TargetMode="External"/><Relationship Id="rId24" Type="http://schemas.openxmlformats.org/officeDocument/2006/relationships/hyperlink" Target="https://www.researchgate.net/publication/229604286_Fearlessness_and_courage_A_replication_experiment" TargetMode="External"/><Relationship Id="rId32" Type="http://schemas.openxmlformats.org/officeDocument/2006/relationships/hyperlink" Target="https://web-p-ebscohost-com.ezproxy.uwtsd.ac.uk/ehost/detail/detail?vid=0&amp;sid=b34186a9-59dc-4b53-992f-408eade7c09f%40redis&amp;bdata=JnNpdGU9ZWhvc3QtbGl2ZQ%3d%3d" TargetMode="External"/><Relationship Id="rId37" Type="http://schemas.openxmlformats.org/officeDocument/2006/relationships/hyperlink" Target="https://assets.publishing.service.gov.uk/government/uploads/system/uploads/attachment_data/file/453579/Wales-Reducing-Reoffending-Strategy-_e_.pdf" TargetMode="External"/><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jstor.org/stable/1131066?seq=1" TargetMode="External"/><Relationship Id="rId23" Type="http://schemas.openxmlformats.org/officeDocument/2006/relationships/hyperlink" Target="https://learning.nspcc.org.uk/safeguarding-child-protection/early-help-early-intervention" TargetMode="External"/><Relationship Id="rId28" Type="http://schemas.openxmlformats.org/officeDocument/2006/relationships/hyperlink" Target="https://www.legislation.gov.uk/wsi/2015/1466/contents/made" TargetMode="External"/><Relationship Id="rId36" Type="http://schemas.openxmlformats.org/officeDocument/2006/relationships/hyperlink" Target="https://www.proquest.com/docview/287937985/fulltext/407D57219F3945C9PQ/1?accountid=130472" TargetMode="External"/><Relationship Id="rId10" Type="http://schemas.openxmlformats.org/officeDocument/2006/relationships/hyperlink" Target="https://www.futuregenerations.wales/about-us/future-generations-act/" TargetMode="External"/><Relationship Id="rId19" Type="http://schemas.openxmlformats.org/officeDocument/2006/relationships/hyperlink" Target="https://commissioner.south-wales.police.uk/en/news/south-wales-police-youth-trust-and-cardiff-metropolitan-university-launch-new-early-intervention-sport-scheme/" TargetMode="External"/><Relationship Id="rId31" Type="http://schemas.openxmlformats.org/officeDocument/2006/relationships/hyperlink" Target="https://www.legislation.gov.uk/anaw/2014/4/contents" TargetMode="External"/><Relationship Id="rId4" Type="http://schemas.openxmlformats.org/officeDocument/2006/relationships/webSettings" Target="webSettings.xml"/><Relationship Id="rId9" Type="http://schemas.openxmlformats.org/officeDocument/2006/relationships/hyperlink" Target="https://justiceinnovation.org/project/18-25-diversion-scheme" TargetMode="External"/><Relationship Id="rId14" Type="http://schemas.openxmlformats.org/officeDocument/2006/relationships/hyperlink" Target="https://pubmed.ncbi.nlm.nih.gov/29456270/" TargetMode="External"/><Relationship Id="rId22" Type="http://schemas.openxmlformats.org/officeDocument/2006/relationships/hyperlink" Target="https://www.journals.uchicago.edu/action/showCitFormats?doi=10.1086%2F449087" TargetMode="External"/><Relationship Id="rId27" Type="http://schemas.openxmlformats.org/officeDocument/2006/relationships/hyperlink" Target="https://assets.publishing.service.gov.uk/government/uploads/system/uploads/attachment_data/file/182548/DFE-RR111.pdf" TargetMode="External"/><Relationship Id="rId30" Type="http://schemas.openxmlformats.org/officeDocument/2006/relationships/hyperlink" Target="https://assets.publishing.service.gov.uk/government/uploads/system/uploads/attachment_data/file/491119/re-offending-release-waves-1-3-spcr-findings.pdf" TargetMode="External"/><Relationship Id="rId35" Type="http://schemas.openxmlformats.org/officeDocument/2006/relationships/hyperlink" Target="https://www.jstor.org/stable/2094541?seq=1" TargetMode="External"/><Relationship Id="rId8" Type="http://schemas.openxmlformats.org/officeDocument/2006/relationships/hyperlink" Target="https://www.jstor.org/stable/2090968?casa_token=1TVIZ1meD4wAAAAA%3AkaWmy6h9ucdTQSe4lxC9oznbNJBTJ-GY_i5VBYoaxnGZPWhH8AYLZG9alRFTqmO8XY8v6EW6V5r-bElcPoBMdInMwvcCu-GoTE1nTJjabEs9lTFwVQ4&amp;seq=1" TargetMode="External"/><Relationship Id="rId3" Type="http://schemas.openxmlformats.org/officeDocument/2006/relationships/settings" Target="settings.xml"/><Relationship Id="rId12" Type="http://schemas.openxmlformats.org/officeDocument/2006/relationships/hyperlink" Target="https://www.oxfordbibliographies.com/view/document/obo-9780195396607/obo-9780195396607-0163.xml" TargetMode="External"/><Relationship Id="rId17" Type="http://schemas.openxmlformats.org/officeDocument/2006/relationships/hyperlink" Target="https://journals.sagepub.com/doi/abs/10.1177/0044118x03255029?casa_token=8-4H3dhKY8MAAAAA:ybWR_Ujatr2vapEA350r288UIZUVJ8-k3aN7U-qg4Z2qMXlUhZouLXZdRBd7zKfe-U1ByJjHGvHQ" TargetMode="External"/><Relationship Id="rId25" Type="http://schemas.openxmlformats.org/officeDocument/2006/relationships/hyperlink" Target="https://www.southwalescommissioner.org.uk/en/your-commissioner/police-crime-plan-2021-2025/" TargetMode="External"/><Relationship Id="rId33" Type="http://schemas.openxmlformats.org/officeDocument/2006/relationships/hyperlink" Target="https://onlinelibrary-wiley-com.ezproxy.uwtsd.ac.uk/doi/full/10.1111/1745-9125.12139" TargetMode="External"/><Relationship Id="rId38" Type="http://schemas.openxmlformats.org/officeDocument/2006/relationships/hyperlink" Target="https://safercommunities.wales/safeguarding-early-intervention/" TargetMode="External"/></Relationships>
</file>

<file path=word/theme/theme1.xml><?xml version="1.0" encoding="utf-8"?>
<a:theme xmlns:a="http://schemas.openxmlformats.org/drawingml/2006/main" name="View">
  <a:themeElements>
    <a:clrScheme name="View">
      <a:dk1>
        <a:srgbClr val="000000"/>
      </a:dk1>
      <a:lt1>
        <a:srgbClr val="FFFFFF"/>
      </a:lt1>
      <a:dk2>
        <a:srgbClr val="46464A"/>
      </a:dk2>
      <a:lt2>
        <a:srgbClr val="D6D3CC"/>
      </a:lt2>
      <a:accent1>
        <a:srgbClr val="6F6F74"/>
      </a:accent1>
      <a:accent2>
        <a:srgbClr val="92A9B9"/>
      </a:accent2>
      <a:accent3>
        <a:srgbClr val="A7B789"/>
      </a:accent3>
      <a:accent4>
        <a:srgbClr val="B9A489"/>
      </a:accent4>
      <a:accent5>
        <a:srgbClr val="8D6374"/>
      </a:accent5>
      <a:accent6>
        <a:srgbClr val="9B7362"/>
      </a:accent6>
      <a:hlink>
        <a:srgbClr val="67AABF"/>
      </a:hlink>
      <a:folHlink>
        <a:srgbClr val="ABAFA5"/>
      </a:folHlink>
    </a:clrScheme>
    <a:fontScheme name="View">
      <a:maj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View">
      <a:fillStyleLst>
        <a:solidFill>
          <a:schemeClr val="phClr"/>
        </a:solidFill>
        <a:solidFill>
          <a:schemeClr val="phClr">
            <a:tint val="60000"/>
            <a:satMod val="120000"/>
          </a:schemeClr>
        </a:solidFill>
        <a:solidFill>
          <a:schemeClr val="phClr">
            <a:shade val="75000"/>
            <a:satMod val="160000"/>
          </a:schemeClr>
        </a:solidFill>
      </a:fillStyleLst>
      <a:lnStyleLst>
        <a:ln w="9525" cap="flat" cmpd="sng" algn="ctr">
          <a:solidFill>
            <a:schemeClr val="phClr"/>
          </a:solidFill>
          <a:prstDash val="solid"/>
        </a:ln>
        <a:ln w="13970" cap="flat" cmpd="sng" algn="ctr">
          <a:solidFill>
            <a:schemeClr val="phClr"/>
          </a:solidFill>
          <a:prstDash val="solid"/>
        </a:ln>
        <a:ln w="17145" cap="flat" cmpd="sng" algn="ctr">
          <a:solidFill>
            <a:schemeClr val="phClr">
              <a:shade val="95000"/>
              <a:alpha val="95000"/>
              <a:satMod val="150000"/>
            </a:schemeClr>
          </a:solidFill>
          <a:prstDash val="solid"/>
        </a:ln>
      </a:lnStyleLst>
      <a:effectStyleLst>
        <a:effectStyle>
          <a:effectLst/>
        </a:effectStyle>
        <a:effectStyle>
          <a:effectLst>
            <a:outerShdw blurRad="50800" dist="15240" dir="5400000" algn="tl" rotWithShape="0">
              <a:srgbClr val="000000">
                <a:alpha val="75000"/>
              </a:srgbClr>
            </a:outerShdw>
          </a:effectLst>
          <a:scene3d>
            <a:camera prst="orthographicFront">
              <a:rot lat="0" lon="0" rev="0"/>
            </a:camera>
            <a:lightRig rig="brightRoom" dir="tl"/>
          </a:scene3d>
          <a:sp3d contourW="9525" prstMaterial="flat">
            <a:bevelT w="0" h="0" prst="coolSlant"/>
            <a:contourClr>
              <a:schemeClr val="phClr">
                <a:shade val="35000"/>
                <a:satMod val="130000"/>
              </a:schemeClr>
            </a:contourClr>
          </a:sp3d>
        </a:effectStyle>
        <a:effectStyle>
          <a:effectLst>
            <a:outerShdw blurRad="76200" dist="25400" dir="5400000" algn="tl" rotWithShape="0">
              <a:srgbClr val="000000">
                <a:alpha val="55000"/>
              </a:srgbClr>
            </a:outerShdw>
          </a:effectLst>
          <a:scene3d>
            <a:camera prst="orthographicFront">
              <a:rot lat="0" lon="0" rev="0"/>
            </a:camera>
            <a:lightRig rig="brightRoom" dir="tl"/>
          </a:scene3d>
          <a:sp3d contourW="19050" prstMaterial="flat">
            <a:bevelT w="0" h="0" prst="coolSlant"/>
            <a:contourClr>
              <a:schemeClr val="phClr">
                <a:shade val="25000"/>
                <a:satMod val="140000"/>
              </a:schemeClr>
            </a:contourClr>
          </a:sp3d>
        </a:effectStyle>
      </a:effectStyleLst>
      <a:bgFillStyleLst>
        <a:solidFill>
          <a:schemeClr val="phClr"/>
        </a:solidFill>
        <a:solidFill>
          <a:schemeClr val="phClr">
            <a:tint val="95000"/>
            <a:satMod val="170000"/>
          </a:schemeClr>
        </a:solidFill>
        <a:gradFill rotWithShape="1">
          <a:gsLst>
            <a:gs pos="0">
              <a:schemeClr val="phClr">
                <a:tint val="94000"/>
                <a:shade val="98000"/>
                <a:satMod val="130000"/>
                <a:lumMod val="102000"/>
              </a:schemeClr>
            </a:gs>
            <a:gs pos="100000">
              <a:schemeClr val="phClr">
                <a:tint val="98000"/>
                <a:shade val="78000"/>
                <a:satMod val="140000"/>
              </a:schemeClr>
            </a:gs>
          </a:gsLst>
          <a:path path="circle">
            <a:fillToRect l="100000" t="100000" r="100000" b="100000"/>
          </a:path>
        </a:gradFill>
      </a:bgFillStyleLst>
    </a:fmtScheme>
  </a:themeElements>
  <a:objectDefaults/>
  <a:extraClrSchemeLst/>
  <a:extLst>
    <a:ext uri="{05A4C25C-085E-4340-85A3-A5531E510DB2}">
      <thm15:themeFamily xmlns:thm15="http://schemas.microsoft.com/office/thememl/2012/main" name="View" id="{BA0EB5A6-F2D4-4F82-977B-64ADEE4A2A69}" vid="{3969A8A2-35DB-4E3B-8885-16FD2056867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Lecturer: Jane Thomas 
Deadline: 07/01/2022</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21</Pages>
  <Words>4993</Words>
  <Characters>28466</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the Nature and Extent of Offending and if the Impact of Early Intervention Can Help to Curve Offending</dc:title>
  <dc:subject/>
  <dc:creator>Aaron Samuel Williams (1900369)</dc:creator>
  <cp:keywords/>
  <dc:description/>
  <cp:lastModifiedBy>Aaron Samuel Williams (1900369)</cp:lastModifiedBy>
  <cp:revision>4</cp:revision>
  <dcterms:created xsi:type="dcterms:W3CDTF">2022-01-03T13:13:00Z</dcterms:created>
  <dcterms:modified xsi:type="dcterms:W3CDTF">2022-01-03T13:36:00Z</dcterms:modified>
</cp:coreProperties>
</file>