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r>
        <w:rPr>
          <w:rFonts w:ascii="Times New Roman" w:hAnsi="Times New Roman" w:eastAsia="Times New Roman" w:cs="Times New Roman"/>
          <w:b/>
          <w:color w:val="000000" w:themeColor="text1"/>
          <w:sz w:val="32"/>
          <w:szCs w:val="32"/>
          <w:lang w:val="en-GB"/>
        </w:rPr>
        <w:t>DEVELOPING RELATIONSHIPS &amp; WORKPLACE ACHIVEMENT</w:t>
      </w: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ascii="Times New Roman" w:hAnsi="Times New Roman" w:eastAsia="Times New Roman" w:cs="Times New Roman"/>
          <w:b/>
          <w:color w:val="000000" w:themeColor="text1"/>
          <w:sz w:val="32"/>
          <w:szCs w:val="32"/>
          <w:lang w:val="en-GB"/>
        </w:rPr>
      </w:pPr>
    </w:p>
    <w:p>
      <w:pPr>
        <w:pStyle w:val="3"/>
        <w:spacing w:line="360" w:lineRule="auto"/>
        <w:jc w:val="center"/>
        <w:rPr>
          <w:rFonts w:hint="default" w:ascii="Times New Roman" w:hAnsi="Times New Roman" w:eastAsia="Times New Roman" w:cs="Times New Roman"/>
          <w:b/>
          <w:color w:val="000000" w:themeColor="text1"/>
          <w:sz w:val="32"/>
          <w:szCs w:val="32"/>
          <w:lang w:val="en-GB"/>
        </w:rPr>
      </w:pPr>
      <w:r>
        <w:rPr>
          <w:rFonts w:hint="default" w:ascii="Times New Roman" w:hAnsi="Times New Roman" w:eastAsia="Times New Roman" w:cs="Times New Roman"/>
          <w:b/>
          <w:color w:val="000000" w:themeColor="text1"/>
          <w:sz w:val="32"/>
          <w:szCs w:val="32"/>
          <w:lang w:val="en-GB"/>
        </w:rPr>
        <w:t>Student Name: Mohd M H Sharif</w:t>
      </w:r>
    </w:p>
    <w:p>
      <w:pPr>
        <w:pStyle w:val="3"/>
        <w:spacing w:line="360" w:lineRule="auto"/>
        <w:jc w:val="both"/>
        <w:rPr>
          <w:rFonts w:hint="default" w:ascii="Times New Roman" w:hAnsi="Times New Roman" w:eastAsia="Times New Roman" w:cs="Times New Roman"/>
          <w:b/>
          <w:color w:val="000000" w:themeColor="text1"/>
          <w:sz w:val="32"/>
          <w:szCs w:val="32"/>
          <w:lang w:val="en-GB"/>
        </w:rPr>
      </w:pPr>
      <w:r>
        <w:rPr>
          <w:rFonts w:hint="default" w:ascii="Times New Roman" w:hAnsi="Times New Roman" w:eastAsia="Times New Roman" w:cs="Times New Roman"/>
          <w:b/>
          <w:color w:val="000000" w:themeColor="text1"/>
          <w:sz w:val="32"/>
          <w:szCs w:val="32"/>
          <w:lang w:val="en-GB"/>
        </w:rPr>
        <w:t xml:space="preserve">                            Student No     : 1707654</w:t>
      </w:r>
    </w:p>
    <w:p>
      <w:pPr>
        <w:pStyle w:val="3"/>
        <w:spacing w:line="360" w:lineRule="auto"/>
        <w:jc w:val="both"/>
        <w:rPr>
          <w:rFonts w:hint="default" w:ascii="Times New Roman" w:hAnsi="Times New Roman" w:eastAsia="Times New Roman" w:cs="Times New Roman"/>
          <w:b/>
          <w:color w:val="000000" w:themeColor="text1"/>
          <w:sz w:val="32"/>
          <w:szCs w:val="32"/>
          <w:lang w:val="en-GB"/>
        </w:rPr>
      </w:pPr>
      <w:r>
        <w:rPr>
          <w:rFonts w:hint="default" w:ascii="Times New Roman" w:hAnsi="Times New Roman" w:eastAsia="Times New Roman" w:cs="Times New Roman"/>
          <w:b/>
          <w:color w:val="000000" w:themeColor="text1"/>
          <w:sz w:val="32"/>
          <w:szCs w:val="32"/>
          <w:lang w:val="en-GB"/>
        </w:rPr>
        <w:t xml:space="preserve">                            Tutor Name   : Ze Zook</w:t>
      </w:r>
    </w:p>
    <w:p>
      <w:pPr>
        <w:pStyle w:val="3"/>
        <w:spacing w:line="360" w:lineRule="auto"/>
        <w:jc w:val="both"/>
        <w:rPr>
          <w:rFonts w:ascii="Times New Roman" w:hAnsi="Times New Roman" w:eastAsia="Times New Roman" w:cs="Times New Roman"/>
          <w:b/>
          <w:color w:val="000000" w:themeColor="text1"/>
          <w:sz w:val="32"/>
          <w:szCs w:val="32"/>
          <w:lang w:val="en-GB"/>
        </w:rPr>
      </w:pPr>
      <w:bookmarkStart w:id="23" w:name="_GoBack"/>
      <w:bookmarkEnd w:id="23"/>
    </w:p>
    <w:p>
      <w:pPr>
        <w:spacing w:line="360" w:lineRule="auto"/>
        <w:rPr>
          <w:rFonts w:ascii="Times New Roman" w:hAnsi="Times New Roman" w:eastAsia="Times New Roman" w:cs="Times New Roman"/>
          <w:b/>
          <w:color w:val="000000" w:themeColor="text1"/>
          <w:sz w:val="24"/>
          <w:szCs w:val="24"/>
          <w:lang w:val="en-GB"/>
        </w:rPr>
      </w:pPr>
      <w:r>
        <w:rPr>
          <w:rFonts w:ascii="Times New Roman" w:hAnsi="Times New Roman" w:eastAsia="Times New Roman" w:cs="Times New Roman"/>
          <w:b/>
          <w:color w:val="000000" w:themeColor="text1"/>
          <w:sz w:val="24"/>
          <w:szCs w:val="24"/>
          <w:lang w:val="en-GB"/>
        </w:rPr>
        <w:br w:type="page"/>
      </w:r>
    </w:p>
    <w:sdt>
      <w:sdtPr>
        <w:rPr>
          <w:rFonts w:ascii="Arial" w:hAnsi="Arial" w:eastAsia="Arial" w:cs="Arial"/>
          <w:b w:val="0"/>
          <w:bCs w:val="0"/>
          <w:color w:val="000000" w:themeColor="text1"/>
          <w:sz w:val="22"/>
          <w:szCs w:val="22"/>
          <w:lang w:val="en-GB"/>
        </w:rPr>
        <w:id w:val="8902807"/>
        <w:docPartObj>
          <w:docPartGallery w:val="Table of Contents"/>
          <w:docPartUnique/>
        </w:docPartObj>
      </w:sdtPr>
      <w:sdtEndPr>
        <w:rPr>
          <w:rFonts w:ascii="Times New Roman" w:hAnsi="Times New Roman" w:eastAsia="Arial" w:cs="Times New Roman"/>
          <w:b w:val="0"/>
          <w:bCs w:val="0"/>
          <w:color w:val="000000" w:themeColor="text1"/>
          <w:sz w:val="24"/>
          <w:szCs w:val="24"/>
          <w:lang w:val="en-GB"/>
        </w:rPr>
      </w:sdtEndPr>
      <w:sdtContent>
        <w:p>
          <w:pPr>
            <w:pStyle w:val="27"/>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Table of Contents</w:t>
          </w:r>
        </w:p>
        <w:p>
          <w:pPr>
            <w:pStyle w:val="16"/>
            <w:tabs>
              <w:tab w:val="right" w:leader="dot" w:pos="9019"/>
            </w:tabs>
            <w:spacing w:line="360" w:lineRule="auto"/>
            <w:rPr>
              <w:rFonts w:ascii="Times New Roman" w:hAnsi="Times New Roman" w:cs="Times New Roman" w:eastAsiaTheme="minorEastAsia"/>
              <w:sz w:val="24"/>
              <w:szCs w:val="24"/>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r>
            <w:fldChar w:fldCharType="begin"/>
          </w:r>
          <w:r>
            <w:instrText xml:space="preserve"> HYPERLINK \l "_Toc38129171" </w:instrText>
          </w:r>
          <w:r>
            <w:fldChar w:fldCharType="separate"/>
          </w:r>
          <w:r>
            <w:rPr>
              <w:rStyle w:val="21"/>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_Toc38129171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"_Toc38129172" </w:instrText>
          </w:r>
          <w:r>
            <w:fldChar w:fldCharType="separate"/>
          </w:r>
          <w:r>
            <w:rPr>
              <w:rStyle w:val="21"/>
              <w:rFonts w:ascii="Times New Roman" w:hAnsi="Times New Roman" w:cs="Times New Roman"/>
              <w:sz w:val="24"/>
              <w:szCs w:val="24"/>
            </w:rPr>
            <w:t>Potential benefits of recruitment and selection process in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_Toc38129172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"_Toc38129173" </w:instrText>
          </w:r>
          <w:r>
            <w:fldChar w:fldCharType="separate"/>
          </w:r>
          <w:r>
            <w:rPr>
              <w:rStyle w:val="21"/>
              <w:rFonts w:ascii="Times New Roman" w:hAnsi="Times New Roman" w:cs="Times New Roman"/>
              <w:sz w:val="24"/>
              <w:szCs w:val="24"/>
            </w:rPr>
            <w:t>Talented candidates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_Toc38129173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"_Toc38129174" </w:instrText>
          </w:r>
          <w:r>
            <w:fldChar w:fldCharType="separate"/>
          </w:r>
          <w:r>
            <w:rPr>
              <w:rStyle w:val="21"/>
              <w:rFonts w:ascii="Times New Roman" w:hAnsi="Times New Roman" w:cs="Times New Roman"/>
              <w:sz w:val="24"/>
              <w:szCs w:val="24"/>
            </w:rPr>
            <w:t>Accurate screening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"_Toc38129175" </w:instrText>
          </w:r>
          <w:r>
            <w:fldChar w:fldCharType="separate"/>
          </w:r>
          <w:r>
            <w:rPr>
              <w:rStyle w:val="21"/>
              <w:rFonts w:ascii="Times New Roman" w:hAnsi="Times New Roman" w:cs="Times New Roman"/>
              <w:sz w:val="24"/>
              <w:szCs w:val="24"/>
            </w:rPr>
            <w:t>Proactive strategic arrangement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_Toc38129175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"_Toc38129176" </w:instrText>
          </w:r>
          <w:r>
            <w:fldChar w:fldCharType="separate"/>
          </w:r>
          <w:r>
            <w:rPr>
              <w:rStyle w:val="21"/>
              <w:rFonts w:ascii="Times New Roman" w:hAnsi="Times New Roman" w:cs="Times New Roman"/>
              <w:sz w:val="24"/>
              <w:szCs w:val="24"/>
            </w:rPr>
            <w:t>High morale and reduced turnover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_Toc38129176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"_Toc38129177" </w:instrText>
          </w:r>
          <w:r>
            <w:fldChar w:fldCharType="separate"/>
          </w:r>
          <w:r>
            <w:rPr>
              <w:rStyle w:val="21"/>
              <w:rFonts w:ascii="Times New Roman" w:hAnsi="Times New Roman" w:cs="Times New Roman"/>
              <w:sz w:val="24"/>
              <w:szCs w:val="24"/>
            </w:rPr>
            <w:t>Assessing the individuals involved in personal development of employees in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_Toc38129177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"_Toc38129178" </w:instrText>
          </w:r>
          <w:r>
            <w:fldChar w:fldCharType="separate"/>
          </w:r>
          <w:r>
            <w:rPr>
              <w:rStyle w:val="21"/>
              <w:rFonts w:ascii="Times New Roman" w:hAnsi="Times New Roman" w:cs="Times New Roman"/>
              <w:sz w:val="24"/>
              <w:szCs w:val="24"/>
            </w:rPr>
            <w:t>HR managers of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_Toc38129178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"_Toc38129179" </w:instrText>
          </w:r>
          <w:r>
            <w:fldChar w:fldCharType="separate"/>
          </w:r>
          <w:r>
            <w:rPr>
              <w:rStyle w:val="21"/>
              <w:rFonts w:ascii="Times New Roman" w:hAnsi="Times New Roman" w:cs="Times New Roman"/>
              <w:sz w:val="24"/>
              <w:szCs w:val="24"/>
            </w:rPr>
            <w:t>Employees of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_Toc38129179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"_Toc38129180" </w:instrText>
          </w:r>
          <w:r>
            <w:fldChar w:fldCharType="separate"/>
          </w:r>
          <w:r>
            <w:rPr>
              <w:rStyle w:val="21"/>
              <w:rFonts w:ascii="Times New Roman" w:hAnsi="Times New Roman" w:cs="Times New Roman"/>
              <w:sz w:val="24"/>
              <w:szCs w:val="24"/>
              <w:highlight w:val="white"/>
            </w:rPr>
            <w:t>Critically evaluate the development vehicle available in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"_Toc38129181" </w:instrText>
          </w:r>
          <w:r>
            <w:fldChar w:fldCharType="separate"/>
          </w:r>
          <w:r>
            <w:rPr>
              <w:rStyle w:val="21"/>
              <w:rFonts w:ascii="Times New Roman" w:hAnsi="Times New Roman" w:cs="Times New Roman"/>
              <w:sz w:val="24"/>
              <w:szCs w:val="24"/>
              <w:highlight w:val="white"/>
            </w:rPr>
            <w:t>Critical evaluation of development vehicles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_Toc38129181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8"/>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"_Toc38129182" </w:instrText>
          </w:r>
          <w:r>
            <w:fldChar w:fldCharType="separate"/>
          </w:r>
          <w:r>
            <w:rPr>
              <w:rStyle w:val="21"/>
              <w:rFonts w:ascii="Times New Roman" w:hAnsi="Times New Roman" w:cs="Times New Roman"/>
              <w:sz w:val="24"/>
              <w:szCs w:val="24"/>
              <w:highlight w:val="white"/>
            </w:rPr>
            <w:t>Strength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"_Toc38129183" </w:instrText>
          </w:r>
          <w:r>
            <w:fldChar w:fldCharType="separate"/>
          </w:r>
          <w:r>
            <w:rPr>
              <w:rStyle w:val="21"/>
              <w:rFonts w:ascii="Times New Roman" w:hAnsi="Times New Roman" w:cs="Times New Roman"/>
              <w:sz w:val="24"/>
              <w:szCs w:val="24"/>
            </w:rPr>
            <w:t>Identification of the appropriate use of development vehicles for meeting individual developmental needs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"_Toc38129184" </w:instrText>
          </w:r>
          <w:r>
            <w:fldChar w:fldCharType="separate"/>
          </w:r>
          <w:r>
            <w:rPr>
              <w:rStyle w:val="21"/>
              <w:rFonts w:ascii="Times New Roman" w:hAnsi="Times New Roman" w:cs="Times New Roman"/>
              <w:sz w:val="24"/>
              <w:szCs w:val="24"/>
            </w:rPr>
            <w:t>Effectiveness of IDP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"_Toc38129185" </w:instrText>
          </w:r>
          <w:r>
            <w:fldChar w:fldCharType="separate"/>
          </w:r>
          <w:r>
            <w:rPr>
              <w:rStyle w:val="21"/>
              <w:rFonts w:ascii="Times New Roman" w:hAnsi="Times New Roman" w:cs="Times New Roman"/>
              <w:sz w:val="24"/>
              <w:szCs w:val="24"/>
            </w:rPr>
            <w:t>Identification of motivational factors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"_Toc38129186" </w:instrText>
          </w:r>
          <w:r>
            <w:fldChar w:fldCharType="separate"/>
          </w:r>
          <w:r>
            <w:rPr>
              <w:rStyle w:val="21"/>
              <w:rFonts w:ascii="Times New Roman" w:hAnsi="Times New Roman" w:cs="Times New Roman"/>
              <w:sz w:val="24"/>
              <w:szCs w:val="24"/>
            </w:rPr>
            <w:t>Application of motivation theories at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_Toc38129186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"_Toc38129187" </w:instrText>
          </w:r>
          <w:r>
            <w:fldChar w:fldCharType="separate"/>
          </w:r>
          <w:r>
            <w:rPr>
              <w:rStyle w:val="21"/>
              <w:rFonts w:ascii="Times New Roman" w:hAnsi="Times New Roman" w:cs="Times New Roman"/>
              <w:sz w:val="24"/>
              <w:szCs w:val="24"/>
            </w:rPr>
            <w:t>Development of a plan to meet the identified development needs and expectations of an individual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_Toc38129187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"_Toc38129188" </w:instrText>
          </w:r>
          <w:r>
            <w:fldChar w:fldCharType="separate"/>
          </w:r>
          <w:r>
            <w:rPr>
              <w:rStyle w:val="21"/>
              <w:rFonts w:ascii="Times New Roman" w:hAnsi="Times New Roman" w:cs="Times New Roman"/>
              <w:sz w:val="24"/>
              <w:szCs w:val="24"/>
            </w:rPr>
            <w:t>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"_Toc38129189" </w:instrText>
          </w:r>
          <w:r>
            <w:fldChar w:fldCharType="separate"/>
          </w:r>
          <w:r>
            <w:rPr>
              <w:rStyle w:val="21"/>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_Toc38129189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"_Toc38129190" </w:instrText>
          </w:r>
          <w:r>
            <w:fldChar w:fldCharType="separate"/>
          </w:r>
          <w:r>
            <w:rPr>
              <w:rStyle w:val="21"/>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_Toc38129190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fldChar w:fldCharType="end"/>
          </w:r>
        </w:p>
      </w:sdtContent>
    </w:sdt>
    <w:p>
      <w:pPr>
        <w:spacing w:line="360" w:lineRule="auto"/>
        <w:rPr>
          <w:rFonts w:ascii="Times New Roman" w:hAnsi="Times New Roman" w:eastAsia="Times New Roman" w:cs="Times New Roman"/>
          <w:b/>
          <w:color w:val="000000" w:themeColor="text1"/>
          <w:sz w:val="24"/>
          <w:szCs w:val="24"/>
          <w:lang w:val="en-GB"/>
        </w:rPr>
      </w:pPr>
      <w:r>
        <w:rPr>
          <w:rFonts w:ascii="Times New Roman" w:hAnsi="Times New Roman" w:eastAsia="Times New Roman" w:cs="Times New Roman"/>
          <w:b/>
          <w:color w:val="000000" w:themeColor="text1"/>
          <w:sz w:val="24"/>
          <w:szCs w:val="24"/>
          <w:lang w:val="en-GB"/>
        </w:rPr>
        <w:br w:type="page"/>
      </w:r>
    </w:p>
    <w:p>
      <w:pPr>
        <w:pStyle w:val="2"/>
      </w:pPr>
      <w:bookmarkStart w:id="0" w:name="_Toc38129171"/>
      <w:r>
        <w:t>Introduction</w:t>
      </w:r>
      <w:bookmarkEnd w:id="0"/>
      <w:r>
        <w:t xml:space="preserve"> </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 xml:space="preserve">Development of relationships within an organisational setting plays a significant role in enhancing the quality of performance. The culture of an organization is crucial for promoting personal as well as professional growth of employees. This enables employees to improve their performance and become an invaluable part of the organisation within which they work. The individual developmental needs of employees are required to be identified and monitored by an organization in order to promote a positive work culture. In this context, it is crucial for large organisations such as Tesco Plc. to support and enhance the skills of its employees for their personal and professional enrichment.  Tesco Plc. is one of the largest supermarket chains in the UK and has over 2,200 stores in the country. This study aims to analyse the key developmental vehicles, benefits along with requirements of employees in the case of Tesco Plc. and provides an elaborate plan for efficiently managing individual developmental needs.  </w:t>
      </w:r>
    </w:p>
    <w:p>
      <w:pPr>
        <w:pStyle w:val="2"/>
        <w:rPr>
          <w:color w:val="000000" w:themeColor="text1"/>
        </w:rPr>
      </w:pPr>
    </w:p>
    <w:p>
      <w:pPr>
        <w:pStyle w:val="2"/>
        <w:rPr>
          <w:color w:val="000000" w:themeColor="text1"/>
        </w:rPr>
      </w:pPr>
      <w:bookmarkStart w:id="1" w:name="_Toc38129172"/>
      <w:r>
        <w:rPr>
          <w:color w:val="000000" w:themeColor="text1"/>
        </w:rPr>
        <w:t>Potential benefits of recruitment and selection process in Tesco</w:t>
      </w:r>
      <w:bookmarkEnd w:id="1"/>
      <w:r>
        <w:rPr>
          <w:color w:val="000000" w:themeColor="text1"/>
        </w:rPr>
        <w:t xml:space="preserve"> </w:t>
      </w:r>
    </w:p>
    <w:p>
      <w:pPr>
        <w:pStyle w:val="3"/>
        <w:spacing w:line="360" w:lineRule="auto"/>
        <w:jc w:val="center"/>
        <w:rPr>
          <w:lang w:val="en-GB"/>
        </w:rPr>
      </w:pPr>
      <w:r>
        <w:drawing>
          <wp:inline distT="0" distB="0" distL="0" distR="0">
            <wp:extent cx="5486400" cy="3200400"/>
            <wp:effectExtent l="0" t="5715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pPr>
        <w:pStyle w:val="3"/>
        <w:spacing w:line="360" w:lineRule="auto"/>
        <w:jc w:val="center"/>
        <w:rPr>
          <w:rFonts w:ascii="Times New Roman" w:hAnsi="Times New Roman" w:cs="Times New Roman"/>
          <w:b/>
          <w:sz w:val="24"/>
          <w:lang w:val="en-GB"/>
        </w:rPr>
      </w:pPr>
      <w:r>
        <w:rPr>
          <w:rFonts w:ascii="Times New Roman" w:hAnsi="Times New Roman" w:cs="Times New Roman"/>
          <w:b/>
          <w:sz w:val="24"/>
          <w:lang w:val="en-GB"/>
        </w:rPr>
        <w:t>Figure 1: Potential Recruitment Benefits</w:t>
      </w:r>
    </w:p>
    <w:p>
      <w:pPr>
        <w:pStyle w:val="3"/>
        <w:spacing w:line="360" w:lineRule="auto"/>
        <w:jc w:val="center"/>
        <w:rPr>
          <w:rFonts w:ascii="Times New Roman" w:hAnsi="Times New Roman" w:cs="Times New Roman"/>
          <w:sz w:val="24"/>
          <w:lang w:val="en-GB"/>
        </w:rPr>
      </w:pPr>
      <w:r>
        <w:rPr>
          <w:rFonts w:ascii="Times New Roman" w:hAnsi="Times New Roman" w:cs="Times New Roman"/>
          <w:sz w:val="24"/>
          <w:lang w:val="en-GB"/>
        </w:rPr>
        <w:t xml:space="preserve">(Source: Influenced by </w:t>
      </w:r>
      <w:r>
        <w:rPr>
          <w:rFonts w:ascii="Times New Roman" w:hAnsi="Times New Roman" w:eastAsia="Times New Roman" w:cs="Times New Roman"/>
          <w:color w:val="000000" w:themeColor="text1"/>
          <w:sz w:val="24"/>
          <w:szCs w:val="24"/>
          <w:highlight w:val="white"/>
          <w:lang w:val="en-GB"/>
        </w:rPr>
        <w:t>Grinis</w:t>
      </w:r>
      <w:r>
        <w:rPr>
          <w:rFonts w:ascii="Times New Roman" w:hAnsi="Times New Roman" w:eastAsia="Times New Roman" w:cs="Times New Roman"/>
          <w:color w:val="000000" w:themeColor="text1"/>
          <w:sz w:val="24"/>
          <w:szCs w:val="24"/>
          <w:lang w:val="en-GB"/>
        </w:rPr>
        <w:t>, 2019</w:t>
      </w:r>
      <w:r>
        <w:rPr>
          <w:rFonts w:ascii="Times New Roman" w:hAnsi="Times New Roman" w:cs="Times New Roman"/>
          <w:sz w:val="24"/>
          <w:lang w:val="en-GB"/>
        </w:rPr>
        <w:t>)</w:t>
      </w:r>
    </w:p>
    <w:p>
      <w:pPr>
        <w:pStyle w:val="3"/>
        <w:spacing w:line="360" w:lineRule="auto"/>
        <w:rPr>
          <w:lang w:val="en-GB"/>
        </w:rPr>
      </w:pPr>
    </w:p>
    <w:p>
      <w:pPr>
        <w:pStyle w:val="4"/>
        <w:rPr>
          <w:color w:val="000000" w:themeColor="text1"/>
        </w:rPr>
      </w:pPr>
      <w:bookmarkStart w:id="2" w:name="_Toc38129173"/>
      <w:r>
        <w:rPr>
          <w:color w:val="000000" w:themeColor="text1"/>
        </w:rPr>
        <w:t>Talented candidates</w:t>
      </w:r>
      <w:bookmarkEnd w:id="2"/>
      <w:r>
        <w:rPr>
          <w:color w:val="000000" w:themeColor="text1"/>
        </w:rPr>
        <w:t xml:space="preserve"> </w:t>
      </w:r>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The selection of the individual includes identifying some of the best methods through which Tesco can get connected to the qualified and talented applicants. Identified in the findings of </w:t>
      </w:r>
      <w:r>
        <w:rPr>
          <w:rFonts w:ascii="Times New Roman" w:hAnsi="Times New Roman" w:eastAsia="Times New Roman" w:cs="Times New Roman"/>
          <w:color w:val="000000" w:themeColor="text1"/>
          <w:sz w:val="24"/>
          <w:szCs w:val="24"/>
          <w:highlight w:val="white"/>
          <w:lang w:val="en-GB"/>
        </w:rPr>
        <w:t xml:space="preserve">Grinis </w:t>
      </w:r>
      <w:r>
        <w:rPr>
          <w:rFonts w:ascii="Times New Roman" w:hAnsi="Times New Roman" w:eastAsia="Times New Roman" w:cs="Times New Roman"/>
          <w:color w:val="000000" w:themeColor="text1"/>
          <w:sz w:val="24"/>
          <w:szCs w:val="24"/>
          <w:lang w:val="en-GB"/>
        </w:rPr>
        <w:t xml:space="preserve">(2019), it can be noted that there are different ways through which an organisation posts their vacancy and gets into contact with the qualified individual. Some of the popular means are company's website, newspaper, job boards, career fair and many more that Tesco uses to a larger extent. Tesco through this process gets a large number of applicants who are skilled as well as experienced. This helps Tesco to get some of the better qualified individuals who have the potential to increase the productivity and efficiency of the organisation. However, for this recruitment process it has been observed that the HR department has to deal with a long queue of applicants and it often takes a long period of time for the recruitment and selection process. </w:t>
      </w:r>
    </w:p>
    <w:p>
      <w:pPr>
        <w:pStyle w:val="4"/>
        <w:rPr>
          <w:color w:val="000000" w:themeColor="text1"/>
        </w:rPr>
      </w:pPr>
      <w:bookmarkStart w:id="3" w:name="_Toc38129174"/>
      <w:r>
        <w:rPr>
          <w:color w:val="000000" w:themeColor="text1"/>
        </w:rPr>
        <w:t>Accurate screening</w:t>
      </w:r>
      <w:bookmarkEnd w:id="3"/>
      <w:r>
        <w:rPr>
          <w:color w:val="000000" w:themeColor="text1"/>
        </w:rPr>
        <w:t xml:space="preserve"> </w:t>
      </w:r>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The recruitment and selection process goes through different levels in Tesco such as interview, test and some other mechanisms that are used to evaluate the exact qualification and also identifying different traits that a candidate has. Based on the ideas of </w:t>
      </w:r>
      <w:r>
        <w:rPr>
          <w:rFonts w:ascii="Times New Roman" w:hAnsi="Times New Roman" w:eastAsia="Times New Roman" w:cs="Times New Roman"/>
          <w:color w:val="000000" w:themeColor="text1"/>
          <w:sz w:val="24"/>
          <w:szCs w:val="24"/>
          <w:highlight w:val="white"/>
          <w:lang w:val="en-GB"/>
        </w:rPr>
        <w:t xml:space="preserve">Ibrahim and Hassan </w:t>
      </w:r>
      <w:r>
        <w:rPr>
          <w:rFonts w:ascii="Times New Roman" w:hAnsi="Times New Roman" w:eastAsia="Times New Roman" w:cs="Times New Roman"/>
          <w:color w:val="000000" w:themeColor="text1"/>
          <w:sz w:val="24"/>
          <w:szCs w:val="24"/>
          <w:lang w:val="en-GB"/>
        </w:rPr>
        <w:t xml:space="preserve">(2019), it can be stated that for getting an idea about a candidate's true talent, an organisation is required to focus on the work samples other than just qualification. Tesco rightly does the same and focuses on the information that the candidate has regarding the job that is going to be assigned to them. This helps the HR department to understand the potential of a candidate in a better manner. This helps Tesco to select a candidate in different departments that eventually helps to get a better efficiency of the organisation. </w:t>
      </w:r>
    </w:p>
    <w:p>
      <w:pPr>
        <w:pStyle w:val="4"/>
        <w:rPr>
          <w:color w:val="000000" w:themeColor="text1"/>
        </w:rPr>
      </w:pPr>
      <w:bookmarkStart w:id="4" w:name="_Toc38129175"/>
      <w:r>
        <w:rPr>
          <w:color w:val="000000" w:themeColor="text1"/>
        </w:rPr>
        <w:t>Proactive strategic arrangement</w:t>
      </w:r>
      <w:bookmarkEnd w:id="4"/>
      <w:r>
        <w:rPr>
          <w:color w:val="000000" w:themeColor="text1"/>
        </w:rPr>
        <w:t xml:space="preserve"> </w:t>
      </w:r>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The HR department of Tesco tries to have a proactive approach regarding talent management. As inspired by the ideas of </w:t>
      </w:r>
      <w:r>
        <w:rPr>
          <w:rFonts w:ascii="Times New Roman" w:hAnsi="Times New Roman" w:eastAsia="Times New Roman" w:cs="Times New Roman"/>
          <w:color w:val="000000" w:themeColor="text1"/>
          <w:sz w:val="24"/>
          <w:szCs w:val="24"/>
          <w:highlight w:val="white"/>
          <w:lang w:val="en-GB"/>
        </w:rPr>
        <w:t xml:space="preserve">Parker and Liao </w:t>
      </w:r>
      <w:r>
        <w:rPr>
          <w:rFonts w:ascii="Times New Roman" w:hAnsi="Times New Roman" w:eastAsia="Times New Roman" w:cs="Times New Roman"/>
          <w:color w:val="000000" w:themeColor="text1"/>
          <w:sz w:val="24"/>
          <w:szCs w:val="24"/>
          <w:lang w:val="en-GB"/>
        </w:rPr>
        <w:t>(2016), it can be noted that through proper recruitment and selection processes an organisation is aligned effectively with the strategic HR. Tesco mainly maps out the different types of employees and also the different skills that are required by the company for filling up the vacancies offered by them. The positions that are offered by the organisation are totally based on the goals and objectives that are set by the organisation and the different hiring plan that is adopted by Tesco helps to achieve all the goals in the future. A proper plan made by the HR of Tesco helps in having a better job screening, and however, it is noticed that with a lack of proper screening of the candidates some of the lower standard employees are selected that often results in the lower productivity of the organisation. Therefore, Tesco is required to have a proper training and development program that helps the recruited employees to understand their work.</w:t>
      </w:r>
    </w:p>
    <w:p>
      <w:pPr>
        <w:pStyle w:val="4"/>
        <w:rPr>
          <w:color w:val="000000" w:themeColor="text1"/>
        </w:rPr>
      </w:pPr>
      <w:bookmarkStart w:id="5" w:name="_Toc38129176"/>
      <w:r>
        <w:rPr>
          <w:color w:val="000000" w:themeColor="text1"/>
        </w:rPr>
        <w:t>High morale and reduced turnover</w:t>
      </w:r>
      <w:bookmarkEnd w:id="5"/>
      <w:r>
        <w:rPr>
          <w:color w:val="000000" w:themeColor="text1"/>
        </w:rPr>
        <w:t xml:space="preserve"> </w:t>
      </w:r>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Tesco hiring the right people with the right personality and skills results in a better working environment and better organisational success. According to </w:t>
      </w:r>
      <w:r>
        <w:rPr>
          <w:rFonts w:ascii="Times New Roman" w:hAnsi="Times New Roman" w:eastAsia="Times New Roman" w:cs="Times New Roman"/>
          <w:color w:val="000000" w:themeColor="text1"/>
          <w:sz w:val="24"/>
          <w:szCs w:val="24"/>
          <w:highlight w:val="white"/>
          <w:lang w:val="en-GB"/>
        </w:rPr>
        <w:t xml:space="preserve">Panagopoulos </w:t>
      </w:r>
      <w:r>
        <w:rPr>
          <w:rFonts w:ascii="Times New Roman" w:hAnsi="Times New Roman" w:eastAsia="Times New Roman" w:cs="Times New Roman"/>
          <w:i/>
          <w:color w:val="000000" w:themeColor="text1"/>
          <w:sz w:val="24"/>
          <w:szCs w:val="24"/>
          <w:highlight w:val="white"/>
          <w:lang w:val="en-GB"/>
        </w:rPr>
        <w:t xml:space="preserve">et al. </w:t>
      </w:r>
      <w:r>
        <w:rPr>
          <w:rFonts w:ascii="Times New Roman" w:hAnsi="Times New Roman" w:eastAsia="Times New Roman" w:cs="Times New Roman"/>
          <w:color w:val="000000" w:themeColor="text1"/>
          <w:sz w:val="24"/>
          <w:szCs w:val="24"/>
          <w:lang w:val="en-GB"/>
        </w:rPr>
        <w:t xml:space="preserve">(2018), it is noted that lower rate of turnover and a better workplace is helpful for the overall success of an organisation. It has been observed that because of the proper recruitment and selection process of Tesco, there is lower level of employee turnover and this ultimately creates a better morale for the employees. A positive workplace is created when employees are motivated and a lesser termination of employees can be seen in the workplace. However, there is some times when HR is required to take strict action in case of some mishap that is done intentionally by an employee. </w:t>
      </w:r>
    </w:p>
    <w:p>
      <w:pPr>
        <w:pStyle w:val="2"/>
        <w:rPr>
          <w:color w:val="000000" w:themeColor="text1"/>
        </w:rPr>
      </w:pPr>
      <w:bookmarkStart w:id="6" w:name="_Toc38129177"/>
      <w:r>
        <w:rPr>
          <w:color w:val="000000" w:themeColor="text1"/>
        </w:rPr>
        <w:t>Assessing the individuals involved in personal development of employees in Tesco</w:t>
      </w:r>
      <w:bookmarkEnd w:id="6"/>
    </w:p>
    <w:p>
      <w:pPr>
        <w:pStyle w:val="4"/>
        <w:rPr>
          <w:color w:val="000000" w:themeColor="text1"/>
        </w:rPr>
      </w:pPr>
      <w:bookmarkStart w:id="7" w:name="_Toc38129178"/>
      <w:r>
        <w:rPr>
          <w:color w:val="000000" w:themeColor="text1"/>
        </w:rPr>
        <w:t>HR managers of Tesco</w:t>
      </w:r>
      <w:bookmarkEnd w:id="7"/>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The HR managers of any organisation play a crucial role in the personal development of the employees of the organisation. As influenced by the ideas of </w:t>
      </w:r>
      <w:r>
        <w:rPr>
          <w:rFonts w:ascii="Times New Roman" w:hAnsi="Times New Roman" w:eastAsia="Times New Roman" w:cs="Times New Roman"/>
          <w:color w:val="000000" w:themeColor="text1"/>
          <w:sz w:val="24"/>
          <w:szCs w:val="24"/>
          <w:highlight w:val="white"/>
          <w:lang w:val="en-GB"/>
        </w:rPr>
        <w:t xml:space="preserve">Lilova and Poell </w:t>
      </w:r>
      <w:r>
        <w:rPr>
          <w:rFonts w:ascii="Times New Roman" w:hAnsi="Times New Roman" w:eastAsia="Times New Roman" w:cs="Times New Roman"/>
          <w:color w:val="000000" w:themeColor="text1"/>
          <w:sz w:val="24"/>
          <w:szCs w:val="24"/>
          <w:lang w:val="en-GB"/>
        </w:rPr>
        <w:t xml:space="preserve">(2019), it can be stated that the HR department and its managers conduct and organise different training and development programs, and courses for the employees so that they can upgrade their skills, knowledge and their personality to a larger extent. The HR managers of Tesco keep a proper monitoring of its employees and organise different personal development programs that are essential for the employees to improve their working ability and some talents that they possess and can be helpful for the organisation. This helps the employees to get a better understanding of the different works that are assigned to them and also enhances the talent that they have and use them accordingly. It has been observed that Tesco tends to practise “talent planning”, that helps the organisation to identify different talents that the employees have and then use it in their workplace. Through this process employees get more motivated and encouraged and work with more satisfied minds. The managers often bring out annual appraisals schemes that encourage the employees to a larger extent and help in developing their skills, competencies and behaviour at the workplace. </w:t>
      </w:r>
    </w:p>
    <w:p>
      <w:pPr>
        <w:pStyle w:val="4"/>
        <w:rPr>
          <w:color w:val="000000" w:themeColor="text1"/>
        </w:rPr>
      </w:pPr>
      <w:bookmarkStart w:id="8" w:name="_Toc38129179"/>
      <w:r>
        <w:rPr>
          <w:color w:val="000000" w:themeColor="text1"/>
        </w:rPr>
        <w:t>Employees of Tesco</w:t>
      </w:r>
      <w:bookmarkEnd w:id="8"/>
      <w:r>
        <w:rPr>
          <w:color w:val="000000" w:themeColor="text1"/>
        </w:rPr>
        <w:t xml:space="preserve"> </w:t>
      </w:r>
    </w:p>
    <w:p>
      <w:pPr>
        <w:pStyle w:val="3"/>
        <w:spacing w:line="360" w:lineRule="auto"/>
        <w:jc w:val="both"/>
        <w:rPr>
          <w:rFonts w:ascii="Times New Roman" w:hAnsi="Times New Roman" w:eastAsia="Times New Roman" w:cs="Times New Roman"/>
          <w:color w:val="000000" w:themeColor="text1"/>
          <w:sz w:val="24"/>
          <w:szCs w:val="24"/>
          <w:lang w:val="en-GB"/>
        </w:rPr>
      </w:pPr>
      <w:r>
        <w:rPr>
          <w:rFonts w:ascii="Times New Roman" w:hAnsi="Times New Roman" w:eastAsia="Times New Roman" w:cs="Times New Roman"/>
          <w:color w:val="000000" w:themeColor="text1"/>
          <w:sz w:val="24"/>
          <w:szCs w:val="24"/>
          <w:lang w:val="en-GB"/>
        </w:rPr>
        <w:t xml:space="preserve">Different steps and measures are taken by the managers and leaders of an organisation for its employees so that they are motivated and inspired in a positive manner. As inspired by the ideas of </w:t>
      </w:r>
      <w:r>
        <w:rPr>
          <w:rFonts w:ascii="Times New Roman" w:hAnsi="Times New Roman" w:eastAsia="Times New Roman" w:cs="Times New Roman"/>
          <w:color w:val="000000" w:themeColor="text1"/>
          <w:sz w:val="24"/>
          <w:szCs w:val="24"/>
          <w:highlight w:val="white"/>
          <w:lang w:val="en-GB"/>
        </w:rPr>
        <w:t xml:space="preserve">Jha </w:t>
      </w:r>
      <w:r>
        <w:rPr>
          <w:rFonts w:ascii="Times New Roman" w:hAnsi="Times New Roman" w:eastAsia="Times New Roman" w:cs="Times New Roman"/>
          <w:color w:val="000000" w:themeColor="text1"/>
          <w:sz w:val="24"/>
          <w:szCs w:val="24"/>
          <w:lang w:val="en-GB"/>
        </w:rPr>
        <w:t xml:space="preserve">(2016), it can be stated that the needs of the employees are taken into consideration by different well-known organisations as it helps in increasing the overall productivity and efficiency of the organisation. The employees of Tesco are provided effective personal development programs that are essential for them to get a proper understanding of the different talents that they possess and using them appropriately in their assigned work. In the personal development programs, employees are properly informed about the target and standards of the organisation and also about the job performance. This helps them to get acquainted with the works that are assigned to them. Other than these employees, Tesco is also provided with relevant information that is essential for them while working with the employees who are sometimes culturally diverse. </w:t>
      </w:r>
    </w:p>
    <w:p>
      <w:pPr>
        <w:pStyle w:val="2"/>
        <w:rPr>
          <w:color w:val="000000" w:themeColor="text1"/>
          <w:highlight w:val="white"/>
        </w:rPr>
      </w:pPr>
      <w:bookmarkStart w:id="9" w:name="_Toc38107770"/>
      <w:bookmarkStart w:id="10" w:name="_Toc38129180"/>
      <w:r>
        <w:rPr>
          <w:color w:val="000000" w:themeColor="text1"/>
          <w:highlight w:val="white"/>
        </w:rPr>
        <w:t>Critically evaluate the development vehicle available in Tesco</w:t>
      </w:r>
      <w:bookmarkEnd w:id="9"/>
      <w:bookmarkEnd w:id="10"/>
      <w:r>
        <w:rPr>
          <w:color w:val="000000" w:themeColor="text1"/>
          <w:highlight w:val="white"/>
        </w:rPr>
        <w:t xml:space="preserve"> </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As Tesco Plc, is one of the top most retail corporate sectors in the United Kingdom, so, the company uses a variety of development vehicles for the purpose of organisational development. In the case of Tesco Plc, the retail sector uses mainly </w:t>
      </w:r>
      <w:r>
        <w:rPr>
          <w:rFonts w:ascii="Times New Roman" w:hAnsi="Times New Roman" w:eastAsia="Times New Roman" w:cs="Times New Roman"/>
          <w:b/>
          <w:i/>
          <w:color w:val="000000" w:themeColor="text1"/>
          <w:sz w:val="24"/>
          <w:szCs w:val="24"/>
          <w:highlight w:val="white"/>
          <w:lang w:val="en-GB"/>
        </w:rPr>
        <w:t xml:space="preserve">Individual Development Plan </w:t>
      </w:r>
      <w:r>
        <w:rPr>
          <w:rFonts w:ascii="Times New Roman" w:hAnsi="Times New Roman" w:eastAsia="Times New Roman" w:cs="Times New Roman"/>
          <w:color w:val="000000" w:themeColor="text1"/>
          <w:sz w:val="24"/>
          <w:szCs w:val="24"/>
          <w:highlight w:val="white"/>
          <w:lang w:val="en-GB"/>
        </w:rPr>
        <w:t>or</w:t>
      </w:r>
      <w:r>
        <w:rPr>
          <w:rFonts w:ascii="Times New Roman" w:hAnsi="Times New Roman" w:eastAsia="Times New Roman" w:cs="Times New Roman"/>
          <w:b/>
          <w:i/>
          <w:color w:val="000000" w:themeColor="text1"/>
          <w:sz w:val="24"/>
          <w:szCs w:val="24"/>
          <w:highlight w:val="white"/>
          <w:lang w:val="en-GB"/>
        </w:rPr>
        <w:t xml:space="preserve"> IDP </w:t>
      </w:r>
      <w:r>
        <w:rPr>
          <w:rFonts w:ascii="Times New Roman" w:hAnsi="Times New Roman" w:eastAsia="Times New Roman" w:cs="Times New Roman"/>
          <w:color w:val="000000" w:themeColor="text1"/>
          <w:sz w:val="24"/>
          <w:szCs w:val="24"/>
          <w:highlight w:val="white"/>
          <w:lang w:val="en-GB"/>
        </w:rPr>
        <w:t xml:space="preserve">as a development vehicle for communicating as well as coaching to their employees. Tesco Plc mainly gives focus to their employees. For further growth and development, the retail sector uses different aspects of Individual development plan. For individual development the organisation has mainly focused on various training and skills for both their employees and executives and at the same time they also use some motivational plan for employee motivation, as employees are an integral part of their development. For driving business improvements the organisation Tesco Plc, divide their </w:t>
      </w:r>
      <w:r>
        <w:rPr>
          <w:rFonts w:ascii="Times New Roman" w:hAnsi="Times New Roman" w:eastAsia="Times New Roman" w:cs="Times New Roman"/>
          <w:b/>
          <w:i/>
          <w:color w:val="000000" w:themeColor="text1"/>
          <w:sz w:val="24"/>
          <w:szCs w:val="24"/>
          <w:highlight w:val="white"/>
          <w:lang w:val="en-GB"/>
        </w:rPr>
        <w:t xml:space="preserve">development vehicle </w:t>
      </w:r>
      <w:r>
        <w:rPr>
          <w:rFonts w:ascii="Times New Roman" w:hAnsi="Times New Roman" w:eastAsia="Times New Roman" w:cs="Times New Roman"/>
          <w:color w:val="000000" w:themeColor="text1"/>
          <w:sz w:val="24"/>
          <w:szCs w:val="24"/>
          <w:highlight w:val="white"/>
          <w:lang w:val="en-GB"/>
        </w:rPr>
        <w:t>into several parts. For example, the retail sector uses</w:t>
      </w:r>
      <w:r>
        <w:rPr>
          <w:rFonts w:ascii="Times New Roman" w:hAnsi="Times New Roman" w:eastAsia="Times New Roman" w:cs="Times New Roman"/>
          <w:b/>
          <w:i/>
          <w:color w:val="000000" w:themeColor="text1"/>
          <w:sz w:val="24"/>
          <w:szCs w:val="24"/>
          <w:highlight w:val="white"/>
          <w:lang w:val="en-GB"/>
        </w:rPr>
        <w:t xml:space="preserve"> Line manager Training</w:t>
      </w:r>
      <w:r>
        <w:rPr>
          <w:rFonts w:ascii="Times New Roman" w:hAnsi="Times New Roman" w:eastAsia="Times New Roman" w:cs="Times New Roman"/>
          <w:color w:val="000000" w:themeColor="text1"/>
          <w:sz w:val="24"/>
          <w:szCs w:val="24"/>
          <w:highlight w:val="white"/>
          <w:lang w:val="en-GB"/>
        </w:rPr>
        <w:t xml:space="preserve">, applies </w:t>
      </w:r>
      <w:r>
        <w:rPr>
          <w:rFonts w:ascii="Times New Roman" w:hAnsi="Times New Roman" w:eastAsia="Times New Roman" w:cs="Times New Roman"/>
          <w:b/>
          <w:i/>
          <w:color w:val="000000" w:themeColor="text1"/>
          <w:sz w:val="24"/>
          <w:szCs w:val="24"/>
          <w:highlight w:val="white"/>
          <w:lang w:val="en-GB"/>
        </w:rPr>
        <w:t>Digital skills, apprenticeships,</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b/>
          <w:i/>
          <w:color w:val="000000" w:themeColor="text1"/>
          <w:sz w:val="24"/>
          <w:szCs w:val="24"/>
          <w:highlight w:val="white"/>
          <w:lang w:val="en-GB"/>
        </w:rPr>
        <w:t>face to face workshops</w:t>
      </w:r>
      <w:r>
        <w:rPr>
          <w:rFonts w:ascii="Times New Roman" w:hAnsi="Times New Roman" w:eastAsia="Times New Roman" w:cs="Times New Roman"/>
          <w:color w:val="000000" w:themeColor="text1"/>
          <w:sz w:val="24"/>
          <w:szCs w:val="24"/>
          <w:highlight w:val="white"/>
          <w:lang w:val="en-GB"/>
        </w:rPr>
        <w:t xml:space="preserve">, many other </w:t>
      </w:r>
      <w:r>
        <w:rPr>
          <w:rFonts w:ascii="Times New Roman" w:hAnsi="Times New Roman" w:eastAsia="Times New Roman" w:cs="Times New Roman"/>
          <w:b/>
          <w:i/>
          <w:color w:val="000000" w:themeColor="text1"/>
          <w:sz w:val="24"/>
          <w:szCs w:val="24"/>
          <w:highlight w:val="white"/>
          <w:lang w:val="en-GB"/>
        </w:rPr>
        <w:t xml:space="preserve">e-learning accesses </w:t>
      </w:r>
      <w:r>
        <w:rPr>
          <w:rFonts w:ascii="Times New Roman" w:hAnsi="Times New Roman" w:eastAsia="Times New Roman" w:cs="Times New Roman"/>
          <w:color w:val="000000" w:themeColor="text1"/>
          <w:sz w:val="24"/>
          <w:szCs w:val="24"/>
          <w:highlight w:val="white"/>
          <w:lang w:val="en-GB"/>
        </w:rPr>
        <w:t xml:space="preserve">and so on. They also consider employee motivation as a part of the individual development plan. </w:t>
      </w:r>
    </w:p>
    <w:p>
      <w:pPr>
        <w:pStyle w:val="4"/>
        <w:rPr>
          <w:color w:val="000000" w:themeColor="text1"/>
          <w:highlight w:val="white"/>
        </w:rPr>
      </w:pPr>
      <w:bookmarkStart w:id="11" w:name="_Toc38107771"/>
      <w:bookmarkStart w:id="12" w:name="_Toc38129181"/>
      <w:r>
        <w:rPr>
          <w:color w:val="000000" w:themeColor="text1"/>
          <w:highlight w:val="white"/>
        </w:rPr>
        <w:t>Critical evaluation of development vehicles</w:t>
      </w:r>
      <w:bookmarkEnd w:id="11"/>
      <w:bookmarkEnd w:id="12"/>
      <w:r>
        <w:rPr>
          <w:color w:val="000000" w:themeColor="text1"/>
          <w:highlight w:val="white"/>
        </w:rPr>
        <w:t xml:space="preserve"> </w:t>
      </w:r>
    </w:p>
    <w:p>
      <w:pPr>
        <w:pStyle w:val="5"/>
        <w:rPr>
          <w:color w:val="000000" w:themeColor="text1"/>
          <w:highlight w:val="white"/>
        </w:rPr>
      </w:pPr>
      <w:bookmarkStart w:id="13" w:name="_Toc38129182"/>
      <w:bookmarkStart w:id="14" w:name="_Toc38107772"/>
      <w:r>
        <w:rPr>
          <w:color w:val="000000" w:themeColor="text1"/>
          <w:highlight w:val="white"/>
        </w:rPr>
        <w:t>Strength</w:t>
      </w:r>
      <w:bookmarkEnd w:id="13"/>
      <w:bookmarkEnd w:id="14"/>
      <w:r>
        <w:rPr>
          <w:color w:val="000000" w:themeColor="text1"/>
          <w:highlight w:val="white"/>
        </w:rPr>
        <w:t xml:space="preserve"> </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It can be further visualised that, the retail sector Tesco knows line managers plays a vital role in supporting their colleagues also these line managers of Tesco Plc, are considered to be the heart of their colleague experience. So, the company creates a complete refreshing training program or trainingship for the development of each group of line managers. By this training program not only almost 1917156 managers (as per the record of 2018-2019)further able to receive effective leadership training but at the same time, this line manager training program has also covered a broad spectrum of effective skills, which is absolutely necessary to manage the workflow of an organisation like Tesco Plc. As influenced by the ideas of Ahmad </w:t>
      </w:r>
      <w:r>
        <w:rPr>
          <w:rFonts w:ascii="Times New Roman" w:hAnsi="Times New Roman" w:eastAsia="Times New Roman" w:cs="Times New Roman"/>
          <w:i/>
          <w:color w:val="000000" w:themeColor="text1"/>
          <w:sz w:val="24"/>
          <w:szCs w:val="24"/>
          <w:highlight w:val="white"/>
          <w:lang w:val="en-GB"/>
        </w:rPr>
        <w:t>et al.</w:t>
      </w:r>
      <w:r>
        <w:rPr>
          <w:rFonts w:ascii="Times New Roman" w:hAnsi="Times New Roman" w:eastAsia="Times New Roman" w:cs="Times New Roman"/>
          <w:color w:val="000000" w:themeColor="text1"/>
          <w:sz w:val="24"/>
          <w:szCs w:val="24"/>
          <w:highlight w:val="white"/>
          <w:lang w:val="en-GB"/>
        </w:rPr>
        <w:t xml:space="preserve"> (2019), training is absolutely necessary to enhance the strength of the workers. For example, this training basically includes several effective parts such as stress management of the workers, coaching regarding effective workplace communication, and effective developmental training in order to acclimatise with the changing scenario and so on.</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Along with the line manager training program, the organisation Tesco also focuses on </w:t>
      </w:r>
      <w:r>
        <w:rPr>
          <w:rFonts w:ascii="Times New Roman" w:hAnsi="Times New Roman" w:eastAsia="Times New Roman" w:cs="Times New Roman"/>
          <w:b/>
          <w:i/>
          <w:color w:val="000000" w:themeColor="text1"/>
          <w:sz w:val="24"/>
          <w:szCs w:val="24"/>
          <w:highlight w:val="white"/>
          <w:lang w:val="en-GB"/>
        </w:rPr>
        <w:t xml:space="preserve">digital skills. </w:t>
      </w:r>
      <w:r>
        <w:rPr>
          <w:rFonts w:ascii="Times New Roman" w:hAnsi="Times New Roman" w:eastAsia="Times New Roman" w:cs="Times New Roman"/>
          <w:color w:val="000000" w:themeColor="text1"/>
          <w:sz w:val="24"/>
          <w:szCs w:val="24"/>
          <w:highlight w:val="white"/>
          <w:lang w:val="en-GB"/>
        </w:rPr>
        <w:t>Based on the views of Itani</w:t>
      </w:r>
      <w:r>
        <w:rPr>
          <w:rFonts w:ascii="Times New Roman" w:hAnsi="Times New Roman" w:eastAsia="Times New Roman" w:cs="Times New Roman"/>
          <w:i/>
          <w:color w:val="000000" w:themeColor="text1"/>
          <w:sz w:val="24"/>
          <w:szCs w:val="24"/>
          <w:highlight w:val="white"/>
          <w:lang w:val="en-GB"/>
        </w:rPr>
        <w:t xml:space="preserve"> et al.</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b/>
          <w:color w:val="000000" w:themeColor="text1"/>
          <w:sz w:val="24"/>
          <w:szCs w:val="24"/>
          <w:highlight w:val="white"/>
          <w:lang w:val="en-GB"/>
        </w:rPr>
        <w:t>(</w:t>
      </w:r>
      <w:r>
        <w:rPr>
          <w:rFonts w:ascii="Times New Roman" w:hAnsi="Times New Roman" w:eastAsia="Times New Roman" w:cs="Times New Roman"/>
          <w:color w:val="000000" w:themeColor="text1"/>
          <w:sz w:val="24"/>
          <w:szCs w:val="24"/>
          <w:highlight w:val="white"/>
          <w:lang w:val="en-GB"/>
        </w:rPr>
        <w:t>2019</w:t>
      </w:r>
      <w:r>
        <w:rPr>
          <w:rFonts w:ascii="Times New Roman" w:hAnsi="Times New Roman" w:eastAsia="Times New Roman" w:cs="Times New Roman"/>
          <w:b/>
          <w:color w:val="000000" w:themeColor="text1"/>
          <w:sz w:val="24"/>
          <w:szCs w:val="24"/>
          <w:highlight w:val="white"/>
          <w:lang w:val="en-GB"/>
        </w:rPr>
        <w:t xml:space="preserve">), </w:t>
      </w:r>
      <w:r>
        <w:rPr>
          <w:rFonts w:ascii="Times New Roman" w:hAnsi="Times New Roman" w:eastAsia="Times New Roman" w:cs="Times New Roman"/>
          <w:color w:val="000000" w:themeColor="text1"/>
          <w:sz w:val="24"/>
          <w:szCs w:val="24"/>
          <w:highlight w:val="white"/>
          <w:lang w:val="en-GB"/>
        </w:rPr>
        <w:t xml:space="preserve">nowadays Digital skills are considered to be as important as training programs. In case of Tesco Plc, the organisation manages to arrange a dedicated programme for ensuring that all their colleagues have digital skills in their working sectors. It can be further reviewed that the company has recruited more than 150 digital experts, who help Tesco's colleagues to understand this digital skill. With the help of digital skills, Tesco Plc is able to manage the working hours digitally and might be able to keep the personal records of their employees safe as well as secure through online mode. </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Additionally, with digital skills and line manager training ship program, the retail sector also includes several Apprenticeship programs. As per the views of Sadok and Welch (2019), by high quality apprenticeship program, technological skills can be further enhanced within an organisation. As mentioned by Uddin and Arif (2016), at present scenario energy as well as utility skills work with the employers for developing more standards in the apprenticeship across the various retail and other corporate sectors. To successfully handle the working pattern, the organisation includes this apprenticeship program. It can be further reviewed that, by the apprenticeship program, employees of Tesco might be able to gain new and improved knowledge skills, which helps the employees of Tesco to serve customers better. Also, by this training program apprentices of Tesco, might get the opportunities to implement their knowledge and at the same time might be able to work collaboratively within their working sector. It can be further analysed that by the apprenticeship program of Tesco, behaviour of apprentices also might be enhanced and they are effectively able to understand the working situation. </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Additionally, Tesco Plc, also introduces several other specialised digital skills like Software developing apprenticeship programs to make employees expert in this section and to effectively deal with customers. However it can be further visualised that for strengthening their individual development plan or IDP and also for further achievement in workplace, the organisation is mainly focusing upon several face to face workshops as well as depending upon other better e-learning methods for their colleagues and as a resultant factor not only workflow of the employees are increased but new relationships might be made simultaneously.</w:t>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It can be further reviewed that along with all these training and skill development programs, Tesco Plc also includes</w:t>
      </w:r>
      <w:r>
        <w:rPr>
          <w:rFonts w:ascii="Times New Roman" w:hAnsi="Times New Roman" w:eastAsia="Times New Roman" w:cs="Times New Roman"/>
          <w:b/>
          <w:i/>
          <w:color w:val="000000" w:themeColor="text1"/>
          <w:sz w:val="24"/>
          <w:szCs w:val="24"/>
          <w:highlight w:val="white"/>
          <w:lang w:val="en-GB"/>
        </w:rPr>
        <w:t xml:space="preserve"> motivational strategy </w:t>
      </w:r>
      <w:r>
        <w:rPr>
          <w:rFonts w:ascii="Times New Roman" w:hAnsi="Times New Roman" w:eastAsia="Times New Roman" w:cs="Times New Roman"/>
          <w:color w:val="000000" w:themeColor="text1"/>
          <w:sz w:val="24"/>
          <w:szCs w:val="24"/>
          <w:highlight w:val="white"/>
          <w:lang w:val="en-GB"/>
        </w:rPr>
        <w:t xml:space="preserve">in their </w:t>
      </w:r>
      <w:r>
        <w:rPr>
          <w:rFonts w:ascii="Times New Roman" w:hAnsi="Times New Roman" w:eastAsia="Times New Roman" w:cs="Times New Roman"/>
          <w:b/>
          <w:i/>
          <w:color w:val="000000" w:themeColor="text1"/>
          <w:sz w:val="24"/>
          <w:szCs w:val="24"/>
          <w:highlight w:val="white"/>
          <w:lang w:val="en-GB"/>
        </w:rPr>
        <w:t xml:space="preserve">IDP. </w:t>
      </w:r>
      <w:r>
        <w:rPr>
          <w:rFonts w:ascii="Times New Roman" w:hAnsi="Times New Roman" w:eastAsia="Times New Roman" w:cs="Times New Roman"/>
          <w:color w:val="000000" w:themeColor="text1"/>
          <w:sz w:val="24"/>
          <w:szCs w:val="24"/>
          <w:highlight w:val="white"/>
          <w:lang w:val="en-GB"/>
        </w:rPr>
        <w:t xml:space="preserve"> As influenced by the ideas of Case (2017), employee motivation is an essential part of workforce planning of an organisation. By employee motivation, Tesco effectively enhances their development in business.</w:t>
      </w:r>
      <w:r>
        <w:rPr>
          <w:rFonts w:ascii="Times New Roman" w:hAnsi="Times New Roman" w:eastAsia="Times New Roman" w:cs="Times New Roman"/>
          <w:b/>
          <w:i/>
          <w:color w:val="000000" w:themeColor="text1"/>
          <w:sz w:val="24"/>
          <w:szCs w:val="24"/>
          <w:highlight w:val="white"/>
          <w:lang w:val="en-GB"/>
        </w:rPr>
        <w:t xml:space="preserve">  </w:t>
      </w:r>
      <w:r>
        <w:rPr>
          <w:rFonts w:ascii="Times New Roman" w:hAnsi="Times New Roman" w:eastAsia="Times New Roman" w:cs="Times New Roman"/>
          <w:color w:val="000000" w:themeColor="text1"/>
          <w:sz w:val="24"/>
          <w:szCs w:val="24"/>
          <w:highlight w:val="white"/>
          <w:lang w:val="en-GB"/>
        </w:rPr>
        <w:t xml:space="preserve">  </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Application of management concepts and theories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Identification of training requirements of an organization's employees is an integral aspect of continuously developing organisational efficiency. Abdel-Maksoud and Saknidy (2016) noted that the most popular training needs assessments methods involve observation, surveys and consultation with managers. In the context of Tesco Plc. it has been noted that the organisation utilises observation along with managerial consultancy as its key methods of determining employee training needs. This enables the company to efficiently identify and develop training programs for personal along with professional development of skills for its employees.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Through the use of observation methods, supervisors at Tesco are able to determine training requirements of soft skills such as customer interaction, listening and communication along with teamwork. On the other hand, this also enables supervisors to determine technical and knowledge-based training needs such as use of new software and operational methods for counting daily activities. Consultation with managers of subordinates at Tesco provides higher management with specific training and developmental requirements of their subordinates and enables the HRM department to develop necessary plans for managing the same. </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Identification of performance appraisal methods used by an organisation provides an insight into individual requirements and the manner in which employers are able to motivate their employees to perform better. According to Lilova and Poell (2019), key performance appraisal methods include management by objectives and 360-degree feedback. For the purpose of appraising and evaluating the performance of employees at Tesco, management by objectives along with 360-degree feedback would be highly beneficial. Application of 360-degree feedback would enable the HRM department to determine an employee’s interaction with superiors, subordinates and customers prior for an improved outlook on their performance. Incorporation of management by objectives would further enable the managers at Tesco to set attainable and realistic targets with their subordinates and help them to achieve the same in a systematic manner. Identification of the same enables the HRM department to efficiently select instructional methods and implement the training plan while monitoring the same for optimal development of employees.</w:t>
      </w:r>
    </w:p>
    <w:p>
      <w:pPr>
        <w:pStyle w:val="2"/>
      </w:pPr>
      <w:bookmarkStart w:id="15" w:name="_Toc38129183"/>
      <w:r>
        <w:t>Identification of the appropriate use of development vehicles for meeting individual developmental needs</w:t>
      </w:r>
      <w:bookmarkEnd w:id="15"/>
      <w: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key developmental vehicles that are used by Tesco include IDP, development of digital skills, line manager training along with apprenticeships. The integrated usage of these vehicles for identifying and managing individuals plays a significant role in efficiently using the company's resources. As per the views of Jha (2016), it is essential for companies to continuously develop their workforce by updating them with the latest developments in their operational fields. This includes the provision of training for employees working in sales, customer service, manufacturing as well as marketing departments among many others.</w:t>
      </w:r>
    </w:p>
    <w:p>
      <w:pPr>
        <w:pStyle w:val="4"/>
      </w:pPr>
      <w:bookmarkStart w:id="16" w:name="_Toc38129184"/>
      <w:r>
        <w:t>Effectiveness of IDP</w:t>
      </w:r>
      <w:bookmarkEnd w:id="16"/>
      <w: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utilization of IDP as a development vehicle is highly advantageous for meeting the individual developmental needs of employees. This is considered to be one of the most suitable developmental plans that organisation such as Tesco focus on utilizing for ensuring that their employees have a sustainable career within the organisation. However, Panagopoulos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 observed that IDP is resource-intensive and requires collaborative efforts from the trainer as well as the trainee. Tesco would have to ensure that the employees feel the need for utilizing the organisation’s development plans for their personal development. Lack of involvement of employees while developing training plans is a major drawback which would have an adverse effect on the productivity of the plan. In this context, the HRM department at Tesco would benefit from interacting with employees and ensuring that they are aware of the IDP being planned for them. Moreover, by collecting their feedback and utilizing the same for developing these plans would be an effective manner of increasing employee satisfaction and engagement.</w:t>
      </w:r>
    </w:p>
    <w:p>
      <w:pPr>
        <w:pStyle w:val="4"/>
      </w:pPr>
      <w:bookmarkStart w:id="17" w:name="_Toc38129185"/>
      <w:r>
        <w:t>Identification of motivational factors</w:t>
      </w:r>
      <w:bookmarkEnd w:id="17"/>
    </w:p>
    <w:p>
      <w:pPr>
        <w:pStyle w:val="3"/>
        <w:spacing w:line="360" w:lineRule="auto"/>
        <w:jc w:val="center"/>
        <w:rPr>
          <w:lang w:val="en-GB"/>
        </w:rPr>
      </w:pPr>
      <w:r>
        <w:drawing>
          <wp:inline distT="0" distB="0" distL="0" distR="0">
            <wp:extent cx="5486400" cy="3200400"/>
            <wp:effectExtent l="0" t="1905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pPr>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2: Motivational Factors</w:t>
      </w:r>
    </w:p>
    <w:p>
      <w:pPr>
        <w:spacing w:line="360" w:lineRule="auto"/>
        <w:jc w:val="center"/>
        <w:rPr>
          <w:lang w:val="en-GB"/>
        </w:rPr>
      </w:pPr>
      <w:r>
        <w:rPr>
          <w:rFonts w:ascii="Times New Roman" w:hAnsi="Times New Roman" w:eastAsia="Times New Roman" w:cs="Times New Roman"/>
          <w:sz w:val="24"/>
          <w:szCs w:val="24"/>
          <w:lang w:val="en-GB"/>
        </w:rPr>
        <w:t xml:space="preserve">(Source: Influenced by Ristic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2017)</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Identification of key motivational factors that have an impact on employees is another major activity which is essential for promoting individual development. Ristic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(2017) noted that inclusion in decision making; positive work environment, recognition and financial rewards are among the many factors which directly result in increasing employee motivation. Financial rewards such as incentives, salary increments and bonuses directly increase employee satisfaction. On the other hand, lack of a positive work environment, career development and growth opportunities, as well as recognition, can lead to increased dissatisfaction among the workforce. This would consequently demotivate them and increase employee turnover. In order to efficiently manage the level of motivation of employees, Tesco has been observed to utilize a safe and responsible environment for its employees who promote personal and organizational gains at the same time. </w:t>
      </w:r>
    </w:p>
    <w:p>
      <w:pPr>
        <w:pStyle w:val="4"/>
      </w:pPr>
      <w:bookmarkStart w:id="18" w:name="_Toc38129186"/>
      <w:r>
        <w:t>Application of motivation theories at Tesco</w:t>
      </w:r>
      <w:bookmarkEnd w:id="18"/>
      <w: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Application of popular theories of motivation such as “Maslow's Hierarchy of Needs” along with “Herzberg’s Two-Factor Theory” has enabled Tesco to identify and overcome challenges of employee motivation. Through the use of “Maslow's Hierarchy of Needs” the HRM department at Tesco have been able to provide for their employees physiological, safety and belongingness requirements. The organization has attained the same by providing job security, fixed remuneration with incentives as well as a positive work culture promoting an increased sense of belonging within the company. Apart from these the company also aspires to meet its employee’s higher levels of needs such as those of “self-esteem” and “self-fulfilment”. These are obtained through an emphasis on the company's value of promoting self-respect as well as equal respect for others along with the incorporation of 360-degree feedback for its performance appraisals. The company further incorporates IDPs as a means of providing equal opportunities for its employees to advance into managerial positions through appropriate training and skill development. It has thereby been ascertained that the organisation has been highly successful in using its development vehicles such as IDPs as well as the application of motivational theories for proactively increasing employee growth and enhancement within the company. This has led to an enriched experience for employees and enabled them to enhance their personal skills such as those of teamwork, empathy and communication. It has further led to an improvement in their professional skills associated with their functional departments and new technological advancements thereby providing opportunities for promotions to higher managerial levels based on individual capabilities. </w:t>
      </w:r>
    </w:p>
    <w:p>
      <w:pPr>
        <w:spacing w:line="360" w:lineRule="auto"/>
        <w:jc w:val="both"/>
        <w:rPr>
          <w:rFonts w:ascii="Times New Roman" w:hAnsi="Times New Roman" w:eastAsia="Times New Roman" w:cs="Times New Roman"/>
          <w:b/>
          <w:sz w:val="24"/>
          <w:szCs w:val="24"/>
        </w:rPr>
      </w:pPr>
    </w:p>
    <w:p>
      <w:pPr>
        <w:pStyle w:val="2"/>
      </w:pPr>
      <w:bookmarkStart w:id="19" w:name="_Toc38129187"/>
      <w:r>
        <w:t>Development of a plan to meet the identified development needs and expectations of an individual</w:t>
      </w:r>
      <w:bookmarkEnd w:id="19"/>
      <w:r>
        <w:t xml:space="preserve">   </w:t>
      </w:r>
    </w:p>
    <w:p>
      <w:pPr>
        <w:spacing w:line="360" w:lineRule="auto"/>
        <w:jc w:val="center"/>
        <w:rPr>
          <w:rFonts w:ascii="Times New Roman" w:hAnsi="Times New Roman" w:eastAsia="Times New Roman" w:cs="Times New Roman"/>
          <w:b/>
          <w:sz w:val="24"/>
          <w:szCs w:val="24"/>
        </w:rPr>
      </w:pPr>
    </w:p>
    <w:tbl>
      <w:tblPr>
        <w:tblStyle w:val="22"/>
        <w:tblW w:w="902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440"/>
        <w:gridCol w:w="1109"/>
        <w:gridCol w:w="1296"/>
        <w:gridCol w:w="1296"/>
        <w:gridCol w:w="1296"/>
        <w:gridCol w:w="1296"/>
        <w:gridCol w:w="129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144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Developmental Needs</w:t>
            </w:r>
          </w:p>
        </w:tc>
        <w:tc>
          <w:tcPr>
            <w:tcW w:w="111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Goals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Expected Outcomes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Actions Required </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Costs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Resources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Estimated Time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144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Better level of communication and interpersonal skills for growth and development.</w:t>
            </w:r>
          </w:p>
        </w:tc>
        <w:tc>
          <w:tcPr>
            <w:tcW w:w="111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Establishing greater amount of communication for strategic management and growth</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Proper flow of ideas and interpersonal communication between line managers and workers of the Tesco organization.</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Training of the line managers through effective coaching and mentoring by assessing their individual training needs and requirements.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£13,000</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resources would involve the financial costs needed for the growth and development of the business goals of proper interpersonal communication between the employees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 months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144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Enhanced level of technical and digital skills for better growth prospects.</w:t>
            </w:r>
          </w:p>
        </w:tc>
        <w:tc>
          <w:tcPr>
            <w:tcW w:w="111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Securing higher level of technical knowledge to solve the technical issues and acquire better digital expertise</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Greater serviceability and up gradation of technical skills among the employees of the organization.</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Developing e-learning training courses so that technical skills could be established through an online platform.</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£10,000</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Technical resources like desktops, laptops, speakers, video recorders and audio-visual recorders are needed for development of technical knowledge and skills in the Tesco management.</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6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144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Greater level of service skills through expanded base of knowledge skills.</w:t>
            </w:r>
          </w:p>
        </w:tc>
        <w:tc>
          <w:tcPr>
            <w:tcW w:w="111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Acquiring customer satisfaction and gaining brand image of the company for establishing desired results.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Maintenance of better relationships with the customers for the growth and productivity of Tesco.</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Provision of workshop facilities for the managers for being able to derive greater levels of customer satisfaction and build effective strategies for market segmentation.</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£5000</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Information regarding the market trends and the needs and demands of the customers are required for gaining better serviceability and customer satisfaction for the managers.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144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Higher ethical skills through acquiring knowledge on ethical principles and guidelines. </w:t>
            </w:r>
          </w:p>
        </w:tc>
        <w:tc>
          <w:tcPr>
            <w:tcW w:w="1110"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Gaining knowledge and guidelines about the ethical principles for securing sustained competitive advantage in the organization.</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Development of ethical duties and responsibilities towards incorporating ethical values within the organization. </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Conducting meetings and seminars to secure higher levels of knowledge for the workers on ethical guidelines and practices.</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£8000</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Personnel’s and stationary equipment are required for gaining knowledge about the ethical skills for the workers of Tesco.</w:t>
            </w:r>
          </w:p>
        </w:tc>
        <w:tc>
          <w:tcPr>
            <w:tcW w:w="1295" w:type="dxa"/>
            <w:shd w:val="clear" w:color="auto" w:fill="auto"/>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 months </w:t>
            </w:r>
          </w:p>
        </w:tc>
      </w:tr>
    </w:tbl>
    <w:p>
      <w:pPr>
        <w:spacing w:line="360" w:lineRule="auto"/>
        <w:jc w:val="both"/>
        <w:rPr>
          <w:rFonts w:ascii="Times New Roman" w:hAnsi="Times New Roman" w:eastAsia="Times New Roman" w:cs="Times New Roman"/>
          <w:b/>
          <w:sz w:val="24"/>
          <w:szCs w:val="24"/>
        </w:rPr>
      </w:pPr>
    </w:p>
    <w:p>
      <w:pPr>
        <w:pStyle w:val="2"/>
      </w:pPr>
      <w:bookmarkStart w:id="20" w:name="_Toc38129188"/>
      <w:r>
        <w:t>Analysis</w:t>
      </w:r>
      <w:bookmarkEnd w:id="20"/>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 individual development plan has been made for development of the skills and knowledge needs of the employees of Tesco. The total time frame needed to complete the entire task would be 1 year and the budget required would be at a total of £26,000. The areas in which skill development would be needed are development of interpersonal skills and communication skills, better level of technical skills, greater service skills and higher ethical skills among the employees. In order to develop an effective workforce proper sharpening and development of individual skills are required for the line managers. Tesco being one of the largest retailers in the UK supermarket has been able to establish an integral position in the customer market.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Communication Skills: </w:t>
      </w:r>
      <w:r>
        <w:rPr>
          <w:rFonts w:ascii="Times New Roman" w:hAnsi="Times New Roman" w:eastAsia="Times New Roman" w:cs="Times New Roman"/>
          <w:sz w:val="24"/>
          <w:szCs w:val="24"/>
        </w:rPr>
        <w:t>Better level of communication skills is needed to establish a greater amount of communication and strategic development of the organization towards meeting organizational goals. The expected result would be the generation of proper interpersonal communication between the line managers and workers of the Tesco organization (</w:t>
      </w:r>
      <w:r>
        <w:rPr>
          <w:rFonts w:ascii="Times New Roman" w:hAnsi="Times New Roman" w:eastAsia="Times New Roman" w:cs="Times New Roman"/>
          <w:sz w:val="24"/>
          <w:szCs w:val="24"/>
          <w:highlight w:val="white"/>
        </w:rPr>
        <w:t>Mekraz and Gundala, 2016</w:t>
      </w:r>
      <w:r>
        <w:rPr>
          <w:rFonts w:ascii="Times New Roman" w:hAnsi="Times New Roman" w:eastAsia="Times New Roman" w:cs="Times New Roman"/>
          <w:sz w:val="24"/>
          <w:szCs w:val="24"/>
        </w:rPr>
        <w:t xml:space="preserve">). The total budget required would be £10,000 and the resources required would be financial resources for incurring expenses on meetings and seminars. The time taken for developing this skill would be 5 months.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Technical Skills: </w:t>
      </w:r>
      <w:r>
        <w:rPr>
          <w:rFonts w:ascii="Times New Roman" w:hAnsi="Times New Roman" w:eastAsia="Times New Roman" w:cs="Times New Roman"/>
          <w:sz w:val="24"/>
          <w:szCs w:val="24"/>
        </w:rPr>
        <w:t xml:space="preserve">Technical and digital skills is another developmental area that needs immediate development. The employees are the HR managers should be well-acquainted with the digital skills for carrying out the tasks in a speedy manner and requiring a lesser amount of cost in the process. Technical resources like desktops, laptops, speakers, audio-visual aids and recorders are needed to handle the equipment with much ease. Developing knowledge through e-learning facilities has to be acquired by the employees of Tesco. The total time required for completing this activity would be 6 months.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Service Skills:</w:t>
      </w:r>
      <w:r>
        <w:rPr>
          <w:rFonts w:ascii="Times New Roman" w:hAnsi="Times New Roman" w:eastAsia="Times New Roman" w:cs="Times New Roman"/>
          <w:sz w:val="24"/>
          <w:szCs w:val="24"/>
        </w:rPr>
        <w:t xml:space="preserve"> Greater level of service skills is required for deriving a higher amount of customer satisfaction among the workers of Tesco. The staff of Tesco needs to build upon the service skills for delivering effective services to the customers. This would help in acquiring a larger customer base and higher level of profitability for the retail organization. The total cost required for completing this activity is £5000 and the time needed would be 7 months. The resources required are the information for the market trends and the needs as well as the demands of the customers in the individual market.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Ethical Skills: </w:t>
      </w:r>
      <w:r>
        <w:rPr>
          <w:rFonts w:ascii="Times New Roman" w:hAnsi="Times New Roman" w:eastAsia="Times New Roman" w:cs="Times New Roman"/>
          <w:sz w:val="24"/>
          <w:szCs w:val="24"/>
        </w:rPr>
        <w:t>Another area which needs further development is in terms of greater knowledge in ethical skills through acquiring expanded knowledge on the ethical principles and guidelines. This would help in maintaining effective communication within the organizational framework and enable better sustainability within the organizational members and leaders of Tesco. The management has to ensure flexibility and transparency within the managerial framework. This can be established by conducting meetings and seminars to gain higher knowledge on securing development of values within the organizational boundaries. The total budget would be £8000 and the overall estimated time for completing this activity would be a total of 6 months. Maintenance of an effective and a productive workforce is needed through conducting workshops and group discussion for enabling proper flow of information within the Tesco organization (</w:t>
      </w:r>
      <w:r>
        <w:rPr>
          <w:rFonts w:ascii="Times New Roman" w:hAnsi="Times New Roman" w:eastAsia="Times New Roman" w:cs="Times New Roman"/>
          <w:sz w:val="24"/>
          <w:szCs w:val="24"/>
          <w:highlight w:val="white"/>
        </w:rPr>
        <w:t>Noe and Kodwani, 2018</w:t>
      </w:r>
      <w:r>
        <w:rPr>
          <w:rFonts w:ascii="Times New Roman" w:hAnsi="Times New Roman" w:eastAsia="Times New Roman" w:cs="Times New Roman"/>
          <w:sz w:val="24"/>
          <w:szCs w:val="24"/>
        </w:rPr>
        <w:t xml:space="preserve">).  Therefore, higher levels of efficiency would be delivered in this manner. </w:t>
      </w:r>
    </w:p>
    <w:p>
      <w:pPr>
        <w:pStyle w:val="2"/>
      </w:pPr>
      <w:bookmarkStart w:id="21" w:name="_Toc38129189"/>
    </w:p>
    <w:p>
      <w:pPr>
        <w:pStyle w:val="2"/>
      </w:pPr>
      <w:r>
        <w:t>Conclusion</w:t>
      </w:r>
      <w:bookmarkEnd w:id="21"/>
      <w: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Tesco Plc has been one of the biggest private sector employers in the UK. Acquiring a huge customer base and a large number of employees, it has been able to develop as one of the market leaders in the UK supermarket sector. Workforce planning is an essential criterion for enabling an organization towards satisfaction of their staff needs. Tesco requires utilization of right skills and behaviors for the supporting the growth and development of individuals. Employee motivation is a significant factor that enables the workers to enhance their production and managerial levels. This study has mainly aimed to stress upon the management theories that would be applied for employees of Tesco. Maslow’s motivation theory can be used to understand each stage of motivation for the employees. Developing an effective plan by assessing the needs and requirements of the staff members would help in directing the organization towards growth and success. Moreover, the identification of the use of appropriate development plans has been used for ensuring meeting of individual needs. The retail sector had made use of effective techniques like training of line managers, application of digital skills, face to face workshops as well as e-learning accesses for the growth in developing the vehicle into several parts. Therefore it can be concluded from the study that assessing the needs of the employees and provision of proper training are essential credentials for meeting Tesco’s organizational goals and objectives. Free flow of communication aims to establish a framework through which employee development can take place. </w:t>
      </w:r>
    </w:p>
    <w:p>
      <w:pPr>
        <w:spacing w:line="360" w:lineRule="auto"/>
        <w:jc w:val="both"/>
        <w:rPr>
          <w:rFonts w:ascii="Times New Roman" w:hAnsi="Times New Roman" w:eastAsia="Times New Roman" w:cs="Times New Roman"/>
          <w:sz w:val="24"/>
          <w:szCs w:val="24"/>
          <w:lang w:val="en-GB"/>
        </w:rPr>
      </w:pPr>
      <w:r>
        <w:br w:type="page"/>
      </w:r>
    </w:p>
    <w:p>
      <w:pPr>
        <w:pStyle w:val="3"/>
        <w:spacing w:line="360" w:lineRule="auto"/>
        <w:jc w:val="both"/>
        <w:rPr>
          <w:rFonts w:ascii="Times New Roman" w:hAnsi="Times New Roman" w:eastAsia="Times New Roman" w:cs="Times New Roman"/>
          <w:color w:val="000000" w:themeColor="text1"/>
          <w:sz w:val="24"/>
          <w:szCs w:val="24"/>
          <w:highlight w:val="white"/>
          <w:lang w:val="en-GB"/>
        </w:rPr>
      </w:pPr>
    </w:p>
    <w:p>
      <w:pPr>
        <w:pStyle w:val="2"/>
      </w:pPr>
      <w:bookmarkStart w:id="22" w:name="_Toc38129190"/>
      <w:r>
        <w:t>Reference List</w:t>
      </w:r>
      <w:bookmarkEnd w:id="22"/>
      <w:r>
        <w:t xml:space="preserve"> </w:t>
      </w:r>
    </w:p>
    <w:p>
      <w:pPr>
        <w:pStyle w:val="3"/>
        <w:rPr>
          <w:highlight w:val="white"/>
          <w:lang w:val="en-GB"/>
        </w:rPr>
      </w:pPr>
    </w:p>
    <w:p>
      <w:pPr>
        <w:spacing w:after="240" w:line="360" w:lineRule="auto"/>
        <w:jc w:val="both"/>
        <w:rPr>
          <w:rFonts w:ascii="Times New Roman" w:hAnsi="Times New Roman" w:eastAsia="Times New Roman" w:cs="Times New Roman"/>
          <w:sz w:val="24"/>
          <w:szCs w:val="24"/>
          <w:lang w:val="en-GB" w:eastAsia="en-IN"/>
        </w:rPr>
      </w:pPr>
      <w:r>
        <w:rPr>
          <w:rFonts w:ascii="Times New Roman" w:hAnsi="Times New Roman" w:eastAsia="Times New Roman" w:cs="Times New Roman"/>
          <w:color w:val="000000"/>
          <w:sz w:val="24"/>
          <w:szCs w:val="24"/>
          <w:shd w:val="clear" w:color="auto" w:fill="FFFFFF"/>
          <w:lang w:val="en-GB" w:eastAsia="en-IN"/>
        </w:rPr>
        <w:t xml:space="preserve">Abdel-Maksoud, B.M. and Saknidy, S., (2016). A new approach for training needs assessment. </w:t>
      </w:r>
      <w:r>
        <w:rPr>
          <w:rFonts w:ascii="Times New Roman" w:hAnsi="Times New Roman" w:eastAsia="Times New Roman" w:cs="Times New Roman"/>
          <w:i/>
          <w:iCs/>
          <w:color w:val="000000"/>
          <w:sz w:val="24"/>
          <w:szCs w:val="24"/>
          <w:shd w:val="clear" w:color="auto" w:fill="FFFFFF"/>
          <w:lang w:val="en-GB" w:eastAsia="en-IN"/>
        </w:rPr>
        <w:t>Journal of Human Resource and Sustainability Studies</w:t>
      </w:r>
      <w:r>
        <w:rPr>
          <w:rFonts w:ascii="Times New Roman" w:hAnsi="Times New Roman" w:eastAsia="Times New Roman" w:cs="Times New Roman"/>
          <w:color w:val="000000"/>
          <w:sz w:val="24"/>
          <w:szCs w:val="24"/>
          <w:shd w:val="clear" w:color="auto" w:fill="FFFFFF"/>
          <w:lang w:val="en-GB" w:eastAsia="en-IN"/>
        </w:rPr>
        <w:t xml:space="preserve">, </w:t>
      </w:r>
      <w:r>
        <w:rPr>
          <w:rFonts w:ascii="Times New Roman" w:hAnsi="Times New Roman" w:eastAsia="Times New Roman" w:cs="Times New Roman"/>
          <w:i/>
          <w:iCs/>
          <w:color w:val="000000"/>
          <w:sz w:val="24"/>
          <w:szCs w:val="24"/>
          <w:shd w:val="clear" w:color="auto" w:fill="FFFFFF"/>
          <w:lang w:val="en-GB" w:eastAsia="en-IN"/>
        </w:rPr>
        <w:t>4</w:t>
      </w:r>
      <w:r>
        <w:rPr>
          <w:rFonts w:ascii="Times New Roman" w:hAnsi="Times New Roman" w:eastAsia="Times New Roman" w:cs="Times New Roman"/>
          <w:color w:val="000000"/>
          <w:sz w:val="24"/>
          <w:szCs w:val="24"/>
          <w:shd w:val="clear" w:color="auto" w:fill="FFFFFF"/>
          <w:lang w:val="en-GB" w:eastAsia="en-IN"/>
        </w:rPr>
        <w:t>(2), pp.102-109.</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Ahmad, B.E., Ozturk, M., Abdullah, M.A. and Majid, F.A., (2019). A Comparative study on the relationship between Self-directed Learning and Academic Achievement among Malaysian and Turkish undergraduates. </w:t>
      </w:r>
      <w:r>
        <w:rPr>
          <w:rFonts w:ascii="Times New Roman" w:hAnsi="Times New Roman" w:eastAsia="Times New Roman" w:cs="Times New Roman"/>
          <w:i/>
          <w:color w:val="000000" w:themeColor="text1"/>
          <w:sz w:val="24"/>
          <w:szCs w:val="24"/>
          <w:highlight w:val="white"/>
          <w:lang w:val="en-GB"/>
        </w:rPr>
        <w:t>Gading Journal for the Social Sciences (e-ISSN 2600-7568)</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22</w:t>
      </w:r>
      <w:r>
        <w:rPr>
          <w:rFonts w:ascii="Times New Roman" w:hAnsi="Times New Roman" w:eastAsia="Times New Roman" w:cs="Times New Roman"/>
          <w:color w:val="000000" w:themeColor="text1"/>
          <w:sz w:val="24"/>
          <w:szCs w:val="24"/>
          <w:highlight w:val="white"/>
          <w:lang w:val="en-GB"/>
        </w:rPr>
        <w:t xml:space="preserve">(01), pp.1-9. </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Case, A.B., (2017). Better Business Outcomes Through Workforce Security.</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Grinis, I., (2019). The STEM requirements of “Non-STEM” jobs: Evidence from UK online vacancy postings. </w:t>
      </w:r>
      <w:r>
        <w:rPr>
          <w:rFonts w:ascii="Times New Roman" w:hAnsi="Times New Roman" w:eastAsia="Times New Roman" w:cs="Times New Roman"/>
          <w:i/>
          <w:color w:val="000000" w:themeColor="text1"/>
          <w:sz w:val="24"/>
          <w:szCs w:val="24"/>
          <w:highlight w:val="white"/>
          <w:lang w:val="en-GB"/>
        </w:rPr>
        <w:t>Economics of Education Review</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70(2)</w:t>
      </w:r>
      <w:r>
        <w:rPr>
          <w:rFonts w:ascii="Times New Roman" w:hAnsi="Times New Roman" w:eastAsia="Times New Roman" w:cs="Times New Roman"/>
          <w:color w:val="000000" w:themeColor="text1"/>
          <w:sz w:val="24"/>
          <w:szCs w:val="24"/>
          <w:highlight w:val="white"/>
          <w:lang w:val="en-GB"/>
        </w:rPr>
        <w:t>, pp.144-158.</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Ibrahim, W.M.R.W. and Hassan, R., (2019). Recruitment Trends In The Era Of Industry 4.0 Using Artificial Intelligence: Pro And Cons. </w:t>
      </w:r>
      <w:r>
        <w:rPr>
          <w:rFonts w:ascii="Times New Roman" w:hAnsi="Times New Roman" w:eastAsia="Times New Roman" w:cs="Times New Roman"/>
          <w:i/>
          <w:color w:val="000000" w:themeColor="text1"/>
          <w:sz w:val="24"/>
          <w:szCs w:val="24"/>
          <w:highlight w:val="white"/>
          <w:lang w:val="en-GB"/>
        </w:rPr>
        <w:t>Asian Journal of Research in Business and Management</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1</w:t>
      </w:r>
      <w:r>
        <w:rPr>
          <w:rFonts w:ascii="Times New Roman" w:hAnsi="Times New Roman" w:eastAsia="Times New Roman" w:cs="Times New Roman"/>
          <w:color w:val="000000" w:themeColor="text1"/>
          <w:sz w:val="24"/>
          <w:szCs w:val="24"/>
          <w:highlight w:val="white"/>
          <w:lang w:val="en-GB"/>
        </w:rPr>
        <w:t xml:space="preserve">(1), pp.16-21. </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Itani, O.S., Jaramillo, F. and Chonko, L., (2019). Achieving top performance while building collegiality in sales: It all starts with ethics. </w:t>
      </w:r>
      <w:r>
        <w:rPr>
          <w:rFonts w:ascii="Times New Roman" w:hAnsi="Times New Roman" w:eastAsia="Times New Roman" w:cs="Times New Roman"/>
          <w:i/>
          <w:color w:val="000000" w:themeColor="text1"/>
          <w:sz w:val="24"/>
          <w:szCs w:val="24"/>
          <w:highlight w:val="white"/>
          <w:lang w:val="en-GB"/>
        </w:rPr>
        <w:t>Journal of Business Ethics</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156</w:t>
      </w:r>
      <w:r>
        <w:rPr>
          <w:rFonts w:ascii="Times New Roman" w:hAnsi="Times New Roman" w:eastAsia="Times New Roman" w:cs="Times New Roman"/>
          <w:color w:val="000000" w:themeColor="text1"/>
          <w:sz w:val="24"/>
          <w:szCs w:val="24"/>
          <w:highlight w:val="white"/>
          <w:lang w:val="en-GB"/>
        </w:rPr>
        <w:t>(2), pp.417-438.</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Jha, V., (2016). Training and development program and its benefits to employee and organization: A conceptual study. </w:t>
      </w:r>
      <w:r>
        <w:rPr>
          <w:rFonts w:ascii="Times New Roman" w:hAnsi="Times New Roman" w:eastAsia="Times New Roman" w:cs="Times New Roman"/>
          <w:i/>
          <w:color w:val="000000" w:themeColor="text1"/>
          <w:sz w:val="24"/>
          <w:szCs w:val="24"/>
          <w:highlight w:val="white"/>
          <w:lang w:val="en-GB"/>
        </w:rPr>
        <w:t>International Journal of Scientific Research in Science and Technology</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2</w:t>
      </w:r>
      <w:r>
        <w:rPr>
          <w:rFonts w:ascii="Times New Roman" w:hAnsi="Times New Roman" w:eastAsia="Times New Roman" w:cs="Times New Roman"/>
          <w:color w:val="000000" w:themeColor="text1"/>
          <w:sz w:val="24"/>
          <w:szCs w:val="24"/>
          <w:highlight w:val="white"/>
          <w:lang w:val="en-GB"/>
        </w:rPr>
        <w:t xml:space="preserve">, pp.80-86. </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Lilova, I. and Poell, R.F., (2019). Preferred human resource development activities and their functions: differences in perspective between managers and employees. </w:t>
      </w:r>
      <w:r>
        <w:rPr>
          <w:rFonts w:ascii="Times New Roman" w:hAnsi="Times New Roman" w:eastAsia="Times New Roman" w:cs="Times New Roman"/>
          <w:i/>
          <w:color w:val="000000" w:themeColor="text1"/>
          <w:sz w:val="24"/>
          <w:szCs w:val="24"/>
          <w:highlight w:val="white"/>
          <w:lang w:val="en-GB"/>
        </w:rPr>
        <w:t>International journal of Training and Development</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23</w:t>
      </w:r>
      <w:r>
        <w:rPr>
          <w:rFonts w:ascii="Times New Roman" w:hAnsi="Times New Roman" w:eastAsia="Times New Roman" w:cs="Times New Roman"/>
          <w:color w:val="000000" w:themeColor="text1"/>
          <w:sz w:val="24"/>
          <w:szCs w:val="24"/>
          <w:highlight w:val="white"/>
          <w:lang w:val="en-GB"/>
        </w:rPr>
        <w:t xml:space="preserve">(3), pp.185-201. </w:t>
      </w:r>
    </w:p>
    <w:p>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Mekraz, A. and Gundala, R.R., (2016). Leadership style and retail store performance-A case study of discount retail chain. </w:t>
      </w:r>
      <w:r>
        <w:rPr>
          <w:rFonts w:ascii="Times New Roman" w:hAnsi="Times New Roman" w:eastAsia="Times New Roman" w:cs="Times New Roman"/>
          <w:i/>
          <w:sz w:val="24"/>
          <w:szCs w:val="24"/>
          <w:highlight w:val="white"/>
        </w:rPr>
        <w:t>Journal of Business and Retail Management Research</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10</w:t>
      </w:r>
      <w:r>
        <w:rPr>
          <w:rFonts w:ascii="Times New Roman" w:hAnsi="Times New Roman" w:eastAsia="Times New Roman" w:cs="Times New Roman"/>
          <w:sz w:val="24"/>
          <w:szCs w:val="24"/>
          <w:highlight w:val="white"/>
        </w:rPr>
        <w:t>(2).</w:t>
      </w:r>
    </w:p>
    <w:p>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Noe, R.A. and Kodwani, A.D., (2018). </w:t>
      </w:r>
      <w:r>
        <w:rPr>
          <w:rFonts w:ascii="Times New Roman" w:hAnsi="Times New Roman" w:eastAsia="Times New Roman" w:cs="Times New Roman"/>
          <w:i/>
          <w:sz w:val="24"/>
          <w:szCs w:val="24"/>
          <w:highlight w:val="white"/>
        </w:rPr>
        <w:t>Employee Training and Development, 7e</w:t>
      </w:r>
      <w:r>
        <w:rPr>
          <w:rFonts w:ascii="Times New Roman" w:hAnsi="Times New Roman" w:eastAsia="Times New Roman" w:cs="Times New Roman"/>
          <w:sz w:val="24"/>
          <w:szCs w:val="24"/>
          <w:highlight w:val="white"/>
        </w:rPr>
        <w:t>. McGraw-Hill Education.</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Panagopoulos, N.G., Hochstein, B., Baker, T.L. and Pimentel, M.A., (2018). Boosting sales force morale in highly dynamic, complex markets: The role of job resources. </w:t>
      </w:r>
      <w:r>
        <w:rPr>
          <w:rFonts w:ascii="Times New Roman" w:hAnsi="Times New Roman" w:eastAsia="Times New Roman" w:cs="Times New Roman"/>
          <w:i/>
          <w:color w:val="000000" w:themeColor="text1"/>
          <w:sz w:val="24"/>
          <w:szCs w:val="24"/>
          <w:highlight w:val="white"/>
          <w:lang w:val="en-GB"/>
        </w:rPr>
        <w:t>Industrial Marketing Management</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74</w:t>
      </w:r>
      <w:r>
        <w:rPr>
          <w:rFonts w:ascii="Times New Roman" w:hAnsi="Times New Roman" w:eastAsia="Times New Roman" w:cs="Times New Roman"/>
          <w:color w:val="000000" w:themeColor="text1"/>
          <w:sz w:val="24"/>
          <w:szCs w:val="24"/>
          <w:highlight w:val="white"/>
          <w:lang w:val="en-GB"/>
        </w:rPr>
        <w:t xml:space="preserve">, pp.237-253. </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Parker, S.K. and Liao, J., (2016). Wise proactivity: How to be proactive and wise in building your career. </w:t>
      </w:r>
      <w:r>
        <w:rPr>
          <w:rFonts w:ascii="Times New Roman" w:hAnsi="Times New Roman" w:eastAsia="Times New Roman" w:cs="Times New Roman"/>
          <w:i/>
          <w:color w:val="000000" w:themeColor="text1"/>
          <w:sz w:val="24"/>
          <w:szCs w:val="24"/>
          <w:highlight w:val="white"/>
          <w:lang w:val="en-GB"/>
        </w:rPr>
        <w:t>Organizational Dynamics</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45</w:t>
      </w:r>
      <w:r>
        <w:rPr>
          <w:rFonts w:ascii="Times New Roman" w:hAnsi="Times New Roman" w:eastAsia="Times New Roman" w:cs="Times New Roman"/>
          <w:color w:val="000000" w:themeColor="text1"/>
          <w:sz w:val="24"/>
          <w:szCs w:val="24"/>
          <w:highlight w:val="white"/>
          <w:lang w:val="en-GB"/>
        </w:rPr>
        <w:t xml:space="preserve">(3), pp.217-227. </w:t>
      </w:r>
    </w:p>
    <w:p>
      <w:pPr>
        <w:spacing w:after="240" w:line="360" w:lineRule="auto"/>
        <w:jc w:val="both"/>
        <w:rPr>
          <w:rFonts w:ascii="Times New Roman" w:hAnsi="Times New Roman" w:eastAsia="Times New Roman" w:cs="Times New Roman"/>
          <w:sz w:val="24"/>
          <w:szCs w:val="24"/>
          <w:lang w:val="en-GB" w:eastAsia="en-IN"/>
        </w:rPr>
      </w:pPr>
      <w:r>
        <w:rPr>
          <w:rFonts w:ascii="Times New Roman" w:hAnsi="Times New Roman" w:eastAsia="Times New Roman" w:cs="Times New Roman"/>
          <w:color w:val="000000"/>
          <w:sz w:val="24"/>
          <w:szCs w:val="24"/>
          <w:shd w:val="clear" w:color="auto" w:fill="FFFFFF"/>
          <w:lang w:val="en-GB" w:eastAsia="en-IN"/>
        </w:rPr>
        <w:t xml:space="preserve">Ristic, M.R., Selakovic, M. and Qureshi, T.M., (2017). Employee motivation strategies and creation of supportive work environment in societies of post-socialist transformation. </w:t>
      </w:r>
      <w:r>
        <w:rPr>
          <w:rFonts w:ascii="Times New Roman" w:hAnsi="Times New Roman" w:eastAsia="Times New Roman" w:cs="Times New Roman"/>
          <w:i/>
          <w:iCs/>
          <w:color w:val="000000"/>
          <w:sz w:val="24"/>
          <w:szCs w:val="24"/>
          <w:shd w:val="clear" w:color="auto" w:fill="FFFFFF"/>
          <w:lang w:val="en-GB" w:eastAsia="en-IN"/>
        </w:rPr>
        <w:t>Polish journal of management studies</w:t>
      </w:r>
      <w:r>
        <w:rPr>
          <w:rFonts w:ascii="Times New Roman" w:hAnsi="Times New Roman" w:eastAsia="Times New Roman" w:cs="Times New Roman"/>
          <w:color w:val="000000"/>
          <w:sz w:val="24"/>
          <w:szCs w:val="24"/>
          <w:shd w:val="clear" w:color="auto" w:fill="FFFFFF"/>
          <w:lang w:val="en-GB" w:eastAsia="en-IN"/>
        </w:rPr>
        <w:t xml:space="preserve">, </w:t>
      </w:r>
      <w:r>
        <w:rPr>
          <w:rFonts w:ascii="Times New Roman" w:hAnsi="Times New Roman" w:eastAsia="Times New Roman" w:cs="Times New Roman"/>
          <w:i/>
          <w:iCs/>
          <w:color w:val="000000"/>
          <w:sz w:val="24"/>
          <w:szCs w:val="24"/>
          <w:shd w:val="clear" w:color="auto" w:fill="FFFFFF"/>
          <w:lang w:val="en-GB" w:eastAsia="en-IN"/>
        </w:rPr>
        <w:t>15</w:t>
      </w:r>
      <w:r>
        <w:rPr>
          <w:rFonts w:ascii="Times New Roman" w:hAnsi="Times New Roman" w:eastAsia="Times New Roman" w:cs="Times New Roman"/>
          <w:color w:val="000000"/>
          <w:sz w:val="24"/>
          <w:szCs w:val="24"/>
          <w:shd w:val="clear" w:color="auto" w:fill="FFFFFF"/>
          <w:lang w:val="en-GB" w:eastAsia="en-IN"/>
        </w:rPr>
        <w:t>(3), pp. 56-99.</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Sadok, M. and Welch, C.E., (2019). Achieving sustainable business systems through sociotechnical perspectives. In </w:t>
      </w:r>
      <w:r>
        <w:rPr>
          <w:rFonts w:ascii="Times New Roman" w:hAnsi="Times New Roman" w:eastAsia="Times New Roman" w:cs="Times New Roman"/>
          <w:i/>
          <w:color w:val="000000" w:themeColor="text1"/>
          <w:sz w:val="24"/>
          <w:szCs w:val="24"/>
          <w:highlight w:val="white"/>
          <w:lang w:val="en-GB"/>
        </w:rPr>
        <w:t>Proceedings of the 27th European Conference on Information Systems</w:t>
      </w:r>
      <w:r>
        <w:rPr>
          <w:rFonts w:ascii="Times New Roman" w:hAnsi="Times New Roman" w:eastAsia="Times New Roman" w:cs="Times New Roman"/>
          <w:color w:val="000000" w:themeColor="text1"/>
          <w:sz w:val="24"/>
          <w:szCs w:val="24"/>
          <w:highlight w:val="white"/>
          <w:lang w:val="en-GB"/>
        </w:rPr>
        <w:t>.</w:t>
      </w:r>
    </w:p>
    <w:p>
      <w:pPr>
        <w:pStyle w:val="3"/>
        <w:spacing w:after="240" w:line="360" w:lineRule="auto"/>
        <w:jc w:val="both"/>
        <w:rPr>
          <w:rFonts w:ascii="Times New Roman" w:hAnsi="Times New Roman" w:eastAsia="Times New Roman" w:cs="Times New Roman"/>
          <w:color w:val="000000" w:themeColor="text1"/>
          <w:sz w:val="24"/>
          <w:szCs w:val="24"/>
          <w:highlight w:val="white"/>
          <w:lang w:val="en-GB"/>
        </w:rPr>
      </w:pPr>
      <w:r>
        <w:rPr>
          <w:rFonts w:ascii="Times New Roman" w:hAnsi="Times New Roman" w:eastAsia="Times New Roman" w:cs="Times New Roman"/>
          <w:color w:val="000000" w:themeColor="text1"/>
          <w:sz w:val="24"/>
          <w:szCs w:val="24"/>
          <w:highlight w:val="white"/>
          <w:lang w:val="en-GB"/>
        </w:rPr>
        <w:t xml:space="preserve">Uddin, R. and Arif, A.A., (2016). Talent Management and Organizational Performance: An Empirical Study in Retail Sector in Sylhet City, Bangladesh. </w:t>
      </w:r>
      <w:r>
        <w:rPr>
          <w:rFonts w:ascii="Times New Roman" w:hAnsi="Times New Roman" w:eastAsia="Times New Roman" w:cs="Times New Roman"/>
          <w:i/>
          <w:color w:val="000000" w:themeColor="text1"/>
          <w:sz w:val="24"/>
          <w:szCs w:val="24"/>
          <w:highlight w:val="white"/>
          <w:lang w:val="en-GB"/>
        </w:rPr>
        <w:t>IOSR Journal of Business and Management</w:t>
      </w:r>
      <w:r>
        <w:rPr>
          <w:rFonts w:ascii="Times New Roman" w:hAnsi="Times New Roman" w:eastAsia="Times New Roman" w:cs="Times New Roman"/>
          <w:color w:val="000000" w:themeColor="text1"/>
          <w:sz w:val="24"/>
          <w:szCs w:val="24"/>
          <w:highlight w:val="white"/>
          <w:lang w:val="en-GB"/>
        </w:rPr>
        <w:t xml:space="preserve">, </w:t>
      </w:r>
      <w:r>
        <w:rPr>
          <w:rFonts w:ascii="Times New Roman" w:hAnsi="Times New Roman" w:eastAsia="Times New Roman" w:cs="Times New Roman"/>
          <w:i/>
          <w:color w:val="000000" w:themeColor="text1"/>
          <w:sz w:val="24"/>
          <w:szCs w:val="24"/>
          <w:highlight w:val="white"/>
          <w:lang w:val="en-GB"/>
        </w:rPr>
        <w:t>18</w:t>
      </w:r>
      <w:r>
        <w:rPr>
          <w:rFonts w:ascii="Times New Roman" w:hAnsi="Times New Roman" w:eastAsia="Times New Roman" w:cs="Times New Roman"/>
          <w:color w:val="000000" w:themeColor="text1"/>
          <w:sz w:val="24"/>
          <w:szCs w:val="24"/>
          <w:highlight w:val="white"/>
          <w:lang w:val="en-GB"/>
        </w:rPr>
        <w:t>(10), pp.11-18.</w:t>
      </w:r>
    </w:p>
    <w:sectPr>
      <w:footerReference r:id="rId3" w:type="default"/>
      <w:pgSz w:w="11909" w:h="16834"/>
      <w:pgMar w:top="1440" w:right="1440" w:bottom="1440" w:left="1440" w:header="720" w:footer="720" w:gutter="0"/>
      <w:pgNumType w:start="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02806"/>
      <w:docPartObj>
        <w:docPartGallery w:val="AutoText"/>
      </w:docPartObj>
    </w:sdtPr>
    <w:sdtContent>
      <w:p>
        <w:pPr>
          <w:pStyle w:val="11"/>
          <w:jc w:val="right"/>
        </w:pPr>
        <w:r>
          <w:fldChar w:fldCharType="begin"/>
        </w:r>
        <w:r>
          <w:instrText xml:space="preserve"> PAGE   \* MERGEFORMAT </w:instrText>
        </w:r>
        <w:r>
          <w:fldChar w:fldCharType="separate"/>
        </w:r>
        <w:r>
          <w:t>5</w:t>
        </w:r>
        <w:r>
          <w:fldChar w:fldCharType="end"/>
        </w:r>
      </w:p>
    </w:sdtContent>
  </w:sdt>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2"/>
  </w:compat>
  <w:rsids>
    <w:rsidRoot w:val="00035837"/>
    <w:rsid w:val="0002527E"/>
    <w:rsid w:val="0003403D"/>
    <w:rsid w:val="00035837"/>
    <w:rsid w:val="0005013F"/>
    <w:rsid w:val="00062CE9"/>
    <w:rsid w:val="00064E60"/>
    <w:rsid w:val="00095A42"/>
    <w:rsid w:val="000D66ED"/>
    <w:rsid w:val="000E1207"/>
    <w:rsid w:val="001334FC"/>
    <w:rsid w:val="001454D4"/>
    <w:rsid w:val="00162892"/>
    <w:rsid w:val="001A19E8"/>
    <w:rsid w:val="002077BF"/>
    <w:rsid w:val="002325A3"/>
    <w:rsid w:val="00286953"/>
    <w:rsid w:val="002F2EB6"/>
    <w:rsid w:val="00363900"/>
    <w:rsid w:val="0039239C"/>
    <w:rsid w:val="00394973"/>
    <w:rsid w:val="003D1620"/>
    <w:rsid w:val="003D2945"/>
    <w:rsid w:val="003E4F6E"/>
    <w:rsid w:val="00415BB7"/>
    <w:rsid w:val="00492130"/>
    <w:rsid w:val="004A4371"/>
    <w:rsid w:val="004F59E1"/>
    <w:rsid w:val="005330F5"/>
    <w:rsid w:val="00571683"/>
    <w:rsid w:val="00572BEC"/>
    <w:rsid w:val="00607702"/>
    <w:rsid w:val="00646563"/>
    <w:rsid w:val="006B5145"/>
    <w:rsid w:val="0074153D"/>
    <w:rsid w:val="007458BA"/>
    <w:rsid w:val="00787A48"/>
    <w:rsid w:val="008276A7"/>
    <w:rsid w:val="00840244"/>
    <w:rsid w:val="00845E7B"/>
    <w:rsid w:val="008719D6"/>
    <w:rsid w:val="00891BA8"/>
    <w:rsid w:val="008A0A6B"/>
    <w:rsid w:val="00906083"/>
    <w:rsid w:val="00915955"/>
    <w:rsid w:val="00947A83"/>
    <w:rsid w:val="00951561"/>
    <w:rsid w:val="00986FD7"/>
    <w:rsid w:val="00996296"/>
    <w:rsid w:val="009D57B4"/>
    <w:rsid w:val="00A255F4"/>
    <w:rsid w:val="00A56F8C"/>
    <w:rsid w:val="00AD485A"/>
    <w:rsid w:val="00AF0B89"/>
    <w:rsid w:val="00AF76DC"/>
    <w:rsid w:val="00BF7D6C"/>
    <w:rsid w:val="00C80138"/>
    <w:rsid w:val="00CB7DE7"/>
    <w:rsid w:val="00CF1B94"/>
    <w:rsid w:val="00D1162D"/>
    <w:rsid w:val="00D33668"/>
    <w:rsid w:val="00D5413F"/>
    <w:rsid w:val="00D6160C"/>
    <w:rsid w:val="00E37CC2"/>
    <w:rsid w:val="00E43928"/>
    <w:rsid w:val="00E50732"/>
    <w:rsid w:val="00E51329"/>
    <w:rsid w:val="00E65158"/>
    <w:rsid w:val="00FA3489"/>
    <w:rsid w:val="00FF7A31"/>
    <w:rsid w:val="0DE12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qFormat/>
    <w:uiPriority w:val="0"/>
    <w:pPr>
      <w:spacing w:line="360" w:lineRule="auto"/>
      <w:jc w:val="both"/>
      <w:outlineLvl w:val="0"/>
    </w:pPr>
    <w:rPr>
      <w:rFonts w:ascii="Times New Roman" w:hAnsi="Times New Roman" w:eastAsia="Times New Roman" w:cs="Times New Roman"/>
      <w:b/>
      <w:sz w:val="24"/>
      <w:szCs w:val="24"/>
      <w:lang w:val="en-GB"/>
    </w:rPr>
  </w:style>
  <w:style w:type="paragraph" w:styleId="4">
    <w:name w:val="heading 2"/>
    <w:basedOn w:val="3"/>
    <w:next w:val="3"/>
    <w:qFormat/>
    <w:uiPriority w:val="0"/>
    <w:pPr>
      <w:spacing w:line="360" w:lineRule="auto"/>
      <w:jc w:val="both"/>
      <w:outlineLvl w:val="1"/>
    </w:pPr>
    <w:rPr>
      <w:rFonts w:ascii="Times New Roman" w:hAnsi="Times New Roman" w:eastAsia="Times New Roman" w:cs="Times New Roman"/>
      <w:b/>
      <w:sz w:val="24"/>
      <w:szCs w:val="24"/>
      <w:lang w:val="en-GB"/>
    </w:rPr>
  </w:style>
  <w:style w:type="paragraph" w:styleId="5">
    <w:name w:val="heading 3"/>
    <w:basedOn w:val="4"/>
    <w:next w:val="3"/>
    <w:qFormat/>
    <w:uiPriority w:val="0"/>
    <w:pPr>
      <w:outlineLvl w:val="2"/>
    </w:p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19">
    <w:name w:val="Default Paragraph Font"/>
    <w:semiHidden/>
    <w:unhideWhenUsed/>
    <w:qFormat/>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US" w:eastAsia="en-US" w:bidi="ar-SA"/>
    </w:rPr>
  </w:style>
  <w:style w:type="paragraph" w:styleId="9">
    <w:name w:val="Balloon Text"/>
    <w:basedOn w:val="1"/>
    <w:link w:val="24"/>
    <w:semiHidden/>
    <w:unhideWhenUsed/>
    <w:uiPriority w:val="99"/>
    <w:pPr>
      <w:spacing w:line="240" w:lineRule="auto"/>
    </w:pPr>
    <w:rPr>
      <w:rFonts w:ascii="Tahoma" w:hAnsi="Tahoma" w:cs="Tahoma"/>
      <w:sz w:val="16"/>
      <w:szCs w:val="16"/>
    </w:rPr>
  </w:style>
  <w:style w:type="paragraph" w:styleId="10">
    <w:name w:val="annotation text"/>
    <w:basedOn w:val="1"/>
    <w:link w:val="23"/>
    <w:semiHidden/>
    <w:unhideWhenUsed/>
    <w:uiPriority w:val="99"/>
    <w:pPr>
      <w:spacing w:line="240" w:lineRule="auto"/>
    </w:pPr>
    <w:rPr>
      <w:sz w:val="20"/>
      <w:szCs w:val="20"/>
    </w:rPr>
  </w:style>
  <w:style w:type="paragraph" w:styleId="11">
    <w:name w:val="footer"/>
    <w:basedOn w:val="1"/>
    <w:link w:val="26"/>
    <w:unhideWhenUsed/>
    <w:uiPriority w:val="99"/>
    <w:pPr>
      <w:tabs>
        <w:tab w:val="center" w:pos="4680"/>
        <w:tab w:val="right" w:pos="9360"/>
      </w:tabs>
      <w:spacing w:line="240" w:lineRule="auto"/>
    </w:pPr>
  </w:style>
  <w:style w:type="paragraph" w:styleId="12">
    <w:name w:val="header"/>
    <w:basedOn w:val="1"/>
    <w:link w:val="25"/>
    <w:semiHidden/>
    <w:unhideWhenUsed/>
    <w:uiPriority w:val="99"/>
    <w:pPr>
      <w:tabs>
        <w:tab w:val="center" w:pos="4680"/>
        <w:tab w:val="right" w:pos="9360"/>
      </w:tabs>
      <w:spacing w:line="240" w:lineRule="auto"/>
    </w:pPr>
  </w:style>
  <w:style w:type="paragraph" w:styleId="13">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3"/>
    <w:next w:val="3"/>
    <w:uiPriority w:val="0"/>
    <w:pPr>
      <w:keepNext/>
      <w:keepLines/>
      <w:spacing w:after="320"/>
    </w:pPr>
    <w:rPr>
      <w:color w:val="666666"/>
      <w:sz w:val="30"/>
      <w:szCs w:val="30"/>
    </w:rPr>
  </w:style>
  <w:style w:type="paragraph" w:styleId="15">
    <w:name w:val="Title"/>
    <w:basedOn w:val="3"/>
    <w:next w:val="3"/>
    <w:uiPriority w:val="0"/>
    <w:pPr>
      <w:keepNext/>
      <w:keepLines/>
      <w:spacing w:after="60"/>
    </w:pPr>
    <w:rPr>
      <w:sz w:val="52"/>
      <w:szCs w:val="52"/>
    </w:r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20"/>
    </w:pPr>
  </w:style>
  <w:style w:type="paragraph" w:styleId="18">
    <w:name w:val="toc 3"/>
    <w:basedOn w:val="1"/>
    <w:next w:val="1"/>
    <w:unhideWhenUsed/>
    <w:uiPriority w:val="39"/>
    <w:pPr>
      <w:spacing w:after="100"/>
      <w:ind w:left="440"/>
    </w:pPr>
  </w:style>
  <w:style w:type="character" w:styleId="20">
    <w:name w:val="annotation reference"/>
    <w:basedOn w:val="19"/>
    <w:semiHidden/>
    <w:unhideWhenUsed/>
    <w:uiPriority w:val="99"/>
    <w:rPr>
      <w:sz w:val="16"/>
      <w:szCs w:val="16"/>
    </w:rPr>
  </w:style>
  <w:style w:type="character" w:styleId="21">
    <w:name w:val="Hyperlink"/>
    <w:basedOn w:val="19"/>
    <w:unhideWhenUsed/>
    <w:uiPriority w:val="99"/>
    <w:rPr>
      <w:color w:val="0000FF" w:themeColor="hyperlink"/>
      <w:u w:val="single"/>
    </w:rPr>
  </w:style>
  <w:style w:type="character" w:customStyle="1" w:styleId="23">
    <w:name w:val="Comment Text Char"/>
    <w:basedOn w:val="19"/>
    <w:link w:val="10"/>
    <w:semiHidden/>
    <w:uiPriority w:val="99"/>
    <w:rPr>
      <w:sz w:val="20"/>
      <w:szCs w:val="20"/>
    </w:rPr>
  </w:style>
  <w:style w:type="character" w:customStyle="1" w:styleId="24">
    <w:name w:val="Balloon Text Char"/>
    <w:basedOn w:val="19"/>
    <w:link w:val="9"/>
    <w:semiHidden/>
    <w:uiPriority w:val="99"/>
    <w:rPr>
      <w:rFonts w:ascii="Tahoma" w:hAnsi="Tahoma" w:cs="Tahoma"/>
      <w:sz w:val="16"/>
      <w:szCs w:val="16"/>
    </w:rPr>
  </w:style>
  <w:style w:type="character" w:customStyle="1" w:styleId="25">
    <w:name w:val="Header Char"/>
    <w:basedOn w:val="19"/>
    <w:link w:val="12"/>
    <w:semiHidden/>
    <w:uiPriority w:val="99"/>
  </w:style>
  <w:style w:type="character" w:customStyle="1" w:styleId="26">
    <w:name w:val="Footer Char"/>
    <w:basedOn w:val="19"/>
    <w:link w:val="11"/>
    <w:uiPriority w:val="99"/>
  </w:style>
  <w:style w:type="paragraph" w:customStyle="1" w:styleId="27">
    <w:name w:val="TOC Heading"/>
    <w:basedOn w:val="2"/>
    <w:next w:val="1"/>
    <w:semiHidden/>
    <w:unhideWhenUsed/>
    <w:qFormat/>
    <w:uiPriority w:val="39"/>
    <w:pPr>
      <w:keepNext/>
      <w:keepLines/>
      <w:spacing w:before="480" w:line="276" w:lineRule="auto"/>
      <w:jc w:val="left"/>
      <w:outlineLvl w:val="9"/>
    </w:pPr>
    <w:rPr>
      <w:rFonts w:asciiTheme="majorHAnsi" w:hAnsiTheme="majorHAnsi" w:eastAsiaTheme="majorEastAsia" w:cstheme="majorBidi"/>
      <w:bCs/>
      <w:color w:val="366091" w:themeColor="accent1" w:themeShade="BF"/>
      <w:sz w:val="28"/>
      <w:szCs w:val="28"/>
      <w:lang w:val="en-US"/>
    </w:rPr>
  </w:style>
  <w:style w:type="paragraph" w:styleId="2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diagramData" Target="diagrams/data2.xml"/><Relationship Id="rId8" Type="http://schemas.openxmlformats.org/officeDocument/2006/relationships/diagramColors" Target="diagrams/colors1.xml"/><Relationship Id="rId7" Type="http://schemas.openxmlformats.org/officeDocument/2006/relationships/diagramQuickStyle" Target="diagrams/quickStyle1.xml"/><Relationship Id="rId6" Type="http://schemas.openxmlformats.org/officeDocument/2006/relationships/diagramLayout" Target="diagrams/layout1.xml"/><Relationship Id="rId5" Type="http://schemas.openxmlformats.org/officeDocument/2006/relationships/diagramData" Target="diagrams/data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diagramColors" Target="diagrams/colors2.xml"/><Relationship Id="rId11" Type="http://schemas.openxmlformats.org/officeDocument/2006/relationships/diagramQuickStyle" Target="diagrams/quickStyle2.xml"/><Relationship Id="rId10" Type="http://schemas.openxmlformats.org/officeDocument/2006/relationships/diagramLayout" Target="diagrams/layout2.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alignNode1">
    <dgm:fillClrLst meth="repeat">
      <a:schemeClr val="dk2"/>
    </dgm:fillClrLst>
    <dgm:linClrLst meth="repeat">
      <a:schemeClr val="dk2"/>
    </dgm:linClrLst>
    <dgm:effectClrLst/>
    <dgm:txLinClrLst/>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node0">
    <dgm:fillClrLst meth="repeat">
      <a:schemeClr val="dk2"/>
    </dgm:fillClrLst>
    <dgm:linClrLst meth="repeat">
      <a:schemeClr val="lt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22DABE1-CD1F-490F-9CF1-B6E72FD70783}" type="doc">
      <dgm:prSet loTypeId="urn:microsoft.com/office/officeart/2005/8/layout/cycle6" loCatId="cycle" qsTypeId="urn:microsoft.com/office/officeart/2005/8/quickstyle/simple2" qsCatId="simple" csTypeId="urn:microsoft.com/office/officeart/2005/8/colors/accent0_3" csCatId="mainScheme" phldr="1"/>
      <dgm:spPr/>
      <dgm:t>
        <a:bodyPr/>
        <a:p>
          <a:endParaRPr lang="en-US"/>
        </a:p>
      </dgm:t>
    </dgm:pt>
    <dgm:pt modelId="{0B0E57DF-64F8-491C-AACD-DB71454967DB}">
      <dgm:prSet phldrT="[Text]"/>
      <dgm:spPr/>
      <dgm:t>
        <a:bodyPr/>
        <a:p>
          <a:r>
            <a:rPr lang="en-GB"/>
            <a:t>Talented candidates </a:t>
          </a:r>
          <a:endParaRPr lang="en-US"/>
        </a:p>
      </dgm:t>
    </dgm:pt>
    <dgm:pt modelId="{4ECDA1D1-9018-467A-8902-01480009C533}" cxnId="{76ADBB30-5F10-4C8B-9091-DEE78246C494}" type="parTrans">
      <dgm:prSet/>
      <dgm:spPr/>
      <dgm:t>
        <a:bodyPr/>
        <a:p>
          <a:endParaRPr lang="en-US"/>
        </a:p>
      </dgm:t>
    </dgm:pt>
    <dgm:pt modelId="{7C6CD3C4-0A04-488F-9961-8899219F889A}" cxnId="{76ADBB30-5F10-4C8B-9091-DEE78246C494}" type="sibTrans">
      <dgm:prSet/>
      <dgm:spPr/>
      <dgm:t>
        <a:bodyPr/>
        <a:p>
          <a:endParaRPr lang="en-US"/>
        </a:p>
      </dgm:t>
    </dgm:pt>
    <dgm:pt modelId="{982397B4-B8E6-4D85-885E-565A0BDEB585}">
      <dgm:prSet/>
      <dgm:spPr/>
      <dgm:t>
        <a:bodyPr/>
        <a:p>
          <a:r>
            <a:rPr lang="en-GB"/>
            <a:t>Accurate screening </a:t>
          </a:r>
          <a:endParaRPr lang="en-IN"/>
        </a:p>
      </dgm:t>
    </dgm:pt>
    <dgm:pt modelId="{E028F2B9-5EDE-49A4-BFD2-BCCDC837162C}" cxnId="{D2977327-3584-4FBB-86F1-506E2384B731}" type="parTrans">
      <dgm:prSet/>
      <dgm:spPr/>
      <dgm:t>
        <a:bodyPr/>
        <a:p>
          <a:endParaRPr lang="en-US"/>
        </a:p>
      </dgm:t>
    </dgm:pt>
    <dgm:pt modelId="{39B96F39-31C2-432A-B192-546EB07688DD}" cxnId="{D2977327-3584-4FBB-86F1-506E2384B731}" type="sibTrans">
      <dgm:prSet/>
      <dgm:spPr/>
      <dgm:t>
        <a:bodyPr/>
        <a:p>
          <a:endParaRPr lang="en-US"/>
        </a:p>
      </dgm:t>
    </dgm:pt>
    <dgm:pt modelId="{220CE0E5-680A-4EBF-85B1-014CF5C88D54}">
      <dgm:prSet/>
      <dgm:spPr/>
      <dgm:t>
        <a:bodyPr/>
        <a:p>
          <a:r>
            <a:rPr lang="en-GB"/>
            <a:t>Proactive strategic arrangement </a:t>
          </a:r>
          <a:endParaRPr lang="en-IN"/>
        </a:p>
      </dgm:t>
    </dgm:pt>
    <dgm:pt modelId="{06051BEF-1443-48C8-BF3D-68E4EFCC06CF}" cxnId="{2B98D7E3-9371-414F-BC0D-5612D3BCC52A}" type="parTrans">
      <dgm:prSet/>
      <dgm:spPr/>
      <dgm:t>
        <a:bodyPr/>
        <a:p>
          <a:endParaRPr lang="en-US"/>
        </a:p>
      </dgm:t>
    </dgm:pt>
    <dgm:pt modelId="{0373BFB3-52C2-4A7D-B73F-FABDCD79D090}" cxnId="{2B98D7E3-9371-414F-BC0D-5612D3BCC52A}" type="sibTrans">
      <dgm:prSet/>
      <dgm:spPr/>
      <dgm:t>
        <a:bodyPr/>
        <a:p>
          <a:endParaRPr lang="en-US"/>
        </a:p>
      </dgm:t>
    </dgm:pt>
    <dgm:pt modelId="{D7E7ABA3-C465-4AF0-AB88-0DFE9143F2A0}">
      <dgm:prSet/>
      <dgm:spPr/>
      <dgm:t>
        <a:bodyPr/>
        <a:p>
          <a:r>
            <a:rPr lang="en-GB"/>
            <a:t>High morale and reduced turnover </a:t>
          </a:r>
          <a:endParaRPr lang="en-IN"/>
        </a:p>
      </dgm:t>
    </dgm:pt>
    <dgm:pt modelId="{C284C570-8BF6-4393-8EC4-8040AF0E954D}" cxnId="{B2B3D6A7-7190-455E-9A14-41177912C241}" type="parTrans">
      <dgm:prSet/>
      <dgm:spPr/>
      <dgm:t>
        <a:bodyPr/>
        <a:p>
          <a:endParaRPr lang="en-US"/>
        </a:p>
      </dgm:t>
    </dgm:pt>
    <dgm:pt modelId="{E90DC32C-487A-4DD1-BAA3-72E3F32902D5}" cxnId="{B2B3D6A7-7190-455E-9A14-41177912C241}" type="sibTrans">
      <dgm:prSet/>
      <dgm:spPr/>
      <dgm:t>
        <a:bodyPr/>
        <a:p>
          <a:endParaRPr lang="en-US"/>
        </a:p>
      </dgm:t>
    </dgm:pt>
    <dgm:pt modelId="{62F45A98-C9EC-4F98-A669-825BFD498914}" type="pres">
      <dgm:prSet presAssocID="{F22DABE1-CD1F-490F-9CF1-B6E72FD70783}" presName="cycle" presStyleCnt="0">
        <dgm:presLayoutVars>
          <dgm:dir/>
          <dgm:resizeHandles val="exact"/>
        </dgm:presLayoutVars>
      </dgm:prSet>
      <dgm:spPr/>
      <dgm:t>
        <a:bodyPr/>
        <a:p>
          <a:endParaRPr lang="en-US"/>
        </a:p>
      </dgm:t>
    </dgm:pt>
    <dgm:pt modelId="{B2CC8923-00DF-4628-942F-651FE7308728}" type="pres">
      <dgm:prSet presAssocID="{0B0E57DF-64F8-491C-AACD-DB71454967DB}" presName="node" presStyleLbl="node1" presStyleIdx="0" presStyleCnt="4">
        <dgm:presLayoutVars>
          <dgm:bulletEnabled val="1"/>
        </dgm:presLayoutVars>
      </dgm:prSet>
      <dgm:spPr/>
      <dgm:t>
        <a:bodyPr/>
        <a:p>
          <a:endParaRPr lang="en-US"/>
        </a:p>
      </dgm:t>
    </dgm:pt>
    <dgm:pt modelId="{4EF102E6-20B5-474B-A133-756CD3DA24C6}" type="pres">
      <dgm:prSet presAssocID="{0B0E57DF-64F8-491C-AACD-DB71454967DB}" presName="spNode" presStyleCnt="0"/>
      <dgm:spPr/>
    </dgm:pt>
    <dgm:pt modelId="{0F35E762-4086-43AA-831D-EA2B9AF758D1}" type="pres">
      <dgm:prSet presAssocID="{7C6CD3C4-0A04-488F-9961-8899219F889A}" presName="sibTrans" presStyleLbl="sibTrans1D1" presStyleIdx="0" presStyleCnt="4"/>
      <dgm:spPr/>
      <dgm:t>
        <a:bodyPr/>
        <a:p>
          <a:endParaRPr lang="en-US"/>
        </a:p>
      </dgm:t>
    </dgm:pt>
    <dgm:pt modelId="{83A2F81E-9E5C-4608-A322-498699A63CC4}" type="pres">
      <dgm:prSet presAssocID="{982397B4-B8E6-4D85-885E-565A0BDEB585}" presName="node" presStyleLbl="node1" presStyleIdx="1" presStyleCnt="4">
        <dgm:presLayoutVars>
          <dgm:bulletEnabled val="1"/>
        </dgm:presLayoutVars>
      </dgm:prSet>
      <dgm:spPr/>
      <dgm:t>
        <a:bodyPr/>
        <a:p>
          <a:endParaRPr lang="en-US"/>
        </a:p>
      </dgm:t>
    </dgm:pt>
    <dgm:pt modelId="{EA43C294-9027-45C3-BBE3-95C8C2A7B53B}" type="pres">
      <dgm:prSet presAssocID="{982397B4-B8E6-4D85-885E-565A0BDEB585}" presName="spNode" presStyleCnt="0"/>
      <dgm:spPr/>
    </dgm:pt>
    <dgm:pt modelId="{581F6223-BF4B-4E71-B285-16930C4E2988}" type="pres">
      <dgm:prSet presAssocID="{39B96F39-31C2-432A-B192-546EB07688DD}" presName="sibTrans" presStyleLbl="sibTrans1D1" presStyleIdx="1" presStyleCnt="4"/>
      <dgm:spPr/>
      <dgm:t>
        <a:bodyPr/>
        <a:p>
          <a:endParaRPr lang="en-US"/>
        </a:p>
      </dgm:t>
    </dgm:pt>
    <dgm:pt modelId="{AD35FBDC-B406-4FFC-9F98-1577496D8002}" type="pres">
      <dgm:prSet presAssocID="{220CE0E5-680A-4EBF-85B1-014CF5C88D54}" presName="node" presStyleLbl="node1" presStyleIdx="2" presStyleCnt="4">
        <dgm:presLayoutVars>
          <dgm:bulletEnabled val="1"/>
        </dgm:presLayoutVars>
      </dgm:prSet>
      <dgm:spPr/>
      <dgm:t>
        <a:bodyPr/>
        <a:p>
          <a:endParaRPr lang="en-US"/>
        </a:p>
      </dgm:t>
    </dgm:pt>
    <dgm:pt modelId="{381C8007-21DE-4E6D-9D38-6AF26A955466}" type="pres">
      <dgm:prSet presAssocID="{220CE0E5-680A-4EBF-85B1-014CF5C88D54}" presName="spNode" presStyleCnt="0"/>
      <dgm:spPr/>
    </dgm:pt>
    <dgm:pt modelId="{E08C6399-8F75-4E0C-9C92-5AEB39F0BB8E}" type="pres">
      <dgm:prSet presAssocID="{0373BFB3-52C2-4A7D-B73F-FABDCD79D090}" presName="sibTrans" presStyleLbl="sibTrans1D1" presStyleIdx="2" presStyleCnt="4"/>
      <dgm:spPr/>
      <dgm:t>
        <a:bodyPr/>
        <a:p>
          <a:endParaRPr lang="en-US"/>
        </a:p>
      </dgm:t>
    </dgm:pt>
    <dgm:pt modelId="{2137E941-B389-4E15-94F7-D01A8F28CBD4}" type="pres">
      <dgm:prSet presAssocID="{D7E7ABA3-C465-4AF0-AB88-0DFE9143F2A0}" presName="node" presStyleLbl="node1" presStyleIdx="3" presStyleCnt="4">
        <dgm:presLayoutVars>
          <dgm:bulletEnabled val="1"/>
        </dgm:presLayoutVars>
      </dgm:prSet>
      <dgm:spPr/>
      <dgm:t>
        <a:bodyPr/>
        <a:p>
          <a:endParaRPr lang="en-US"/>
        </a:p>
      </dgm:t>
    </dgm:pt>
    <dgm:pt modelId="{839608B2-8D37-47E3-AAC5-6300BD1A0182}" type="pres">
      <dgm:prSet presAssocID="{D7E7ABA3-C465-4AF0-AB88-0DFE9143F2A0}" presName="spNode" presStyleCnt="0"/>
      <dgm:spPr/>
    </dgm:pt>
    <dgm:pt modelId="{39C65B03-86EA-4B3D-BCDD-7FE3410045DE}" type="pres">
      <dgm:prSet presAssocID="{E90DC32C-487A-4DD1-BAA3-72E3F32902D5}" presName="sibTrans" presStyleLbl="sibTrans1D1" presStyleIdx="3" presStyleCnt="4"/>
      <dgm:spPr/>
      <dgm:t>
        <a:bodyPr/>
        <a:p>
          <a:endParaRPr lang="en-US"/>
        </a:p>
      </dgm:t>
    </dgm:pt>
  </dgm:ptLst>
  <dgm:cxnLst>
    <dgm:cxn modelId="{A4DC79CD-3DE5-45CB-8B6F-760631CC338F}" type="presOf" srcId="{D7E7ABA3-C465-4AF0-AB88-0DFE9143F2A0}" destId="{2137E941-B389-4E15-94F7-D01A8F28CBD4}" srcOrd="0" destOrd="0" presId="urn:microsoft.com/office/officeart/2005/8/layout/cycle6"/>
    <dgm:cxn modelId="{6D956BC8-F74F-4FE0-9F51-6C4ACE298BE0}" type="presOf" srcId="{F22DABE1-CD1F-490F-9CF1-B6E72FD70783}" destId="{62F45A98-C9EC-4F98-A669-825BFD498914}" srcOrd="0" destOrd="0" presId="urn:microsoft.com/office/officeart/2005/8/layout/cycle6"/>
    <dgm:cxn modelId="{31B0267A-A2AD-4128-B483-8192733430AB}" type="presOf" srcId="{982397B4-B8E6-4D85-885E-565A0BDEB585}" destId="{83A2F81E-9E5C-4608-A322-498699A63CC4}" srcOrd="0" destOrd="0" presId="urn:microsoft.com/office/officeart/2005/8/layout/cycle6"/>
    <dgm:cxn modelId="{76997EFF-A193-4D27-AB96-121C27CA7D1C}" type="presOf" srcId="{7C6CD3C4-0A04-488F-9961-8899219F889A}" destId="{0F35E762-4086-43AA-831D-EA2B9AF758D1}" srcOrd="0" destOrd="0" presId="urn:microsoft.com/office/officeart/2005/8/layout/cycle6"/>
    <dgm:cxn modelId="{2B98D7E3-9371-414F-BC0D-5612D3BCC52A}" srcId="{F22DABE1-CD1F-490F-9CF1-B6E72FD70783}" destId="{220CE0E5-680A-4EBF-85B1-014CF5C88D54}" srcOrd="2" destOrd="0" parTransId="{06051BEF-1443-48C8-BF3D-68E4EFCC06CF}" sibTransId="{0373BFB3-52C2-4A7D-B73F-FABDCD79D090}"/>
    <dgm:cxn modelId="{B2B3D6A7-7190-455E-9A14-41177912C241}" srcId="{F22DABE1-CD1F-490F-9CF1-B6E72FD70783}" destId="{D7E7ABA3-C465-4AF0-AB88-0DFE9143F2A0}" srcOrd="3" destOrd="0" parTransId="{C284C570-8BF6-4393-8EC4-8040AF0E954D}" sibTransId="{E90DC32C-487A-4DD1-BAA3-72E3F32902D5}"/>
    <dgm:cxn modelId="{D2977327-3584-4FBB-86F1-506E2384B731}" srcId="{F22DABE1-CD1F-490F-9CF1-B6E72FD70783}" destId="{982397B4-B8E6-4D85-885E-565A0BDEB585}" srcOrd="1" destOrd="0" parTransId="{E028F2B9-5EDE-49A4-BFD2-BCCDC837162C}" sibTransId="{39B96F39-31C2-432A-B192-546EB07688DD}"/>
    <dgm:cxn modelId="{B6FAAF8D-B756-4BAD-A002-D3248DDF6F3C}" type="presOf" srcId="{E90DC32C-487A-4DD1-BAA3-72E3F32902D5}" destId="{39C65B03-86EA-4B3D-BCDD-7FE3410045DE}" srcOrd="0" destOrd="0" presId="urn:microsoft.com/office/officeart/2005/8/layout/cycle6"/>
    <dgm:cxn modelId="{76ADBB30-5F10-4C8B-9091-DEE78246C494}" srcId="{F22DABE1-CD1F-490F-9CF1-B6E72FD70783}" destId="{0B0E57DF-64F8-491C-AACD-DB71454967DB}" srcOrd="0" destOrd="0" parTransId="{4ECDA1D1-9018-467A-8902-01480009C533}" sibTransId="{7C6CD3C4-0A04-488F-9961-8899219F889A}"/>
    <dgm:cxn modelId="{6521E7DB-6C3A-41D6-BEE6-77E2163B9530}" type="presOf" srcId="{0B0E57DF-64F8-491C-AACD-DB71454967DB}" destId="{B2CC8923-00DF-4628-942F-651FE7308728}" srcOrd="0" destOrd="0" presId="urn:microsoft.com/office/officeart/2005/8/layout/cycle6"/>
    <dgm:cxn modelId="{139375AA-E0AC-406F-95FB-47D141C6DE82}" type="presOf" srcId="{39B96F39-31C2-432A-B192-546EB07688DD}" destId="{581F6223-BF4B-4E71-B285-16930C4E2988}" srcOrd="0" destOrd="0" presId="urn:microsoft.com/office/officeart/2005/8/layout/cycle6"/>
    <dgm:cxn modelId="{14A1676B-8E1C-46B0-8D8D-40691E3245AB}" type="presOf" srcId="{220CE0E5-680A-4EBF-85B1-014CF5C88D54}" destId="{AD35FBDC-B406-4FFC-9F98-1577496D8002}" srcOrd="0" destOrd="0" presId="urn:microsoft.com/office/officeart/2005/8/layout/cycle6"/>
    <dgm:cxn modelId="{89A2A079-4BCA-4006-B280-7F9AFFED80EA}" type="presOf" srcId="{0373BFB3-52C2-4A7D-B73F-FABDCD79D090}" destId="{E08C6399-8F75-4E0C-9C92-5AEB39F0BB8E}" srcOrd="0" destOrd="0" presId="urn:microsoft.com/office/officeart/2005/8/layout/cycle6"/>
    <dgm:cxn modelId="{C2C54CEA-74B5-4586-9CCF-BCA4283C616E}" type="presParOf" srcId="{62F45A98-C9EC-4F98-A669-825BFD498914}" destId="{B2CC8923-00DF-4628-942F-651FE7308728}" srcOrd="0" destOrd="0" presId="urn:microsoft.com/office/officeart/2005/8/layout/cycle6"/>
    <dgm:cxn modelId="{4BC37231-3161-49C7-B5B8-251206DCAC5A}" type="presParOf" srcId="{62F45A98-C9EC-4F98-A669-825BFD498914}" destId="{4EF102E6-20B5-474B-A133-756CD3DA24C6}" srcOrd="1" destOrd="0" presId="urn:microsoft.com/office/officeart/2005/8/layout/cycle6"/>
    <dgm:cxn modelId="{1A1C0E93-6883-4077-9E36-29C48559E285}" type="presParOf" srcId="{62F45A98-C9EC-4F98-A669-825BFD498914}" destId="{0F35E762-4086-43AA-831D-EA2B9AF758D1}" srcOrd="2" destOrd="0" presId="urn:microsoft.com/office/officeart/2005/8/layout/cycle6"/>
    <dgm:cxn modelId="{9D56AE8D-EFA0-4201-BEC2-0C229D9823AA}" type="presParOf" srcId="{62F45A98-C9EC-4F98-A669-825BFD498914}" destId="{83A2F81E-9E5C-4608-A322-498699A63CC4}" srcOrd="3" destOrd="0" presId="urn:microsoft.com/office/officeart/2005/8/layout/cycle6"/>
    <dgm:cxn modelId="{9AB018FB-ACBD-4794-B523-AA896D495DD4}" type="presParOf" srcId="{62F45A98-C9EC-4F98-A669-825BFD498914}" destId="{EA43C294-9027-45C3-BBE3-95C8C2A7B53B}" srcOrd="4" destOrd="0" presId="urn:microsoft.com/office/officeart/2005/8/layout/cycle6"/>
    <dgm:cxn modelId="{0F6F887B-F78B-45E1-AB62-08F7149732F1}" type="presParOf" srcId="{62F45A98-C9EC-4F98-A669-825BFD498914}" destId="{581F6223-BF4B-4E71-B285-16930C4E2988}" srcOrd="5" destOrd="0" presId="urn:microsoft.com/office/officeart/2005/8/layout/cycle6"/>
    <dgm:cxn modelId="{83C3AFB8-4587-4B65-854D-7AD13908C985}" type="presParOf" srcId="{62F45A98-C9EC-4F98-A669-825BFD498914}" destId="{AD35FBDC-B406-4FFC-9F98-1577496D8002}" srcOrd="6" destOrd="0" presId="urn:microsoft.com/office/officeart/2005/8/layout/cycle6"/>
    <dgm:cxn modelId="{E8CF818E-9821-4BBE-A488-06528BCF7999}" type="presParOf" srcId="{62F45A98-C9EC-4F98-A669-825BFD498914}" destId="{381C8007-21DE-4E6D-9D38-6AF26A955466}" srcOrd="7" destOrd="0" presId="urn:microsoft.com/office/officeart/2005/8/layout/cycle6"/>
    <dgm:cxn modelId="{645F1244-1F03-4EEA-9910-C84541A501E3}" type="presParOf" srcId="{62F45A98-C9EC-4F98-A669-825BFD498914}" destId="{E08C6399-8F75-4E0C-9C92-5AEB39F0BB8E}" srcOrd="8" destOrd="0" presId="urn:microsoft.com/office/officeart/2005/8/layout/cycle6"/>
    <dgm:cxn modelId="{5B2832AC-8784-4E9D-AF57-29C8DAC79ADB}" type="presParOf" srcId="{62F45A98-C9EC-4F98-A669-825BFD498914}" destId="{2137E941-B389-4E15-94F7-D01A8F28CBD4}" srcOrd="9" destOrd="0" presId="urn:microsoft.com/office/officeart/2005/8/layout/cycle6"/>
    <dgm:cxn modelId="{32F97E0E-2F88-4CD5-B03C-60E6C782E8E1}" type="presParOf" srcId="{62F45A98-C9EC-4F98-A669-825BFD498914}" destId="{839608B2-8D37-47E3-AAC5-6300BD1A0182}" srcOrd="10" destOrd="0" presId="urn:microsoft.com/office/officeart/2005/8/layout/cycle6"/>
    <dgm:cxn modelId="{1B4A2353-C8A6-4703-9CC6-A561B0309DFE}" type="presParOf" srcId="{62F45A98-C9EC-4F98-A669-825BFD498914}" destId="{39C65B03-86EA-4B3D-BCDD-7FE3410045DE}" srcOrd="11" destOrd="0" presId="urn:microsoft.com/office/officeart/2005/8/layout/cycle6"/>
  </dgm:cxnLst>
  <dgm:bg/>
  <dgm:whole>
    <a:ln w="12700">
      <a:solidFill>
        <a:schemeClr val="tx1"/>
      </a:solidFill>
    </a:ln>
  </dgm:whole>
</dgm:dataModel>
</file>

<file path=word/diagrams/data2.xml><?xml version="1.0" encoding="utf-8"?>
<dgm:dataModel xmlns:dgm="http://schemas.openxmlformats.org/drawingml/2006/diagram" xmlns:a="http://schemas.openxmlformats.org/drawingml/2006/main">
  <dgm:ptLst>
    <dgm:pt modelId="{00B54ED4-9F73-4312-8C6B-0316288EF00D}" type="doc">
      <dgm:prSet loTypeId="urn:microsoft.com/office/officeart/2005/8/layout/cycle5" loCatId="cycle" qsTypeId="urn:microsoft.com/office/officeart/2005/8/quickstyle/simple4" qsCatId="simple" csTypeId="urn:microsoft.com/office/officeart/2005/8/colors/colorful3" csCatId="colorful" phldr="1"/>
      <dgm:spPr/>
      <dgm:t>
        <a:bodyPr/>
        <a:p>
          <a:endParaRPr lang="en-US"/>
        </a:p>
      </dgm:t>
    </dgm:pt>
    <dgm:pt modelId="{80D748FD-EF41-4F7B-AF94-9A290C806904}">
      <dgm:prSet phldrT="[Text]" custT="1"/>
      <dgm:spPr/>
      <dgm:t>
        <a:bodyPr/>
        <a:p>
          <a:r>
            <a:rPr lang="en-GB" sz="1200" b="1">
              <a:solidFill>
                <a:schemeClr val="tx1"/>
              </a:solidFill>
              <a:latin typeface="Times New Roman" panose="02020603050405020304" charset="0"/>
              <a:cs typeface="Times New Roman" panose="02020603050405020304" charset="0"/>
            </a:rPr>
            <a:t>Decision Making</a:t>
          </a:r>
          <a:endParaRPr lang="en-US" sz="1200" b="1">
            <a:solidFill>
              <a:schemeClr val="tx1"/>
            </a:solidFill>
            <a:latin typeface="Times New Roman" panose="02020603050405020304" charset="0"/>
            <a:cs typeface="Times New Roman" panose="02020603050405020304" charset="0"/>
          </a:endParaRPr>
        </a:p>
      </dgm:t>
    </dgm:pt>
    <dgm:pt modelId="{8680E3C6-B9BF-439E-AE68-92B4B60645A7}" cxnId="{C008982A-718C-4F14-8D22-6C45FF4DC9DF}" type="parTrans">
      <dgm:prSet/>
      <dgm:spPr/>
      <dgm:t>
        <a:bodyPr/>
        <a:p>
          <a:endParaRPr lang="en-US"/>
        </a:p>
      </dgm:t>
    </dgm:pt>
    <dgm:pt modelId="{6CC5197B-4062-41E1-9B24-C28DDCF926E4}" cxnId="{C008982A-718C-4F14-8D22-6C45FF4DC9DF}" type="sibTrans">
      <dgm:prSet/>
      <dgm:spPr/>
      <dgm:t>
        <a:bodyPr/>
        <a:p>
          <a:endParaRPr lang="en-US"/>
        </a:p>
      </dgm:t>
    </dgm:pt>
    <dgm:pt modelId="{F9F9ED96-EB87-4761-8C1D-243F1CEE3013}">
      <dgm:prSet phldrT="[Text]" custT="1"/>
      <dgm:spPr/>
      <dgm:t>
        <a:bodyPr/>
        <a:p>
          <a:r>
            <a:rPr lang="en-GB" sz="1200" b="1">
              <a:solidFill>
                <a:schemeClr val="tx1"/>
              </a:solidFill>
              <a:latin typeface="Times New Roman" panose="02020603050405020304" charset="0"/>
              <a:cs typeface="Times New Roman" panose="02020603050405020304" charset="0"/>
            </a:rPr>
            <a:t>Career Development Opportunties</a:t>
          </a:r>
          <a:endParaRPr lang="en-US" sz="1200" b="1">
            <a:solidFill>
              <a:schemeClr val="tx1"/>
            </a:solidFill>
            <a:latin typeface="Times New Roman" panose="02020603050405020304" charset="0"/>
            <a:cs typeface="Times New Roman" panose="02020603050405020304" charset="0"/>
          </a:endParaRPr>
        </a:p>
      </dgm:t>
    </dgm:pt>
    <dgm:pt modelId="{76BE05B5-7A4A-48B4-8142-38AE6B5B8EA9}" cxnId="{FE51A221-D74E-4FA5-A6F6-0B1A8CA3BCC9}" type="parTrans">
      <dgm:prSet/>
      <dgm:spPr/>
      <dgm:t>
        <a:bodyPr/>
        <a:p>
          <a:endParaRPr lang="en-US"/>
        </a:p>
      </dgm:t>
    </dgm:pt>
    <dgm:pt modelId="{F95F3507-3C72-4208-B286-FDFE53E284F9}" cxnId="{FE51A221-D74E-4FA5-A6F6-0B1A8CA3BCC9}" type="sibTrans">
      <dgm:prSet/>
      <dgm:spPr/>
      <dgm:t>
        <a:bodyPr/>
        <a:p>
          <a:endParaRPr lang="en-US"/>
        </a:p>
      </dgm:t>
    </dgm:pt>
    <dgm:pt modelId="{551707BA-8A86-49E8-A7AF-D7EC5823B21C}">
      <dgm:prSet phldrT="[Text]" custT="1"/>
      <dgm:spPr/>
      <dgm:t>
        <a:bodyPr/>
        <a:p>
          <a:r>
            <a:rPr lang="en-GB" sz="1200" b="1">
              <a:solidFill>
                <a:schemeClr val="tx1"/>
              </a:solidFill>
              <a:latin typeface="Times New Roman" panose="02020603050405020304" charset="0"/>
              <a:cs typeface="Times New Roman" panose="02020603050405020304" charset="0"/>
            </a:rPr>
            <a:t>Positive Work Environment</a:t>
          </a:r>
          <a:endParaRPr lang="en-US" sz="1200" b="1">
            <a:solidFill>
              <a:schemeClr val="tx1"/>
            </a:solidFill>
            <a:latin typeface="Times New Roman" panose="02020603050405020304" charset="0"/>
            <a:cs typeface="Times New Roman" panose="02020603050405020304" charset="0"/>
          </a:endParaRPr>
        </a:p>
      </dgm:t>
    </dgm:pt>
    <dgm:pt modelId="{E186E1CC-2BCA-4ACF-A0BD-4596C1F50E95}" cxnId="{53D85FF5-44AF-4CA7-A235-498FAC61A8D5}" type="parTrans">
      <dgm:prSet/>
      <dgm:spPr/>
      <dgm:t>
        <a:bodyPr/>
        <a:p>
          <a:endParaRPr lang="en-US"/>
        </a:p>
      </dgm:t>
    </dgm:pt>
    <dgm:pt modelId="{321C394F-5CEB-490B-82EA-540C59D632DF}" cxnId="{53D85FF5-44AF-4CA7-A235-498FAC61A8D5}" type="sibTrans">
      <dgm:prSet/>
      <dgm:spPr/>
      <dgm:t>
        <a:bodyPr/>
        <a:p>
          <a:endParaRPr lang="en-US"/>
        </a:p>
      </dgm:t>
    </dgm:pt>
    <dgm:pt modelId="{4ABF2EB9-9354-408D-8EF0-B2E64AB7CFC4}">
      <dgm:prSet phldrT="[Text]" custT="1"/>
      <dgm:spPr/>
      <dgm:t>
        <a:bodyPr/>
        <a:p>
          <a:r>
            <a:rPr lang="en-GB" sz="1200" b="1">
              <a:solidFill>
                <a:schemeClr val="tx1"/>
              </a:solidFill>
              <a:latin typeface="Times New Roman" panose="02020603050405020304" charset="0"/>
              <a:cs typeface="Times New Roman" panose="02020603050405020304" charset="0"/>
            </a:rPr>
            <a:t>Recognition</a:t>
          </a:r>
          <a:endParaRPr lang="en-US" sz="1200" b="1">
            <a:solidFill>
              <a:schemeClr val="tx1"/>
            </a:solidFill>
            <a:latin typeface="Times New Roman" panose="02020603050405020304" charset="0"/>
            <a:cs typeface="Times New Roman" panose="02020603050405020304" charset="0"/>
          </a:endParaRPr>
        </a:p>
      </dgm:t>
    </dgm:pt>
    <dgm:pt modelId="{6E4136C7-5D13-4E5F-9EB9-29D351F213DB}" cxnId="{70238059-E70C-4180-B097-DDA08FA5F897}" type="parTrans">
      <dgm:prSet/>
      <dgm:spPr/>
      <dgm:t>
        <a:bodyPr/>
        <a:p>
          <a:endParaRPr lang="en-US"/>
        </a:p>
      </dgm:t>
    </dgm:pt>
    <dgm:pt modelId="{4393BA4B-40B4-4ACF-A917-A8D6330E0D5D}" cxnId="{70238059-E70C-4180-B097-DDA08FA5F897}" type="sibTrans">
      <dgm:prSet/>
      <dgm:spPr/>
      <dgm:t>
        <a:bodyPr/>
        <a:p>
          <a:endParaRPr lang="en-US"/>
        </a:p>
      </dgm:t>
    </dgm:pt>
    <dgm:pt modelId="{B8E75002-41D1-461E-8B04-CC67F1391184}">
      <dgm:prSet phldrT="[Text]" custT="1"/>
      <dgm:spPr/>
      <dgm:t>
        <a:bodyPr/>
        <a:p>
          <a:r>
            <a:rPr lang="en-GB" sz="1200" b="1">
              <a:solidFill>
                <a:schemeClr val="tx1"/>
              </a:solidFill>
              <a:latin typeface="Times New Roman" panose="02020603050405020304" charset="0"/>
              <a:cs typeface="Times New Roman" panose="02020603050405020304" charset="0"/>
            </a:rPr>
            <a:t>Financial Rewards</a:t>
          </a:r>
          <a:endParaRPr lang="en-US" sz="1200" b="1">
            <a:solidFill>
              <a:schemeClr val="tx1"/>
            </a:solidFill>
            <a:latin typeface="Times New Roman" panose="02020603050405020304" charset="0"/>
            <a:cs typeface="Times New Roman" panose="02020603050405020304" charset="0"/>
          </a:endParaRPr>
        </a:p>
      </dgm:t>
    </dgm:pt>
    <dgm:pt modelId="{92886791-255D-4471-ABF2-F6DA630DCD82}" cxnId="{F35D8DAD-41B0-49FA-9107-3FDE37A7B583}" type="parTrans">
      <dgm:prSet/>
      <dgm:spPr/>
      <dgm:t>
        <a:bodyPr/>
        <a:p>
          <a:endParaRPr lang="en-US"/>
        </a:p>
      </dgm:t>
    </dgm:pt>
    <dgm:pt modelId="{65F66A3B-8C81-4CA1-86CC-B910A43087D7}" cxnId="{F35D8DAD-41B0-49FA-9107-3FDE37A7B583}" type="sibTrans">
      <dgm:prSet/>
      <dgm:spPr/>
      <dgm:t>
        <a:bodyPr/>
        <a:p>
          <a:endParaRPr lang="en-US"/>
        </a:p>
      </dgm:t>
    </dgm:pt>
    <dgm:pt modelId="{897ACC24-5DAE-4EE6-A946-E2E479B5F452}" type="pres">
      <dgm:prSet presAssocID="{00B54ED4-9F73-4312-8C6B-0316288EF00D}" presName="cycle" presStyleCnt="0">
        <dgm:presLayoutVars>
          <dgm:dir/>
          <dgm:resizeHandles val="exact"/>
        </dgm:presLayoutVars>
      </dgm:prSet>
      <dgm:spPr/>
      <dgm:t>
        <a:bodyPr/>
        <a:p>
          <a:endParaRPr lang="en-US"/>
        </a:p>
      </dgm:t>
    </dgm:pt>
    <dgm:pt modelId="{8465B046-A62A-4006-9A56-F98AD80142BD}" type="pres">
      <dgm:prSet presAssocID="{80D748FD-EF41-4F7B-AF94-9A290C806904}" presName="node" presStyleLbl="node1" presStyleIdx="0" presStyleCnt="5">
        <dgm:presLayoutVars>
          <dgm:bulletEnabled val="1"/>
        </dgm:presLayoutVars>
      </dgm:prSet>
      <dgm:spPr/>
      <dgm:t>
        <a:bodyPr/>
        <a:p>
          <a:endParaRPr lang="en-US"/>
        </a:p>
      </dgm:t>
    </dgm:pt>
    <dgm:pt modelId="{86E8B83D-4BEF-4BB3-B1C6-C97968C16BA1}" type="pres">
      <dgm:prSet presAssocID="{80D748FD-EF41-4F7B-AF94-9A290C806904}" presName="spNode" presStyleCnt="0"/>
      <dgm:spPr/>
    </dgm:pt>
    <dgm:pt modelId="{E823B3D7-FE77-47D1-B35B-B91BB3963AB1}" type="pres">
      <dgm:prSet presAssocID="{6CC5197B-4062-41E1-9B24-C28DDCF926E4}" presName="sibTrans" presStyleLbl="sibTrans1D1" presStyleIdx="0" presStyleCnt="5"/>
      <dgm:spPr/>
      <dgm:t>
        <a:bodyPr/>
        <a:p>
          <a:endParaRPr lang="en-US"/>
        </a:p>
      </dgm:t>
    </dgm:pt>
    <dgm:pt modelId="{88D47B1D-EF1A-4455-80A9-6FE763247EC2}" type="pres">
      <dgm:prSet presAssocID="{551707BA-8A86-49E8-A7AF-D7EC5823B21C}" presName="node" presStyleLbl="node1" presStyleIdx="1" presStyleCnt="5">
        <dgm:presLayoutVars>
          <dgm:bulletEnabled val="1"/>
        </dgm:presLayoutVars>
      </dgm:prSet>
      <dgm:spPr/>
      <dgm:t>
        <a:bodyPr/>
        <a:p>
          <a:endParaRPr lang="en-US"/>
        </a:p>
      </dgm:t>
    </dgm:pt>
    <dgm:pt modelId="{40608225-1E82-4A0A-A562-EEF7B3D4A7A8}" type="pres">
      <dgm:prSet presAssocID="{551707BA-8A86-49E8-A7AF-D7EC5823B21C}" presName="spNode" presStyleCnt="0"/>
      <dgm:spPr/>
    </dgm:pt>
    <dgm:pt modelId="{ADE6B3FB-68D6-471F-BD8B-0EC46E0718B4}" type="pres">
      <dgm:prSet presAssocID="{321C394F-5CEB-490B-82EA-540C59D632DF}" presName="sibTrans" presStyleLbl="sibTrans1D1" presStyleIdx="1" presStyleCnt="5"/>
      <dgm:spPr/>
      <dgm:t>
        <a:bodyPr/>
        <a:p>
          <a:endParaRPr lang="en-US"/>
        </a:p>
      </dgm:t>
    </dgm:pt>
    <dgm:pt modelId="{CB364351-43C3-4E92-89E4-B80B4DC9594D}" type="pres">
      <dgm:prSet presAssocID="{4ABF2EB9-9354-408D-8EF0-B2E64AB7CFC4}" presName="node" presStyleLbl="node1" presStyleIdx="2" presStyleCnt="5">
        <dgm:presLayoutVars>
          <dgm:bulletEnabled val="1"/>
        </dgm:presLayoutVars>
      </dgm:prSet>
      <dgm:spPr/>
      <dgm:t>
        <a:bodyPr/>
        <a:p>
          <a:endParaRPr lang="en-US"/>
        </a:p>
      </dgm:t>
    </dgm:pt>
    <dgm:pt modelId="{9E910FF6-376B-45D1-AC4D-3842BD20DBF0}" type="pres">
      <dgm:prSet presAssocID="{4ABF2EB9-9354-408D-8EF0-B2E64AB7CFC4}" presName="spNode" presStyleCnt="0"/>
      <dgm:spPr/>
    </dgm:pt>
    <dgm:pt modelId="{D2B0373E-DD22-4B7A-B4D2-8A7C006296FB}" type="pres">
      <dgm:prSet presAssocID="{4393BA4B-40B4-4ACF-A917-A8D6330E0D5D}" presName="sibTrans" presStyleLbl="sibTrans1D1" presStyleIdx="2" presStyleCnt="5"/>
      <dgm:spPr/>
      <dgm:t>
        <a:bodyPr/>
        <a:p>
          <a:endParaRPr lang="en-US"/>
        </a:p>
      </dgm:t>
    </dgm:pt>
    <dgm:pt modelId="{C4490A5A-DC06-433F-B8D9-028B8FD24F09}" type="pres">
      <dgm:prSet presAssocID="{B8E75002-41D1-461E-8B04-CC67F1391184}" presName="node" presStyleLbl="node1" presStyleIdx="3" presStyleCnt="5">
        <dgm:presLayoutVars>
          <dgm:bulletEnabled val="1"/>
        </dgm:presLayoutVars>
      </dgm:prSet>
      <dgm:spPr/>
      <dgm:t>
        <a:bodyPr/>
        <a:p>
          <a:endParaRPr lang="en-US"/>
        </a:p>
      </dgm:t>
    </dgm:pt>
    <dgm:pt modelId="{6E0048FD-1772-4528-8076-A13A217A1B2C}" type="pres">
      <dgm:prSet presAssocID="{B8E75002-41D1-461E-8B04-CC67F1391184}" presName="spNode" presStyleCnt="0"/>
      <dgm:spPr/>
    </dgm:pt>
    <dgm:pt modelId="{4A07A2AB-3337-4B46-B761-747C196EFAC1}" type="pres">
      <dgm:prSet presAssocID="{65F66A3B-8C81-4CA1-86CC-B910A43087D7}" presName="sibTrans" presStyleLbl="sibTrans1D1" presStyleIdx="3" presStyleCnt="5"/>
      <dgm:spPr/>
      <dgm:t>
        <a:bodyPr/>
        <a:p>
          <a:endParaRPr lang="en-US"/>
        </a:p>
      </dgm:t>
    </dgm:pt>
    <dgm:pt modelId="{7BD67A3C-DFD2-4C8B-ABA7-CA536C33B454}" type="pres">
      <dgm:prSet presAssocID="{F9F9ED96-EB87-4761-8C1D-243F1CEE3013}" presName="node" presStyleLbl="node1" presStyleIdx="4" presStyleCnt="5">
        <dgm:presLayoutVars>
          <dgm:bulletEnabled val="1"/>
        </dgm:presLayoutVars>
      </dgm:prSet>
      <dgm:spPr/>
      <dgm:t>
        <a:bodyPr/>
        <a:p>
          <a:endParaRPr lang="en-US"/>
        </a:p>
      </dgm:t>
    </dgm:pt>
    <dgm:pt modelId="{C7D2D16A-D399-4050-84B6-86EB63C58376}" type="pres">
      <dgm:prSet presAssocID="{F9F9ED96-EB87-4761-8C1D-243F1CEE3013}" presName="spNode" presStyleCnt="0"/>
      <dgm:spPr/>
    </dgm:pt>
    <dgm:pt modelId="{556D35C7-8649-4614-B4B1-9AC0DB9F3320}" type="pres">
      <dgm:prSet presAssocID="{F95F3507-3C72-4208-B286-FDFE53E284F9}" presName="sibTrans" presStyleLbl="sibTrans1D1" presStyleIdx="4" presStyleCnt="5"/>
      <dgm:spPr/>
      <dgm:t>
        <a:bodyPr/>
        <a:p>
          <a:endParaRPr lang="en-US"/>
        </a:p>
      </dgm:t>
    </dgm:pt>
  </dgm:ptLst>
  <dgm:cxnLst>
    <dgm:cxn modelId="{F35D8DAD-41B0-49FA-9107-3FDE37A7B583}" srcId="{00B54ED4-9F73-4312-8C6B-0316288EF00D}" destId="{B8E75002-41D1-461E-8B04-CC67F1391184}" srcOrd="3" destOrd="0" parTransId="{92886791-255D-4471-ABF2-F6DA630DCD82}" sibTransId="{65F66A3B-8C81-4CA1-86CC-B910A43087D7}"/>
    <dgm:cxn modelId="{BC44ED48-54B4-4365-AE50-324D922AB110}" type="presOf" srcId="{F9F9ED96-EB87-4761-8C1D-243F1CEE3013}" destId="{7BD67A3C-DFD2-4C8B-ABA7-CA536C33B454}" srcOrd="0" destOrd="0" presId="urn:microsoft.com/office/officeart/2005/8/layout/cycle5"/>
    <dgm:cxn modelId="{FE51A221-D74E-4FA5-A6F6-0B1A8CA3BCC9}" srcId="{00B54ED4-9F73-4312-8C6B-0316288EF00D}" destId="{F9F9ED96-EB87-4761-8C1D-243F1CEE3013}" srcOrd="4" destOrd="0" parTransId="{76BE05B5-7A4A-48B4-8142-38AE6B5B8EA9}" sibTransId="{F95F3507-3C72-4208-B286-FDFE53E284F9}"/>
    <dgm:cxn modelId="{832CB767-6469-4340-8792-221C7A531D20}" type="presOf" srcId="{80D748FD-EF41-4F7B-AF94-9A290C806904}" destId="{8465B046-A62A-4006-9A56-F98AD80142BD}" srcOrd="0" destOrd="0" presId="urn:microsoft.com/office/officeart/2005/8/layout/cycle5"/>
    <dgm:cxn modelId="{6464CF6D-20E5-499D-9C45-4A045FFF46A5}" type="presOf" srcId="{F95F3507-3C72-4208-B286-FDFE53E284F9}" destId="{556D35C7-8649-4614-B4B1-9AC0DB9F3320}" srcOrd="0" destOrd="0" presId="urn:microsoft.com/office/officeart/2005/8/layout/cycle5"/>
    <dgm:cxn modelId="{36B50C18-819F-4A08-AF7E-C35F8594C3E2}" type="presOf" srcId="{4393BA4B-40B4-4ACF-A917-A8D6330E0D5D}" destId="{D2B0373E-DD22-4B7A-B4D2-8A7C006296FB}" srcOrd="0" destOrd="0" presId="urn:microsoft.com/office/officeart/2005/8/layout/cycle5"/>
    <dgm:cxn modelId="{C008982A-718C-4F14-8D22-6C45FF4DC9DF}" srcId="{00B54ED4-9F73-4312-8C6B-0316288EF00D}" destId="{80D748FD-EF41-4F7B-AF94-9A290C806904}" srcOrd="0" destOrd="0" parTransId="{8680E3C6-B9BF-439E-AE68-92B4B60645A7}" sibTransId="{6CC5197B-4062-41E1-9B24-C28DDCF926E4}"/>
    <dgm:cxn modelId="{75BFE556-09E3-4A59-BAF6-5231924AC032}" type="presOf" srcId="{321C394F-5CEB-490B-82EA-540C59D632DF}" destId="{ADE6B3FB-68D6-471F-BD8B-0EC46E0718B4}" srcOrd="0" destOrd="0" presId="urn:microsoft.com/office/officeart/2005/8/layout/cycle5"/>
    <dgm:cxn modelId="{6C381425-3AFF-47BD-AD89-C3AB29C8A70B}" type="presOf" srcId="{00B54ED4-9F73-4312-8C6B-0316288EF00D}" destId="{897ACC24-5DAE-4EE6-A946-E2E479B5F452}" srcOrd="0" destOrd="0" presId="urn:microsoft.com/office/officeart/2005/8/layout/cycle5"/>
    <dgm:cxn modelId="{56C9AA9F-9E7E-4078-AE3A-3D9E4E2330FE}" type="presOf" srcId="{65F66A3B-8C81-4CA1-86CC-B910A43087D7}" destId="{4A07A2AB-3337-4B46-B761-747C196EFAC1}" srcOrd="0" destOrd="0" presId="urn:microsoft.com/office/officeart/2005/8/layout/cycle5"/>
    <dgm:cxn modelId="{59F50C48-A771-4636-97E8-25A116F7AD4A}" type="presOf" srcId="{551707BA-8A86-49E8-A7AF-D7EC5823B21C}" destId="{88D47B1D-EF1A-4455-80A9-6FE763247EC2}" srcOrd="0" destOrd="0" presId="urn:microsoft.com/office/officeart/2005/8/layout/cycle5"/>
    <dgm:cxn modelId="{16EEFE5C-34D2-4B04-9193-6AEBCCB950F8}" type="presOf" srcId="{4ABF2EB9-9354-408D-8EF0-B2E64AB7CFC4}" destId="{CB364351-43C3-4E92-89E4-B80B4DC9594D}" srcOrd="0" destOrd="0" presId="urn:microsoft.com/office/officeart/2005/8/layout/cycle5"/>
    <dgm:cxn modelId="{49630797-8F62-4806-893B-1849865C2641}" type="presOf" srcId="{6CC5197B-4062-41E1-9B24-C28DDCF926E4}" destId="{E823B3D7-FE77-47D1-B35B-B91BB3963AB1}" srcOrd="0" destOrd="0" presId="urn:microsoft.com/office/officeart/2005/8/layout/cycle5"/>
    <dgm:cxn modelId="{70238059-E70C-4180-B097-DDA08FA5F897}" srcId="{00B54ED4-9F73-4312-8C6B-0316288EF00D}" destId="{4ABF2EB9-9354-408D-8EF0-B2E64AB7CFC4}" srcOrd="2" destOrd="0" parTransId="{6E4136C7-5D13-4E5F-9EB9-29D351F213DB}" sibTransId="{4393BA4B-40B4-4ACF-A917-A8D6330E0D5D}"/>
    <dgm:cxn modelId="{53D85FF5-44AF-4CA7-A235-498FAC61A8D5}" srcId="{00B54ED4-9F73-4312-8C6B-0316288EF00D}" destId="{551707BA-8A86-49E8-A7AF-D7EC5823B21C}" srcOrd="1" destOrd="0" parTransId="{E186E1CC-2BCA-4ACF-A0BD-4596C1F50E95}" sibTransId="{321C394F-5CEB-490B-82EA-540C59D632DF}"/>
    <dgm:cxn modelId="{2E3D4A37-7AEE-4074-A008-BE4E349902E6}" type="presOf" srcId="{B8E75002-41D1-461E-8B04-CC67F1391184}" destId="{C4490A5A-DC06-433F-B8D9-028B8FD24F09}" srcOrd="0" destOrd="0" presId="urn:microsoft.com/office/officeart/2005/8/layout/cycle5"/>
    <dgm:cxn modelId="{FD55C44C-B5AC-44A6-AD18-4CE1E3D5B517}" type="presParOf" srcId="{897ACC24-5DAE-4EE6-A946-E2E479B5F452}" destId="{8465B046-A62A-4006-9A56-F98AD80142BD}" srcOrd="0" destOrd="0" presId="urn:microsoft.com/office/officeart/2005/8/layout/cycle5"/>
    <dgm:cxn modelId="{46E2ED5F-0E63-4E35-A437-204B2D3872EF}" type="presParOf" srcId="{897ACC24-5DAE-4EE6-A946-E2E479B5F452}" destId="{86E8B83D-4BEF-4BB3-B1C6-C97968C16BA1}" srcOrd="1" destOrd="0" presId="urn:microsoft.com/office/officeart/2005/8/layout/cycle5"/>
    <dgm:cxn modelId="{AAD17DFD-5318-4BD2-B4F5-64271CD91CCA}" type="presParOf" srcId="{897ACC24-5DAE-4EE6-A946-E2E479B5F452}" destId="{E823B3D7-FE77-47D1-B35B-B91BB3963AB1}" srcOrd="2" destOrd="0" presId="urn:microsoft.com/office/officeart/2005/8/layout/cycle5"/>
    <dgm:cxn modelId="{C70D80E1-5CB9-4F15-BFC9-91F0C15B7CE6}" type="presParOf" srcId="{897ACC24-5DAE-4EE6-A946-E2E479B5F452}" destId="{88D47B1D-EF1A-4455-80A9-6FE763247EC2}" srcOrd="3" destOrd="0" presId="urn:microsoft.com/office/officeart/2005/8/layout/cycle5"/>
    <dgm:cxn modelId="{0294BC7D-609A-4432-8E66-F8D6B0BCDAAF}" type="presParOf" srcId="{897ACC24-5DAE-4EE6-A946-E2E479B5F452}" destId="{40608225-1E82-4A0A-A562-EEF7B3D4A7A8}" srcOrd="4" destOrd="0" presId="urn:microsoft.com/office/officeart/2005/8/layout/cycle5"/>
    <dgm:cxn modelId="{8EC96B5B-AD53-40E7-B82E-5C395599F61C}" type="presParOf" srcId="{897ACC24-5DAE-4EE6-A946-E2E479B5F452}" destId="{ADE6B3FB-68D6-471F-BD8B-0EC46E0718B4}" srcOrd="5" destOrd="0" presId="urn:microsoft.com/office/officeart/2005/8/layout/cycle5"/>
    <dgm:cxn modelId="{5C87A380-90CF-4E02-8666-A32CCED69F89}" type="presParOf" srcId="{897ACC24-5DAE-4EE6-A946-E2E479B5F452}" destId="{CB364351-43C3-4E92-89E4-B80B4DC9594D}" srcOrd="6" destOrd="0" presId="urn:microsoft.com/office/officeart/2005/8/layout/cycle5"/>
    <dgm:cxn modelId="{3300FD50-11B9-4EA2-A92E-3E76E74C5EA3}" type="presParOf" srcId="{897ACC24-5DAE-4EE6-A946-E2E479B5F452}" destId="{9E910FF6-376B-45D1-AC4D-3842BD20DBF0}" srcOrd="7" destOrd="0" presId="urn:microsoft.com/office/officeart/2005/8/layout/cycle5"/>
    <dgm:cxn modelId="{96B38CD0-A8A1-4546-B600-72F32AADDCD4}" type="presParOf" srcId="{897ACC24-5DAE-4EE6-A946-E2E479B5F452}" destId="{D2B0373E-DD22-4B7A-B4D2-8A7C006296FB}" srcOrd="8" destOrd="0" presId="urn:microsoft.com/office/officeart/2005/8/layout/cycle5"/>
    <dgm:cxn modelId="{9F970333-A2A6-488D-A24B-CD2BC8029778}" type="presParOf" srcId="{897ACC24-5DAE-4EE6-A946-E2E479B5F452}" destId="{C4490A5A-DC06-433F-B8D9-028B8FD24F09}" srcOrd="9" destOrd="0" presId="urn:microsoft.com/office/officeart/2005/8/layout/cycle5"/>
    <dgm:cxn modelId="{1CA012E1-DBB5-432F-900A-016994417A46}" type="presParOf" srcId="{897ACC24-5DAE-4EE6-A946-E2E479B5F452}" destId="{6E0048FD-1772-4528-8076-A13A217A1B2C}" srcOrd="10" destOrd="0" presId="urn:microsoft.com/office/officeart/2005/8/layout/cycle5"/>
    <dgm:cxn modelId="{D8EE84D3-E9E2-4353-9108-4B85C8AD09F3}" type="presParOf" srcId="{897ACC24-5DAE-4EE6-A946-E2E479B5F452}" destId="{4A07A2AB-3337-4B46-B761-747C196EFAC1}" srcOrd="11" destOrd="0" presId="urn:microsoft.com/office/officeart/2005/8/layout/cycle5"/>
    <dgm:cxn modelId="{EAF27788-AE80-42FE-B4A4-599C5035CB1D}" type="presParOf" srcId="{897ACC24-5DAE-4EE6-A946-E2E479B5F452}" destId="{7BD67A3C-DFD2-4C8B-ABA7-CA536C33B454}" srcOrd="12" destOrd="0" presId="urn:microsoft.com/office/officeart/2005/8/layout/cycle5"/>
    <dgm:cxn modelId="{056FD1BB-CD8E-4EE9-9C5F-F4A77FDA9998}" type="presParOf" srcId="{897ACC24-5DAE-4EE6-A946-E2E479B5F452}" destId="{C7D2D16A-D399-4050-84B6-86EB63C58376}" srcOrd="13" destOrd="0" presId="urn:microsoft.com/office/officeart/2005/8/layout/cycle5"/>
    <dgm:cxn modelId="{B34BF48D-B2B8-4085-9F4A-ADA32A7F7CFC}" type="presParOf" srcId="{897ACC24-5DAE-4EE6-A946-E2E479B5F452}" destId="{556D35C7-8649-4614-B4B1-9AC0DB9F3320}" srcOrd="14" destOrd="0" presId="urn:microsoft.com/office/officeart/2005/8/layout/cycle5"/>
  </dgm:cxnLst>
  <dgm:bg>
    <a:solidFill>
      <a:schemeClr val="bg1"/>
    </a:solidFill>
  </dgm:bg>
  <dgm:whole>
    <a:ln w="12700">
      <a:solidFill>
        <a:schemeClr val="tx1"/>
      </a:solidFill>
    </a:ln>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CC8923-00DF-4628-942F-651FE7308728}">
      <dsp:nvSpPr>
        <dsp:cNvPr id="0" name=""/>
        <dsp:cNvSpPr/>
      </dsp:nvSpPr>
      <dsp:spPr>
        <a:xfrm>
          <a:off x="2171923" y="1764"/>
          <a:ext cx="1142553" cy="74265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Talented candidates </a:t>
          </a:r>
          <a:endParaRPr lang="en-US" sz="1300" kern="1200"/>
        </a:p>
      </dsp:txBody>
      <dsp:txXfrm>
        <a:off x="2208177" y="38018"/>
        <a:ext cx="1070045" cy="670151"/>
      </dsp:txXfrm>
    </dsp:sp>
    <dsp:sp modelId="{0F35E762-4086-43AA-831D-EA2B9AF758D1}">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3A2F81E-9E5C-4608-A322-498699A63CC4}">
      <dsp:nvSpPr>
        <dsp:cNvPr id="0" name=""/>
        <dsp:cNvSpPr/>
      </dsp:nvSpPr>
      <dsp:spPr>
        <a:xfrm>
          <a:off x="3399029" y="1228870"/>
          <a:ext cx="1142553" cy="74265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Accurate screening </a:t>
          </a:r>
          <a:endParaRPr lang="en-IN" sz="1300" kern="1200"/>
        </a:p>
      </dsp:txBody>
      <dsp:txXfrm>
        <a:off x="3435283" y="1265124"/>
        <a:ext cx="1070045" cy="670151"/>
      </dsp:txXfrm>
    </dsp:sp>
    <dsp:sp modelId="{581F6223-BF4B-4E71-B285-16930C4E2988}">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D35FBDC-B406-4FFC-9F98-1577496D8002}">
      <dsp:nvSpPr>
        <dsp:cNvPr id="0" name=""/>
        <dsp:cNvSpPr/>
      </dsp:nvSpPr>
      <dsp:spPr>
        <a:xfrm>
          <a:off x="2171923" y="2455976"/>
          <a:ext cx="1142553" cy="74265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Proactive strategic arrangement </a:t>
          </a:r>
          <a:endParaRPr lang="en-IN" sz="1300" kern="1200"/>
        </a:p>
      </dsp:txBody>
      <dsp:txXfrm>
        <a:off x="2208177" y="2492230"/>
        <a:ext cx="1070045" cy="670151"/>
      </dsp:txXfrm>
    </dsp:sp>
    <dsp:sp modelId="{E08C6399-8F75-4E0C-9C92-5AEB39F0BB8E}">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137E941-B389-4E15-94F7-D01A8F28CBD4}">
      <dsp:nvSpPr>
        <dsp:cNvPr id="0" name=""/>
        <dsp:cNvSpPr/>
      </dsp:nvSpPr>
      <dsp:spPr>
        <a:xfrm>
          <a:off x="944817" y="1228870"/>
          <a:ext cx="1142553" cy="74265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High morale and reduced turnover </a:t>
          </a:r>
          <a:endParaRPr lang="en-IN" sz="1300" kern="1200"/>
        </a:p>
      </dsp:txBody>
      <dsp:txXfrm>
        <a:off x="981071" y="1265124"/>
        <a:ext cx="1070045" cy="670151"/>
      </dsp:txXfrm>
    </dsp:sp>
    <dsp:sp modelId="{39C65B03-86EA-4B3D-BCDD-7FE3410045DE}">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65B046-A62A-4006-9A56-F98AD80142BD}">
      <dsp:nvSpPr>
        <dsp:cNvPr id="0" name=""/>
        <dsp:cNvSpPr/>
      </dsp:nvSpPr>
      <dsp:spPr>
        <a:xfrm>
          <a:off x="2218134" y="1154"/>
          <a:ext cx="1050131" cy="682585"/>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solidFill>
                <a:schemeClr val="tx1"/>
              </a:solidFill>
              <a:latin typeface="Times New Roman" panose="02020603050405020304" pitchFamily="18" charset="0"/>
              <a:cs typeface="Times New Roman" panose="02020603050405020304" pitchFamily="18" charset="0"/>
            </a:rPr>
            <a:t>Decision Making</a:t>
          </a: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2251455" y="34475"/>
        <a:ext cx="983489" cy="615943"/>
      </dsp:txXfrm>
    </dsp:sp>
    <dsp:sp modelId="{E823B3D7-FE77-47D1-B35B-B91BB3963AB1}">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88D47B1D-EF1A-4455-80A9-6FE763247EC2}">
      <dsp:nvSpPr>
        <dsp:cNvPr id="0" name=""/>
        <dsp:cNvSpPr/>
      </dsp:nvSpPr>
      <dsp:spPr>
        <a:xfrm>
          <a:off x="3516699" y="944616"/>
          <a:ext cx="1050131" cy="682585"/>
        </a:xfrm>
        <a:prstGeom prst="roundRect">
          <a:avLst/>
        </a:prstGeom>
        <a:gradFill rotWithShape="0">
          <a:gsLst>
            <a:gs pos="0">
              <a:schemeClr val="accent3">
                <a:hueOff val="2812566"/>
                <a:satOff val="-4220"/>
                <a:lumOff val="-686"/>
                <a:alphaOff val="0"/>
                <a:tint val="100000"/>
                <a:shade val="100000"/>
                <a:satMod val="130000"/>
              </a:schemeClr>
            </a:gs>
            <a:gs pos="100000">
              <a:schemeClr val="accent3">
                <a:hueOff val="2812566"/>
                <a:satOff val="-4220"/>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solidFill>
                <a:schemeClr val="tx1"/>
              </a:solidFill>
              <a:latin typeface="Times New Roman" panose="02020603050405020304" pitchFamily="18" charset="0"/>
              <a:cs typeface="Times New Roman" panose="02020603050405020304" pitchFamily="18" charset="0"/>
            </a:rPr>
            <a:t>Positive Work Environment</a:t>
          </a: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3550020" y="977937"/>
        <a:ext cx="983489" cy="615943"/>
      </dsp:txXfrm>
    </dsp:sp>
    <dsp:sp modelId="{ADE6B3FB-68D6-471F-BD8B-0EC46E0718B4}">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9525" cap="flat" cmpd="sng" algn="ctr">
          <a:solidFill>
            <a:schemeClr val="accent3">
              <a:hueOff val="2812566"/>
              <a:satOff val="-4220"/>
              <a:lumOff val="-68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B364351-43C3-4E92-89E4-B80B4DC9594D}">
      <dsp:nvSpPr>
        <dsp:cNvPr id="0" name=""/>
        <dsp:cNvSpPr/>
      </dsp:nvSpPr>
      <dsp:spPr>
        <a:xfrm>
          <a:off x="3020691" y="2471170"/>
          <a:ext cx="1050131" cy="682585"/>
        </a:xfrm>
        <a:prstGeom prst="roundRect">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solidFill>
                <a:schemeClr val="tx1"/>
              </a:solidFill>
              <a:latin typeface="Times New Roman" panose="02020603050405020304" pitchFamily="18" charset="0"/>
              <a:cs typeface="Times New Roman" panose="02020603050405020304" pitchFamily="18" charset="0"/>
            </a:rPr>
            <a:t>Recognition</a:t>
          </a: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3054012" y="2504491"/>
        <a:ext cx="983489" cy="615943"/>
      </dsp:txXfrm>
    </dsp:sp>
    <dsp:sp modelId="{D2B0373E-DD22-4B7A-B4D2-8A7C006296FB}">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9525" cap="flat" cmpd="sng" algn="ctr">
          <a:solidFill>
            <a:schemeClr val="accent3">
              <a:hueOff val="5625132"/>
              <a:satOff val="-8440"/>
              <a:lumOff val="-1373"/>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4490A5A-DC06-433F-B8D9-028B8FD24F09}">
      <dsp:nvSpPr>
        <dsp:cNvPr id="0" name=""/>
        <dsp:cNvSpPr/>
      </dsp:nvSpPr>
      <dsp:spPr>
        <a:xfrm>
          <a:off x="1415577" y="2471170"/>
          <a:ext cx="1050131" cy="682585"/>
        </a:xfrm>
        <a:prstGeom prst="roundRect">
          <a:avLst/>
        </a:prstGeom>
        <a:gradFill rotWithShape="0">
          <a:gsLst>
            <a:gs pos="0">
              <a:schemeClr val="accent3">
                <a:hueOff val="8437698"/>
                <a:satOff val="-12660"/>
                <a:lumOff val="-2059"/>
                <a:alphaOff val="0"/>
                <a:tint val="100000"/>
                <a:shade val="100000"/>
                <a:satMod val="130000"/>
              </a:schemeClr>
            </a:gs>
            <a:gs pos="100000">
              <a:schemeClr val="accent3">
                <a:hueOff val="8437698"/>
                <a:satOff val="-12660"/>
                <a:lumOff val="-20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solidFill>
                <a:schemeClr val="tx1"/>
              </a:solidFill>
              <a:latin typeface="Times New Roman" panose="02020603050405020304" pitchFamily="18" charset="0"/>
              <a:cs typeface="Times New Roman" panose="02020603050405020304" pitchFamily="18" charset="0"/>
            </a:rPr>
            <a:t>Financial Rewards</a:t>
          </a: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1448898" y="2504491"/>
        <a:ext cx="983489" cy="615943"/>
      </dsp:txXfrm>
    </dsp:sp>
    <dsp:sp modelId="{4A07A2AB-3337-4B46-B761-747C196EFAC1}">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9525" cap="flat" cmpd="sng" algn="ctr">
          <a:solidFill>
            <a:schemeClr val="accent3">
              <a:hueOff val="8437698"/>
              <a:satOff val="-12660"/>
              <a:lumOff val="-2059"/>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BD67A3C-DFD2-4C8B-ABA7-CA536C33B454}">
      <dsp:nvSpPr>
        <dsp:cNvPr id="0" name=""/>
        <dsp:cNvSpPr/>
      </dsp:nvSpPr>
      <dsp:spPr>
        <a:xfrm>
          <a:off x="919569" y="944616"/>
          <a:ext cx="1050131" cy="682585"/>
        </a:xfrm>
        <a:prstGeom prst="roundRect">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solidFill>
                <a:schemeClr val="tx1"/>
              </a:solidFill>
              <a:latin typeface="Times New Roman" panose="02020603050405020304" pitchFamily="18" charset="0"/>
              <a:cs typeface="Times New Roman" panose="02020603050405020304" pitchFamily="18" charset="0"/>
            </a:rPr>
            <a:t>Career Development Opportunties</a:t>
          </a: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952890" y="977937"/>
        <a:ext cx="983489" cy="615943"/>
      </dsp:txXfrm>
    </dsp:sp>
    <dsp:sp modelId="{556D35C7-8649-4614-B4B1-9AC0DB9F3320}">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9525" cap="flat" cmpd="sng" algn="ctr">
          <a:solidFill>
            <a:schemeClr val="accent3">
              <a:hueOff val="11250264"/>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endSty" val="noArr"/>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9EF994-4479-4395-AB3C-A10121E1752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Pages>
  <Words>4882</Words>
  <Characters>27829</Characters>
  <Lines>231</Lines>
  <Paragraphs>65</Paragraphs>
  <TotalTime>0</TotalTime>
  <ScaleCrop>false</ScaleCrop>
  <LinksUpToDate>false</LinksUpToDate>
  <CharactersWithSpaces>32646</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2020-04-18T07:03:00Z</dcterms:created>
  <dc:creator>shari</dc:creator>
  <cp:lastModifiedBy>shari</cp:lastModifiedBy>
  <dcterms:modified xsi:type="dcterms:W3CDTF">2020-05-06T16:19:08Z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ies>
</file>