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AF872" w14:textId="1FE39FE1" w:rsidR="00CF313B" w:rsidRPr="00C27B32" w:rsidRDefault="007622A0" w:rsidP="00C27B32">
      <w:pPr>
        <w:jc w:val="center"/>
        <w:rPr>
          <w:rFonts w:ascii="Arial" w:hAnsi="Arial" w:cs="Arial"/>
        </w:rPr>
      </w:pPr>
      <w:r w:rsidRPr="00C27B32">
        <w:rPr>
          <w:rFonts w:ascii="Arial" w:hAnsi="Arial" w:cs="Arial"/>
        </w:rPr>
        <w:t xml:space="preserve">Module title: </w:t>
      </w:r>
      <w:r w:rsidR="000078C0" w:rsidRPr="00C27B32">
        <w:rPr>
          <w:rFonts w:ascii="Arial" w:hAnsi="Arial" w:cs="Arial"/>
        </w:rPr>
        <w:t>Psychology in health and social care</w:t>
      </w:r>
    </w:p>
    <w:p w14:paraId="12E4AFCE" w14:textId="6FE3B1AC" w:rsidR="00A27C1D" w:rsidRPr="00C27B32" w:rsidRDefault="00A27C1D" w:rsidP="00C27B32">
      <w:pPr>
        <w:jc w:val="center"/>
        <w:rPr>
          <w:rFonts w:ascii="Arial" w:hAnsi="Arial" w:cs="Arial"/>
        </w:rPr>
      </w:pPr>
      <w:r w:rsidRPr="00C27B32">
        <w:rPr>
          <w:rFonts w:ascii="Arial" w:hAnsi="Arial" w:cs="Arial"/>
        </w:rPr>
        <w:t xml:space="preserve">Module code: </w:t>
      </w:r>
      <w:r w:rsidR="00BC456A" w:rsidRPr="00C27B32">
        <w:rPr>
          <w:rFonts w:ascii="Arial" w:hAnsi="Arial" w:cs="Arial"/>
        </w:rPr>
        <w:t>LCHS4010</w:t>
      </w:r>
    </w:p>
    <w:p w14:paraId="64AA7024" w14:textId="588835F5" w:rsidR="004704BB" w:rsidRPr="00C27B32" w:rsidRDefault="004704BB" w:rsidP="00C27B32">
      <w:pPr>
        <w:jc w:val="center"/>
        <w:rPr>
          <w:rFonts w:ascii="Arial" w:hAnsi="Arial" w:cs="Arial"/>
        </w:rPr>
      </w:pPr>
      <w:r w:rsidRPr="00C27B32">
        <w:rPr>
          <w:rFonts w:ascii="Arial" w:hAnsi="Arial" w:cs="Arial"/>
        </w:rPr>
        <w:t xml:space="preserve">Module lead: </w:t>
      </w:r>
      <w:r w:rsidR="007E2429" w:rsidRPr="00C27B32">
        <w:rPr>
          <w:rFonts w:ascii="Arial" w:hAnsi="Arial" w:cs="Arial"/>
        </w:rPr>
        <w:t>Neale</w:t>
      </w:r>
      <w:r w:rsidRPr="00C27B32">
        <w:rPr>
          <w:rFonts w:ascii="Arial" w:hAnsi="Arial" w:cs="Arial"/>
        </w:rPr>
        <w:t xml:space="preserve"> </w:t>
      </w:r>
      <w:r w:rsidR="007E2429" w:rsidRPr="00C27B32">
        <w:rPr>
          <w:rFonts w:ascii="Arial" w:hAnsi="Arial" w:cs="Arial"/>
        </w:rPr>
        <w:t>Haddon</w:t>
      </w:r>
    </w:p>
    <w:p w14:paraId="790B1E5C" w14:textId="7C8AECE3" w:rsidR="007622A0" w:rsidRPr="00C27B32" w:rsidRDefault="000078C0" w:rsidP="00C27B32">
      <w:pPr>
        <w:jc w:val="center"/>
        <w:rPr>
          <w:rFonts w:ascii="Arial" w:hAnsi="Arial" w:cs="Arial"/>
        </w:rPr>
      </w:pPr>
      <w:r w:rsidRPr="00C27B32">
        <w:rPr>
          <w:rFonts w:ascii="Arial" w:hAnsi="Arial" w:cs="Arial"/>
        </w:rPr>
        <w:t xml:space="preserve">Student name: </w:t>
      </w:r>
      <w:r w:rsidR="0032604A" w:rsidRPr="00C27B32">
        <w:rPr>
          <w:rFonts w:ascii="Arial" w:hAnsi="Arial" w:cs="Arial"/>
        </w:rPr>
        <w:t>Hinna Hussain</w:t>
      </w:r>
    </w:p>
    <w:p w14:paraId="29D89EFA" w14:textId="19DAE35E" w:rsidR="000078C0" w:rsidRDefault="000078C0" w:rsidP="00C27B32">
      <w:pPr>
        <w:jc w:val="center"/>
      </w:pPr>
      <w:r w:rsidRPr="00C27B32">
        <w:rPr>
          <w:rFonts w:ascii="Arial" w:hAnsi="Arial" w:cs="Arial"/>
        </w:rPr>
        <w:t>Student ID:</w:t>
      </w:r>
      <w:r w:rsidR="0032604A" w:rsidRPr="00C27B32">
        <w:rPr>
          <w:rFonts w:ascii="Arial" w:hAnsi="Arial" w:cs="Arial"/>
        </w:rPr>
        <w:t xml:space="preserve"> </w:t>
      </w:r>
      <w:r w:rsidR="00EE75EC" w:rsidRPr="00C27B32">
        <w:rPr>
          <w:rFonts w:ascii="Arial" w:hAnsi="Arial" w:cs="Arial"/>
        </w:rPr>
        <w:t>2419356</w:t>
      </w:r>
    </w:p>
    <w:p w14:paraId="74BCC13D" w14:textId="4CC11F4E" w:rsidR="007E2429" w:rsidRDefault="007E2429"/>
    <w:p w14:paraId="311AAC72" w14:textId="77777777" w:rsidR="00EE75EC" w:rsidRDefault="00EE75EC"/>
    <w:p w14:paraId="203E6548" w14:textId="77777777" w:rsidR="000078C0" w:rsidRDefault="000078C0"/>
    <w:p w14:paraId="1AB1057B" w14:textId="77777777" w:rsidR="00CF313B" w:rsidRDefault="00CF313B">
      <w:r>
        <w:br w:type="page"/>
      </w:r>
    </w:p>
    <w:p w14:paraId="5583D541" w14:textId="77777777" w:rsidR="00CF313B" w:rsidRPr="00CF313B" w:rsidRDefault="00CF313B" w:rsidP="00CF313B">
      <w:pPr>
        <w:rPr>
          <w:rFonts w:ascii="Arial" w:hAnsi="Arial" w:cs="Arial"/>
        </w:rPr>
      </w:pPr>
      <w:r w:rsidRPr="00CF313B">
        <w:rPr>
          <w:rFonts w:ascii="Arial" w:hAnsi="Arial" w:cs="Arial"/>
        </w:rPr>
        <w:lastRenderedPageBreak/>
        <w:t xml:space="preserve">Introduction </w:t>
      </w:r>
    </w:p>
    <w:p w14:paraId="33042ED8" w14:textId="77777777" w:rsidR="00CF313B" w:rsidRPr="00CF313B" w:rsidRDefault="00CF313B" w:rsidP="00CF313B">
      <w:pPr>
        <w:rPr>
          <w:rFonts w:ascii="Arial" w:hAnsi="Arial" w:cs="Arial"/>
        </w:rPr>
      </w:pPr>
      <w:r w:rsidRPr="00CF313B">
        <w:rPr>
          <w:rFonts w:ascii="Arial" w:hAnsi="Arial" w:cs="Arial"/>
        </w:rPr>
        <w:t>Older people aged 65 and above are at a higher risk of developing psychological health conditions like dementia a progressive neurocognitive disorder which affects memory, reasoning and emotional control. Dementia does not only distort the cognitive ability of an individual, but it also has a significant impact on his or her identity, independence, and social belonging (</w:t>
      </w:r>
      <w:proofErr w:type="spellStart"/>
      <w:r w:rsidRPr="00CF313B">
        <w:rPr>
          <w:rFonts w:ascii="Arial" w:hAnsi="Arial" w:cs="Arial"/>
        </w:rPr>
        <w:t>Bendowska</w:t>
      </w:r>
      <w:proofErr w:type="spellEnd"/>
      <w:r w:rsidRPr="00CF313B">
        <w:rPr>
          <w:rFonts w:ascii="Arial" w:hAnsi="Arial" w:cs="Arial"/>
        </w:rPr>
        <w:t xml:space="preserve"> and Baum, 2023). In health and social care practices, it is crucial to know psychological processes involved in behaviour and emotion to provide dignified and quality life person-centred support. Psychological theories offer concepts by which professionals can understand how the status of older adults is changing, predict challenges in behaviour, and design interventions that promote emotional good health and social interaction. The current report uses Erikson Psychosocial Theory of Development and Maslow Hierarchy of Needs to critically examine the ways in which they inform practical strategies to support older adults with dementia.  </w:t>
      </w:r>
    </w:p>
    <w:p w14:paraId="4285EB76" w14:textId="77777777" w:rsidR="00CF313B" w:rsidRPr="00CF313B" w:rsidRDefault="00CF313B" w:rsidP="00CF313B">
      <w:pPr>
        <w:rPr>
          <w:rFonts w:ascii="Arial" w:hAnsi="Arial" w:cs="Arial"/>
        </w:rPr>
      </w:pPr>
    </w:p>
    <w:p w14:paraId="26A6E34A" w14:textId="77777777" w:rsidR="00CF313B" w:rsidRPr="00CF313B" w:rsidRDefault="00CF313B" w:rsidP="00CF313B">
      <w:pPr>
        <w:rPr>
          <w:rFonts w:ascii="Arial" w:hAnsi="Arial" w:cs="Arial"/>
        </w:rPr>
      </w:pPr>
      <w:r w:rsidRPr="00CF313B">
        <w:rPr>
          <w:rFonts w:ascii="Arial" w:hAnsi="Arial" w:cs="Arial"/>
        </w:rPr>
        <w:t xml:space="preserve">  Psychosocial Theory of Development </w:t>
      </w:r>
    </w:p>
    <w:p w14:paraId="66C1B370" w14:textId="77777777" w:rsidR="00CF313B" w:rsidRPr="00CF313B" w:rsidRDefault="00CF313B" w:rsidP="00CF313B">
      <w:pPr>
        <w:rPr>
          <w:rFonts w:ascii="Arial" w:hAnsi="Arial" w:cs="Arial"/>
        </w:rPr>
      </w:pPr>
      <w:r w:rsidRPr="00CF313B">
        <w:rPr>
          <w:rFonts w:ascii="Arial" w:hAnsi="Arial" w:cs="Arial"/>
        </w:rPr>
        <w:t xml:space="preserve">The Psychosocial Theory of Development was developed by Erik Erikson (1963). This theory assumes that human development occurs in eight progressive steps however in each step there is a fundamental psychosocial conflict that needs to be resolved to ensure healthy personality development (Erikson, 1963, as discussed in Christiansen and </w:t>
      </w:r>
      <w:proofErr w:type="spellStart"/>
      <w:r w:rsidRPr="00CF313B">
        <w:rPr>
          <w:rFonts w:ascii="Arial" w:hAnsi="Arial" w:cs="Arial"/>
        </w:rPr>
        <w:t>Palkovitz</w:t>
      </w:r>
      <w:proofErr w:type="spellEnd"/>
      <w:r w:rsidRPr="00CF313B">
        <w:rPr>
          <w:rFonts w:ascii="Arial" w:hAnsi="Arial" w:cs="Arial"/>
        </w:rPr>
        <w:t xml:space="preserve">, 1998). The stages include the personal bargaining between the internal psychological needs and the external social needs. Every stage is based on the results of the previous </w:t>
      </w:r>
      <w:proofErr w:type="gramStart"/>
      <w:r w:rsidRPr="00CF313B">
        <w:rPr>
          <w:rFonts w:ascii="Arial" w:hAnsi="Arial" w:cs="Arial"/>
        </w:rPr>
        <w:t>stage,</w:t>
      </w:r>
      <w:proofErr w:type="gramEnd"/>
      <w:r w:rsidRPr="00CF313B">
        <w:rPr>
          <w:rFonts w:ascii="Arial" w:hAnsi="Arial" w:cs="Arial"/>
        </w:rPr>
        <w:t xml:space="preserve"> this means that the unresolved crises could come up as vulnerabilities in the future life. The eighth and last stage, which is relevant to older individuals is called ego integrity versus despair. This happens when people consider their life accomplishments and purpose. The effective solution is wisdom, acceptance, and fulfilment, and failure can be linked to regrets, hopelessness, and a fear of death (Malone et al., 2016). </w:t>
      </w:r>
    </w:p>
    <w:p w14:paraId="300DAE53" w14:textId="77777777" w:rsidR="00CF313B" w:rsidRPr="00CF313B" w:rsidRDefault="00CF313B" w:rsidP="00CF313B">
      <w:pPr>
        <w:rPr>
          <w:rFonts w:ascii="Arial" w:hAnsi="Arial" w:cs="Arial"/>
        </w:rPr>
      </w:pPr>
    </w:p>
    <w:p w14:paraId="17E56971" w14:textId="77777777" w:rsidR="00CF313B" w:rsidRPr="00CF313B" w:rsidRDefault="00CF313B" w:rsidP="00CF313B">
      <w:pPr>
        <w:rPr>
          <w:rFonts w:ascii="Arial" w:hAnsi="Arial" w:cs="Arial"/>
        </w:rPr>
      </w:pPr>
      <w:r w:rsidRPr="00CF313B">
        <w:rPr>
          <w:rFonts w:ascii="Arial" w:hAnsi="Arial" w:cs="Arial"/>
        </w:rPr>
        <w:t xml:space="preserve">Ego integrity at this stage symbolizes the final phase of a life story. This is the internal feeling that life has been valuable despite its flaws (Van Manen and Whitbourne, 1997). On the other hand, despair is a manifestation of failure or unrealized potential, with or without depression, bitterness or existential anxiety. This struggle is especially sharp with older adults who experience deteriorating physical health, mental deterioration, and social deprivation. The late adulthood stage therefore requires cognitive re-adjustment but a direct emotional adjustment whereby people struggle to ensure that their identity is consistent even amid declining mental abilities (Whitbourne and Waterman, 1979; Tetsuka, 2021). </w:t>
      </w:r>
    </w:p>
    <w:p w14:paraId="570ACBDF" w14:textId="77777777" w:rsidR="00CF313B" w:rsidRPr="00CF313B" w:rsidRDefault="00CF313B" w:rsidP="00CF313B">
      <w:pPr>
        <w:rPr>
          <w:rFonts w:ascii="Arial" w:hAnsi="Arial" w:cs="Arial"/>
        </w:rPr>
      </w:pPr>
    </w:p>
    <w:p w14:paraId="543C1037" w14:textId="77777777" w:rsidR="00CF313B" w:rsidRPr="00CF313B" w:rsidRDefault="00CF313B" w:rsidP="00CF313B">
      <w:pPr>
        <w:rPr>
          <w:rFonts w:ascii="Arial" w:hAnsi="Arial" w:cs="Arial"/>
        </w:rPr>
      </w:pPr>
      <w:r w:rsidRPr="00CF313B">
        <w:rPr>
          <w:rFonts w:ascii="Arial" w:hAnsi="Arial" w:cs="Arial"/>
        </w:rPr>
        <w:lastRenderedPageBreak/>
        <w:t xml:space="preserve">Patients who have dementia can be confused, agitated, withdrawn not only as a symptom of the neurodegenerative process but also as a sign of impaired identity and integrity. Using the psychosocial theory of development will prompt the practitioner to use a developmentally informed approach, which acknowledges that older adults continue to perform psychosocial work, despite impaired cognitive functions (Marcia, 2002). Life review therapy, as an example, operationalises the principle of ego integrity by advocating reminiscence and reflection on past experiences </w:t>
      </w:r>
      <w:proofErr w:type="gramStart"/>
      <w:r w:rsidRPr="00CF313B">
        <w:rPr>
          <w:rFonts w:ascii="Arial" w:hAnsi="Arial" w:cs="Arial"/>
        </w:rPr>
        <w:t>in an attempt to</w:t>
      </w:r>
      <w:proofErr w:type="gramEnd"/>
      <w:r w:rsidRPr="00CF313B">
        <w:rPr>
          <w:rFonts w:ascii="Arial" w:hAnsi="Arial" w:cs="Arial"/>
        </w:rPr>
        <w:t xml:space="preserve"> re-write a coherent sense of self. It has been demonstrated that this intervention leads to emotional stability, depressive symptoms reduction, and wellbeing improvement in older adults with mild to moderate dementia (Malone et al., 2016). Caregivers enable older persons to reestablish personal meaning and continuity of identity by enabling them to engage in remembering and reinterpret their regrets (Tetsuka, 2021). The theory advocates the practitioners to empower residents by letting them make small decisions, including formulating the kind of clothes they wear or the food they eat or the types of activities they do </w:t>
      </w:r>
      <w:proofErr w:type="gramStart"/>
      <w:r w:rsidRPr="00CF313B">
        <w:rPr>
          <w:rFonts w:ascii="Arial" w:hAnsi="Arial" w:cs="Arial"/>
        </w:rPr>
        <w:t>on a daily basis</w:t>
      </w:r>
      <w:proofErr w:type="gramEnd"/>
      <w:r w:rsidRPr="00CF313B">
        <w:rPr>
          <w:rFonts w:ascii="Arial" w:hAnsi="Arial" w:cs="Arial"/>
        </w:rPr>
        <w:t xml:space="preserve">. This will reduce hopelessness caused by dependency and strengthen the sense of purpose despite cognitive impairment (Reynolds et al., 2022).  </w:t>
      </w:r>
    </w:p>
    <w:p w14:paraId="1F46DE88" w14:textId="77777777" w:rsidR="00CF313B" w:rsidRPr="00CF313B" w:rsidRDefault="00CF313B" w:rsidP="00CF313B">
      <w:pPr>
        <w:rPr>
          <w:rFonts w:ascii="Arial" w:hAnsi="Arial" w:cs="Arial"/>
        </w:rPr>
      </w:pPr>
    </w:p>
    <w:p w14:paraId="7CD3C4FE" w14:textId="77777777" w:rsidR="00CF313B" w:rsidRPr="00CF313B" w:rsidRDefault="00CF313B" w:rsidP="00CF313B">
      <w:pPr>
        <w:rPr>
          <w:rFonts w:ascii="Arial" w:hAnsi="Arial" w:cs="Arial"/>
        </w:rPr>
      </w:pPr>
      <w:r w:rsidRPr="00CF313B">
        <w:rPr>
          <w:rFonts w:ascii="Arial" w:hAnsi="Arial" w:cs="Arial"/>
        </w:rPr>
        <w:t xml:space="preserve">However, the theory is biased towards western culture where the idea of linear progress and autonomous self-reflection might not hold true in collective cultures where identity is relational and community-oriented (Marcia, 2002). Moreover, Erikson phases lack operationalizability and are abstract in nature and thus, constructs such as integrity, despair, or integrity are difficult to operationalise and thus, difficult to measure empirically. In dementia patients of advanced cognitive impairment, introspection and verbal expression might be highly limited, which prevents the direct evaluation of psychosocial resolution (Tetsuka, 2021). There are also scholars who claim that the framework created by Erikson does not provide adequate explanations of the phenomenon of neurological degeneration that essentially changes the cognitive processes that exist to form the self-concept and memory (Whitbourne and Waterman, 1979). </w:t>
      </w:r>
    </w:p>
    <w:p w14:paraId="63395050" w14:textId="77777777" w:rsidR="00CF313B" w:rsidRPr="00CF313B" w:rsidRDefault="00CF313B" w:rsidP="00CF313B">
      <w:pPr>
        <w:rPr>
          <w:rFonts w:ascii="Arial" w:hAnsi="Arial" w:cs="Arial"/>
        </w:rPr>
      </w:pPr>
    </w:p>
    <w:p w14:paraId="28CAF9A3" w14:textId="77777777" w:rsidR="00CF313B" w:rsidRPr="00CF313B" w:rsidRDefault="00CF313B" w:rsidP="00CF313B">
      <w:pPr>
        <w:rPr>
          <w:rFonts w:ascii="Arial" w:hAnsi="Arial" w:cs="Arial"/>
        </w:rPr>
      </w:pPr>
      <w:r w:rsidRPr="00CF313B">
        <w:rPr>
          <w:rFonts w:ascii="Arial" w:hAnsi="Arial" w:cs="Arial"/>
        </w:rPr>
        <w:t xml:space="preserve">Maslow Hierarchy of Needs </w:t>
      </w:r>
    </w:p>
    <w:p w14:paraId="23B8CBEA" w14:textId="77777777" w:rsidR="00CF313B" w:rsidRPr="00CF313B" w:rsidRDefault="00CF313B" w:rsidP="00CF313B">
      <w:pPr>
        <w:rPr>
          <w:rFonts w:ascii="Arial" w:hAnsi="Arial" w:cs="Arial"/>
        </w:rPr>
      </w:pPr>
      <w:r w:rsidRPr="00CF313B">
        <w:rPr>
          <w:rFonts w:ascii="Arial" w:hAnsi="Arial" w:cs="Arial"/>
        </w:rPr>
        <w:t xml:space="preserve">Hierarchy of Needs (As shown in Figure 1) based on the work of Abraham Maslow (1943, 1970) portrays a holistic and humanistic approach of explaining the motivational foundation of human behaviour. It postulates that people aim to satisfy a set of hierarchical needs including physiological, safety, love and belonging, esteem, and self-actualisation needs that are combined to determine wellbeing and psychological development (Lester et al., 1983). Later, Maslow added to this model self-transcendence, which means searching the meaning that is not self-centred. The hierarchy is not strictly linear but dynamic whereby there is a possibility of movement between levels as situations and individual abilities vary (Saunders, </w:t>
      </w:r>
      <w:r w:rsidRPr="00CF313B">
        <w:rPr>
          <w:rFonts w:ascii="Arial" w:hAnsi="Arial" w:cs="Arial"/>
        </w:rPr>
        <w:lastRenderedPageBreak/>
        <w:t xml:space="preserve">Munro and Bore, 1998). The model </w:t>
      </w:r>
      <w:proofErr w:type="gramStart"/>
      <w:r w:rsidRPr="00CF313B">
        <w:rPr>
          <w:rFonts w:ascii="Arial" w:hAnsi="Arial" w:cs="Arial"/>
        </w:rPr>
        <w:t>is based on the assumption</w:t>
      </w:r>
      <w:proofErr w:type="gramEnd"/>
      <w:r w:rsidRPr="00CF313B">
        <w:rPr>
          <w:rFonts w:ascii="Arial" w:hAnsi="Arial" w:cs="Arial"/>
        </w:rPr>
        <w:t xml:space="preserve"> that the satisfaction of higher-order needs is limited by the unmet lower-order needs, which suggests that the mental health and fulfilment depend on the cumulative satisfaction of the basic needs including the safety, belonging, and respect (Amani and Shabahang, 2017). </w:t>
      </w:r>
    </w:p>
    <w:p w14:paraId="037388CF" w14:textId="77777777" w:rsidR="00CF313B" w:rsidRPr="00CF313B" w:rsidRDefault="00CF313B" w:rsidP="00CF313B">
      <w:pPr>
        <w:rPr>
          <w:rFonts w:ascii="Arial" w:hAnsi="Arial" w:cs="Arial"/>
        </w:rPr>
      </w:pPr>
    </w:p>
    <w:p w14:paraId="0254148A" w14:textId="77777777" w:rsidR="00CF313B" w:rsidRPr="00CF313B" w:rsidRDefault="00CF313B" w:rsidP="00CF313B">
      <w:pPr>
        <w:rPr>
          <w:rFonts w:ascii="Arial" w:hAnsi="Arial" w:cs="Arial"/>
        </w:rPr>
      </w:pPr>
      <w:r w:rsidRPr="00CF313B">
        <w:rPr>
          <w:rFonts w:ascii="Arial" w:hAnsi="Arial" w:cs="Arial"/>
        </w:rPr>
        <w:t xml:space="preserve">Figure 1 </w:t>
      </w:r>
    </w:p>
    <w:p w14:paraId="3F85EB6C" w14:textId="77777777" w:rsidR="00CF313B" w:rsidRDefault="00CF313B" w:rsidP="00CF313B">
      <w:pPr>
        <w:rPr>
          <w:rFonts w:ascii="Arial" w:hAnsi="Arial" w:cs="Arial"/>
        </w:rPr>
      </w:pPr>
      <w:r w:rsidRPr="00CF313B">
        <w:rPr>
          <w:rFonts w:ascii="Arial" w:hAnsi="Arial" w:cs="Arial"/>
        </w:rPr>
        <w:t xml:space="preserve">Maslow Hierarchy of Needs </w:t>
      </w:r>
    </w:p>
    <w:p w14:paraId="6496EB36" w14:textId="07879AFC" w:rsidR="00CF313B" w:rsidRPr="00CF313B" w:rsidRDefault="00CF313B" w:rsidP="00CF313B">
      <w:pPr>
        <w:rPr>
          <w:rFonts w:ascii="Arial" w:hAnsi="Arial" w:cs="Arial"/>
        </w:rPr>
      </w:pPr>
      <w:r>
        <w:rPr>
          <w:noProof/>
        </w:rPr>
        <w:drawing>
          <wp:inline distT="0" distB="0" distL="0" distR="0" wp14:anchorId="78515C22" wp14:editId="64487318">
            <wp:extent cx="4533900" cy="3581400"/>
            <wp:effectExtent l="0" t="0" r="0" b="0"/>
            <wp:docPr id="8" name="Picture 4"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slow's Hierarchy of Needs | Simply Psycholog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33900" cy="3581400"/>
                    </a:xfrm>
                    <a:prstGeom prst="rect">
                      <a:avLst/>
                    </a:prstGeom>
                    <a:noFill/>
                    <a:ln>
                      <a:noFill/>
                    </a:ln>
                  </pic:spPr>
                </pic:pic>
              </a:graphicData>
            </a:graphic>
          </wp:inline>
        </w:drawing>
      </w:r>
    </w:p>
    <w:p w14:paraId="0FA55D23" w14:textId="0F513E66" w:rsidR="00CF313B" w:rsidRPr="00CF313B" w:rsidRDefault="00CF313B" w:rsidP="00CF313B">
      <w:pPr>
        <w:rPr>
          <w:rFonts w:ascii="Arial" w:hAnsi="Arial" w:cs="Arial"/>
        </w:rPr>
      </w:pPr>
    </w:p>
    <w:p w14:paraId="27DA5E5E" w14:textId="77777777" w:rsidR="00CF313B" w:rsidRPr="00CF313B" w:rsidRDefault="00CF313B" w:rsidP="00CF313B">
      <w:pPr>
        <w:rPr>
          <w:rFonts w:ascii="Arial" w:hAnsi="Arial" w:cs="Arial"/>
        </w:rPr>
      </w:pPr>
      <w:r w:rsidRPr="00CF313B">
        <w:rPr>
          <w:rFonts w:ascii="Arial" w:hAnsi="Arial" w:cs="Arial"/>
        </w:rPr>
        <w:t xml:space="preserve">The theory by Maslow offers a conceptual application in psychological and physiological care in the light of older adults, especially people with dementia. Dementia causes progressive deterioration in cognition, memory and independence which most likely jeopardizes the levels of Maslow hierarchy (Thielke et al., 2011). Physiological needs, including nutrition, sleep, and hygiene, are also put in danger since people lose their self-care skills. Guarantee of food, personal hygiene, and physical comfort hence is the minimum level of psychological stability. Physical and emotional safety needs are also very important because when a person is confused and disoriented, it can cause anxiety and agitation (Zhang et al., 2022). The establishment of an organized setting with known routines and regular caregivers assists residents in having predictability, which is in direct correlation with emotional security (Zhang et al., 2022). After fulfilling these basic needs, belongingness and love become strong wellbeing determinants. Dementia tends to disconnect people with their families and networking bonds; therefore, grooming relationships by </w:t>
      </w:r>
      <w:r w:rsidRPr="00CF313B">
        <w:rPr>
          <w:rFonts w:ascii="Arial" w:hAnsi="Arial" w:cs="Arial"/>
        </w:rPr>
        <w:lastRenderedPageBreak/>
        <w:t xml:space="preserve">anything involving the group, understanding conversations and extending care will help maintain a feeling of connection and identity (Henwood et al., 2015). </w:t>
      </w:r>
    </w:p>
    <w:p w14:paraId="7F631755" w14:textId="77777777" w:rsidR="00CF313B" w:rsidRPr="00CF313B" w:rsidRDefault="00CF313B" w:rsidP="00CF313B">
      <w:pPr>
        <w:rPr>
          <w:rFonts w:ascii="Arial" w:hAnsi="Arial" w:cs="Arial"/>
        </w:rPr>
      </w:pPr>
    </w:p>
    <w:p w14:paraId="17831A42" w14:textId="77777777" w:rsidR="00CF313B" w:rsidRPr="00CF313B" w:rsidRDefault="00CF313B" w:rsidP="00CF313B">
      <w:pPr>
        <w:rPr>
          <w:rFonts w:ascii="Arial" w:hAnsi="Arial" w:cs="Arial"/>
        </w:rPr>
      </w:pPr>
      <w:r w:rsidRPr="00CF313B">
        <w:rPr>
          <w:rFonts w:ascii="Arial" w:hAnsi="Arial" w:cs="Arial"/>
        </w:rPr>
        <w:t xml:space="preserve">Within a care home setting, </w:t>
      </w:r>
      <w:proofErr w:type="spellStart"/>
      <w:r w:rsidRPr="00CF313B">
        <w:rPr>
          <w:rFonts w:ascii="Arial" w:hAnsi="Arial" w:cs="Arial"/>
        </w:rPr>
        <w:t>Maslows</w:t>
      </w:r>
      <w:proofErr w:type="spellEnd"/>
      <w:r w:rsidRPr="00CF313B">
        <w:rPr>
          <w:rFonts w:ascii="Arial" w:hAnsi="Arial" w:cs="Arial"/>
        </w:rPr>
        <w:t xml:space="preserve"> framework is very consistent with person centred and psychosocial models of care. As an example, modelling of calm behaviour by the staff can significantly decrease the rate of agitation among the residents, which can be explained by the observational learning principles, but is also founded on the idea of emotional safety introduced by Maslow (Henwood et al., 2015). By the care professionals showing patience, warmth and predictability, the residents absorb the feeling of safety which alleviates behavioural distress (Thielke et al., 2011). Along those same lines, keeping up with ordered schedule like regular </w:t>
      </w:r>
      <w:proofErr w:type="gramStart"/>
      <w:r w:rsidRPr="00CF313B">
        <w:rPr>
          <w:rFonts w:ascii="Arial" w:hAnsi="Arial" w:cs="Arial"/>
        </w:rPr>
        <w:t>meal times</w:t>
      </w:r>
      <w:proofErr w:type="gramEnd"/>
      <w:r w:rsidRPr="00CF313B">
        <w:rPr>
          <w:rFonts w:ascii="Arial" w:hAnsi="Arial" w:cs="Arial"/>
        </w:rPr>
        <w:t xml:space="preserve">, regular use of familiar music sessions and bedtime routines give continuity that will counteract confusion and promote a feeling of stability. Such a consistent environment, in addition to fulfilling the safety requirements, contributes to the belongingness, as the reliability of interactions indicates that one is taken care of and included. When these social and esteem needs are satisfied, the means of self-actualisation, including being involved in an art therapy session, reminiscence experience, or spiritual experience, can assist the older adults to feel fulfilled and esteemed even despite cognitive deterioration (Henwood et al., 2015). These activities support the self-worth and affirm the meaning of life, which is linked to the stage of ego integrity versus despair of Erikson. </w:t>
      </w:r>
    </w:p>
    <w:p w14:paraId="1B930B8E" w14:textId="77777777" w:rsidR="00CF313B" w:rsidRPr="00CF313B" w:rsidRDefault="00CF313B" w:rsidP="00CF313B">
      <w:pPr>
        <w:rPr>
          <w:rFonts w:ascii="Arial" w:hAnsi="Arial" w:cs="Arial"/>
        </w:rPr>
      </w:pPr>
    </w:p>
    <w:p w14:paraId="732EF530" w14:textId="77777777" w:rsidR="00CF313B" w:rsidRPr="00CF313B" w:rsidRDefault="00CF313B" w:rsidP="00CF313B">
      <w:pPr>
        <w:rPr>
          <w:rFonts w:ascii="Arial" w:hAnsi="Arial" w:cs="Arial"/>
        </w:rPr>
      </w:pPr>
      <w:r w:rsidRPr="00CF313B">
        <w:rPr>
          <w:rFonts w:ascii="Arial" w:hAnsi="Arial" w:cs="Arial"/>
        </w:rPr>
        <w:t xml:space="preserve">However, critics believe that the model supposes a certain level of rational self-awareness, which people with dementia usually do not have (Amani and Shabahang, 2017). The ranking of the needs might not apply in the case of neurodegenerative situations where cognitive impairments interfere with motivational continuity. Moreover, the Maslow paradigm as a Western model of individualism might be inadequate in reflecting cultural differences in ageing and care especially in collectivist societies where interdependence among families and communities is more important than self-actualisation (Saunders, Munro and Bore, 1998).  </w:t>
      </w:r>
    </w:p>
    <w:p w14:paraId="6B8131E3" w14:textId="77777777" w:rsidR="00CF313B" w:rsidRPr="00CF313B" w:rsidRDefault="00CF313B" w:rsidP="00CF313B">
      <w:pPr>
        <w:rPr>
          <w:rFonts w:ascii="Arial" w:hAnsi="Arial" w:cs="Arial"/>
        </w:rPr>
      </w:pPr>
    </w:p>
    <w:p w14:paraId="5663D09E" w14:textId="77777777" w:rsidR="00CF313B" w:rsidRPr="00CF313B" w:rsidRDefault="00CF313B" w:rsidP="00CF313B">
      <w:pPr>
        <w:rPr>
          <w:rFonts w:ascii="Arial" w:hAnsi="Arial" w:cs="Arial"/>
        </w:rPr>
      </w:pPr>
      <w:r w:rsidRPr="00CF313B">
        <w:rPr>
          <w:rFonts w:ascii="Arial" w:hAnsi="Arial" w:cs="Arial"/>
        </w:rPr>
        <w:t xml:space="preserve">Challenges and Strategies </w:t>
      </w:r>
    </w:p>
    <w:p w14:paraId="19BD808A" w14:textId="77777777" w:rsidR="00CF313B" w:rsidRPr="00CF313B" w:rsidRDefault="00CF313B" w:rsidP="00CF313B">
      <w:pPr>
        <w:rPr>
          <w:rFonts w:ascii="Arial" w:hAnsi="Arial" w:cs="Arial"/>
        </w:rPr>
      </w:pPr>
      <w:r w:rsidRPr="00CF313B">
        <w:rPr>
          <w:rFonts w:ascii="Arial" w:hAnsi="Arial" w:cs="Arial"/>
        </w:rPr>
        <w:t xml:space="preserve">The practical and ethical implication of applying the Psychosocial Theory of Erikson and the Hierarchy of Needs of Maslow into the care of dementia is </w:t>
      </w:r>
      <w:proofErr w:type="gramStart"/>
      <w:r w:rsidRPr="00CF313B">
        <w:rPr>
          <w:rFonts w:ascii="Arial" w:hAnsi="Arial" w:cs="Arial"/>
        </w:rPr>
        <w:t>a number of</w:t>
      </w:r>
      <w:proofErr w:type="gramEnd"/>
      <w:r w:rsidRPr="00CF313B">
        <w:rPr>
          <w:rFonts w:ascii="Arial" w:hAnsi="Arial" w:cs="Arial"/>
        </w:rPr>
        <w:t xml:space="preserve"> practical and ethical dilemmas to the health and social care practitioners. The greatest challenge is due to the cognitive deterioration and communication obstacles that are part of dementia. With the decline of memory and language, people may not be able to express their needs or feelings and professionals cannot then evaluate psychosocial conflicts which include ego integrity versus despair and higher order needs including belonging and esteem (Rickardsson and Crooks, 2021). This usually </w:t>
      </w:r>
      <w:r w:rsidRPr="00CF313B">
        <w:rPr>
          <w:rFonts w:ascii="Arial" w:hAnsi="Arial" w:cs="Arial"/>
        </w:rPr>
        <w:lastRenderedPageBreak/>
        <w:t xml:space="preserve">causes behavioural manifestations of distress that are misunderstood as lack of compliance as opposed to lack of satisfied emotional needs. Moreover, the shortage of staff training and time in the care homes are barriers to the regular application of theoretically based, person-centred interventions (Ford, Milne and </w:t>
      </w:r>
      <w:proofErr w:type="spellStart"/>
      <w:r w:rsidRPr="00CF313B">
        <w:rPr>
          <w:rFonts w:ascii="Arial" w:hAnsi="Arial" w:cs="Arial"/>
        </w:rPr>
        <w:t>Curlewis</w:t>
      </w:r>
      <w:proofErr w:type="spellEnd"/>
      <w:r w:rsidRPr="00CF313B">
        <w:rPr>
          <w:rFonts w:ascii="Arial" w:hAnsi="Arial" w:cs="Arial"/>
        </w:rPr>
        <w:t>, 2023). The heavy workload and employee turnover discourage the ability to engage in reflective practice and the emotional responsiveness of residents (</w:t>
      </w:r>
      <w:proofErr w:type="spellStart"/>
      <w:r w:rsidRPr="00CF313B">
        <w:rPr>
          <w:rFonts w:ascii="Arial" w:hAnsi="Arial" w:cs="Arial"/>
        </w:rPr>
        <w:t>Vernooij-Dassen</w:t>
      </w:r>
      <w:proofErr w:type="spellEnd"/>
      <w:r w:rsidRPr="00CF313B">
        <w:rPr>
          <w:rFonts w:ascii="Arial" w:hAnsi="Arial" w:cs="Arial"/>
        </w:rPr>
        <w:t xml:space="preserve"> et al., 2019). In addition, autonomy and consent ethical issues are often subject to ethical dilemmas. Finding the right balance between safety and accountability of individual choice is complicated in cases of a lack of cognitive ability to make decisions (Ford, Milne and </w:t>
      </w:r>
      <w:proofErr w:type="spellStart"/>
      <w:r w:rsidRPr="00CF313B">
        <w:rPr>
          <w:rFonts w:ascii="Arial" w:hAnsi="Arial" w:cs="Arial"/>
        </w:rPr>
        <w:t>Curlewis</w:t>
      </w:r>
      <w:proofErr w:type="spellEnd"/>
      <w:r w:rsidRPr="00CF313B">
        <w:rPr>
          <w:rFonts w:ascii="Arial" w:hAnsi="Arial" w:cs="Arial"/>
        </w:rPr>
        <w:t xml:space="preserve">, 2023). </w:t>
      </w:r>
    </w:p>
    <w:p w14:paraId="15F8F2FF" w14:textId="77777777" w:rsidR="00CF313B" w:rsidRPr="00CF313B" w:rsidRDefault="00CF313B" w:rsidP="00CF313B">
      <w:pPr>
        <w:rPr>
          <w:rFonts w:ascii="Arial" w:hAnsi="Arial" w:cs="Arial"/>
        </w:rPr>
      </w:pPr>
    </w:p>
    <w:p w14:paraId="0A8ED158" w14:textId="77777777" w:rsidR="00CF313B" w:rsidRPr="00CF313B" w:rsidRDefault="00CF313B" w:rsidP="00CF313B">
      <w:pPr>
        <w:rPr>
          <w:rFonts w:ascii="Arial" w:hAnsi="Arial" w:cs="Arial"/>
        </w:rPr>
      </w:pPr>
      <w:r w:rsidRPr="00CF313B">
        <w:rPr>
          <w:rFonts w:ascii="Arial" w:hAnsi="Arial" w:cs="Arial"/>
        </w:rPr>
        <w:t xml:space="preserve">To overcome these issues, practitioners are required to embrace evidence-based and collaborative practices. Frequent staff education sessions may help boost the knowledge of psychological theories, communication techniques, and behavioural management of dementia (Ford, Milne and </w:t>
      </w:r>
      <w:proofErr w:type="spellStart"/>
      <w:r w:rsidRPr="00CF313B">
        <w:rPr>
          <w:rFonts w:ascii="Arial" w:hAnsi="Arial" w:cs="Arial"/>
        </w:rPr>
        <w:t>Curlewis</w:t>
      </w:r>
      <w:proofErr w:type="spellEnd"/>
      <w:r w:rsidRPr="00CF313B">
        <w:rPr>
          <w:rFonts w:ascii="Arial" w:hAnsi="Arial" w:cs="Arial"/>
        </w:rPr>
        <w:t>, 2023). Teamwork Interdisciplinary teamwork, which incorporates nurses, psychologists, occupational therapists, and social workers, is necessary to guarantee a holistic approach and care continuity (</w:t>
      </w:r>
      <w:proofErr w:type="spellStart"/>
      <w:r w:rsidRPr="00CF313B">
        <w:rPr>
          <w:rFonts w:ascii="Arial" w:hAnsi="Arial" w:cs="Arial"/>
        </w:rPr>
        <w:t>Bendowska</w:t>
      </w:r>
      <w:proofErr w:type="spellEnd"/>
      <w:r w:rsidRPr="00CF313B">
        <w:rPr>
          <w:rFonts w:ascii="Arial" w:hAnsi="Arial" w:cs="Arial"/>
        </w:rPr>
        <w:t xml:space="preserve"> and Baum, 2023). Finally, there is need for reflective practice to allow foster of the culture of empathy, ethical awareness, and constant improvement (</w:t>
      </w:r>
      <w:proofErr w:type="spellStart"/>
      <w:r w:rsidRPr="00CF313B">
        <w:rPr>
          <w:rFonts w:ascii="Arial" w:hAnsi="Arial" w:cs="Arial"/>
        </w:rPr>
        <w:t>Bendowska</w:t>
      </w:r>
      <w:proofErr w:type="spellEnd"/>
      <w:r w:rsidRPr="00CF313B">
        <w:rPr>
          <w:rFonts w:ascii="Arial" w:hAnsi="Arial" w:cs="Arial"/>
        </w:rPr>
        <w:t xml:space="preserve"> and Baum, 2023).  </w:t>
      </w:r>
    </w:p>
    <w:p w14:paraId="2401D2FE" w14:textId="77777777" w:rsidR="00CF313B" w:rsidRPr="00CF313B" w:rsidRDefault="00CF313B" w:rsidP="00CF313B">
      <w:pPr>
        <w:rPr>
          <w:rFonts w:ascii="Arial" w:hAnsi="Arial" w:cs="Arial"/>
        </w:rPr>
      </w:pPr>
    </w:p>
    <w:p w14:paraId="384896E9" w14:textId="77777777" w:rsidR="00CF313B" w:rsidRDefault="00CF313B" w:rsidP="00CF313B">
      <w:pPr>
        <w:rPr>
          <w:rFonts w:ascii="Arial" w:hAnsi="Arial" w:cs="Arial"/>
        </w:rPr>
      </w:pPr>
      <w:r w:rsidRPr="00CF313B">
        <w:rPr>
          <w:rFonts w:ascii="Arial" w:hAnsi="Arial" w:cs="Arial"/>
        </w:rPr>
        <w:t xml:space="preserve">Conclusion </w:t>
      </w:r>
    </w:p>
    <w:p w14:paraId="61CF8069" w14:textId="77777777" w:rsidR="00747EEA" w:rsidRDefault="00CF313B" w:rsidP="00CF313B">
      <w:pPr>
        <w:rPr>
          <w:rFonts w:ascii="Arial" w:hAnsi="Arial" w:cs="Arial"/>
        </w:rPr>
      </w:pPr>
      <w:r w:rsidRPr="00CF313B">
        <w:rPr>
          <w:rFonts w:ascii="Arial" w:hAnsi="Arial" w:cs="Arial"/>
        </w:rPr>
        <w:t xml:space="preserve">In conclusion, Erikson Psychosocial Theory and </w:t>
      </w:r>
      <w:proofErr w:type="spellStart"/>
      <w:r w:rsidRPr="00CF313B">
        <w:rPr>
          <w:rFonts w:ascii="Arial" w:hAnsi="Arial" w:cs="Arial"/>
        </w:rPr>
        <w:t>Maslows</w:t>
      </w:r>
      <w:proofErr w:type="spellEnd"/>
      <w:r w:rsidRPr="00CF313B">
        <w:rPr>
          <w:rFonts w:ascii="Arial" w:hAnsi="Arial" w:cs="Arial"/>
        </w:rPr>
        <w:t xml:space="preserve"> Hierarchy of Needs can serve as a wholesome guide towards ageing and dementia care issues in the context of psychological, emotional, and motivational aspects of ageing. Erikson sheds light on the inner developmental task of attaining ego integrity and meaning in late adulthood, and Maslow puts this task in perspective in the greater hierarchy of human needs, one of safety and belonging to self-actualisation. Bringing these theories into practice, they can help health and social care workers to not only treat the physical wellbeing of older adults but also the more profound emotional and existential ones. </w:t>
      </w:r>
    </w:p>
    <w:p w14:paraId="355C99D3" w14:textId="77777777" w:rsidR="00747EEA" w:rsidRDefault="00747EEA">
      <w:pPr>
        <w:rPr>
          <w:rFonts w:ascii="Arial" w:hAnsi="Arial" w:cs="Arial"/>
        </w:rPr>
      </w:pPr>
      <w:r>
        <w:rPr>
          <w:rFonts w:ascii="Arial" w:hAnsi="Arial" w:cs="Arial"/>
        </w:rPr>
        <w:br w:type="page"/>
      </w:r>
    </w:p>
    <w:p w14:paraId="7766B955" w14:textId="63AFC86F" w:rsidR="000F34EE" w:rsidRPr="00FB22D8" w:rsidRDefault="000F34EE" w:rsidP="000F34EE">
      <w:pPr>
        <w:rPr>
          <w:rFonts w:ascii="Arial" w:hAnsi="Arial" w:cs="Arial"/>
        </w:rPr>
      </w:pPr>
      <w:r w:rsidRPr="00FB22D8">
        <w:rPr>
          <w:rFonts w:ascii="Arial" w:hAnsi="Arial" w:cs="Arial"/>
        </w:rPr>
        <w:lastRenderedPageBreak/>
        <w:t>Reference</w:t>
      </w:r>
      <w:r w:rsidR="00FB22D8">
        <w:rPr>
          <w:rFonts w:ascii="Arial" w:hAnsi="Arial" w:cs="Arial"/>
        </w:rPr>
        <w:t xml:space="preserve">s </w:t>
      </w:r>
    </w:p>
    <w:p w14:paraId="624C6608" w14:textId="24191053" w:rsidR="000F34EE" w:rsidRPr="00FB22D8" w:rsidRDefault="000F34EE" w:rsidP="000F34EE">
      <w:pPr>
        <w:rPr>
          <w:rFonts w:ascii="Arial" w:hAnsi="Arial" w:cs="Arial"/>
        </w:rPr>
      </w:pPr>
      <w:r w:rsidRPr="00FB22D8">
        <w:rPr>
          <w:rFonts w:ascii="Arial" w:hAnsi="Arial" w:cs="Arial"/>
        </w:rPr>
        <w:t xml:space="preserve">Amani, M. and Shabahang, M.J. (2017). The relationship of self-efficacy and money attitudes with mental health: mediation through Maslow’s hierarchy of needs. International Journal of Culture and Mental Health, 10(3), pp.310–319. </w:t>
      </w:r>
      <w:hyperlink r:id="rId7" w:history="1">
        <w:r w:rsidRPr="00FB22D8">
          <w:rPr>
            <w:rStyle w:val="Hyperlink"/>
            <w:rFonts w:ascii="Arial" w:hAnsi="Arial" w:cs="Arial"/>
          </w:rPr>
          <w:t>https://www.tandfonline.com/doi/full/10.1080/17542863.2017.1314517</w:t>
        </w:r>
      </w:hyperlink>
      <w:r w:rsidRPr="00FB22D8">
        <w:rPr>
          <w:rFonts w:ascii="Arial" w:hAnsi="Arial" w:cs="Arial"/>
        </w:rPr>
        <w:t xml:space="preserve"> </w:t>
      </w:r>
    </w:p>
    <w:p w14:paraId="27F31C2C" w14:textId="77777777" w:rsidR="000F34EE" w:rsidRPr="00FB22D8" w:rsidRDefault="000F34EE" w:rsidP="000F34EE">
      <w:pPr>
        <w:rPr>
          <w:rFonts w:ascii="Arial" w:hAnsi="Arial" w:cs="Arial"/>
        </w:rPr>
      </w:pPr>
    </w:p>
    <w:p w14:paraId="348C809A" w14:textId="2F48F1C2" w:rsidR="000F34EE" w:rsidRPr="00FB22D8" w:rsidRDefault="000F34EE" w:rsidP="000F34EE">
      <w:pPr>
        <w:rPr>
          <w:rFonts w:ascii="Arial" w:hAnsi="Arial" w:cs="Arial"/>
        </w:rPr>
      </w:pPr>
      <w:proofErr w:type="spellStart"/>
      <w:r w:rsidRPr="00FB22D8">
        <w:rPr>
          <w:rFonts w:ascii="Arial" w:hAnsi="Arial" w:cs="Arial"/>
        </w:rPr>
        <w:t>Bendowska</w:t>
      </w:r>
      <w:proofErr w:type="spellEnd"/>
      <w:r w:rsidRPr="00FB22D8">
        <w:rPr>
          <w:rFonts w:ascii="Arial" w:hAnsi="Arial" w:cs="Arial"/>
        </w:rPr>
        <w:t xml:space="preserve">, A. and Baum, E. (2023). The Significance of Cooperation in Interdisciplinary Health Care Teams as Perceived by Polish Medical Students. International Journal of Environmental Research and Public Health, [online] 20(2), pp.954–969. </w:t>
      </w:r>
      <w:hyperlink r:id="rId8" w:history="1">
        <w:r w:rsidRPr="00FB22D8">
          <w:rPr>
            <w:rStyle w:val="Hyperlink"/>
            <w:rFonts w:ascii="Arial" w:hAnsi="Arial" w:cs="Arial"/>
          </w:rPr>
          <w:t>https://www.mdpi.com/1660-4601/20/2/954</w:t>
        </w:r>
      </w:hyperlink>
      <w:r w:rsidRPr="00FB22D8">
        <w:rPr>
          <w:rFonts w:ascii="Arial" w:hAnsi="Arial" w:cs="Arial"/>
        </w:rPr>
        <w:t xml:space="preserve"> </w:t>
      </w:r>
      <w:r w:rsidRPr="00FB22D8">
        <w:rPr>
          <w:rFonts w:ascii="Arial" w:hAnsi="Arial" w:cs="Arial"/>
        </w:rPr>
        <w:t xml:space="preserve"> </w:t>
      </w:r>
    </w:p>
    <w:p w14:paraId="0D2E6BC4" w14:textId="77777777" w:rsidR="000F34EE" w:rsidRPr="00FB22D8" w:rsidRDefault="000F34EE" w:rsidP="000F34EE">
      <w:pPr>
        <w:rPr>
          <w:rFonts w:ascii="Arial" w:hAnsi="Arial" w:cs="Arial"/>
        </w:rPr>
      </w:pPr>
    </w:p>
    <w:p w14:paraId="48E8ED2F" w14:textId="6F7B9BF9" w:rsidR="000F34EE" w:rsidRPr="00FB22D8" w:rsidRDefault="000F34EE" w:rsidP="000F34EE">
      <w:pPr>
        <w:rPr>
          <w:rFonts w:ascii="Arial" w:hAnsi="Arial" w:cs="Arial"/>
        </w:rPr>
      </w:pPr>
      <w:r w:rsidRPr="00FB22D8">
        <w:rPr>
          <w:rFonts w:ascii="Arial" w:hAnsi="Arial" w:cs="Arial"/>
        </w:rPr>
        <w:t xml:space="preserve">Christiansen, S. and </w:t>
      </w:r>
      <w:proofErr w:type="spellStart"/>
      <w:r w:rsidRPr="00FB22D8">
        <w:rPr>
          <w:rFonts w:ascii="Arial" w:hAnsi="Arial" w:cs="Arial"/>
        </w:rPr>
        <w:t>Palkovitz</w:t>
      </w:r>
      <w:proofErr w:type="spellEnd"/>
      <w:r w:rsidRPr="00FB22D8">
        <w:rPr>
          <w:rFonts w:ascii="Arial" w:hAnsi="Arial" w:cs="Arial"/>
        </w:rPr>
        <w:t xml:space="preserve">, R. (1998). Exploring Erikson’s Psychosocial Theory of Development: Generativity and Its Relationship to Paternal Identity, Intimacy, and Involvement in Childcare. The Journal of Men’s Studies, 7(1), pp.133–156. </w:t>
      </w:r>
      <w:hyperlink r:id="rId9" w:history="1">
        <w:r w:rsidRPr="00FB22D8">
          <w:rPr>
            <w:rStyle w:val="Hyperlink"/>
            <w:rFonts w:ascii="Arial" w:hAnsi="Arial" w:cs="Arial"/>
          </w:rPr>
          <w:t>https://journals.sagepub.com/doi/10.3149/jms.0701.133</w:t>
        </w:r>
      </w:hyperlink>
      <w:r w:rsidRPr="00FB22D8">
        <w:rPr>
          <w:rFonts w:ascii="Arial" w:hAnsi="Arial" w:cs="Arial"/>
        </w:rPr>
        <w:t xml:space="preserve"> </w:t>
      </w:r>
      <w:r w:rsidRPr="00FB22D8">
        <w:rPr>
          <w:rFonts w:ascii="Arial" w:hAnsi="Arial" w:cs="Arial"/>
        </w:rPr>
        <w:t xml:space="preserve">  </w:t>
      </w:r>
    </w:p>
    <w:p w14:paraId="2ADFF9A5" w14:textId="77777777" w:rsidR="000F34EE" w:rsidRPr="00FB22D8" w:rsidRDefault="000F34EE" w:rsidP="000F34EE">
      <w:pPr>
        <w:rPr>
          <w:rFonts w:ascii="Arial" w:hAnsi="Arial" w:cs="Arial"/>
        </w:rPr>
      </w:pPr>
    </w:p>
    <w:p w14:paraId="6D78F30C" w14:textId="74792DB0" w:rsidR="000F34EE" w:rsidRPr="00FB22D8" w:rsidRDefault="000F34EE" w:rsidP="000F34EE">
      <w:pPr>
        <w:rPr>
          <w:rFonts w:ascii="Arial" w:hAnsi="Arial" w:cs="Arial"/>
        </w:rPr>
      </w:pPr>
      <w:r w:rsidRPr="00FB22D8">
        <w:rPr>
          <w:rFonts w:ascii="Arial" w:hAnsi="Arial" w:cs="Arial"/>
        </w:rPr>
        <w:t xml:space="preserve">Ford, E., Milne, R. and </w:t>
      </w:r>
      <w:proofErr w:type="spellStart"/>
      <w:r w:rsidRPr="00FB22D8">
        <w:rPr>
          <w:rFonts w:ascii="Arial" w:hAnsi="Arial" w:cs="Arial"/>
        </w:rPr>
        <w:t>Curlewis</w:t>
      </w:r>
      <w:proofErr w:type="spellEnd"/>
      <w:r w:rsidRPr="00FB22D8">
        <w:rPr>
          <w:rFonts w:ascii="Arial" w:hAnsi="Arial" w:cs="Arial"/>
        </w:rPr>
        <w:t xml:space="preserve">, K. (2023). Ethical issues when using digital biomarkers and artificial intelligence for the early detection of dementia. WIREs Data Mining and Knowledge Discovery, 13(3), pp.101–117. </w:t>
      </w:r>
      <w:hyperlink r:id="rId10" w:history="1">
        <w:r w:rsidRPr="00FB22D8">
          <w:rPr>
            <w:rStyle w:val="Hyperlink"/>
            <w:rFonts w:ascii="Arial" w:hAnsi="Arial" w:cs="Arial"/>
          </w:rPr>
          <w:t>https://wires.onlinelibrary.wiley.com/doi/10.1002/widm.1492</w:t>
        </w:r>
      </w:hyperlink>
      <w:r w:rsidRPr="00FB22D8">
        <w:rPr>
          <w:rFonts w:ascii="Arial" w:hAnsi="Arial" w:cs="Arial"/>
        </w:rPr>
        <w:t xml:space="preserve"> </w:t>
      </w:r>
      <w:r w:rsidRPr="00FB22D8">
        <w:rPr>
          <w:rFonts w:ascii="Arial" w:hAnsi="Arial" w:cs="Arial"/>
        </w:rPr>
        <w:t xml:space="preserve"> </w:t>
      </w:r>
    </w:p>
    <w:p w14:paraId="541117D5" w14:textId="77777777" w:rsidR="000F34EE" w:rsidRPr="00FB22D8" w:rsidRDefault="000F34EE" w:rsidP="000F34EE">
      <w:pPr>
        <w:rPr>
          <w:rFonts w:ascii="Arial" w:hAnsi="Arial" w:cs="Arial"/>
        </w:rPr>
      </w:pPr>
    </w:p>
    <w:p w14:paraId="2ECC259D" w14:textId="6D4306AC" w:rsidR="000F34EE" w:rsidRPr="00FB22D8" w:rsidRDefault="000F34EE" w:rsidP="000F34EE">
      <w:pPr>
        <w:rPr>
          <w:rFonts w:ascii="Arial" w:hAnsi="Arial" w:cs="Arial"/>
        </w:rPr>
      </w:pPr>
      <w:r w:rsidRPr="00FB22D8">
        <w:rPr>
          <w:rFonts w:ascii="Arial" w:hAnsi="Arial" w:cs="Arial"/>
        </w:rPr>
        <w:t xml:space="preserve">Henwood, B.F., Derejko, K.-S., Couture, J. and Padgett, D.K. (2015). Maslow and Mental Health recovery: a Comparative Study of Homeless Programs for Adults with Serious Mental Illness. Administration and Policy in Mental Health and Mental Health Services Research, [online] 42(2), pp.220–228. </w:t>
      </w:r>
      <w:hyperlink r:id="rId11" w:history="1">
        <w:r w:rsidRPr="00FB22D8">
          <w:rPr>
            <w:rStyle w:val="Hyperlink"/>
            <w:rFonts w:ascii="Arial" w:hAnsi="Arial" w:cs="Arial"/>
          </w:rPr>
          <w:t>https://link.springer.com/article/10.1007/s10488-014-0542-8</w:t>
        </w:r>
      </w:hyperlink>
      <w:r w:rsidRPr="00FB22D8">
        <w:rPr>
          <w:rFonts w:ascii="Arial" w:hAnsi="Arial" w:cs="Arial"/>
        </w:rPr>
        <w:t xml:space="preserve"> </w:t>
      </w:r>
      <w:r w:rsidRPr="00FB22D8">
        <w:rPr>
          <w:rFonts w:ascii="Arial" w:hAnsi="Arial" w:cs="Arial"/>
        </w:rPr>
        <w:t xml:space="preserve"> </w:t>
      </w:r>
    </w:p>
    <w:p w14:paraId="68CBCCB4" w14:textId="77777777" w:rsidR="000F34EE" w:rsidRPr="00FB22D8" w:rsidRDefault="000F34EE" w:rsidP="000F34EE">
      <w:pPr>
        <w:rPr>
          <w:rFonts w:ascii="Arial" w:hAnsi="Arial" w:cs="Arial"/>
        </w:rPr>
      </w:pPr>
    </w:p>
    <w:p w14:paraId="6D78F8F8" w14:textId="0B9BDDBA" w:rsidR="000F34EE" w:rsidRPr="00FB22D8" w:rsidRDefault="000F34EE" w:rsidP="000F34EE">
      <w:pPr>
        <w:rPr>
          <w:rFonts w:ascii="Arial" w:hAnsi="Arial" w:cs="Arial"/>
        </w:rPr>
      </w:pPr>
      <w:r w:rsidRPr="00FB22D8">
        <w:rPr>
          <w:rFonts w:ascii="Arial" w:hAnsi="Arial" w:cs="Arial"/>
        </w:rPr>
        <w:t xml:space="preserve">Lester, D., Hvezda, J., Sullivan, S. and Plourde, R. (1983). Maslow’s Hierarchy of Needs and Psychological Health. The Journal of General Psychology, 109(1), pp.83–85. </w:t>
      </w:r>
      <w:hyperlink r:id="rId12" w:history="1">
        <w:r w:rsidRPr="00FB22D8">
          <w:rPr>
            <w:rStyle w:val="Hyperlink"/>
            <w:rFonts w:ascii="Arial" w:hAnsi="Arial" w:cs="Arial"/>
          </w:rPr>
          <w:t>https://www.tandfonline.com/doi/abs/10.1080/00221309.1983.9711513</w:t>
        </w:r>
      </w:hyperlink>
      <w:r w:rsidRPr="00FB22D8">
        <w:rPr>
          <w:rFonts w:ascii="Arial" w:hAnsi="Arial" w:cs="Arial"/>
        </w:rPr>
        <w:t xml:space="preserve"> </w:t>
      </w:r>
    </w:p>
    <w:p w14:paraId="54F42B4B" w14:textId="77777777" w:rsidR="000F34EE" w:rsidRPr="00FB22D8" w:rsidRDefault="000F34EE" w:rsidP="000F34EE">
      <w:pPr>
        <w:rPr>
          <w:rFonts w:ascii="Arial" w:hAnsi="Arial" w:cs="Arial"/>
        </w:rPr>
      </w:pPr>
    </w:p>
    <w:p w14:paraId="362DB6FC" w14:textId="31DB51E7" w:rsidR="000F34EE" w:rsidRPr="00FB22D8" w:rsidRDefault="000F34EE" w:rsidP="000F34EE">
      <w:pPr>
        <w:rPr>
          <w:rFonts w:ascii="Arial" w:hAnsi="Arial" w:cs="Arial"/>
        </w:rPr>
      </w:pPr>
      <w:r w:rsidRPr="00FB22D8">
        <w:rPr>
          <w:rFonts w:ascii="Arial" w:hAnsi="Arial" w:cs="Arial"/>
        </w:rPr>
        <w:t xml:space="preserve">Malone, J.C., Liu, S.R., Vaillant, G.E., Rentz, D.M. and Waldinger, R.J. (2016). Midlife </w:t>
      </w:r>
      <w:proofErr w:type="spellStart"/>
      <w:r w:rsidRPr="00FB22D8">
        <w:rPr>
          <w:rFonts w:ascii="Arial" w:hAnsi="Arial" w:cs="Arial"/>
        </w:rPr>
        <w:t>Eriksonian</w:t>
      </w:r>
      <w:proofErr w:type="spellEnd"/>
      <w:r w:rsidRPr="00FB22D8">
        <w:rPr>
          <w:rFonts w:ascii="Arial" w:hAnsi="Arial" w:cs="Arial"/>
        </w:rPr>
        <w:t xml:space="preserve"> psychosocial development: Setting the stage for late-life cognitive and emotional health. Developmental Psychology, [online] 52(3), pp.496–508. </w:t>
      </w:r>
      <w:hyperlink r:id="rId13" w:history="1">
        <w:r w:rsidRPr="00FB22D8">
          <w:rPr>
            <w:rStyle w:val="Hyperlink"/>
            <w:rFonts w:ascii="Arial" w:hAnsi="Arial" w:cs="Arial"/>
          </w:rPr>
          <w:t>https://psycnet.apa.org/doiLanding?doi=10.1037%2Fa0039875</w:t>
        </w:r>
      </w:hyperlink>
      <w:r w:rsidRPr="00FB22D8">
        <w:rPr>
          <w:rFonts w:ascii="Arial" w:hAnsi="Arial" w:cs="Arial"/>
        </w:rPr>
        <w:t xml:space="preserve"> </w:t>
      </w:r>
    </w:p>
    <w:p w14:paraId="12D1BA1D" w14:textId="77777777" w:rsidR="000F34EE" w:rsidRPr="00FB22D8" w:rsidRDefault="000F34EE" w:rsidP="000F34EE">
      <w:pPr>
        <w:rPr>
          <w:rFonts w:ascii="Arial" w:hAnsi="Arial" w:cs="Arial"/>
        </w:rPr>
      </w:pPr>
    </w:p>
    <w:p w14:paraId="634CA905" w14:textId="53A6058D" w:rsidR="00CF313B" w:rsidRPr="00FB22D8" w:rsidRDefault="000F34EE" w:rsidP="000F34EE">
      <w:pPr>
        <w:rPr>
          <w:rFonts w:ascii="Arial" w:hAnsi="Arial" w:cs="Arial"/>
        </w:rPr>
      </w:pPr>
      <w:r w:rsidRPr="00FB22D8">
        <w:rPr>
          <w:rFonts w:ascii="Arial" w:hAnsi="Arial" w:cs="Arial"/>
        </w:rPr>
        <w:lastRenderedPageBreak/>
        <w:t xml:space="preserve">Marcia, J.E. (2002). Identity and Psychosocial Development in Adulthood. Identity, 2(1), pp.7–28. </w:t>
      </w:r>
      <w:hyperlink r:id="rId14" w:history="1">
        <w:r w:rsidRPr="00FB22D8">
          <w:rPr>
            <w:rStyle w:val="Hyperlink"/>
            <w:rFonts w:ascii="Arial" w:hAnsi="Arial" w:cs="Arial"/>
          </w:rPr>
          <w:t>https://www.tandfonline.com/doi/abs/10.1207/S1532706XID0201_02</w:t>
        </w:r>
      </w:hyperlink>
      <w:r w:rsidRPr="00FB22D8">
        <w:rPr>
          <w:rFonts w:ascii="Arial" w:hAnsi="Arial" w:cs="Arial"/>
        </w:rPr>
        <w:t xml:space="preserve"> </w:t>
      </w:r>
    </w:p>
    <w:sectPr w:rsidR="00CF313B" w:rsidRPr="00FB22D8">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1B05E" w14:textId="77777777" w:rsidR="00C22392" w:rsidRDefault="00C22392" w:rsidP="00747EEA">
      <w:pPr>
        <w:spacing w:after="0" w:line="240" w:lineRule="auto"/>
      </w:pPr>
      <w:r>
        <w:separator/>
      </w:r>
    </w:p>
  </w:endnote>
  <w:endnote w:type="continuationSeparator" w:id="0">
    <w:p w14:paraId="0A34DB8E" w14:textId="77777777" w:rsidR="00C22392" w:rsidRDefault="00C22392" w:rsidP="00747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F63100" w14:textId="77777777" w:rsidR="00747EEA" w:rsidRDefault="00747E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585928"/>
      <w:docPartObj>
        <w:docPartGallery w:val="Page Numbers (Bottom of Page)"/>
        <w:docPartUnique/>
      </w:docPartObj>
    </w:sdtPr>
    <w:sdtContent>
      <w:p w14:paraId="5819DEF8" w14:textId="54361721" w:rsidR="003C0209" w:rsidRDefault="003C0209">
        <w:pPr>
          <w:pStyle w:val="Footer"/>
          <w:jc w:val="right"/>
        </w:pPr>
        <w:r>
          <w:fldChar w:fldCharType="begin"/>
        </w:r>
        <w:r>
          <w:instrText>PAGE   \* MERGEFORMAT</w:instrText>
        </w:r>
        <w:r>
          <w:fldChar w:fldCharType="separate"/>
        </w:r>
        <w:r>
          <w:t>2</w:t>
        </w:r>
        <w:r>
          <w:fldChar w:fldCharType="end"/>
        </w:r>
      </w:p>
    </w:sdtContent>
  </w:sdt>
  <w:p w14:paraId="154B5184" w14:textId="77777777" w:rsidR="00747EEA" w:rsidRDefault="00747E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BA4BAA" w14:textId="77777777" w:rsidR="00747EEA" w:rsidRDefault="00747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207E95" w14:textId="77777777" w:rsidR="00C22392" w:rsidRDefault="00C22392" w:rsidP="00747EEA">
      <w:pPr>
        <w:spacing w:after="0" w:line="240" w:lineRule="auto"/>
      </w:pPr>
      <w:r>
        <w:separator/>
      </w:r>
    </w:p>
  </w:footnote>
  <w:footnote w:type="continuationSeparator" w:id="0">
    <w:p w14:paraId="3F04CDB0" w14:textId="77777777" w:rsidR="00C22392" w:rsidRDefault="00C22392" w:rsidP="00747E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4CA595" w14:textId="77777777" w:rsidR="00747EEA" w:rsidRDefault="00747E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57C2CE" w14:textId="77777777" w:rsidR="00747EEA" w:rsidRDefault="00747E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51D74" w14:textId="77777777" w:rsidR="00747EEA" w:rsidRDefault="00747E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13B"/>
    <w:rsid w:val="000078C0"/>
    <w:rsid w:val="000F34EE"/>
    <w:rsid w:val="0032604A"/>
    <w:rsid w:val="003C0209"/>
    <w:rsid w:val="004704BB"/>
    <w:rsid w:val="00747EEA"/>
    <w:rsid w:val="007622A0"/>
    <w:rsid w:val="007E2429"/>
    <w:rsid w:val="00A27C1D"/>
    <w:rsid w:val="00B1172D"/>
    <w:rsid w:val="00B26A20"/>
    <w:rsid w:val="00BC456A"/>
    <w:rsid w:val="00C22392"/>
    <w:rsid w:val="00C27B32"/>
    <w:rsid w:val="00CF313B"/>
    <w:rsid w:val="00D136E4"/>
    <w:rsid w:val="00EE75EC"/>
    <w:rsid w:val="00FB2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EF6D7"/>
  <w15:chartTrackingRefBased/>
  <w15:docId w15:val="{69FBDA3B-65E4-41CB-9964-E68C6D3CD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1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31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31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31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31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31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31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31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31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1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31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31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31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31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31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31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31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313B"/>
    <w:rPr>
      <w:rFonts w:eastAsiaTheme="majorEastAsia" w:cstheme="majorBidi"/>
      <w:color w:val="272727" w:themeColor="text1" w:themeTint="D8"/>
    </w:rPr>
  </w:style>
  <w:style w:type="paragraph" w:styleId="Title">
    <w:name w:val="Title"/>
    <w:basedOn w:val="Normal"/>
    <w:next w:val="Normal"/>
    <w:link w:val="TitleChar"/>
    <w:uiPriority w:val="10"/>
    <w:qFormat/>
    <w:rsid w:val="00CF31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31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31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31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313B"/>
    <w:pPr>
      <w:spacing w:before="160"/>
      <w:jc w:val="center"/>
    </w:pPr>
    <w:rPr>
      <w:i/>
      <w:iCs/>
      <w:color w:val="404040" w:themeColor="text1" w:themeTint="BF"/>
    </w:rPr>
  </w:style>
  <w:style w:type="character" w:customStyle="1" w:styleId="QuoteChar">
    <w:name w:val="Quote Char"/>
    <w:basedOn w:val="DefaultParagraphFont"/>
    <w:link w:val="Quote"/>
    <w:uiPriority w:val="29"/>
    <w:rsid w:val="00CF313B"/>
    <w:rPr>
      <w:i/>
      <w:iCs/>
      <w:color w:val="404040" w:themeColor="text1" w:themeTint="BF"/>
    </w:rPr>
  </w:style>
  <w:style w:type="paragraph" w:styleId="ListParagraph">
    <w:name w:val="List Paragraph"/>
    <w:basedOn w:val="Normal"/>
    <w:uiPriority w:val="34"/>
    <w:qFormat/>
    <w:rsid w:val="00CF313B"/>
    <w:pPr>
      <w:ind w:left="720"/>
      <w:contextualSpacing/>
    </w:pPr>
  </w:style>
  <w:style w:type="character" w:styleId="IntenseEmphasis">
    <w:name w:val="Intense Emphasis"/>
    <w:basedOn w:val="DefaultParagraphFont"/>
    <w:uiPriority w:val="21"/>
    <w:qFormat/>
    <w:rsid w:val="00CF313B"/>
    <w:rPr>
      <w:i/>
      <w:iCs/>
      <w:color w:val="0F4761" w:themeColor="accent1" w:themeShade="BF"/>
    </w:rPr>
  </w:style>
  <w:style w:type="paragraph" w:styleId="IntenseQuote">
    <w:name w:val="Intense Quote"/>
    <w:basedOn w:val="Normal"/>
    <w:next w:val="Normal"/>
    <w:link w:val="IntenseQuoteChar"/>
    <w:uiPriority w:val="30"/>
    <w:qFormat/>
    <w:rsid w:val="00CF31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313B"/>
    <w:rPr>
      <w:i/>
      <w:iCs/>
      <w:color w:val="0F4761" w:themeColor="accent1" w:themeShade="BF"/>
    </w:rPr>
  </w:style>
  <w:style w:type="character" w:styleId="IntenseReference">
    <w:name w:val="Intense Reference"/>
    <w:basedOn w:val="DefaultParagraphFont"/>
    <w:uiPriority w:val="32"/>
    <w:qFormat/>
    <w:rsid w:val="00CF313B"/>
    <w:rPr>
      <w:b/>
      <w:bCs/>
      <w:smallCaps/>
      <w:color w:val="0F4761" w:themeColor="accent1" w:themeShade="BF"/>
      <w:spacing w:val="5"/>
    </w:rPr>
  </w:style>
  <w:style w:type="paragraph" w:styleId="Header">
    <w:name w:val="header"/>
    <w:basedOn w:val="Normal"/>
    <w:link w:val="HeaderChar"/>
    <w:uiPriority w:val="99"/>
    <w:unhideWhenUsed/>
    <w:rsid w:val="00747E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EEA"/>
  </w:style>
  <w:style w:type="paragraph" w:styleId="Footer">
    <w:name w:val="footer"/>
    <w:basedOn w:val="Normal"/>
    <w:link w:val="FooterChar"/>
    <w:uiPriority w:val="99"/>
    <w:unhideWhenUsed/>
    <w:rsid w:val="00747E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EEA"/>
  </w:style>
  <w:style w:type="character" w:styleId="Hyperlink">
    <w:name w:val="Hyperlink"/>
    <w:basedOn w:val="DefaultParagraphFont"/>
    <w:uiPriority w:val="99"/>
    <w:unhideWhenUsed/>
    <w:rsid w:val="000F34EE"/>
    <w:rPr>
      <w:color w:val="467886" w:themeColor="hyperlink"/>
      <w:u w:val="single"/>
    </w:rPr>
  </w:style>
  <w:style w:type="character" w:styleId="UnresolvedMention">
    <w:name w:val="Unresolved Mention"/>
    <w:basedOn w:val="DefaultParagraphFont"/>
    <w:uiPriority w:val="99"/>
    <w:semiHidden/>
    <w:unhideWhenUsed/>
    <w:rsid w:val="000F34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1660-4601/20/2/954" TargetMode="External"/><Relationship Id="rId13" Type="http://schemas.openxmlformats.org/officeDocument/2006/relationships/hyperlink" Target="https://psycnet.apa.org/doiLanding?doi=10.1037%2Fa0039875" TargetMode="Externa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tandfonline.com/doi/full/10.1080/17542863.2017.1314517" TargetMode="External"/><Relationship Id="rId12" Type="http://schemas.openxmlformats.org/officeDocument/2006/relationships/hyperlink" Target="https://www.tandfonline.com/doi/abs/10.1080/00221309.1983.9711513"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link.springer.com/article/10.1007/s10488-014-0542-8"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ires.onlinelibrary.wiley.com/doi/10.1002/widm.1492" TargetMode="Externa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journals.sagepub.com/doi/10.3149/jms.0701.133" TargetMode="External"/><Relationship Id="rId14" Type="http://schemas.openxmlformats.org/officeDocument/2006/relationships/hyperlink" Target="https://www.tandfonline.com/doi/abs/10.1207/S1532706XID0201_0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155</TotalTime>
  <Pages>8</Pages>
  <Words>2297</Words>
  <Characters>13098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hinna hussain</dc:creator>
  <cp:keywords/>
  <dc:description/>
  <cp:lastModifiedBy>hinna hussain</cp:lastModifiedBy>
  <cp:revision>16</cp:revision>
  <dcterms:created xsi:type="dcterms:W3CDTF">2025-11-17T17:10:00Z</dcterms:created>
  <dcterms:modified xsi:type="dcterms:W3CDTF">2025-11-18T00:48:00Z</dcterms:modified>
</cp:coreProperties>
</file>