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381863453"/>
        <w:docPartObj>
          <w:docPartGallery w:val="Cover Pages"/>
          <w:docPartUnique/>
        </w:docPartObj>
      </w:sdtPr>
      <w:sdtContent>
        <w:p w14:paraId="21FECDFB" w14:textId="2C6C7D0A" w:rsidR="00E524E9" w:rsidRPr="00524A63" w:rsidRDefault="0054123D" w:rsidP="00524A63">
          <w:pPr>
            <w:spacing w:line="360" w:lineRule="auto"/>
            <w:rPr>
              <w:rFonts w:ascii="Arial" w:hAnsi="Arial" w:cs="Arial"/>
            </w:rPr>
          </w:pPr>
          <w:r w:rsidRPr="00524A63">
            <w:rPr>
              <w:rFonts w:ascii="Arial" w:hAnsi="Arial" w:cs="Arial"/>
              <w:noProof/>
            </w:rPr>
            <mc:AlternateContent>
              <mc:Choice Requires="wps">
                <w:drawing>
                  <wp:anchor distT="0" distB="0" distL="114300" distR="114300" simplePos="0" relativeHeight="251658240" behindDoc="0" locked="0" layoutInCell="1" allowOverlap="1" wp14:anchorId="215C7C66" wp14:editId="5A80F34D">
                    <wp:simplePos x="0" y="0"/>
                    <wp:positionH relativeFrom="margin">
                      <wp:posOffset>-692150</wp:posOffset>
                    </wp:positionH>
                    <wp:positionV relativeFrom="margin">
                      <wp:posOffset>3816350</wp:posOffset>
                    </wp:positionV>
                    <wp:extent cx="7315200" cy="42672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426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BD02D" w14:textId="1ABA82C8" w:rsidR="00E524E9" w:rsidRPr="008F1B0A" w:rsidRDefault="00E524E9" w:rsidP="00D455AF">
                                <w:pPr>
                                  <w:jc w:val="center"/>
                                  <w:rPr>
                                    <w:sz w:val="36"/>
                                    <w:szCs w:val="36"/>
                                  </w:rPr>
                                </w:pPr>
                              </w:p>
                              <w:sdt>
                                <w:sdtPr>
                                  <w:rPr>
                                    <w:rFonts w:ascii="Arial" w:eastAsiaTheme="minorEastAsia" w:hAnsi="Arial" w:cs="Arial"/>
                                    <w:b/>
                                    <w:bCs/>
                                    <w:caps/>
                                    <w:sz w:val="32"/>
                                    <w:szCs w:val="32"/>
                                    <w:lang w:val="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017E098C" w14:textId="319AF304" w:rsidR="00E524E9" w:rsidRPr="008F1B0A" w:rsidRDefault="00507903" w:rsidP="00152585">
                                    <w:pPr>
                                      <w:spacing w:line="360" w:lineRule="auto"/>
                                      <w:jc w:val="center"/>
                                      <w:rPr>
                                        <w:sz w:val="36"/>
                                        <w:szCs w:val="36"/>
                                      </w:rPr>
                                    </w:pPr>
                                    <w:r w:rsidRPr="00E33DC7">
                                      <w:rPr>
                                        <w:rFonts w:ascii="Arial" w:eastAsiaTheme="minorEastAsia" w:hAnsi="Arial" w:cs="Arial"/>
                                        <w:b/>
                                        <w:bCs/>
                                        <w:caps/>
                                        <w:sz w:val="32"/>
                                        <w:szCs w:val="32"/>
                                        <w:lang w:val="en-US"/>
                                      </w:rPr>
                                      <w:t>ahlam bchini</w:t>
                                    </w:r>
                                    <w:r w:rsidR="00D455AF" w:rsidRPr="00E33DC7">
                                      <w:rPr>
                                        <w:rFonts w:ascii="Arial" w:eastAsiaTheme="minorEastAsia" w:hAnsi="Arial" w:cs="Arial"/>
                                        <w:b/>
                                        <w:bCs/>
                                        <w:caps/>
                                        <w:sz w:val="32"/>
                                        <w:szCs w:val="32"/>
                                        <w:lang w:val="en-US"/>
                                      </w:rPr>
                                      <w:br/>
                                      <w:t>2</w:t>
                                    </w:r>
                                    <w:r w:rsidR="005D3451" w:rsidRPr="00E33DC7">
                                      <w:rPr>
                                        <w:rFonts w:ascii="Arial" w:eastAsiaTheme="minorEastAsia" w:hAnsi="Arial" w:cs="Arial"/>
                                        <w:b/>
                                        <w:bCs/>
                                        <w:caps/>
                                        <w:sz w:val="32"/>
                                        <w:szCs w:val="32"/>
                                        <w:lang w:val="en-US"/>
                                      </w:rPr>
                                      <w:t>439423</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module code:</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lchs4010</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lecturer’s</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name:</w:t>
                                    </w:r>
                                    <w:r w:rsidR="00D455AF" w:rsidRPr="00E33DC7">
                                      <w:rPr>
                                        <w:rFonts w:ascii="Arial" w:eastAsiaTheme="minorEastAsia" w:hAnsi="Arial" w:cs="Arial"/>
                                        <w:b/>
                                        <w:bCs/>
                                        <w:caps/>
                                        <w:sz w:val="32"/>
                                        <w:szCs w:val="32"/>
                                        <w:lang w:val="en-US"/>
                                      </w:rPr>
                                      <w:t xml:space="preserve"> </w:t>
                                    </w:r>
                                    <w:r w:rsidR="008F1B0A" w:rsidRPr="00E33DC7">
                                      <w:rPr>
                                        <w:rFonts w:ascii="Arial" w:eastAsiaTheme="minorEastAsia" w:hAnsi="Arial" w:cs="Arial"/>
                                        <w:b/>
                                        <w:bCs/>
                                        <w:caps/>
                                        <w:sz w:val="32"/>
                                        <w:szCs w:val="32"/>
                                        <w:lang w:val="en-US"/>
                                      </w:rPr>
                                      <w:t>ALICE CLAYTON</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assigment</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title: component</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2 report</w:t>
                                    </w:r>
                                    <w:r w:rsidR="005D3451" w:rsidRPr="00E33DC7">
                                      <w:rPr>
                                        <w:rFonts w:ascii="Arial" w:eastAsiaTheme="minorEastAsia" w:hAnsi="Arial" w:cs="Arial"/>
                                        <w:b/>
                                        <w:bCs/>
                                        <w:caps/>
                                        <w:sz w:val="32"/>
                                        <w:szCs w:val="32"/>
                                        <w:lang w:val="en-US"/>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15C7C66" id="_x0000_t202" coordsize="21600,21600" o:spt="202" path="m,l,21600r21600,l21600,xe">
                    <v:stroke joinstyle="miter"/>
                    <v:path gradientshapeok="t" o:connecttype="rect"/>
                  </v:shapetype>
                  <v:shape id="Text Box 161" o:spid="_x0000_s1026" type="#_x0000_t202" style="position:absolute;margin-left:-54.5pt;margin-top:300.5pt;width:8in;height:336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" filled="f" stroked="f" strokeweight=".5pt">
                    <v:textbox inset="126pt,0,54pt,0">
                      <w:txbxContent>
                        <w:p w14:paraId="124BD02D" w14:textId="1ABA82C8" w:rsidR="00E524E9" w:rsidRPr="008F1B0A" w:rsidRDefault="00E524E9" w:rsidP="00D455AF">
                          <w:pPr>
                            <w:jc w:val="center"/>
                            <w:rPr>
                              <w:sz w:val="36"/>
                              <w:szCs w:val="36"/>
                            </w:rPr>
                          </w:pPr>
                        </w:p>
                        <w:sdt>
                          <w:sdtPr>
                            <w:rPr>
                              <w:rFonts w:ascii="Arial" w:eastAsiaTheme="minorEastAsia" w:hAnsi="Arial" w:cs="Arial"/>
                              <w:b/>
                              <w:bCs/>
                              <w:caps/>
                              <w:sz w:val="32"/>
                              <w:szCs w:val="32"/>
                              <w:lang w:val="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017E098C" w14:textId="319AF304" w:rsidR="00E524E9" w:rsidRPr="008F1B0A" w:rsidRDefault="00507903" w:rsidP="00152585">
                              <w:pPr>
                                <w:spacing w:line="360" w:lineRule="auto"/>
                                <w:jc w:val="center"/>
                                <w:rPr>
                                  <w:sz w:val="36"/>
                                  <w:szCs w:val="36"/>
                                </w:rPr>
                              </w:pPr>
                              <w:r w:rsidRPr="00E33DC7">
                                <w:rPr>
                                  <w:rFonts w:ascii="Arial" w:eastAsiaTheme="minorEastAsia" w:hAnsi="Arial" w:cs="Arial"/>
                                  <w:b/>
                                  <w:bCs/>
                                  <w:caps/>
                                  <w:sz w:val="32"/>
                                  <w:szCs w:val="32"/>
                                  <w:lang w:val="en-US"/>
                                </w:rPr>
                                <w:t>ahlam bchini</w:t>
                              </w:r>
                              <w:r w:rsidR="00D455AF" w:rsidRPr="00E33DC7">
                                <w:rPr>
                                  <w:rFonts w:ascii="Arial" w:eastAsiaTheme="minorEastAsia" w:hAnsi="Arial" w:cs="Arial"/>
                                  <w:b/>
                                  <w:bCs/>
                                  <w:caps/>
                                  <w:sz w:val="32"/>
                                  <w:szCs w:val="32"/>
                                  <w:lang w:val="en-US"/>
                                </w:rPr>
                                <w:br/>
                                <w:t>2</w:t>
                              </w:r>
                              <w:r w:rsidR="005D3451" w:rsidRPr="00E33DC7">
                                <w:rPr>
                                  <w:rFonts w:ascii="Arial" w:eastAsiaTheme="minorEastAsia" w:hAnsi="Arial" w:cs="Arial"/>
                                  <w:b/>
                                  <w:bCs/>
                                  <w:caps/>
                                  <w:sz w:val="32"/>
                                  <w:szCs w:val="32"/>
                                  <w:lang w:val="en-US"/>
                                </w:rPr>
                                <w:t>439423</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module code:</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lchs4010</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lecturer’s</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name:</w:t>
                              </w:r>
                              <w:r w:rsidR="00D455AF" w:rsidRPr="00E33DC7">
                                <w:rPr>
                                  <w:rFonts w:ascii="Arial" w:eastAsiaTheme="minorEastAsia" w:hAnsi="Arial" w:cs="Arial"/>
                                  <w:b/>
                                  <w:bCs/>
                                  <w:caps/>
                                  <w:sz w:val="32"/>
                                  <w:szCs w:val="32"/>
                                  <w:lang w:val="en-US"/>
                                </w:rPr>
                                <w:t xml:space="preserve"> </w:t>
                              </w:r>
                              <w:r w:rsidR="008F1B0A" w:rsidRPr="00E33DC7">
                                <w:rPr>
                                  <w:rFonts w:ascii="Arial" w:eastAsiaTheme="minorEastAsia" w:hAnsi="Arial" w:cs="Arial"/>
                                  <w:b/>
                                  <w:bCs/>
                                  <w:caps/>
                                  <w:sz w:val="32"/>
                                  <w:szCs w:val="32"/>
                                  <w:lang w:val="en-US"/>
                                </w:rPr>
                                <w:t>ALICE CLAYTON</w:t>
                              </w:r>
                              <w:r w:rsidR="00D455AF" w:rsidRPr="00E33DC7">
                                <w:rPr>
                                  <w:rFonts w:ascii="Arial" w:eastAsiaTheme="minorEastAsia" w:hAnsi="Arial" w:cs="Arial"/>
                                  <w:b/>
                                  <w:bCs/>
                                  <w:caps/>
                                  <w:sz w:val="32"/>
                                  <w:szCs w:val="32"/>
                                  <w:lang w:val="en-US"/>
                                </w:rPr>
                                <w:br/>
                              </w:r>
                              <w:r w:rsidRPr="00E33DC7">
                                <w:rPr>
                                  <w:rFonts w:ascii="Arial" w:eastAsiaTheme="minorEastAsia" w:hAnsi="Arial" w:cs="Arial"/>
                                  <w:b/>
                                  <w:bCs/>
                                  <w:caps/>
                                  <w:sz w:val="32"/>
                                  <w:szCs w:val="32"/>
                                  <w:lang w:val="en-US"/>
                                </w:rPr>
                                <w:t>assigment</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title: component</w:t>
                              </w:r>
                              <w:r w:rsidR="00D455AF" w:rsidRPr="00E33DC7">
                                <w:rPr>
                                  <w:rFonts w:ascii="Arial" w:eastAsiaTheme="minorEastAsia" w:hAnsi="Arial" w:cs="Arial"/>
                                  <w:b/>
                                  <w:bCs/>
                                  <w:caps/>
                                  <w:sz w:val="32"/>
                                  <w:szCs w:val="32"/>
                                  <w:lang w:val="en-US"/>
                                </w:rPr>
                                <w:t xml:space="preserve"> </w:t>
                              </w:r>
                              <w:r w:rsidRPr="00E33DC7">
                                <w:rPr>
                                  <w:rFonts w:ascii="Arial" w:eastAsiaTheme="minorEastAsia" w:hAnsi="Arial" w:cs="Arial"/>
                                  <w:b/>
                                  <w:bCs/>
                                  <w:caps/>
                                  <w:sz w:val="32"/>
                                  <w:szCs w:val="32"/>
                                  <w:lang w:val="en-US"/>
                                </w:rPr>
                                <w:t>2 report</w:t>
                              </w:r>
                              <w:r w:rsidR="005D3451" w:rsidRPr="00E33DC7">
                                <w:rPr>
                                  <w:rFonts w:ascii="Arial" w:eastAsiaTheme="minorEastAsia" w:hAnsi="Arial" w:cs="Arial"/>
                                  <w:b/>
                                  <w:bCs/>
                                  <w:caps/>
                                  <w:sz w:val="32"/>
                                  <w:szCs w:val="32"/>
                                  <w:lang w:val="en-US"/>
                                </w:rPr>
                                <w:br/>
                              </w:r>
                            </w:p>
                          </w:sdtContent>
                        </w:sdt>
                      </w:txbxContent>
                    </v:textbox>
                    <w10:wrap type="square" anchorx="margin" anchory="margin"/>
                  </v:shape>
                </w:pict>
              </mc:Fallback>
            </mc:AlternateContent>
          </w:r>
          <w:r w:rsidR="00CE1C2C" w:rsidRPr="00524A63">
            <w:rPr>
              <w:rFonts w:ascii="Arial" w:hAnsi="Arial" w:cs="Arial"/>
              <w:noProof/>
            </w:rPr>
            <mc:AlternateContent>
              <mc:Choice Requires="wps">
                <w:drawing>
                  <wp:anchor distT="0" distB="0" distL="114300" distR="114300" simplePos="0" relativeHeight="251656192" behindDoc="0" locked="0" layoutInCell="1" allowOverlap="1" wp14:anchorId="1C219572" wp14:editId="2CD5FC2A">
                    <wp:simplePos x="0" y="0"/>
                    <wp:positionH relativeFrom="page">
                      <wp:align>right</wp:align>
                    </wp:positionH>
                    <wp:positionV relativeFrom="page">
                      <wp:posOffset>923290</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E5D48" w14:textId="52CBF3B9" w:rsidR="00E524E9"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07A2">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7AD6D13" w14:textId="5E7ED311" w:rsidR="00E524E9" w:rsidRDefault="008B07A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219572" id="Text Box 163" o:spid="_x0000_s1027" type="#_x0000_t202" style="position:absolute;margin-left:524.8pt;margin-top:72.7pt;width:8in;height:286.5pt;z-index:251656192;visibility:visible;mso-wrap-style:square;mso-width-percent:941;mso-height-percent:363;mso-wrap-distance-left:9pt;mso-wrap-distance-top:0;mso-wrap-distance-right:9pt;mso-wrap-distance-bottom:0;mso-position-horizontal:righ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" filled="f" stroked="f" strokeweight=".5pt">
                    <v:textbox inset="126pt,0,54pt,0">
                      <w:txbxContent>
                        <w:p w14:paraId="62DE5D48" w14:textId="52CBF3B9" w:rsidR="00E524E9" w:rsidRDefault="00D26651">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B07A2">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7AD6D13" w14:textId="5E7ED311" w:rsidR="00E524E9" w:rsidRDefault="008B07A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E524E9" w:rsidRPr="00524A63">
            <w:rPr>
              <w:rFonts w:ascii="Arial" w:hAnsi="Arial" w:cs="Arial"/>
              <w:noProof/>
            </w:rPr>
            <mc:AlternateContent>
              <mc:Choice Requires="wpg">
                <w:drawing>
                  <wp:anchor distT="0" distB="0" distL="114300" distR="114300" simplePos="0" relativeHeight="251660288" behindDoc="0" locked="0" layoutInCell="1" allowOverlap="1" wp14:anchorId="4730E4C9" wp14:editId="46746743">
                    <wp:simplePos x="0" y="0"/>
                    <wp:positionH relativeFrom="margin">
                      <wp:align>center</wp:align>
                    </wp:positionH>
                    <wp:positionV relativeFrom="page">
                      <wp:align>top</wp:align>
                    </wp:positionV>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38CF14" id="Group 157" o:spid="_x0000_s1026" style="position:absolute;margin-left:0;margin-top:0;width:8in;height:95.7pt;z-index:251660288;mso-width-percent:941;mso-height-percent:121;mso-position-horizontal:center;mso-position-horizontal-relative:margin;mso-position-vertical:top;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G7xcazaAAAABgEAAA8AAABkcnMvZG93&#10;bnJldi54bWxMj8FOw0AMRO9I/MPKSNzoJlGpIGRTUSQ+gIJQj27WJFGz3jS7aRO+HpcLXCyPxpp5&#10;LtaT69SJhtB6NpAuElDElbct1wY+3l/vHkCFiGyx80wGZgqwLq+vCsytP/MbnbaxVhLCIUcDTYx9&#10;rnWoGnIYFr4nFu/LDw6jyKHWdsCzhLtOZ0my0g5bloYGe3ppqDpsRye9u2wzpt/zzHr3edj08+o4&#10;Lo/G3N5Mz0+gIk3x7xgu+IIOpTDt/cg2qM6APBJ/58VL7zPRe9ke0yXostD/8cs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G7xcazaAAAA&#10;Bg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p>
        <w:p w14:paraId="58683192" w14:textId="3E35AE4C" w:rsidR="00E524E9" w:rsidRPr="00524A63" w:rsidRDefault="00E524E9" w:rsidP="00524A63">
          <w:pPr>
            <w:spacing w:line="360" w:lineRule="auto"/>
            <w:rPr>
              <w:rFonts w:ascii="Arial" w:hAnsi="Arial" w:cs="Arial"/>
            </w:rPr>
          </w:pPr>
          <w:r w:rsidRPr="00524A63">
            <w:rPr>
              <w:rFonts w:ascii="Arial" w:hAnsi="Arial" w:cs="Arial"/>
            </w:rPr>
            <w:br w:type="page"/>
          </w:r>
        </w:p>
      </w:sdtContent>
    </w:sdt>
    <w:p w14:paraId="13D74CD2" w14:textId="754E9239" w:rsidR="00652648" w:rsidRPr="00524A63" w:rsidRDefault="00652648" w:rsidP="00524A63">
      <w:pPr>
        <w:spacing w:line="360" w:lineRule="auto"/>
        <w:rPr>
          <w:rFonts w:ascii="Arial" w:hAnsi="Arial" w:cs="Arial"/>
        </w:rPr>
      </w:pPr>
    </w:p>
    <w:sdt>
      <w:sdtPr>
        <w:rPr>
          <w:rFonts w:ascii="Arial" w:eastAsiaTheme="minorHAnsi" w:hAnsi="Arial" w:cs="Arial"/>
          <w:color w:val="auto"/>
          <w:kern w:val="2"/>
          <w:sz w:val="22"/>
          <w:szCs w:val="22"/>
          <w:lang w:eastAsia="en-US"/>
          <w14:ligatures w14:val="standardContextual"/>
        </w:rPr>
        <w:id w:val="1316227311"/>
        <w:docPartObj>
          <w:docPartGallery w:val="Table of Contents"/>
          <w:docPartUnique/>
        </w:docPartObj>
      </w:sdtPr>
      <w:sdtEndPr>
        <w:rPr>
          <w:b/>
          <w:bCs/>
        </w:rPr>
      </w:sdtEndPr>
      <w:sdtContent>
        <w:p w14:paraId="40436398" w14:textId="1A1809BD" w:rsidR="00EE4487" w:rsidRPr="00524A63" w:rsidRDefault="00EE4487" w:rsidP="00524A63">
          <w:pPr>
            <w:pStyle w:val="TOCHeading"/>
            <w:spacing w:line="360" w:lineRule="auto"/>
            <w:rPr>
              <w:rFonts w:ascii="Arial" w:hAnsi="Arial" w:cs="Arial"/>
              <w:color w:val="auto"/>
              <w:sz w:val="22"/>
              <w:szCs w:val="22"/>
            </w:rPr>
          </w:pPr>
          <w:r w:rsidRPr="00524A63">
            <w:rPr>
              <w:rFonts w:ascii="Arial" w:hAnsi="Arial" w:cs="Arial"/>
              <w:color w:val="auto"/>
              <w:sz w:val="22"/>
              <w:szCs w:val="22"/>
            </w:rPr>
            <w:t>Contents</w:t>
          </w:r>
        </w:p>
        <w:p w14:paraId="783BD3B0" w14:textId="714A8FD7" w:rsidR="00EE4487" w:rsidRPr="00524A63" w:rsidRDefault="00EE4487" w:rsidP="00524A63">
          <w:pPr>
            <w:pStyle w:val="TOC1"/>
            <w:spacing w:line="360" w:lineRule="auto"/>
            <w:rPr>
              <w:rFonts w:eastAsiaTheme="minorEastAsia"/>
              <w:b w:val="0"/>
              <w:bCs w:val="0"/>
              <w:lang w:eastAsia="en-GB"/>
            </w:rPr>
          </w:pPr>
          <w:r w:rsidRPr="00524A63">
            <w:fldChar w:fldCharType="begin"/>
          </w:r>
          <w:r w:rsidRPr="00524A63">
            <w:instrText xml:space="preserve"> TOC \o "1-3" \h \z \u </w:instrText>
          </w:r>
          <w:r w:rsidRPr="00524A63">
            <w:fldChar w:fldCharType="separate"/>
          </w:r>
          <w:hyperlink w:anchor="_Toc223612955" w:history="1">
            <w:r w:rsidRPr="00524A63">
              <w:rPr>
                <w:rStyle w:val="Hyperlink"/>
              </w:rPr>
              <w:t>Part A: Annotated Bibliography</w:t>
            </w:r>
            <w:r w:rsidRPr="00524A63">
              <w:rPr>
                <w:webHidden/>
              </w:rPr>
              <w:tab/>
            </w:r>
            <w:r w:rsidRPr="00524A63">
              <w:rPr>
                <w:webHidden/>
              </w:rPr>
              <w:fldChar w:fldCharType="begin"/>
            </w:r>
            <w:r w:rsidRPr="00524A63">
              <w:rPr>
                <w:webHidden/>
              </w:rPr>
              <w:instrText xml:space="preserve"> PAGEREF _Toc223612955 \h </w:instrText>
            </w:r>
            <w:r w:rsidRPr="00524A63">
              <w:rPr>
                <w:webHidden/>
              </w:rPr>
            </w:r>
            <w:r w:rsidRPr="00524A63">
              <w:rPr>
                <w:webHidden/>
              </w:rPr>
              <w:fldChar w:fldCharType="separate"/>
            </w:r>
            <w:r w:rsidRPr="00524A63">
              <w:rPr>
                <w:webHidden/>
              </w:rPr>
              <w:t>2</w:t>
            </w:r>
            <w:r w:rsidRPr="00524A63">
              <w:rPr>
                <w:webHidden/>
              </w:rPr>
              <w:fldChar w:fldCharType="end"/>
            </w:r>
          </w:hyperlink>
        </w:p>
        <w:p w14:paraId="2A35009F" w14:textId="5FAB9630" w:rsidR="00EE4487" w:rsidRPr="00524A63" w:rsidRDefault="00EE4487" w:rsidP="00524A63">
          <w:pPr>
            <w:pStyle w:val="TOC1"/>
            <w:spacing w:line="360" w:lineRule="auto"/>
            <w:rPr>
              <w:rFonts w:eastAsiaTheme="minorEastAsia"/>
              <w:b w:val="0"/>
              <w:bCs w:val="0"/>
              <w:lang w:eastAsia="en-GB"/>
            </w:rPr>
          </w:pPr>
          <w:hyperlink w:anchor="_Toc223612956" w:history="1">
            <w:r w:rsidRPr="00524A63">
              <w:rPr>
                <w:rStyle w:val="Hyperlink"/>
              </w:rPr>
              <w:t>Source 1: Bowlby's Attachment Theory</w:t>
            </w:r>
            <w:r w:rsidRPr="00524A63">
              <w:rPr>
                <w:webHidden/>
              </w:rPr>
              <w:tab/>
            </w:r>
            <w:r w:rsidRPr="00524A63">
              <w:rPr>
                <w:webHidden/>
              </w:rPr>
              <w:fldChar w:fldCharType="begin"/>
            </w:r>
            <w:r w:rsidRPr="00524A63">
              <w:rPr>
                <w:webHidden/>
              </w:rPr>
              <w:instrText xml:space="preserve"> PAGEREF _Toc223612956 \h </w:instrText>
            </w:r>
            <w:r w:rsidRPr="00524A63">
              <w:rPr>
                <w:webHidden/>
              </w:rPr>
            </w:r>
            <w:r w:rsidRPr="00524A63">
              <w:rPr>
                <w:webHidden/>
              </w:rPr>
              <w:fldChar w:fldCharType="separate"/>
            </w:r>
            <w:r w:rsidRPr="00524A63">
              <w:rPr>
                <w:webHidden/>
              </w:rPr>
              <w:t>2</w:t>
            </w:r>
            <w:r w:rsidRPr="00524A63">
              <w:rPr>
                <w:webHidden/>
              </w:rPr>
              <w:fldChar w:fldCharType="end"/>
            </w:r>
          </w:hyperlink>
        </w:p>
        <w:p w14:paraId="4E65AD00" w14:textId="22DC7EEC" w:rsidR="00EE4487" w:rsidRPr="00524A63" w:rsidRDefault="00EE4487" w:rsidP="00524A63">
          <w:pPr>
            <w:pStyle w:val="TOC1"/>
            <w:spacing w:line="360" w:lineRule="auto"/>
            <w:rPr>
              <w:rFonts w:eastAsiaTheme="minorEastAsia"/>
              <w:b w:val="0"/>
              <w:bCs w:val="0"/>
              <w:lang w:eastAsia="en-GB"/>
            </w:rPr>
          </w:pPr>
          <w:hyperlink w:anchor="_Toc223612957" w:history="1">
            <w:r w:rsidRPr="00524A63">
              <w:rPr>
                <w:rStyle w:val="Hyperlink"/>
              </w:rPr>
              <w:t>Source 2: Positive Psychology Approaches</w:t>
            </w:r>
            <w:r w:rsidRPr="00524A63">
              <w:rPr>
                <w:webHidden/>
              </w:rPr>
              <w:tab/>
            </w:r>
            <w:r w:rsidRPr="00524A63">
              <w:rPr>
                <w:webHidden/>
              </w:rPr>
              <w:fldChar w:fldCharType="begin"/>
            </w:r>
            <w:r w:rsidRPr="00524A63">
              <w:rPr>
                <w:webHidden/>
              </w:rPr>
              <w:instrText xml:space="preserve"> PAGEREF _Toc223612957 \h </w:instrText>
            </w:r>
            <w:r w:rsidRPr="00524A63">
              <w:rPr>
                <w:webHidden/>
              </w:rPr>
            </w:r>
            <w:r w:rsidRPr="00524A63">
              <w:rPr>
                <w:webHidden/>
              </w:rPr>
              <w:fldChar w:fldCharType="separate"/>
            </w:r>
            <w:r w:rsidRPr="00524A63">
              <w:rPr>
                <w:webHidden/>
              </w:rPr>
              <w:t>2</w:t>
            </w:r>
            <w:r w:rsidRPr="00524A63">
              <w:rPr>
                <w:webHidden/>
              </w:rPr>
              <w:fldChar w:fldCharType="end"/>
            </w:r>
          </w:hyperlink>
        </w:p>
        <w:p w14:paraId="2DAABFA7" w14:textId="48D41D2D" w:rsidR="00EE4487" w:rsidRPr="00524A63" w:rsidRDefault="00EE4487" w:rsidP="00524A63">
          <w:pPr>
            <w:pStyle w:val="TOC1"/>
            <w:spacing w:line="360" w:lineRule="auto"/>
            <w:rPr>
              <w:rFonts w:eastAsiaTheme="minorEastAsia"/>
              <w:b w:val="0"/>
              <w:bCs w:val="0"/>
              <w:lang w:eastAsia="en-GB"/>
            </w:rPr>
          </w:pPr>
          <w:hyperlink w:anchor="_Toc223612958" w:history="1">
            <w:r w:rsidRPr="00524A63">
              <w:rPr>
                <w:rStyle w:val="Hyperlink"/>
              </w:rPr>
              <w:t>Source 3: Havighurst's Activity Theory</w:t>
            </w:r>
            <w:r w:rsidRPr="00524A63">
              <w:rPr>
                <w:webHidden/>
              </w:rPr>
              <w:tab/>
            </w:r>
            <w:r w:rsidRPr="00524A63">
              <w:rPr>
                <w:webHidden/>
              </w:rPr>
              <w:fldChar w:fldCharType="begin"/>
            </w:r>
            <w:r w:rsidRPr="00524A63">
              <w:rPr>
                <w:webHidden/>
              </w:rPr>
              <w:instrText xml:space="preserve"> PAGEREF _Toc223612958 \h </w:instrText>
            </w:r>
            <w:r w:rsidRPr="00524A63">
              <w:rPr>
                <w:webHidden/>
              </w:rPr>
            </w:r>
            <w:r w:rsidRPr="00524A63">
              <w:rPr>
                <w:webHidden/>
              </w:rPr>
              <w:fldChar w:fldCharType="separate"/>
            </w:r>
            <w:r w:rsidRPr="00524A63">
              <w:rPr>
                <w:webHidden/>
              </w:rPr>
              <w:t>3</w:t>
            </w:r>
            <w:r w:rsidRPr="00524A63">
              <w:rPr>
                <w:webHidden/>
              </w:rPr>
              <w:fldChar w:fldCharType="end"/>
            </w:r>
          </w:hyperlink>
        </w:p>
        <w:p w14:paraId="45694479" w14:textId="4CBBA89A" w:rsidR="00EE4487" w:rsidRPr="00524A63" w:rsidRDefault="00EE4487" w:rsidP="00791682">
          <w:pPr>
            <w:pStyle w:val="TOC1"/>
            <w:spacing w:line="360" w:lineRule="auto"/>
            <w:rPr>
              <w:rFonts w:eastAsiaTheme="minorEastAsia"/>
              <w:b w:val="0"/>
              <w:bCs w:val="0"/>
              <w:lang w:eastAsia="en-GB"/>
            </w:rPr>
          </w:pPr>
          <w:hyperlink w:anchor="_Toc223612959" w:history="1">
            <w:r w:rsidRPr="00524A63">
              <w:rPr>
                <w:rStyle w:val="Hyperlink"/>
              </w:rPr>
              <w:t>Source 4: Erikson's Psychosocial Stages</w:t>
            </w:r>
            <w:r w:rsidRPr="00524A63">
              <w:rPr>
                <w:webHidden/>
              </w:rPr>
              <w:tab/>
            </w:r>
            <w:r w:rsidRPr="00524A63">
              <w:rPr>
                <w:webHidden/>
              </w:rPr>
              <w:fldChar w:fldCharType="begin"/>
            </w:r>
            <w:r w:rsidRPr="00524A63">
              <w:rPr>
                <w:webHidden/>
              </w:rPr>
              <w:instrText xml:space="preserve"> PAGEREF _Toc223612959 \h </w:instrText>
            </w:r>
            <w:r w:rsidRPr="00524A63">
              <w:rPr>
                <w:webHidden/>
              </w:rPr>
            </w:r>
            <w:r w:rsidRPr="00524A63">
              <w:rPr>
                <w:webHidden/>
              </w:rPr>
              <w:fldChar w:fldCharType="separate"/>
            </w:r>
            <w:r w:rsidRPr="00524A63">
              <w:rPr>
                <w:webHidden/>
              </w:rPr>
              <w:t>4</w:t>
            </w:r>
            <w:r w:rsidRPr="00524A63">
              <w:rPr>
                <w:webHidden/>
              </w:rPr>
              <w:fldChar w:fldCharType="end"/>
            </w:r>
          </w:hyperlink>
        </w:p>
        <w:p w14:paraId="7274AD52" w14:textId="17AD1742" w:rsidR="00EE4487" w:rsidRPr="00791682" w:rsidRDefault="00791682" w:rsidP="00524A63">
          <w:pPr>
            <w:pStyle w:val="TOC1"/>
            <w:spacing w:line="360" w:lineRule="auto"/>
          </w:pPr>
          <w:r>
            <w:t>Part B: Short Re</w:t>
          </w:r>
          <w:r w:rsidRPr="00791682">
            <w:t>port ……………………………………………………………………………….6</w:t>
          </w:r>
        </w:p>
        <w:p w14:paraId="5CAE762C" w14:textId="0A5C0A93" w:rsidR="00791682" w:rsidRPr="00791682" w:rsidRDefault="00791682" w:rsidP="00791682">
          <w:pPr>
            <w:rPr>
              <w:rFonts w:ascii="Arial" w:hAnsi="Arial" w:cs="Arial"/>
              <w:b/>
              <w:bCs/>
            </w:rPr>
          </w:pPr>
          <w:r w:rsidRPr="00791682">
            <w:rPr>
              <w:rFonts w:ascii="Arial" w:hAnsi="Arial" w:cs="Arial"/>
              <w:b/>
              <w:bCs/>
            </w:rPr>
            <w:t>Introduction …………………………………………………………………………………………6</w:t>
          </w:r>
        </w:p>
        <w:p w14:paraId="012A2684" w14:textId="13A06285" w:rsidR="00EE4487" w:rsidRPr="00791682" w:rsidRDefault="00EE4487" w:rsidP="00524A63">
          <w:pPr>
            <w:pStyle w:val="TOC1"/>
            <w:spacing w:line="360" w:lineRule="auto"/>
            <w:rPr>
              <w:rFonts w:eastAsiaTheme="minorEastAsia"/>
              <w:lang w:eastAsia="en-GB"/>
            </w:rPr>
          </w:pPr>
          <w:hyperlink w:anchor="_Toc223612963" w:history="1">
            <w:r w:rsidRPr="00791682">
              <w:rPr>
                <w:rStyle w:val="Hyperlink"/>
              </w:rPr>
              <w:t xml:space="preserve">Explanation </w:t>
            </w:r>
            <w:r w:rsidR="00507903">
              <w:rPr>
                <w:rStyle w:val="Hyperlink"/>
              </w:rPr>
              <w:t>of the</w:t>
            </w:r>
            <w:r w:rsidRPr="00791682">
              <w:rPr>
                <w:rStyle w:val="Hyperlink"/>
              </w:rPr>
              <w:t xml:space="preserve"> Theory</w:t>
            </w:r>
            <w:r w:rsidRPr="00791682">
              <w:rPr>
                <w:webHidden/>
              </w:rPr>
              <w:tab/>
            </w:r>
            <w:r w:rsidRPr="00791682">
              <w:rPr>
                <w:webHidden/>
              </w:rPr>
              <w:fldChar w:fldCharType="begin"/>
            </w:r>
            <w:r w:rsidRPr="00791682">
              <w:rPr>
                <w:webHidden/>
              </w:rPr>
              <w:instrText xml:space="preserve"> PAGEREF _Toc223612963 \h </w:instrText>
            </w:r>
            <w:r w:rsidRPr="00791682">
              <w:rPr>
                <w:webHidden/>
              </w:rPr>
            </w:r>
            <w:r w:rsidRPr="00791682">
              <w:rPr>
                <w:webHidden/>
              </w:rPr>
              <w:fldChar w:fldCharType="separate"/>
            </w:r>
            <w:r w:rsidRPr="00791682">
              <w:rPr>
                <w:webHidden/>
              </w:rPr>
              <w:t>6</w:t>
            </w:r>
            <w:r w:rsidRPr="00791682">
              <w:rPr>
                <w:webHidden/>
              </w:rPr>
              <w:fldChar w:fldCharType="end"/>
            </w:r>
          </w:hyperlink>
        </w:p>
        <w:p w14:paraId="49145604" w14:textId="0BCD069E" w:rsidR="00EE4487" w:rsidRPr="00791682" w:rsidRDefault="00EE4487" w:rsidP="00524A63">
          <w:pPr>
            <w:pStyle w:val="TOC1"/>
            <w:spacing w:line="360" w:lineRule="auto"/>
            <w:rPr>
              <w:rFonts w:eastAsiaTheme="minorEastAsia"/>
              <w:lang w:eastAsia="en-GB"/>
            </w:rPr>
          </w:pPr>
          <w:hyperlink w:anchor="_Toc223612964" w:history="1">
            <w:r w:rsidRPr="00791682">
              <w:rPr>
                <w:rStyle w:val="Hyperlink"/>
              </w:rPr>
              <w:t>Application to Residential Care</w:t>
            </w:r>
            <w:r w:rsidRPr="00791682">
              <w:rPr>
                <w:webHidden/>
              </w:rPr>
              <w:tab/>
            </w:r>
            <w:r w:rsidRPr="00791682">
              <w:rPr>
                <w:webHidden/>
              </w:rPr>
              <w:fldChar w:fldCharType="begin"/>
            </w:r>
            <w:r w:rsidRPr="00791682">
              <w:rPr>
                <w:webHidden/>
              </w:rPr>
              <w:instrText xml:space="preserve"> PAGEREF _Toc223612964 \h </w:instrText>
            </w:r>
            <w:r w:rsidRPr="00791682">
              <w:rPr>
                <w:webHidden/>
              </w:rPr>
            </w:r>
            <w:r w:rsidRPr="00791682">
              <w:rPr>
                <w:webHidden/>
              </w:rPr>
              <w:fldChar w:fldCharType="separate"/>
            </w:r>
            <w:r w:rsidRPr="00791682">
              <w:rPr>
                <w:webHidden/>
              </w:rPr>
              <w:t>7</w:t>
            </w:r>
            <w:r w:rsidRPr="00791682">
              <w:rPr>
                <w:webHidden/>
              </w:rPr>
              <w:fldChar w:fldCharType="end"/>
            </w:r>
          </w:hyperlink>
        </w:p>
        <w:p w14:paraId="2C34BCE9" w14:textId="2DA74D38" w:rsidR="00EE4487" w:rsidRPr="00791682" w:rsidRDefault="00EE4487" w:rsidP="00524A63">
          <w:pPr>
            <w:pStyle w:val="TOC1"/>
            <w:spacing w:line="360" w:lineRule="auto"/>
            <w:rPr>
              <w:rFonts w:eastAsiaTheme="minorEastAsia"/>
              <w:lang w:eastAsia="en-GB"/>
            </w:rPr>
          </w:pPr>
          <w:hyperlink w:anchor="_Toc223612965" w:history="1">
            <w:r w:rsidRPr="00791682">
              <w:rPr>
                <w:rStyle w:val="Hyperlink"/>
              </w:rPr>
              <w:t xml:space="preserve">Challenge and </w:t>
            </w:r>
            <w:r w:rsidR="00A3120C">
              <w:rPr>
                <w:rStyle w:val="Hyperlink"/>
              </w:rPr>
              <w:t>Strategy</w:t>
            </w:r>
            <w:r w:rsidRPr="00791682">
              <w:rPr>
                <w:webHidden/>
              </w:rPr>
              <w:tab/>
            </w:r>
            <w:r w:rsidRPr="00791682">
              <w:rPr>
                <w:webHidden/>
              </w:rPr>
              <w:fldChar w:fldCharType="begin"/>
            </w:r>
            <w:r w:rsidRPr="00791682">
              <w:rPr>
                <w:webHidden/>
              </w:rPr>
              <w:instrText xml:space="preserve"> PAGEREF _Toc223612965 \h </w:instrText>
            </w:r>
            <w:r w:rsidRPr="00791682">
              <w:rPr>
                <w:webHidden/>
              </w:rPr>
            </w:r>
            <w:r w:rsidRPr="00791682">
              <w:rPr>
                <w:webHidden/>
              </w:rPr>
              <w:fldChar w:fldCharType="separate"/>
            </w:r>
            <w:r w:rsidRPr="00791682">
              <w:rPr>
                <w:webHidden/>
              </w:rPr>
              <w:t>8</w:t>
            </w:r>
            <w:r w:rsidRPr="00791682">
              <w:rPr>
                <w:webHidden/>
              </w:rPr>
              <w:fldChar w:fldCharType="end"/>
            </w:r>
          </w:hyperlink>
        </w:p>
        <w:p w14:paraId="7E3FF355" w14:textId="3AE6A24B" w:rsidR="00EE4487" w:rsidRPr="00791682" w:rsidRDefault="00A3120C" w:rsidP="00524A63">
          <w:pPr>
            <w:pStyle w:val="TOC1"/>
            <w:spacing w:line="360" w:lineRule="auto"/>
            <w:rPr>
              <w:rFonts w:eastAsiaTheme="minorEastAsia"/>
              <w:lang w:eastAsia="en-GB"/>
            </w:rPr>
          </w:pPr>
          <w:hyperlink w:anchor="_Toc223612966" w:history="1">
            <w:r>
              <w:rPr>
                <w:rStyle w:val="Hyperlink"/>
              </w:rPr>
              <w:t>Conclusion</w:t>
            </w:r>
            <w:r w:rsidR="00EE4487" w:rsidRPr="00791682">
              <w:rPr>
                <w:webHidden/>
              </w:rPr>
              <w:tab/>
            </w:r>
            <w:r w:rsidR="00EE4487" w:rsidRPr="00791682">
              <w:rPr>
                <w:webHidden/>
              </w:rPr>
              <w:fldChar w:fldCharType="begin"/>
            </w:r>
            <w:r w:rsidR="00EE4487" w:rsidRPr="00791682">
              <w:rPr>
                <w:webHidden/>
              </w:rPr>
              <w:instrText xml:space="preserve"> PAGEREF _Toc223612966 \h </w:instrText>
            </w:r>
            <w:r w:rsidR="00EE4487" w:rsidRPr="00791682">
              <w:rPr>
                <w:webHidden/>
              </w:rPr>
            </w:r>
            <w:r w:rsidR="00EE4487" w:rsidRPr="00791682">
              <w:rPr>
                <w:webHidden/>
              </w:rPr>
              <w:fldChar w:fldCharType="separate"/>
            </w:r>
            <w:r w:rsidR="00EE4487" w:rsidRPr="00791682">
              <w:rPr>
                <w:webHidden/>
              </w:rPr>
              <w:t>8</w:t>
            </w:r>
            <w:r w:rsidR="00EE4487" w:rsidRPr="00791682">
              <w:rPr>
                <w:webHidden/>
              </w:rPr>
              <w:fldChar w:fldCharType="end"/>
            </w:r>
          </w:hyperlink>
        </w:p>
        <w:p w14:paraId="76670906" w14:textId="4EFBDDE1" w:rsidR="00EE4487" w:rsidRPr="00791682" w:rsidRDefault="00A3120C" w:rsidP="00524A63">
          <w:pPr>
            <w:pStyle w:val="TOC1"/>
            <w:spacing w:line="360" w:lineRule="auto"/>
            <w:rPr>
              <w:rFonts w:eastAsiaTheme="minorEastAsia"/>
              <w:lang w:eastAsia="en-GB"/>
            </w:rPr>
          </w:pPr>
          <w:hyperlink w:anchor="_Toc223612967" w:history="1">
            <w:r>
              <w:rPr>
                <w:rStyle w:val="Hyperlink"/>
              </w:rPr>
              <w:t>References</w:t>
            </w:r>
            <w:r w:rsidR="00EE4487" w:rsidRPr="00791682">
              <w:rPr>
                <w:webHidden/>
              </w:rPr>
              <w:tab/>
            </w:r>
            <w:r w:rsidR="00EE4487" w:rsidRPr="00791682">
              <w:rPr>
                <w:webHidden/>
              </w:rPr>
              <w:fldChar w:fldCharType="begin"/>
            </w:r>
            <w:r w:rsidR="00EE4487" w:rsidRPr="00791682">
              <w:rPr>
                <w:webHidden/>
              </w:rPr>
              <w:instrText xml:space="preserve"> PAGEREF _Toc223612967 \h </w:instrText>
            </w:r>
            <w:r w:rsidR="00EE4487" w:rsidRPr="00791682">
              <w:rPr>
                <w:webHidden/>
              </w:rPr>
            </w:r>
            <w:r w:rsidR="00EE4487" w:rsidRPr="00791682">
              <w:rPr>
                <w:webHidden/>
              </w:rPr>
              <w:fldChar w:fldCharType="separate"/>
            </w:r>
            <w:r w:rsidR="00EE4487" w:rsidRPr="00791682">
              <w:rPr>
                <w:webHidden/>
              </w:rPr>
              <w:t>9</w:t>
            </w:r>
            <w:r w:rsidR="00EE4487" w:rsidRPr="00791682">
              <w:rPr>
                <w:webHidden/>
              </w:rPr>
              <w:fldChar w:fldCharType="end"/>
            </w:r>
          </w:hyperlink>
        </w:p>
        <w:p w14:paraId="74508313" w14:textId="777D399C" w:rsidR="00EE4487" w:rsidRPr="00524A63" w:rsidRDefault="00EE4487" w:rsidP="00524A63">
          <w:pPr>
            <w:spacing w:line="360" w:lineRule="auto"/>
            <w:rPr>
              <w:rFonts w:ascii="Arial" w:hAnsi="Arial" w:cs="Arial"/>
            </w:rPr>
          </w:pPr>
          <w:r w:rsidRPr="00524A63">
            <w:rPr>
              <w:rFonts w:ascii="Arial" w:hAnsi="Arial" w:cs="Arial"/>
              <w:b/>
              <w:bCs/>
            </w:rPr>
            <w:fldChar w:fldCharType="end"/>
          </w:r>
        </w:p>
      </w:sdtContent>
    </w:sdt>
    <w:p w14:paraId="79FA70E5" w14:textId="2A59B2F4" w:rsidR="00BC3D81" w:rsidRPr="00524A63" w:rsidRDefault="00BC3D81" w:rsidP="00524A63">
      <w:pPr>
        <w:spacing w:line="360" w:lineRule="auto"/>
        <w:rPr>
          <w:rFonts w:ascii="Arial" w:hAnsi="Arial" w:cs="Arial"/>
        </w:rPr>
      </w:pPr>
    </w:p>
    <w:p w14:paraId="1677DD73" w14:textId="77777777" w:rsidR="007A7356" w:rsidRPr="00524A63" w:rsidRDefault="007A7356" w:rsidP="00524A63">
      <w:pPr>
        <w:spacing w:line="360" w:lineRule="auto"/>
        <w:rPr>
          <w:rFonts w:ascii="Arial" w:hAnsi="Arial" w:cs="Arial"/>
        </w:rPr>
      </w:pPr>
    </w:p>
    <w:p w14:paraId="25306882" w14:textId="77777777" w:rsidR="007A7356" w:rsidRPr="00524A63" w:rsidRDefault="007A7356" w:rsidP="00524A63">
      <w:pPr>
        <w:spacing w:line="360" w:lineRule="auto"/>
        <w:rPr>
          <w:rFonts w:ascii="Arial" w:hAnsi="Arial" w:cs="Arial"/>
        </w:rPr>
      </w:pPr>
    </w:p>
    <w:p w14:paraId="45B81A94" w14:textId="77777777" w:rsidR="007A7356" w:rsidRPr="00524A63" w:rsidRDefault="007A7356" w:rsidP="00524A63">
      <w:pPr>
        <w:spacing w:line="360" w:lineRule="auto"/>
        <w:rPr>
          <w:rFonts w:ascii="Arial" w:hAnsi="Arial" w:cs="Arial"/>
        </w:rPr>
      </w:pPr>
    </w:p>
    <w:p w14:paraId="3866C3D4" w14:textId="77777777" w:rsidR="007A7356" w:rsidRPr="00524A63" w:rsidRDefault="007A7356" w:rsidP="00524A63">
      <w:pPr>
        <w:spacing w:line="360" w:lineRule="auto"/>
        <w:rPr>
          <w:rFonts w:ascii="Arial" w:hAnsi="Arial" w:cs="Arial"/>
        </w:rPr>
      </w:pPr>
    </w:p>
    <w:p w14:paraId="39C2CF2B" w14:textId="77777777" w:rsidR="007A7356" w:rsidRPr="00524A63" w:rsidRDefault="007A7356" w:rsidP="00524A63">
      <w:pPr>
        <w:spacing w:line="360" w:lineRule="auto"/>
        <w:rPr>
          <w:rFonts w:ascii="Arial" w:hAnsi="Arial" w:cs="Arial"/>
        </w:rPr>
      </w:pPr>
    </w:p>
    <w:p w14:paraId="6A0A9D8F" w14:textId="77777777" w:rsidR="007A7356" w:rsidRPr="00524A63" w:rsidRDefault="007A7356" w:rsidP="00524A63">
      <w:pPr>
        <w:spacing w:line="360" w:lineRule="auto"/>
        <w:rPr>
          <w:rFonts w:ascii="Arial" w:hAnsi="Arial" w:cs="Arial"/>
        </w:rPr>
      </w:pPr>
    </w:p>
    <w:p w14:paraId="49082B47" w14:textId="77777777" w:rsidR="007A7356" w:rsidRPr="00524A63" w:rsidRDefault="007A7356" w:rsidP="00524A63">
      <w:pPr>
        <w:spacing w:line="360" w:lineRule="auto"/>
        <w:rPr>
          <w:rFonts w:ascii="Arial" w:hAnsi="Arial" w:cs="Arial"/>
        </w:rPr>
      </w:pPr>
    </w:p>
    <w:p w14:paraId="6208742C" w14:textId="77777777" w:rsidR="007A7356" w:rsidRPr="00524A63" w:rsidRDefault="007A7356" w:rsidP="00524A63">
      <w:pPr>
        <w:spacing w:line="360" w:lineRule="auto"/>
        <w:rPr>
          <w:rFonts w:ascii="Arial" w:hAnsi="Arial" w:cs="Arial"/>
        </w:rPr>
      </w:pPr>
    </w:p>
    <w:p w14:paraId="1635723B" w14:textId="77777777" w:rsidR="007A7356" w:rsidRPr="00524A63" w:rsidRDefault="007A7356" w:rsidP="00524A63">
      <w:pPr>
        <w:spacing w:line="360" w:lineRule="auto"/>
        <w:rPr>
          <w:rFonts w:ascii="Arial" w:hAnsi="Arial" w:cs="Arial"/>
        </w:rPr>
      </w:pPr>
    </w:p>
    <w:p w14:paraId="4D312CD8" w14:textId="3B0C0A29" w:rsidR="006E71AB" w:rsidRPr="00524A63" w:rsidRDefault="006E71AB" w:rsidP="00524A63">
      <w:pPr>
        <w:spacing w:line="360" w:lineRule="auto"/>
        <w:rPr>
          <w:rFonts w:ascii="Arial" w:hAnsi="Arial" w:cs="Arial"/>
        </w:rPr>
      </w:pPr>
    </w:p>
    <w:p w14:paraId="130DF133" w14:textId="77777777" w:rsidR="006E71AB" w:rsidRPr="00640A34" w:rsidRDefault="006E71AB" w:rsidP="00524A63">
      <w:pPr>
        <w:pStyle w:val="Heading1"/>
        <w:spacing w:line="360" w:lineRule="auto"/>
        <w:rPr>
          <w:rFonts w:ascii="Arial" w:hAnsi="Arial" w:cs="Arial"/>
          <w:b/>
          <w:bCs/>
          <w:color w:val="auto"/>
          <w:sz w:val="28"/>
          <w:szCs w:val="28"/>
        </w:rPr>
      </w:pPr>
      <w:bookmarkStart w:id="0" w:name="_Toc223612257"/>
      <w:bookmarkStart w:id="1" w:name="_Toc223612955"/>
      <w:r w:rsidRPr="00640A34">
        <w:rPr>
          <w:rFonts w:ascii="Arial" w:hAnsi="Arial" w:cs="Arial"/>
          <w:b/>
          <w:bCs/>
          <w:color w:val="auto"/>
          <w:sz w:val="28"/>
          <w:szCs w:val="28"/>
        </w:rPr>
        <w:lastRenderedPageBreak/>
        <w:t xml:space="preserve">Part A: </w:t>
      </w:r>
      <w:r w:rsidRPr="00FA182A">
        <w:rPr>
          <w:rFonts w:ascii="Arial" w:hAnsi="Arial" w:cs="Arial"/>
          <w:b/>
          <w:bCs/>
          <w:color w:val="auto"/>
          <w:sz w:val="32"/>
          <w:szCs w:val="32"/>
        </w:rPr>
        <w:t>Annotated Bibliography</w:t>
      </w:r>
      <w:bookmarkEnd w:id="0"/>
      <w:bookmarkEnd w:id="1"/>
      <w:r w:rsidRPr="00640A34">
        <w:rPr>
          <w:rFonts w:ascii="Arial" w:hAnsi="Arial" w:cs="Arial"/>
          <w:b/>
          <w:bCs/>
          <w:color w:val="auto"/>
          <w:sz w:val="28"/>
          <w:szCs w:val="28"/>
        </w:rPr>
        <w:t xml:space="preserve"> </w:t>
      </w:r>
      <w:r w:rsidRPr="00640A34">
        <w:rPr>
          <w:rFonts w:ascii="Arial" w:hAnsi="Arial" w:cs="Arial"/>
          <w:b/>
          <w:bCs/>
          <w:color w:val="auto"/>
          <w:sz w:val="28"/>
          <w:szCs w:val="28"/>
        </w:rPr>
        <w:br/>
      </w:r>
    </w:p>
    <w:p w14:paraId="18EADE56" w14:textId="66C134A5" w:rsidR="006E71AB" w:rsidRPr="00C83CC5" w:rsidRDefault="006E71AB" w:rsidP="00C83CC5">
      <w:pPr>
        <w:spacing w:line="360" w:lineRule="auto"/>
        <w:rPr>
          <w:rFonts w:ascii="Arial" w:hAnsi="Arial" w:cs="Arial"/>
        </w:rPr>
      </w:pPr>
      <w:bookmarkStart w:id="2" w:name="_Toc223612956"/>
      <w:bookmarkStart w:id="3" w:name="_Toc223612258"/>
      <w:r w:rsidRPr="00C83CC5">
        <w:rPr>
          <w:rStyle w:val="Heading1Char"/>
          <w:rFonts w:ascii="Arial" w:hAnsi="Arial" w:cs="Arial"/>
          <w:color w:val="auto"/>
          <w:sz w:val="22"/>
          <w:szCs w:val="22"/>
        </w:rPr>
        <w:t xml:space="preserve">Source 1: </w:t>
      </w:r>
      <w:r w:rsidRPr="00FA182A">
        <w:rPr>
          <w:rStyle w:val="Heading1Char"/>
          <w:rFonts w:ascii="Arial" w:hAnsi="Arial" w:cs="Arial"/>
          <w:b/>
          <w:bCs/>
          <w:color w:val="auto"/>
          <w:sz w:val="24"/>
          <w:szCs w:val="24"/>
        </w:rPr>
        <w:t>Bowlby's Attachment Theory</w:t>
      </w:r>
      <w:bookmarkEnd w:id="2"/>
      <w:r w:rsidRPr="00C83CC5">
        <w:rPr>
          <w:rStyle w:val="Heading1Char"/>
          <w:rFonts w:ascii="Arial" w:hAnsi="Arial" w:cs="Arial"/>
          <w:sz w:val="22"/>
          <w:szCs w:val="22"/>
        </w:rPr>
        <w:br/>
      </w:r>
      <w:r w:rsidRPr="00C83CC5">
        <w:rPr>
          <w:rFonts w:ascii="Arial" w:hAnsi="Arial" w:cs="Arial"/>
        </w:rPr>
        <w:t>Reference</w:t>
      </w:r>
      <w:r w:rsidR="00E8524C" w:rsidRPr="00C83CC5">
        <w:rPr>
          <w:rFonts w:ascii="Arial" w:hAnsi="Arial" w:cs="Arial"/>
        </w:rPr>
        <w:t>:</w:t>
      </w:r>
      <w:r w:rsidRPr="00C83CC5">
        <w:rPr>
          <w:rFonts w:ascii="Arial" w:hAnsi="Arial" w:cs="Arial"/>
        </w:rPr>
        <w:br/>
        <w:t>Cassidy, J., Jones, J.D. and Shaver, P.R. (2013) 'Contributions of attachment theory and research: a framework for future research, translation, and policy', </w:t>
      </w:r>
      <w:r w:rsidRPr="00E33DC7">
        <w:rPr>
          <w:rFonts w:ascii="Arial" w:hAnsi="Arial" w:cs="Arial"/>
          <w:i/>
          <w:iCs/>
        </w:rPr>
        <w:t>Development and Psychopathology,</w:t>
      </w:r>
      <w:r w:rsidRPr="00C83CC5">
        <w:rPr>
          <w:rFonts w:ascii="Arial" w:hAnsi="Arial" w:cs="Arial"/>
        </w:rPr>
        <w:t xml:space="preserve"> 25(4 Pt 2), pp. 1415-1434. Available at: </w:t>
      </w:r>
      <w:hyperlink r:id="rId11" w:tgtFrame="_blank" w:history="1">
        <w:r w:rsidRPr="00C83CC5">
          <w:rPr>
            <w:rStyle w:val="Hyperlink"/>
            <w:rFonts w:ascii="Arial" w:hAnsi="Arial" w:cs="Arial"/>
          </w:rPr>
          <w:t>https://pmc.ncbi.nlm.nih.gov/articles/PMC4085672/</w:t>
        </w:r>
      </w:hyperlink>
      <w:r w:rsidRPr="00C83CC5">
        <w:rPr>
          <w:rFonts w:ascii="Arial" w:hAnsi="Arial" w:cs="Arial"/>
        </w:rPr>
        <w:t> (Accessed: 3 March 2026).</w:t>
      </w:r>
      <w:bookmarkEnd w:id="3"/>
      <w:r w:rsidRPr="00C83CC5">
        <w:rPr>
          <w:rFonts w:ascii="Arial" w:hAnsi="Arial" w:cs="Arial"/>
        </w:rPr>
        <w:br/>
      </w:r>
    </w:p>
    <w:p w14:paraId="0560548D" w14:textId="20999098" w:rsidR="006E71AB" w:rsidRPr="00C83CC5" w:rsidRDefault="006E71AB" w:rsidP="00C83CC5">
      <w:pPr>
        <w:spacing w:line="360" w:lineRule="auto"/>
        <w:rPr>
          <w:rFonts w:ascii="Arial" w:hAnsi="Arial" w:cs="Arial"/>
        </w:rPr>
      </w:pPr>
      <w:r w:rsidRPr="00FA182A">
        <w:rPr>
          <w:rFonts w:ascii="Arial" w:hAnsi="Arial" w:cs="Arial"/>
          <w:b/>
          <w:bCs/>
          <w:sz w:val="24"/>
          <w:szCs w:val="24"/>
          <w:u w:val="single"/>
        </w:rPr>
        <w:t>Summary</w:t>
      </w:r>
      <w:r w:rsidRPr="00C83CC5">
        <w:rPr>
          <w:rFonts w:ascii="Arial" w:hAnsi="Arial" w:cs="Arial"/>
          <w:b/>
          <w:bCs/>
          <w:u w:val="single"/>
        </w:rPr>
        <w:br/>
      </w:r>
      <w:r w:rsidRPr="00C83CC5">
        <w:rPr>
          <w:rFonts w:ascii="Arial" w:hAnsi="Arial" w:cs="Arial"/>
        </w:rPr>
        <w:t xml:space="preserve">This comprehensive journal article synthesises </w:t>
      </w:r>
      <w:r w:rsidR="003048CA" w:rsidRPr="00C83CC5">
        <w:rPr>
          <w:rFonts w:ascii="Arial" w:hAnsi="Arial" w:cs="Arial"/>
        </w:rPr>
        <w:t>application</w:t>
      </w:r>
      <w:r w:rsidR="00111CB2" w:rsidRPr="00C83CC5">
        <w:rPr>
          <w:rFonts w:ascii="Arial" w:hAnsi="Arial" w:cs="Arial"/>
        </w:rPr>
        <w:t>s</w:t>
      </w:r>
      <w:r w:rsidR="003048CA" w:rsidRPr="00C83CC5">
        <w:rPr>
          <w:rFonts w:ascii="Arial" w:hAnsi="Arial" w:cs="Arial"/>
        </w:rPr>
        <w:t xml:space="preserve"> </w:t>
      </w:r>
      <w:r w:rsidRPr="00C83CC5">
        <w:rPr>
          <w:rFonts w:ascii="Arial" w:hAnsi="Arial" w:cs="Arial"/>
        </w:rPr>
        <w:t>Bowlby's attachment theory across the lifespan, demonstrating lifelong relevance for health and social care relationships (Cassidy, Jones and Shaver, 2013). Insecure attachment predicts poorer health outcomes, service engagement barriers, and caregiver stress among older adults. Secure attachment orientations enhance resilience, trust in professionals, and care continuity. Authors advocate attachment-informed interventions and policy frameworks for vulnerable populations.</w:t>
      </w:r>
      <w:r w:rsidRPr="00C83CC5">
        <w:rPr>
          <w:rFonts w:ascii="Arial" w:hAnsi="Arial" w:cs="Arial"/>
        </w:rPr>
        <w:br/>
      </w:r>
    </w:p>
    <w:p w14:paraId="3E4CA90E" w14:textId="225F19DE" w:rsidR="00A20CB1" w:rsidRPr="00C83CC5" w:rsidRDefault="006E71AB" w:rsidP="00C83CC5">
      <w:pPr>
        <w:spacing w:line="360" w:lineRule="auto"/>
        <w:rPr>
          <w:rFonts w:ascii="Arial" w:hAnsi="Arial" w:cs="Arial"/>
        </w:rPr>
      </w:pPr>
      <w:r w:rsidRPr="00FA182A">
        <w:rPr>
          <w:rFonts w:ascii="Arial" w:hAnsi="Arial" w:cs="Arial"/>
          <w:b/>
          <w:bCs/>
          <w:sz w:val="24"/>
          <w:szCs w:val="24"/>
          <w:u w:val="single"/>
        </w:rPr>
        <w:t>Critical Comment</w:t>
      </w:r>
      <w:r w:rsidRPr="00FA182A">
        <w:rPr>
          <w:rFonts w:ascii="Arial" w:hAnsi="Arial" w:cs="Arial"/>
          <w:b/>
          <w:bCs/>
          <w:sz w:val="24"/>
          <w:szCs w:val="24"/>
          <w:u w:val="single"/>
        </w:rPr>
        <w:br/>
      </w:r>
      <w:r w:rsidRPr="00C83CC5">
        <w:rPr>
          <w:rFonts w:ascii="Arial" w:hAnsi="Arial" w:cs="Arial"/>
        </w:rPr>
        <w:t xml:space="preserve">Exceptionally authoritative synthesis from leading attachment scholars, guiding evidence-based relationship interventions in social care. Interdisciplinary framework bridges research-policy-practice gaps effectively. However, the broad review nature lacks specific older adult data compared to targeted empirical studies. Unlike Erikson's sequential stages, attachment theory explains immediate relational patterns guiding staff training and client interactions (Malone </w:t>
      </w:r>
      <w:r w:rsidRPr="00C83CC5">
        <w:rPr>
          <w:rFonts w:ascii="Arial" w:hAnsi="Arial" w:cs="Arial"/>
          <w:i/>
          <w:iCs/>
        </w:rPr>
        <w:t>et al.</w:t>
      </w:r>
      <w:r w:rsidRPr="00C83CC5">
        <w:rPr>
          <w:rFonts w:ascii="Arial" w:hAnsi="Arial" w:cs="Arial"/>
        </w:rPr>
        <w:t>, 2016).</w:t>
      </w:r>
    </w:p>
    <w:p w14:paraId="1F0673E5" w14:textId="4DECE7F8" w:rsidR="00A20CB1" w:rsidRPr="00C83CC5" w:rsidRDefault="00A20CB1" w:rsidP="00C83CC5">
      <w:pPr>
        <w:spacing w:line="360" w:lineRule="auto"/>
        <w:rPr>
          <w:rFonts w:ascii="Arial" w:hAnsi="Arial" w:cs="Arial"/>
        </w:rPr>
      </w:pPr>
    </w:p>
    <w:p w14:paraId="071DF5FC" w14:textId="77777777" w:rsidR="006E71AB" w:rsidRPr="00C83CC5" w:rsidRDefault="006E71AB" w:rsidP="00C83CC5">
      <w:pPr>
        <w:spacing w:line="360" w:lineRule="auto"/>
        <w:rPr>
          <w:rFonts w:ascii="Arial" w:hAnsi="Arial" w:cs="Arial"/>
        </w:rPr>
      </w:pPr>
      <w:bookmarkStart w:id="4" w:name="_Toc223612259"/>
      <w:bookmarkStart w:id="5" w:name="_Toc223612957"/>
      <w:r w:rsidRPr="00C83CC5">
        <w:rPr>
          <w:rStyle w:val="Heading1Char"/>
          <w:rFonts w:ascii="Arial" w:hAnsi="Arial" w:cs="Arial"/>
          <w:color w:val="auto"/>
          <w:sz w:val="22"/>
          <w:szCs w:val="22"/>
        </w:rPr>
        <w:t xml:space="preserve">Source 2: </w:t>
      </w:r>
      <w:r w:rsidRPr="00FA182A">
        <w:rPr>
          <w:rStyle w:val="Heading1Char"/>
          <w:rFonts w:ascii="Arial" w:hAnsi="Arial" w:cs="Arial"/>
          <w:b/>
          <w:bCs/>
          <w:color w:val="auto"/>
          <w:sz w:val="24"/>
          <w:szCs w:val="24"/>
        </w:rPr>
        <w:t>Positive Psychology Approaches</w:t>
      </w:r>
      <w:bookmarkEnd w:id="4"/>
      <w:bookmarkEnd w:id="5"/>
      <w:r w:rsidRPr="00C83CC5">
        <w:rPr>
          <w:rFonts w:ascii="Arial" w:hAnsi="Arial" w:cs="Arial"/>
        </w:rPr>
        <w:br/>
        <w:t>Reference</w:t>
      </w:r>
      <w:r w:rsidRPr="00C83CC5">
        <w:rPr>
          <w:rFonts w:ascii="Arial" w:hAnsi="Arial" w:cs="Arial"/>
        </w:rPr>
        <w:br/>
        <w:t>Lam, J., Aftab, A., Lee, E. and Jeste, D. (2020) 'Positive psychiatry interventions in geriatric mental health', </w:t>
      </w:r>
      <w:r w:rsidRPr="00C83CC5">
        <w:rPr>
          <w:rFonts w:ascii="Arial" w:hAnsi="Arial" w:cs="Arial"/>
          <w:i/>
          <w:iCs/>
        </w:rPr>
        <w:t>Current Treatment Options in Psychiatry</w:t>
      </w:r>
      <w:r w:rsidRPr="00C83CC5">
        <w:rPr>
          <w:rFonts w:ascii="Arial" w:hAnsi="Arial" w:cs="Arial"/>
        </w:rPr>
        <w:t>, 7(4), pp. 471-488. Available at: </w:t>
      </w:r>
      <w:hyperlink r:id="rId12" w:tgtFrame="_blank" w:history="1">
        <w:r w:rsidRPr="00C83CC5">
          <w:rPr>
            <w:rStyle w:val="Hyperlink"/>
            <w:rFonts w:ascii="Arial" w:hAnsi="Arial" w:cs="Arial"/>
          </w:rPr>
          <w:t>https://pmc.ncbi.nlm.nih.gov/articles/PMC7904105/</w:t>
        </w:r>
      </w:hyperlink>
      <w:r w:rsidRPr="00C83CC5">
        <w:rPr>
          <w:rFonts w:ascii="Arial" w:hAnsi="Arial" w:cs="Arial"/>
        </w:rPr>
        <w:t> (Accessed: 3 March 2026).</w:t>
      </w:r>
      <w:r w:rsidRPr="00C83CC5">
        <w:rPr>
          <w:rFonts w:ascii="Arial" w:hAnsi="Arial" w:cs="Arial"/>
        </w:rPr>
        <w:br/>
      </w:r>
    </w:p>
    <w:p w14:paraId="06AD0488" w14:textId="77777777" w:rsidR="00B755BD" w:rsidRPr="00C83CC5" w:rsidRDefault="00B755BD" w:rsidP="00C83CC5">
      <w:pPr>
        <w:spacing w:line="360" w:lineRule="auto"/>
        <w:rPr>
          <w:rFonts w:ascii="Arial" w:hAnsi="Arial" w:cs="Arial"/>
          <w:b/>
          <w:bCs/>
          <w:u w:val="single"/>
        </w:rPr>
      </w:pPr>
    </w:p>
    <w:p w14:paraId="567E11AF" w14:textId="77777777" w:rsidR="00B755BD" w:rsidRPr="00C83CC5" w:rsidRDefault="00B755BD" w:rsidP="00C83CC5">
      <w:pPr>
        <w:spacing w:line="360" w:lineRule="auto"/>
        <w:rPr>
          <w:rFonts w:ascii="Arial" w:hAnsi="Arial" w:cs="Arial"/>
          <w:b/>
          <w:bCs/>
          <w:u w:val="single"/>
        </w:rPr>
      </w:pPr>
    </w:p>
    <w:p w14:paraId="2C00EB98" w14:textId="36939313" w:rsidR="006E71AB" w:rsidRPr="005C0549" w:rsidRDefault="009D5527" w:rsidP="00C83CC5">
      <w:pPr>
        <w:spacing w:line="360" w:lineRule="auto"/>
        <w:rPr>
          <w:rFonts w:ascii="Arial" w:hAnsi="Arial" w:cs="Arial"/>
          <w:b/>
          <w:bCs/>
          <w:sz w:val="24"/>
          <w:szCs w:val="24"/>
          <w:u w:val="single"/>
        </w:rPr>
      </w:pPr>
      <w:r w:rsidRPr="005C0549">
        <w:rPr>
          <w:rFonts w:ascii="Arial" w:hAnsi="Arial" w:cs="Arial"/>
          <w:b/>
          <w:bCs/>
          <w:sz w:val="24"/>
          <w:szCs w:val="24"/>
          <w:u w:val="single"/>
        </w:rPr>
        <w:lastRenderedPageBreak/>
        <w:t>Summary</w:t>
      </w:r>
    </w:p>
    <w:p w14:paraId="1767606E" w14:textId="39D0145E" w:rsidR="00172E4D" w:rsidRPr="00C83CC5" w:rsidRDefault="00172E4D" w:rsidP="00C83CC5">
      <w:pPr>
        <w:spacing w:line="360" w:lineRule="auto"/>
        <w:rPr>
          <w:rFonts w:ascii="Arial" w:hAnsi="Arial" w:cs="Arial"/>
        </w:rPr>
      </w:pPr>
      <w:r w:rsidRPr="00C83CC5">
        <w:rPr>
          <w:rFonts w:ascii="Arial" w:hAnsi="Arial" w:cs="Arial"/>
        </w:rPr>
        <w:t>Positive psychiatry concrete intervention</w:t>
      </w:r>
      <w:r w:rsidR="00F77174" w:rsidRPr="00C83CC5">
        <w:rPr>
          <w:rFonts w:ascii="Arial" w:hAnsi="Arial" w:cs="Arial"/>
        </w:rPr>
        <w:t>s</w:t>
      </w:r>
      <w:r w:rsidRPr="00C83CC5">
        <w:rPr>
          <w:rFonts w:ascii="Arial" w:hAnsi="Arial" w:cs="Arial"/>
        </w:rPr>
        <w:t xml:space="preserve"> </w:t>
      </w:r>
      <w:r w:rsidR="009F7136" w:rsidRPr="00C83CC5">
        <w:rPr>
          <w:rFonts w:ascii="Arial" w:hAnsi="Arial" w:cs="Arial"/>
        </w:rPr>
        <w:t>are</w:t>
      </w:r>
      <w:r w:rsidRPr="00C83CC5">
        <w:rPr>
          <w:rFonts w:ascii="Arial" w:hAnsi="Arial" w:cs="Arial"/>
        </w:rPr>
        <w:t xml:space="preserve"> good for resilient old people downstream of the traditional medical focus on deficits (Lam</w:t>
      </w:r>
      <w:r w:rsidR="00791682" w:rsidRPr="00C83CC5">
        <w:rPr>
          <w:rFonts w:ascii="Arial" w:hAnsi="Arial" w:cs="Arial"/>
        </w:rPr>
        <w:t xml:space="preserve"> </w:t>
      </w:r>
      <w:r w:rsidR="00791682" w:rsidRPr="00C83CC5">
        <w:rPr>
          <w:rFonts w:ascii="Arial" w:hAnsi="Arial" w:cs="Arial"/>
          <w:i/>
          <w:iCs/>
        </w:rPr>
        <w:t>et al.</w:t>
      </w:r>
      <w:r w:rsidR="00791682" w:rsidRPr="00C83CC5">
        <w:rPr>
          <w:rFonts w:ascii="Arial" w:hAnsi="Arial" w:cs="Arial"/>
        </w:rPr>
        <w:t>,</w:t>
      </w:r>
      <w:r w:rsidRPr="00C83CC5">
        <w:rPr>
          <w:rFonts w:ascii="Arial" w:hAnsi="Arial" w:cs="Arial"/>
        </w:rPr>
        <w:t xml:space="preserve"> 2020). Comprehensive reviews feature individual analyses demonstrating small/medium gains in psychological health and suffering decreases for old people from gratitude practices, optimistic training, and reminiscence--especially when put into groups. Multi-component programmes increase old people's social connections, as well as finding purpose and satisfaction in life This evidence suggests that the tools are scalable and cheap and also specifically validated for the mental health of the elderly.</w:t>
      </w:r>
    </w:p>
    <w:p w14:paraId="73EB1115" w14:textId="77777777" w:rsidR="00172E4D" w:rsidRPr="00C83CC5" w:rsidRDefault="00172E4D" w:rsidP="00C83CC5">
      <w:pPr>
        <w:spacing w:line="360" w:lineRule="auto"/>
        <w:ind w:firstLine="720"/>
        <w:rPr>
          <w:rFonts w:ascii="Arial" w:hAnsi="Arial" w:cs="Arial"/>
        </w:rPr>
      </w:pPr>
    </w:p>
    <w:p w14:paraId="12667569" w14:textId="3C2483C2" w:rsidR="00172E4D" w:rsidRPr="005C0549" w:rsidRDefault="005F286A" w:rsidP="00C83CC5">
      <w:pPr>
        <w:spacing w:line="360" w:lineRule="auto"/>
        <w:rPr>
          <w:rFonts w:ascii="Arial" w:hAnsi="Arial" w:cs="Arial"/>
          <w:b/>
          <w:bCs/>
          <w:sz w:val="24"/>
          <w:szCs w:val="24"/>
          <w:u w:val="single"/>
        </w:rPr>
      </w:pPr>
      <w:r w:rsidRPr="005C0549">
        <w:rPr>
          <w:rFonts w:ascii="Arial" w:hAnsi="Arial" w:cs="Arial"/>
          <w:b/>
          <w:bCs/>
          <w:sz w:val="24"/>
          <w:szCs w:val="24"/>
          <w:u w:val="single"/>
        </w:rPr>
        <w:t xml:space="preserve">Critical </w:t>
      </w:r>
      <w:r w:rsidR="00172E4D" w:rsidRPr="005C0549">
        <w:rPr>
          <w:rFonts w:ascii="Arial" w:hAnsi="Arial" w:cs="Arial"/>
          <w:b/>
          <w:bCs/>
          <w:sz w:val="24"/>
          <w:szCs w:val="24"/>
          <w:u w:val="single"/>
        </w:rPr>
        <w:t>Comment</w:t>
      </w:r>
    </w:p>
    <w:p w14:paraId="16D41CF4" w14:textId="70E83868" w:rsidR="00172E4D" w:rsidRPr="00C83CC5" w:rsidRDefault="00172E4D" w:rsidP="00C83CC5">
      <w:pPr>
        <w:spacing w:line="360" w:lineRule="auto"/>
        <w:rPr>
          <w:rFonts w:ascii="Arial" w:hAnsi="Arial" w:cs="Arial"/>
        </w:rPr>
      </w:pPr>
      <w:r w:rsidRPr="00C83CC5">
        <w:rPr>
          <w:rFonts w:ascii="Arial" w:hAnsi="Arial" w:cs="Arial"/>
        </w:rPr>
        <w:t>Often used in nursing homes, it makes human the last phase of life for seniors who c</w:t>
      </w:r>
      <w:r w:rsidR="00A35292" w:rsidRPr="00C83CC5">
        <w:rPr>
          <w:rFonts w:ascii="Arial" w:hAnsi="Arial" w:cs="Arial"/>
        </w:rPr>
        <w:t xml:space="preserve">an </w:t>
      </w:r>
      <w:r w:rsidRPr="00C83CC5">
        <w:rPr>
          <w:rFonts w:ascii="Arial" w:hAnsi="Arial" w:cs="Arial"/>
        </w:rPr>
        <w:t>impose no more burden and results in a richer existence that needs no specialized care. Comprehensive review of clinical trials provides the strongest evidence. Methodological diversity among studies and follow-ups for certain longer-term effects are problematic. Positive psychiatry takes as its targets of intervention the internal states of people and widens this to include health promotion and continence (Lemon, Bengtson and Peterson, 1972).</w:t>
      </w:r>
    </w:p>
    <w:p w14:paraId="414DC2E5" w14:textId="77777777" w:rsidR="009D5527" w:rsidRPr="00C83CC5" w:rsidRDefault="009D5527" w:rsidP="00C83CC5">
      <w:pPr>
        <w:spacing w:line="360" w:lineRule="auto"/>
        <w:rPr>
          <w:rFonts w:ascii="Arial" w:hAnsi="Arial" w:cs="Arial"/>
        </w:rPr>
      </w:pPr>
    </w:p>
    <w:p w14:paraId="275E43E5" w14:textId="25EE59A0" w:rsidR="00002FC7" w:rsidRPr="00C83CC5" w:rsidRDefault="006E71AB" w:rsidP="00C83CC5">
      <w:pPr>
        <w:spacing w:line="360" w:lineRule="auto"/>
        <w:rPr>
          <w:rFonts w:ascii="Arial" w:eastAsiaTheme="majorEastAsia" w:hAnsi="Arial" w:cs="Arial"/>
        </w:rPr>
      </w:pPr>
      <w:bookmarkStart w:id="6" w:name="_Toc223612260"/>
      <w:bookmarkStart w:id="7" w:name="_Toc223612958"/>
      <w:r w:rsidRPr="00C83CC5">
        <w:rPr>
          <w:rStyle w:val="Heading1Char"/>
          <w:rFonts w:ascii="Arial" w:hAnsi="Arial" w:cs="Arial"/>
          <w:color w:val="auto"/>
          <w:sz w:val="22"/>
          <w:szCs w:val="22"/>
        </w:rPr>
        <w:t xml:space="preserve">Source 3: </w:t>
      </w:r>
      <w:r w:rsidRPr="005A707E">
        <w:rPr>
          <w:rStyle w:val="Heading1Char"/>
          <w:rFonts w:ascii="Arial" w:hAnsi="Arial" w:cs="Arial"/>
          <w:b/>
          <w:bCs/>
          <w:color w:val="auto"/>
          <w:sz w:val="24"/>
          <w:szCs w:val="24"/>
        </w:rPr>
        <w:t>Havighurst's Activity Theory</w:t>
      </w:r>
      <w:bookmarkEnd w:id="6"/>
      <w:bookmarkEnd w:id="7"/>
      <w:r w:rsidRPr="005A707E">
        <w:rPr>
          <w:rFonts w:ascii="Arial" w:hAnsi="Arial" w:cs="Arial"/>
          <w:sz w:val="24"/>
          <w:szCs w:val="24"/>
        </w:rPr>
        <w:br/>
      </w:r>
      <w:r w:rsidRPr="00C83CC5">
        <w:rPr>
          <w:rFonts w:ascii="Arial" w:hAnsi="Arial" w:cs="Arial"/>
        </w:rPr>
        <w:t>Reference</w:t>
      </w:r>
      <w:r w:rsidRPr="00C83CC5">
        <w:rPr>
          <w:rFonts w:ascii="Arial" w:hAnsi="Arial" w:cs="Arial"/>
        </w:rPr>
        <w:br/>
        <w:t>Lemon, B.W., Bengtson, V.L. and Peterson, J.A. (1972) 'An exploration of the activity theory of aging: Activity types and life satisfaction among inmovers to a retirement community', </w:t>
      </w:r>
      <w:r w:rsidRPr="00C83CC5">
        <w:rPr>
          <w:rFonts w:ascii="Arial" w:hAnsi="Arial" w:cs="Arial"/>
          <w:i/>
          <w:iCs/>
        </w:rPr>
        <w:t>Journal of Gerontology</w:t>
      </w:r>
      <w:r w:rsidRPr="00C83CC5">
        <w:rPr>
          <w:rFonts w:ascii="Arial" w:hAnsi="Arial" w:cs="Arial"/>
        </w:rPr>
        <w:t>, 27(4), pp. 511-523. Available at: </w:t>
      </w:r>
      <w:hyperlink r:id="rId13" w:tgtFrame="_blank" w:history="1">
        <w:r w:rsidRPr="00C83CC5">
          <w:rPr>
            <w:rFonts w:ascii="Arial" w:hAnsi="Arial" w:cs="Arial"/>
            <w:color w:val="0000FF"/>
            <w:u w:val="single"/>
          </w:rPr>
          <w:t>https://academic.oup.com/geronj/article/27/4/511/626998</w:t>
        </w:r>
      </w:hyperlink>
      <w:r w:rsidRPr="00C83CC5">
        <w:rPr>
          <w:rFonts w:ascii="Arial" w:hAnsi="Arial" w:cs="Arial"/>
        </w:rPr>
        <w:t> (Accessed: 3 March 2026).</w:t>
      </w:r>
      <w:r w:rsidRPr="00C83CC5">
        <w:rPr>
          <w:rFonts w:ascii="Arial" w:hAnsi="Arial" w:cs="Arial"/>
        </w:rPr>
        <w:br/>
      </w:r>
    </w:p>
    <w:p w14:paraId="08B2FFC8" w14:textId="77777777" w:rsidR="00A15A84" w:rsidRPr="005A707E" w:rsidRDefault="00A15A84" w:rsidP="00C83CC5">
      <w:pPr>
        <w:spacing w:line="360" w:lineRule="auto"/>
        <w:rPr>
          <w:rFonts w:ascii="Arial" w:hAnsi="Arial" w:cs="Arial"/>
          <w:b/>
          <w:bCs/>
          <w:sz w:val="24"/>
          <w:szCs w:val="24"/>
          <w:u w:val="single"/>
        </w:rPr>
      </w:pPr>
      <w:r w:rsidRPr="005A707E">
        <w:rPr>
          <w:rFonts w:ascii="Arial" w:hAnsi="Arial" w:cs="Arial"/>
          <w:b/>
          <w:bCs/>
          <w:sz w:val="24"/>
          <w:szCs w:val="24"/>
          <w:u w:val="single"/>
        </w:rPr>
        <w:t>Summary</w:t>
      </w:r>
    </w:p>
    <w:p w14:paraId="642203E3" w14:textId="77777777" w:rsidR="002647D8" w:rsidRPr="00C83CC5" w:rsidRDefault="00A15A84" w:rsidP="00C83CC5">
      <w:pPr>
        <w:spacing w:line="360" w:lineRule="auto"/>
        <w:rPr>
          <w:rFonts w:ascii="Arial" w:hAnsi="Arial" w:cs="Arial"/>
        </w:rPr>
      </w:pPr>
      <w:r w:rsidRPr="00C83CC5">
        <w:rPr>
          <w:rFonts w:ascii="Arial" w:hAnsi="Arial" w:cs="Arial"/>
        </w:rPr>
        <w:t xml:space="preserve">This </w:t>
      </w:r>
      <w:r w:rsidR="005E56E3" w:rsidRPr="00C83CC5">
        <w:rPr>
          <w:rFonts w:ascii="Arial" w:hAnsi="Arial" w:cs="Arial"/>
        </w:rPr>
        <w:t>early</w:t>
      </w:r>
      <w:r w:rsidRPr="00C83CC5">
        <w:rPr>
          <w:rFonts w:ascii="Arial" w:hAnsi="Arial" w:cs="Arial"/>
        </w:rPr>
        <w:t xml:space="preserve"> journal article tests Havighurst’s activity theory by showing that different types of activity account for life satisfaction among older people who move to retirement communities (Lemon, Bengtson and Peterson, 1972). When analysing 208 new residents, researchers found the most significant correlation with wellbeing came from informal social activities </w:t>
      </w:r>
    </w:p>
    <w:p w14:paraId="0DFE1976" w14:textId="666C685A" w:rsidR="00A15A84" w:rsidRPr="00C83CC5" w:rsidRDefault="00A15A84" w:rsidP="00C83CC5">
      <w:pPr>
        <w:spacing w:line="360" w:lineRule="auto"/>
        <w:rPr>
          <w:rFonts w:ascii="Arial" w:hAnsi="Arial" w:cs="Arial"/>
        </w:rPr>
      </w:pPr>
      <w:r w:rsidRPr="00C83CC5">
        <w:rPr>
          <w:rFonts w:ascii="Arial" w:hAnsi="Arial" w:cs="Arial"/>
        </w:rPr>
        <w:lastRenderedPageBreak/>
        <w:t>(r=. 42), with formal organisational involvement ranked second (r=. 28). Weaker relationships (r=</w:t>
      </w:r>
      <w:r w:rsidR="00AA3F80" w:rsidRPr="00C83CC5">
        <w:rPr>
          <w:rFonts w:ascii="Arial" w:hAnsi="Arial" w:cs="Arial"/>
        </w:rPr>
        <w:t>.</w:t>
      </w:r>
      <w:r w:rsidRPr="00C83CC5">
        <w:rPr>
          <w:rFonts w:ascii="Arial" w:hAnsi="Arial" w:cs="Arial"/>
        </w:rPr>
        <w:t>27</w:t>
      </w:r>
      <w:r w:rsidR="00756AAD" w:rsidRPr="00C83CC5">
        <w:rPr>
          <w:rFonts w:ascii="Arial" w:hAnsi="Arial" w:cs="Arial"/>
        </w:rPr>
        <w:t>)</w:t>
      </w:r>
      <w:r w:rsidRPr="00C83CC5">
        <w:rPr>
          <w:rFonts w:ascii="Arial" w:hAnsi="Arial" w:cs="Arial"/>
        </w:rPr>
        <w:t xml:space="preserve"> </w:t>
      </w:r>
      <w:r w:rsidR="00756AAD" w:rsidRPr="00C83CC5">
        <w:rPr>
          <w:rFonts w:ascii="Arial" w:hAnsi="Arial" w:cs="Arial"/>
        </w:rPr>
        <w:t xml:space="preserve">and </w:t>
      </w:r>
      <w:r w:rsidR="00630E7E" w:rsidRPr="00C83CC5">
        <w:rPr>
          <w:rFonts w:ascii="Arial" w:hAnsi="Arial" w:cs="Arial"/>
        </w:rPr>
        <w:t>artistic activities</w:t>
      </w:r>
      <w:r w:rsidRPr="00C83CC5">
        <w:rPr>
          <w:rFonts w:ascii="Arial" w:hAnsi="Arial" w:cs="Arial"/>
        </w:rPr>
        <w:t xml:space="preserve"> </w:t>
      </w:r>
      <w:r w:rsidR="00842434" w:rsidRPr="00C83CC5">
        <w:rPr>
          <w:rFonts w:ascii="Arial" w:hAnsi="Arial" w:cs="Arial"/>
        </w:rPr>
        <w:t>(</w:t>
      </w:r>
      <w:r w:rsidRPr="00C83CC5">
        <w:rPr>
          <w:rFonts w:ascii="Arial" w:hAnsi="Arial" w:cs="Arial"/>
        </w:rPr>
        <w:t>r=. 12), defying the naive “busyness equals happiness” narrative (Lemon, Bengtson and Peterson, 1972). Findings highlight that quality and type of activity are pivotal for successful ageing.</w:t>
      </w:r>
    </w:p>
    <w:p w14:paraId="68238880" w14:textId="77777777" w:rsidR="00A15A84" w:rsidRPr="00C83CC5" w:rsidRDefault="00A15A84" w:rsidP="00C83CC5">
      <w:pPr>
        <w:spacing w:line="360" w:lineRule="auto"/>
        <w:rPr>
          <w:rFonts w:ascii="Arial" w:hAnsi="Arial" w:cs="Arial"/>
        </w:rPr>
      </w:pPr>
    </w:p>
    <w:p w14:paraId="306DF1EE" w14:textId="274F8C17" w:rsidR="00A15A84" w:rsidRPr="005A707E" w:rsidRDefault="00A15A84" w:rsidP="00C83CC5">
      <w:pPr>
        <w:spacing w:line="360" w:lineRule="auto"/>
        <w:rPr>
          <w:rFonts w:ascii="Arial" w:hAnsi="Arial" w:cs="Arial"/>
          <w:b/>
          <w:bCs/>
          <w:sz w:val="24"/>
          <w:szCs w:val="24"/>
          <w:u w:val="single"/>
        </w:rPr>
      </w:pPr>
      <w:r w:rsidRPr="005A707E">
        <w:rPr>
          <w:rFonts w:ascii="Arial" w:hAnsi="Arial" w:cs="Arial"/>
          <w:b/>
          <w:bCs/>
          <w:sz w:val="24"/>
          <w:szCs w:val="24"/>
          <w:u w:val="single"/>
        </w:rPr>
        <w:t>Critical Comment</w:t>
      </w:r>
    </w:p>
    <w:p w14:paraId="1E8C2633" w14:textId="6F5207E0" w:rsidR="00002FC7" w:rsidRPr="00C83CC5" w:rsidRDefault="00A15A84" w:rsidP="00C83CC5">
      <w:pPr>
        <w:spacing w:line="360" w:lineRule="auto"/>
        <w:rPr>
          <w:rFonts w:ascii="Arial" w:hAnsi="Arial" w:cs="Arial"/>
        </w:rPr>
      </w:pPr>
      <w:r w:rsidRPr="00C83CC5">
        <w:rPr>
          <w:rFonts w:ascii="Arial" w:hAnsi="Arial" w:cs="Arial"/>
        </w:rPr>
        <w:t xml:space="preserve">Highly relevant to care settings, this empirical study can target what type of activity can be programmed and is based on need rather than using a generic programme. </w:t>
      </w:r>
      <w:r w:rsidR="006C0D94" w:rsidRPr="00C83CC5">
        <w:rPr>
          <w:rFonts w:ascii="Arial" w:hAnsi="Arial" w:cs="Arial"/>
        </w:rPr>
        <w:t>The</w:t>
      </w:r>
      <w:r w:rsidRPr="00C83CC5">
        <w:rPr>
          <w:rFonts w:ascii="Arial" w:hAnsi="Arial" w:cs="Arial"/>
        </w:rPr>
        <w:t xml:space="preserve"> careful quantitative method and simple statistical results give us </w:t>
      </w:r>
      <w:r w:rsidR="00170D73" w:rsidRPr="00C83CC5">
        <w:rPr>
          <w:rFonts w:ascii="Arial" w:hAnsi="Arial" w:cs="Arial"/>
        </w:rPr>
        <w:t>insigh</w:t>
      </w:r>
      <w:r w:rsidR="001B5E86" w:rsidRPr="00C83CC5">
        <w:rPr>
          <w:rFonts w:ascii="Arial" w:hAnsi="Arial" w:cs="Arial"/>
        </w:rPr>
        <w:t>ts</w:t>
      </w:r>
      <w:r w:rsidRPr="00C83CC5">
        <w:rPr>
          <w:rFonts w:ascii="Arial" w:hAnsi="Arial" w:cs="Arial"/>
        </w:rPr>
        <w:t xml:space="preserve"> with a strong evidence base for practitioners. 70s sample limits relevance to digital-age seniors and multicultural settings. Where Bowlby emphasised relational security, Activity Theory focuses on observable types of participation, providing a theoretical accompaniment to attachment-informed care in the consideration of external engagement needs (Cassidy, Jones and Shaver, 2013).</w:t>
      </w:r>
    </w:p>
    <w:p w14:paraId="7ADC24C7" w14:textId="77777777" w:rsidR="00A15A84" w:rsidRPr="00C83CC5" w:rsidRDefault="00A15A84" w:rsidP="00C83CC5">
      <w:pPr>
        <w:spacing w:line="360" w:lineRule="auto"/>
        <w:rPr>
          <w:rFonts w:ascii="Arial" w:hAnsi="Arial" w:cs="Arial"/>
          <w:b/>
          <w:bCs/>
        </w:rPr>
      </w:pPr>
    </w:p>
    <w:p w14:paraId="0EC415F5" w14:textId="38F031E5" w:rsidR="00A6421C" w:rsidRPr="00C83CC5" w:rsidRDefault="006E71AB" w:rsidP="00C83CC5">
      <w:pPr>
        <w:spacing w:line="360" w:lineRule="auto"/>
        <w:rPr>
          <w:rFonts w:ascii="Arial" w:hAnsi="Arial" w:cs="Arial"/>
        </w:rPr>
      </w:pPr>
      <w:bookmarkStart w:id="8" w:name="_Toc223612261"/>
      <w:bookmarkStart w:id="9" w:name="_Toc223612959"/>
      <w:r w:rsidRPr="00C83CC5">
        <w:rPr>
          <w:rStyle w:val="Heading1Char"/>
          <w:rFonts w:ascii="Arial" w:hAnsi="Arial" w:cs="Arial"/>
          <w:color w:val="auto"/>
          <w:sz w:val="22"/>
          <w:szCs w:val="22"/>
        </w:rPr>
        <w:t xml:space="preserve">Source 4: </w:t>
      </w:r>
      <w:r w:rsidRPr="005A707E">
        <w:rPr>
          <w:rStyle w:val="Heading1Char"/>
          <w:rFonts w:ascii="Arial" w:hAnsi="Arial" w:cs="Arial"/>
          <w:b/>
          <w:bCs/>
          <w:color w:val="auto"/>
          <w:sz w:val="24"/>
          <w:szCs w:val="24"/>
        </w:rPr>
        <w:t>Erikson's Psychosocial Stages</w:t>
      </w:r>
      <w:bookmarkEnd w:id="8"/>
      <w:bookmarkEnd w:id="9"/>
      <w:r w:rsidRPr="00C83CC5">
        <w:rPr>
          <w:rFonts w:ascii="Arial" w:hAnsi="Arial" w:cs="Arial"/>
        </w:rPr>
        <w:br/>
        <w:t>Reference</w:t>
      </w:r>
      <w:r w:rsidRPr="00C83CC5">
        <w:rPr>
          <w:rFonts w:ascii="Arial" w:hAnsi="Arial" w:cs="Arial"/>
        </w:rPr>
        <w:br/>
        <w:t>Malone, J.C., Liu, S.R., Vaillant, G.E., Rentz, D.M. and Waldinger, R.J. (2016) 'Midlife Eriksonian psychosocial development: Setting the stage for late-life cognitive and emotional health', </w:t>
      </w:r>
      <w:r w:rsidRPr="00C83CC5">
        <w:rPr>
          <w:rFonts w:ascii="Arial" w:hAnsi="Arial" w:cs="Arial"/>
          <w:i/>
          <w:iCs/>
        </w:rPr>
        <w:t>Developmental Psychology</w:t>
      </w:r>
      <w:r w:rsidRPr="00C83CC5">
        <w:rPr>
          <w:rFonts w:ascii="Arial" w:hAnsi="Arial" w:cs="Arial"/>
        </w:rPr>
        <w:t>, 52(3), pp. 496-508. Available at: </w:t>
      </w:r>
      <w:hyperlink r:id="rId14" w:tgtFrame="_blank" w:history="1">
        <w:r w:rsidRPr="00C83CC5">
          <w:rPr>
            <w:rFonts w:ascii="Arial" w:hAnsi="Arial" w:cs="Arial"/>
            <w:color w:val="0000FF"/>
            <w:u w:val="single"/>
          </w:rPr>
          <w:t>https://pmc.ncbi.nlm.nih.gov/articles/PMC5398200/</w:t>
        </w:r>
      </w:hyperlink>
      <w:r w:rsidRPr="00C83CC5">
        <w:rPr>
          <w:rFonts w:ascii="Arial" w:hAnsi="Arial" w:cs="Arial"/>
        </w:rPr>
        <w:t> (Accessed: 3 March 2026).</w:t>
      </w:r>
      <w:r w:rsidRPr="00C83CC5">
        <w:rPr>
          <w:rFonts w:ascii="Arial" w:hAnsi="Arial" w:cs="Arial"/>
        </w:rPr>
        <w:br/>
      </w:r>
    </w:p>
    <w:p w14:paraId="01B31B4B" w14:textId="21798F69" w:rsidR="0027171E" w:rsidRPr="002F6A26" w:rsidRDefault="0027171E" w:rsidP="00C83CC5">
      <w:pPr>
        <w:tabs>
          <w:tab w:val="left" w:pos="910"/>
        </w:tabs>
        <w:spacing w:line="360" w:lineRule="auto"/>
        <w:rPr>
          <w:rFonts w:ascii="Arial" w:hAnsi="Arial" w:cs="Arial"/>
          <w:b/>
          <w:bCs/>
          <w:sz w:val="24"/>
          <w:szCs w:val="24"/>
          <w:u w:val="single"/>
        </w:rPr>
      </w:pPr>
      <w:r w:rsidRPr="002F6A26">
        <w:rPr>
          <w:rFonts w:ascii="Arial" w:hAnsi="Arial" w:cs="Arial"/>
          <w:b/>
          <w:bCs/>
          <w:sz w:val="24"/>
          <w:szCs w:val="24"/>
          <w:u w:val="single"/>
        </w:rPr>
        <w:t>Summary</w:t>
      </w:r>
    </w:p>
    <w:p w14:paraId="357194BD" w14:textId="09952CAB" w:rsidR="0027171E" w:rsidRPr="00C83CC5" w:rsidRDefault="0027171E" w:rsidP="00C83CC5">
      <w:pPr>
        <w:tabs>
          <w:tab w:val="left" w:pos="910"/>
        </w:tabs>
        <w:spacing w:line="360" w:lineRule="auto"/>
        <w:rPr>
          <w:rFonts w:ascii="Arial" w:hAnsi="Arial" w:cs="Arial"/>
        </w:rPr>
      </w:pPr>
      <w:r w:rsidRPr="00C83CC5">
        <w:rPr>
          <w:rFonts w:ascii="Arial" w:hAnsi="Arial" w:cs="Arial"/>
        </w:rPr>
        <w:t xml:space="preserve">Applying Erikson’s psychosocial theory to this longitudinal journal article explores how midlife resolution of intimacy, generativity and integrity stages predicts late-life outcomes (Malone </w:t>
      </w:r>
      <w:r w:rsidRPr="00C83CC5">
        <w:rPr>
          <w:rFonts w:ascii="Arial" w:hAnsi="Arial" w:cs="Arial"/>
          <w:i/>
          <w:iCs/>
        </w:rPr>
        <w:t>et al.</w:t>
      </w:r>
      <w:r w:rsidRPr="00C83CC5">
        <w:rPr>
          <w:rFonts w:ascii="Arial" w:hAnsi="Arial" w:cs="Arial"/>
        </w:rPr>
        <w:t xml:space="preserve">, 2016). Examining data from the Grant Study (over 75 years of follow-up on 268 men), researchers found that stronger midlife psychosocial development predicted better emotional wellbeing and cognitive functioning later in old age, adjusting for education and early intelligence (Malone </w:t>
      </w:r>
      <w:r w:rsidRPr="00C83CC5">
        <w:rPr>
          <w:rFonts w:ascii="Arial" w:hAnsi="Arial" w:cs="Arial"/>
          <w:i/>
          <w:iCs/>
        </w:rPr>
        <w:t>et al.</w:t>
      </w:r>
      <w:r w:rsidRPr="00C83CC5">
        <w:rPr>
          <w:rFonts w:ascii="Arial" w:hAnsi="Arial" w:cs="Arial"/>
        </w:rPr>
        <w:t xml:space="preserve">, 2016). Depression was a partial mediator of these relationships, suggesting that psychosocial maturity protects against cognitive decline. </w:t>
      </w:r>
      <w:r w:rsidR="003714E7" w:rsidRPr="00C83CC5">
        <w:rPr>
          <w:rFonts w:ascii="Arial" w:hAnsi="Arial" w:cs="Arial"/>
        </w:rPr>
        <w:t>The finding</w:t>
      </w:r>
      <w:r w:rsidR="00973412" w:rsidRPr="00C83CC5">
        <w:rPr>
          <w:rFonts w:ascii="Arial" w:hAnsi="Arial" w:cs="Arial"/>
        </w:rPr>
        <w:t>s</w:t>
      </w:r>
      <w:r w:rsidR="003714E7" w:rsidRPr="00C83CC5">
        <w:rPr>
          <w:rFonts w:ascii="Arial" w:hAnsi="Arial" w:cs="Arial"/>
        </w:rPr>
        <w:t xml:space="preserve"> support</w:t>
      </w:r>
      <w:r w:rsidRPr="00C83CC5">
        <w:rPr>
          <w:rFonts w:ascii="Arial" w:hAnsi="Arial" w:cs="Arial"/>
        </w:rPr>
        <w:t xml:space="preserve"> Erikson's lifespan model for successful ageing trajectories.</w:t>
      </w:r>
    </w:p>
    <w:p w14:paraId="6163D4ED" w14:textId="77777777" w:rsidR="0027171E" w:rsidRPr="00C83CC5" w:rsidRDefault="0027171E" w:rsidP="00C83CC5">
      <w:pPr>
        <w:tabs>
          <w:tab w:val="left" w:pos="910"/>
        </w:tabs>
        <w:spacing w:line="360" w:lineRule="auto"/>
        <w:rPr>
          <w:rFonts w:ascii="Arial" w:hAnsi="Arial" w:cs="Arial"/>
        </w:rPr>
      </w:pPr>
    </w:p>
    <w:p w14:paraId="24147139" w14:textId="77777777" w:rsidR="00973412" w:rsidRPr="00C83CC5" w:rsidRDefault="00973412" w:rsidP="00C83CC5">
      <w:pPr>
        <w:tabs>
          <w:tab w:val="left" w:pos="910"/>
        </w:tabs>
        <w:spacing w:line="360" w:lineRule="auto"/>
        <w:rPr>
          <w:rFonts w:ascii="Arial" w:hAnsi="Arial" w:cs="Arial"/>
          <w:b/>
          <w:bCs/>
          <w:u w:val="single"/>
        </w:rPr>
      </w:pPr>
    </w:p>
    <w:p w14:paraId="5436D336" w14:textId="77777777" w:rsidR="00973412" w:rsidRPr="00C83CC5" w:rsidRDefault="00973412" w:rsidP="00C83CC5">
      <w:pPr>
        <w:tabs>
          <w:tab w:val="left" w:pos="910"/>
        </w:tabs>
        <w:spacing w:line="360" w:lineRule="auto"/>
        <w:rPr>
          <w:rFonts w:ascii="Arial" w:hAnsi="Arial" w:cs="Arial"/>
          <w:b/>
          <w:bCs/>
          <w:u w:val="single"/>
        </w:rPr>
      </w:pPr>
    </w:p>
    <w:p w14:paraId="0022A99D" w14:textId="3F485021" w:rsidR="0027171E" w:rsidRPr="002F6A26" w:rsidRDefault="0027171E" w:rsidP="00C83CC5">
      <w:pPr>
        <w:tabs>
          <w:tab w:val="left" w:pos="910"/>
        </w:tabs>
        <w:spacing w:line="360" w:lineRule="auto"/>
        <w:rPr>
          <w:rFonts w:ascii="Arial" w:hAnsi="Arial" w:cs="Arial"/>
          <w:b/>
          <w:bCs/>
          <w:sz w:val="24"/>
          <w:szCs w:val="24"/>
          <w:u w:val="single"/>
        </w:rPr>
      </w:pPr>
      <w:r w:rsidRPr="002F6A26">
        <w:rPr>
          <w:rFonts w:ascii="Arial" w:hAnsi="Arial" w:cs="Arial"/>
          <w:b/>
          <w:bCs/>
          <w:sz w:val="24"/>
          <w:szCs w:val="24"/>
          <w:u w:val="single"/>
        </w:rPr>
        <w:t>Critical Comment</w:t>
      </w:r>
    </w:p>
    <w:p w14:paraId="59E22CBB" w14:textId="3B4FDC9D" w:rsidR="00A6421C" w:rsidRPr="00C83CC5" w:rsidRDefault="0027171E" w:rsidP="00C83CC5">
      <w:pPr>
        <w:tabs>
          <w:tab w:val="left" w:pos="910"/>
        </w:tabs>
        <w:spacing w:line="360" w:lineRule="auto"/>
        <w:rPr>
          <w:rFonts w:ascii="Arial" w:hAnsi="Arial" w:cs="Arial"/>
        </w:rPr>
      </w:pPr>
      <w:r w:rsidRPr="00C83CC5">
        <w:rPr>
          <w:rFonts w:ascii="Arial" w:hAnsi="Arial" w:cs="Arial"/>
        </w:rPr>
        <w:t xml:space="preserve">This source holds significant value for health and social care practitioners working with older persons to understand their life stories and any developmental conflicts requiring resolution. Its multi-decade longitudinal design affords causal evidence that is stronger than cross-sectional studies. However, the male-exclusive cohort from Harvard limits generalisability to diverse populations such as women. Erikson's internal stage resolution </w:t>
      </w:r>
      <w:r w:rsidR="007859DA" w:rsidRPr="00C83CC5">
        <w:rPr>
          <w:rFonts w:ascii="Arial" w:hAnsi="Arial" w:cs="Arial"/>
        </w:rPr>
        <w:t>of psych</w:t>
      </w:r>
      <w:r w:rsidR="00E72420" w:rsidRPr="00C83CC5">
        <w:rPr>
          <w:rFonts w:ascii="Arial" w:hAnsi="Arial" w:cs="Arial"/>
        </w:rPr>
        <w:t xml:space="preserve">osocial crises </w:t>
      </w:r>
      <w:r w:rsidRPr="00C83CC5">
        <w:rPr>
          <w:rFonts w:ascii="Arial" w:hAnsi="Arial" w:cs="Arial"/>
        </w:rPr>
        <w:t>contrasts with Havighurst's focus o</w:t>
      </w:r>
      <w:r w:rsidR="00BD68A4" w:rsidRPr="00C83CC5">
        <w:rPr>
          <w:rFonts w:ascii="Arial" w:hAnsi="Arial" w:cs="Arial"/>
        </w:rPr>
        <w:t xml:space="preserve">n </w:t>
      </w:r>
      <w:r w:rsidRPr="00C83CC5">
        <w:rPr>
          <w:rFonts w:ascii="Arial" w:hAnsi="Arial" w:cs="Arial"/>
        </w:rPr>
        <w:t>external behaviour</w:t>
      </w:r>
      <w:r w:rsidR="002626D5" w:rsidRPr="00C83CC5">
        <w:rPr>
          <w:rFonts w:ascii="Arial" w:hAnsi="Arial" w:cs="Arial"/>
        </w:rPr>
        <w:t>al tasks</w:t>
      </w:r>
      <w:r w:rsidRPr="00C83CC5">
        <w:rPr>
          <w:rFonts w:ascii="Arial" w:hAnsi="Arial" w:cs="Arial"/>
        </w:rPr>
        <w:t xml:space="preserve"> and places a greater need for therapeutic exploration but can also prove more challenging to fit into the limited time allocated for practice but is invaluable in supporting holistic care planning (Lemon, Bengtson and Peterson, 1972)</w:t>
      </w:r>
    </w:p>
    <w:p w14:paraId="4E4A1E56" w14:textId="77777777" w:rsidR="00A6421C" w:rsidRPr="00C83CC5" w:rsidRDefault="00A6421C" w:rsidP="00C83CC5">
      <w:pPr>
        <w:spacing w:line="360" w:lineRule="auto"/>
        <w:rPr>
          <w:rFonts w:ascii="Arial" w:hAnsi="Arial" w:cs="Arial"/>
        </w:rPr>
      </w:pPr>
    </w:p>
    <w:p w14:paraId="72F3A987" w14:textId="77777777" w:rsidR="006E71AB" w:rsidRPr="00C83CC5" w:rsidRDefault="006E71AB" w:rsidP="00C83CC5">
      <w:pPr>
        <w:pBdr>
          <w:bottom w:val="single" w:sz="6" w:space="1" w:color="auto"/>
        </w:pBdr>
        <w:spacing w:line="360" w:lineRule="auto"/>
        <w:rPr>
          <w:rFonts w:ascii="Arial" w:hAnsi="Arial" w:cs="Arial"/>
          <w:color w:val="EE0000"/>
        </w:rPr>
      </w:pPr>
    </w:p>
    <w:p w14:paraId="0F07DD00" w14:textId="77777777" w:rsidR="009D5527" w:rsidRPr="00C83CC5" w:rsidRDefault="009D5527" w:rsidP="00C83CC5">
      <w:pPr>
        <w:spacing w:line="360" w:lineRule="auto"/>
        <w:rPr>
          <w:rFonts w:ascii="Arial" w:hAnsi="Arial" w:cs="Arial"/>
          <w:color w:val="EE0000"/>
        </w:rPr>
      </w:pPr>
    </w:p>
    <w:p w14:paraId="44AD1A43" w14:textId="77777777" w:rsidR="006E71AB" w:rsidRPr="00C83CC5" w:rsidRDefault="006E71AB" w:rsidP="00C83CC5">
      <w:pPr>
        <w:spacing w:line="360" w:lineRule="auto"/>
        <w:rPr>
          <w:rFonts w:ascii="Arial" w:hAnsi="Arial" w:cs="Arial"/>
          <w:color w:val="EE0000"/>
        </w:rPr>
      </w:pPr>
    </w:p>
    <w:p w14:paraId="7466AAC1" w14:textId="77777777" w:rsidR="006E71AB" w:rsidRPr="00C83CC5" w:rsidRDefault="006E71AB" w:rsidP="00C83CC5">
      <w:pPr>
        <w:spacing w:line="360" w:lineRule="auto"/>
        <w:rPr>
          <w:rFonts w:ascii="Arial" w:hAnsi="Arial" w:cs="Arial"/>
          <w:color w:val="EE0000"/>
        </w:rPr>
      </w:pPr>
    </w:p>
    <w:p w14:paraId="3603A76C" w14:textId="77777777" w:rsidR="006E71AB" w:rsidRPr="00C83CC5" w:rsidRDefault="006E71AB" w:rsidP="00C83CC5">
      <w:pPr>
        <w:spacing w:line="360" w:lineRule="auto"/>
        <w:rPr>
          <w:rFonts w:ascii="Arial" w:hAnsi="Arial" w:cs="Arial"/>
          <w:color w:val="EE0000"/>
        </w:rPr>
      </w:pPr>
    </w:p>
    <w:p w14:paraId="754F4EC6" w14:textId="77777777" w:rsidR="006E71AB" w:rsidRPr="00C83CC5" w:rsidRDefault="006E71AB" w:rsidP="00C83CC5">
      <w:pPr>
        <w:spacing w:line="360" w:lineRule="auto"/>
        <w:rPr>
          <w:rFonts w:ascii="Arial" w:hAnsi="Arial" w:cs="Arial"/>
          <w:color w:val="EE0000"/>
        </w:rPr>
      </w:pPr>
    </w:p>
    <w:p w14:paraId="7CEA4A08" w14:textId="77777777" w:rsidR="006E71AB" w:rsidRPr="00C83CC5" w:rsidRDefault="006E71AB" w:rsidP="00C83CC5">
      <w:pPr>
        <w:spacing w:line="360" w:lineRule="auto"/>
        <w:rPr>
          <w:rFonts w:ascii="Arial" w:hAnsi="Arial" w:cs="Arial"/>
        </w:rPr>
      </w:pPr>
    </w:p>
    <w:p w14:paraId="1FDBE7A8" w14:textId="77777777" w:rsidR="009D5527" w:rsidRPr="00C83CC5" w:rsidRDefault="009D5527" w:rsidP="00C83CC5">
      <w:pPr>
        <w:spacing w:line="360" w:lineRule="auto"/>
        <w:rPr>
          <w:rFonts w:ascii="Arial" w:hAnsi="Arial" w:cs="Arial"/>
        </w:rPr>
      </w:pPr>
    </w:p>
    <w:p w14:paraId="4DAC4805" w14:textId="77777777" w:rsidR="009D5527" w:rsidRPr="00C83CC5" w:rsidRDefault="009D5527" w:rsidP="00C83CC5">
      <w:pPr>
        <w:spacing w:line="360" w:lineRule="auto"/>
        <w:rPr>
          <w:rFonts w:ascii="Arial" w:hAnsi="Arial" w:cs="Arial"/>
        </w:rPr>
      </w:pPr>
    </w:p>
    <w:p w14:paraId="0F38D96B" w14:textId="77777777" w:rsidR="009D5527" w:rsidRPr="00C83CC5" w:rsidRDefault="009D5527" w:rsidP="00C83CC5">
      <w:pPr>
        <w:spacing w:line="360" w:lineRule="auto"/>
        <w:rPr>
          <w:rFonts w:ascii="Arial" w:hAnsi="Arial" w:cs="Arial"/>
        </w:rPr>
      </w:pPr>
    </w:p>
    <w:p w14:paraId="4EA99A8E" w14:textId="77777777" w:rsidR="009D5527" w:rsidRPr="00C83CC5" w:rsidRDefault="009D5527" w:rsidP="00C83CC5">
      <w:pPr>
        <w:spacing w:line="360" w:lineRule="auto"/>
        <w:rPr>
          <w:rFonts w:ascii="Arial" w:hAnsi="Arial" w:cs="Arial"/>
        </w:rPr>
      </w:pPr>
    </w:p>
    <w:p w14:paraId="6D9F9E80" w14:textId="77777777" w:rsidR="009D5527" w:rsidRPr="00C83CC5" w:rsidRDefault="009D5527" w:rsidP="00C83CC5">
      <w:pPr>
        <w:spacing w:line="360" w:lineRule="auto"/>
        <w:rPr>
          <w:rFonts w:ascii="Arial" w:hAnsi="Arial" w:cs="Arial"/>
        </w:rPr>
      </w:pPr>
    </w:p>
    <w:p w14:paraId="6BD75B5E" w14:textId="77777777" w:rsidR="00172556" w:rsidRPr="00C83CC5" w:rsidRDefault="00172556" w:rsidP="00C83CC5">
      <w:pPr>
        <w:spacing w:line="360" w:lineRule="auto"/>
        <w:rPr>
          <w:rFonts w:ascii="Arial" w:hAnsi="Arial" w:cs="Arial"/>
          <w:b/>
          <w:bCs/>
          <w:color w:val="EE0000"/>
        </w:rPr>
      </w:pPr>
    </w:p>
    <w:p w14:paraId="6D3563AA" w14:textId="77777777" w:rsidR="00791682" w:rsidRPr="00C83CC5" w:rsidRDefault="00791682" w:rsidP="00C83CC5">
      <w:pPr>
        <w:spacing w:line="360" w:lineRule="auto"/>
        <w:rPr>
          <w:rFonts w:ascii="Arial" w:hAnsi="Arial" w:cs="Arial"/>
          <w:b/>
          <w:bCs/>
          <w:color w:val="EE0000"/>
        </w:rPr>
      </w:pPr>
    </w:p>
    <w:p w14:paraId="33AD847E" w14:textId="77777777" w:rsidR="00791682" w:rsidRPr="00C83CC5" w:rsidRDefault="00791682" w:rsidP="00C83CC5">
      <w:pPr>
        <w:spacing w:line="360" w:lineRule="auto"/>
        <w:rPr>
          <w:rFonts w:ascii="Arial" w:hAnsi="Arial" w:cs="Arial"/>
          <w:b/>
          <w:bCs/>
          <w:color w:val="EE0000"/>
        </w:rPr>
      </w:pPr>
    </w:p>
    <w:p w14:paraId="53B69BDF" w14:textId="77777777" w:rsidR="00791682" w:rsidRPr="00C83CC5" w:rsidRDefault="00791682" w:rsidP="00C83CC5">
      <w:pPr>
        <w:spacing w:line="360" w:lineRule="auto"/>
        <w:rPr>
          <w:rFonts w:ascii="Arial" w:hAnsi="Arial" w:cs="Arial"/>
          <w:b/>
          <w:bCs/>
          <w:color w:val="EE0000"/>
        </w:rPr>
      </w:pPr>
    </w:p>
    <w:p w14:paraId="2BA8669B" w14:textId="77777777" w:rsidR="00AE09F4" w:rsidRDefault="00AE09F4" w:rsidP="00C83CC5">
      <w:pPr>
        <w:spacing w:line="360" w:lineRule="auto"/>
        <w:rPr>
          <w:rFonts w:ascii="Arial" w:hAnsi="Arial" w:cs="Arial"/>
          <w:b/>
          <w:bCs/>
        </w:rPr>
      </w:pPr>
    </w:p>
    <w:p w14:paraId="56F36F78" w14:textId="13A49302" w:rsidR="00DB390C" w:rsidRPr="00922B02" w:rsidRDefault="00791682" w:rsidP="00C83CC5">
      <w:pPr>
        <w:spacing w:line="360" w:lineRule="auto"/>
        <w:rPr>
          <w:rFonts w:ascii="Arial" w:hAnsi="Arial" w:cs="Arial"/>
          <w:b/>
          <w:bCs/>
          <w:sz w:val="28"/>
          <w:szCs w:val="28"/>
          <w:u w:val="single"/>
        </w:rPr>
      </w:pPr>
      <w:r w:rsidRPr="00922B02">
        <w:rPr>
          <w:rFonts w:ascii="Arial" w:hAnsi="Arial" w:cs="Arial"/>
          <w:b/>
          <w:bCs/>
          <w:sz w:val="28"/>
          <w:szCs w:val="28"/>
          <w:u w:val="single"/>
        </w:rPr>
        <w:t>Part B: Short report</w:t>
      </w:r>
    </w:p>
    <w:p w14:paraId="6AF4FE47" w14:textId="77777777" w:rsidR="00922B02" w:rsidRDefault="00922B02" w:rsidP="00C83CC5">
      <w:pPr>
        <w:spacing w:line="360" w:lineRule="auto"/>
        <w:rPr>
          <w:rFonts w:ascii="Arial" w:hAnsi="Arial" w:cs="Arial"/>
          <w:b/>
          <w:bCs/>
          <w:sz w:val="28"/>
          <w:szCs w:val="28"/>
        </w:rPr>
      </w:pPr>
    </w:p>
    <w:p w14:paraId="4673D192" w14:textId="5B1FB87A" w:rsidR="00BA67F2" w:rsidRPr="00AE09F4" w:rsidRDefault="00BA67F2" w:rsidP="00C83CC5">
      <w:pPr>
        <w:spacing w:line="360" w:lineRule="auto"/>
        <w:rPr>
          <w:rFonts w:ascii="Arial" w:hAnsi="Arial" w:cs="Arial"/>
          <w:b/>
          <w:bCs/>
          <w:sz w:val="28"/>
          <w:szCs w:val="28"/>
        </w:rPr>
      </w:pPr>
      <w:r w:rsidRPr="00AE09F4">
        <w:rPr>
          <w:rFonts w:ascii="Arial" w:hAnsi="Arial" w:cs="Arial"/>
          <w:b/>
          <w:bCs/>
          <w:sz w:val="28"/>
          <w:szCs w:val="28"/>
        </w:rPr>
        <w:t>Introduction</w:t>
      </w:r>
      <w:r w:rsidR="00172556" w:rsidRPr="00AE09F4">
        <w:rPr>
          <w:rFonts w:ascii="Arial" w:hAnsi="Arial" w:cs="Arial"/>
          <w:b/>
          <w:bCs/>
          <w:sz w:val="28"/>
          <w:szCs w:val="28"/>
        </w:rPr>
        <w:t xml:space="preserve">   </w:t>
      </w:r>
    </w:p>
    <w:p w14:paraId="709B791E" w14:textId="77777777" w:rsidR="002F6A26" w:rsidRDefault="002F6A26" w:rsidP="00C83CC5">
      <w:pPr>
        <w:spacing w:line="360" w:lineRule="auto"/>
        <w:rPr>
          <w:rFonts w:ascii="Arial" w:hAnsi="Arial" w:cs="Arial"/>
        </w:rPr>
      </w:pPr>
    </w:p>
    <w:p w14:paraId="643BB404" w14:textId="761A78DC" w:rsidR="00BA67F2" w:rsidRPr="00C83CC5" w:rsidRDefault="00BA67F2" w:rsidP="00C83CC5">
      <w:pPr>
        <w:spacing w:line="360" w:lineRule="auto"/>
        <w:rPr>
          <w:rFonts w:ascii="Arial" w:hAnsi="Arial" w:cs="Arial"/>
        </w:rPr>
      </w:pPr>
      <w:r w:rsidRPr="00C83CC5">
        <w:rPr>
          <w:rFonts w:ascii="Arial" w:hAnsi="Arial" w:cs="Arial"/>
        </w:rPr>
        <w:t xml:space="preserve">This article focuses on Erikson's psychosocial theory, concentrating on the eighth stage </w:t>
      </w:r>
      <w:r w:rsidR="00791682" w:rsidRPr="00C83CC5">
        <w:rPr>
          <w:rFonts w:ascii="Arial" w:hAnsi="Arial" w:cs="Arial"/>
        </w:rPr>
        <w:t>‘</w:t>
      </w:r>
      <w:r w:rsidRPr="00C83CC5">
        <w:rPr>
          <w:rFonts w:ascii="Arial" w:hAnsi="Arial" w:cs="Arial"/>
        </w:rPr>
        <w:t>integrity versus despair</w:t>
      </w:r>
      <w:r w:rsidR="00791682" w:rsidRPr="00C83CC5">
        <w:rPr>
          <w:rFonts w:ascii="Arial" w:hAnsi="Arial" w:cs="Arial"/>
        </w:rPr>
        <w:t>’</w:t>
      </w:r>
      <w:r w:rsidRPr="00C83CC5">
        <w:rPr>
          <w:rFonts w:ascii="Arial" w:hAnsi="Arial" w:cs="Arial"/>
        </w:rPr>
        <w:t xml:space="preserve">, targeted at health and social care professionals who work in care homes supporting older </w:t>
      </w:r>
      <w:r w:rsidR="00E12C18" w:rsidRPr="00C83CC5">
        <w:rPr>
          <w:rFonts w:ascii="Arial" w:hAnsi="Arial" w:cs="Arial"/>
        </w:rPr>
        <w:t>adults</w:t>
      </w:r>
      <w:r w:rsidRPr="00C83CC5">
        <w:rPr>
          <w:rFonts w:ascii="Arial" w:hAnsi="Arial" w:cs="Arial"/>
        </w:rPr>
        <w:t>. By detailing core theoretical constructs, it not only describes practical life review interventions to enhance psychological wellbeing but also a tangible case scenario, addresses challenges with implementation, and recommends evidence-based solutions. Professionals can create life satisfaction and emotional resilience within residents by promoting integrity rather than despair in residential environments.</w:t>
      </w:r>
    </w:p>
    <w:p w14:paraId="6175F676" w14:textId="77777777" w:rsidR="00BA67F2" w:rsidRPr="00C83CC5" w:rsidRDefault="00BA67F2" w:rsidP="00C83CC5">
      <w:pPr>
        <w:spacing w:line="360" w:lineRule="auto"/>
        <w:rPr>
          <w:rFonts w:ascii="Arial" w:hAnsi="Arial" w:cs="Arial"/>
        </w:rPr>
      </w:pPr>
    </w:p>
    <w:p w14:paraId="057CF41F" w14:textId="77777777" w:rsidR="00BA67F2" w:rsidRPr="00AE09F4" w:rsidRDefault="00BA67F2" w:rsidP="00C83CC5">
      <w:pPr>
        <w:spacing w:line="360" w:lineRule="auto"/>
        <w:rPr>
          <w:rFonts w:ascii="Arial" w:hAnsi="Arial" w:cs="Arial"/>
          <w:b/>
          <w:bCs/>
          <w:sz w:val="28"/>
          <w:szCs w:val="28"/>
        </w:rPr>
      </w:pPr>
      <w:r w:rsidRPr="00AE09F4">
        <w:rPr>
          <w:rFonts w:ascii="Arial" w:hAnsi="Arial" w:cs="Arial"/>
          <w:b/>
          <w:bCs/>
          <w:sz w:val="28"/>
          <w:szCs w:val="28"/>
        </w:rPr>
        <w:t>Explanation of the Theory</w:t>
      </w:r>
    </w:p>
    <w:p w14:paraId="25AE0847" w14:textId="77777777" w:rsidR="00BA67F2" w:rsidRPr="00C83CC5" w:rsidRDefault="00BA67F2" w:rsidP="00C83CC5">
      <w:pPr>
        <w:spacing w:line="360" w:lineRule="auto"/>
        <w:rPr>
          <w:rFonts w:ascii="Arial" w:hAnsi="Arial" w:cs="Arial"/>
        </w:rPr>
      </w:pPr>
    </w:p>
    <w:p w14:paraId="20805C6B" w14:textId="34266C86" w:rsidR="00BA67F2" w:rsidRPr="00C83CC5" w:rsidRDefault="003A4BB1" w:rsidP="00C83CC5">
      <w:pPr>
        <w:spacing w:line="360" w:lineRule="auto"/>
        <w:rPr>
          <w:rFonts w:ascii="Arial" w:hAnsi="Arial" w:cs="Arial"/>
        </w:rPr>
      </w:pPr>
      <w:r w:rsidRPr="00C83CC5">
        <w:rPr>
          <w:rFonts w:ascii="Arial" w:hAnsi="Arial" w:cs="Arial"/>
        </w:rPr>
        <w:t>Erik Erikson’s theory of psychosocial development posits that personality develops in</w:t>
      </w:r>
      <w:r w:rsidR="00BA67F2" w:rsidRPr="00C83CC5">
        <w:rPr>
          <w:rFonts w:ascii="Arial" w:hAnsi="Arial" w:cs="Arial"/>
        </w:rPr>
        <w:t xml:space="preserve"> eight</w:t>
      </w:r>
      <w:r w:rsidR="00E34FDA" w:rsidRPr="00C83CC5">
        <w:rPr>
          <w:rFonts w:ascii="Arial" w:hAnsi="Arial" w:cs="Arial"/>
        </w:rPr>
        <w:t>h</w:t>
      </w:r>
      <w:r w:rsidR="00BA67F2" w:rsidRPr="00C83CC5">
        <w:rPr>
          <w:rFonts w:ascii="Arial" w:hAnsi="Arial" w:cs="Arial"/>
        </w:rPr>
        <w:t xml:space="preserve"> stages over one's lifespan, with each stage defined by a conflict central to a developing personality. Erikson's </w:t>
      </w:r>
      <w:r w:rsidR="002277B2">
        <w:rPr>
          <w:rFonts w:ascii="Arial" w:hAnsi="Arial" w:cs="Arial"/>
        </w:rPr>
        <w:t xml:space="preserve">final psychosocial </w:t>
      </w:r>
      <w:r w:rsidR="00BA67F2" w:rsidRPr="00C83CC5">
        <w:rPr>
          <w:rFonts w:ascii="Arial" w:hAnsi="Arial" w:cs="Arial"/>
        </w:rPr>
        <w:t xml:space="preserve">stage, </w:t>
      </w:r>
      <w:r w:rsidRPr="00C83CC5">
        <w:rPr>
          <w:rFonts w:ascii="Arial" w:hAnsi="Arial" w:cs="Arial"/>
        </w:rPr>
        <w:t>integrity versus despair</w:t>
      </w:r>
      <w:r w:rsidR="00BA67F2" w:rsidRPr="00C83CC5">
        <w:rPr>
          <w:rFonts w:ascii="Arial" w:hAnsi="Arial" w:cs="Arial"/>
        </w:rPr>
        <w:t xml:space="preserve">, </w:t>
      </w:r>
      <w:r w:rsidR="002277B2">
        <w:rPr>
          <w:rFonts w:ascii="Arial" w:hAnsi="Arial" w:cs="Arial"/>
        </w:rPr>
        <w:t xml:space="preserve">usually takes place </w:t>
      </w:r>
      <w:r w:rsidR="007C3AEC">
        <w:rPr>
          <w:rFonts w:ascii="Arial" w:hAnsi="Arial" w:cs="Arial"/>
        </w:rPr>
        <w:t xml:space="preserve">in </w:t>
      </w:r>
      <w:r w:rsidRPr="00C83CC5">
        <w:rPr>
          <w:rFonts w:ascii="Arial" w:hAnsi="Arial" w:cs="Arial"/>
        </w:rPr>
        <w:t>late</w:t>
      </w:r>
      <w:r w:rsidR="007C3AEC">
        <w:rPr>
          <w:rFonts w:ascii="Arial" w:hAnsi="Arial" w:cs="Arial"/>
        </w:rPr>
        <w:t>r</w:t>
      </w:r>
      <w:r w:rsidR="00BA67F2" w:rsidRPr="00C83CC5">
        <w:rPr>
          <w:rFonts w:ascii="Arial" w:hAnsi="Arial" w:cs="Arial"/>
        </w:rPr>
        <w:t xml:space="preserve"> </w:t>
      </w:r>
      <w:r w:rsidR="00425FCC" w:rsidRPr="00C83CC5">
        <w:rPr>
          <w:rFonts w:ascii="Arial" w:hAnsi="Arial" w:cs="Arial"/>
        </w:rPr>
        <w:t>adulthood</w:t>
      </w:r>
      <w:r w:rsidR="00BA67F2" w:rsidRPr="00C83CC5">
        <w:rPr>
          <w:rFonts w:ascii="Arial" w:hAnsi="Arial" w:cs="Arial"/>
        </w:rPr>
        <w:t xml:space="preserve"> </w:t>
      </w:r>
      <w:r w:rsidRPr="00C83CC5">
        <w:rPr>
          <w:rFonts w:ascii="Arial" w:hAnsi="Arial" w:cs="Arial"/>
        </w:rPr>
        <w:t>(</w:t>
      </w:r>
      <w:r w:rsidR="00425FCC" w:rsidRPr="00C83CC5">
        <w:rPr>
          <w:rFonts w:ascii="Arial" w:hAnsi="Arial" w:cs="Arial"/>
        </w:rPr>
        <w:t>65+years</w:t>
      </w:r>
      <w:r w:rsidR="00BA67F2" w:rsidRPr="00C83CC5">
        <w:rPr>
          <w:rFonts w:ascii="Arial" w:hAnsi="Arial" w:cs="Arial"/>
        </w:rPr>
        <w:t xml:space="preserve">), when people have the opportunity to reflect on their </w:t>
      </w:r>
      <w:r w:rsidR="00E10104" w:rsidRPr="00C83CC5">
        <w:rPr>
          <w:rFonts w:ascii="Arial" w:hAnsi="Arial" w:cs="Arial"/>
        </w:rPr>
        <w:t>lives</w:t>
      </w:r>
      <w:r w:rsidR="00BA67F2" w:rsidRPr="00C83CC5">
        <w:rPr>
          <w:rFonts w:ascii="Arial" w:hAnsi="Arial" w:cs="Arial"/>
        </w:rPr>
        <w:t xml:space="preserve"> (Westerhof, Bohlmeijer and McAdams, 2017). Successful resolution yields ego integrity—a unifying story of one’s life, acceptance of mortality, and the wisdom to guide others. Conversely, failure brings despair through regret, bitterness, fear of death.</w:t>
      </w:r>
    </w:p>
    <w:p w14:paraId="7766396D" w14:textId="77777777" w:rsidR="00BA67F2" w:rsidRPr="00C83CC5" w:rsidRDefault="00BA67F2" w:rsidP="00C83CC5">
      <w:pPr>
        <w:spacing w:line="360" w:lineRule="auto"/>
        <w:rPr>
          <w:rFonts w:ascii="Arial" w:hAnsi="Arial" w:cs="Arial"/>
        </w:rPr>
      </w:pPr>
    </w:p>
    <w:p w14:paraId="27B61285" w14:textId="152C272F" w:rsidR="00BA67F2" w:rsidRPr="00C83CC5" w:rsidRDefault="00BA67F2" w:rsidP="00C83CC5">
      <w:pPr>
        <w:spacing w:line="360" w:lineRule="auto"/>
        <w:rPr>
          <w:rFonts w:ascii="Arial" w:hAnsi="Arial" w:cs="Arial"/>
        </w:rPr>
      </w:pPr>
      <w:r w:rsidRPr="00C83CC5">
        <w:rPr>
          <w:rFonts w:ascii="Arial" w:hAnsi="Arial" w:cs="Arial"/>
        </w:rPr>
        <w:t>Central to this is the mechanism of life review, where older adults reconstruct their past experiences into meaningful narrative</w:t>
      </w:r>
      <w:r w:rsidR="00EC637C" w:rsidRPr="00C83CC5">
        <w:rPr>
          <w:rFonts w:ascii="Arial" w:hAnsi="Arial" w:cs="Arial"/>
        </w:rPr>
        <w:t>s</w:t>
      </w:r>
      <w:r w:rsidR="00296430" w:rsidRPr="00C83CC5">
        <w:rPr>
          <w:rFonts w:ascii="Arial" w:hAnsi="Arial" w:cs="Arial"/>
        </w:rPr>
        <w:t>,</w:t>
      </w:r>
      <w:r w:rsidRPr="00C83CC5">
        <w:rPr>
          <w:rFonts w:ascii="Arial" w:hAnsi="Arial" w:cs="Arial"/>
        </w:rPr>
        <w:t xml:space="preserve"> and generativity developed during earlier stages now extends as legacy through storytelling. This stage also recognizes specific challenges of adult development such as physical decline, bereavement and loss of independence. With its attention to socio-cultural context, in contrast to Freudian biological drives, Erikson is particularly relevant for care homes where relationships are not only key to survival but also flourishing (Concordia University, 2021).</w:t>
      </w:r>
    </w:p>
    <w:p w14:paraId="0EF13EFA" w14:textId="77777777" w:rsidR="00BA67F2" w:rsidRPr="00C83CC5" w:rsidRDefault="00BA67F2" w:rsidP="00C83CC5">
      <w:pPr>
        <w:spacing w:line="360" w:lineRule="auto"/>
        <w:rPr>
          <w:rFonts w:ascii="Arial" w:hAnsi="Arial" w:cs="Arial"/>
        </w:rPr>
      </w:pPr>
    </w:p>
    <w:p w14:paraId="5809BB4F" w14:textId="5114AF21" w:rsidR="00BA67F2" w:rsidRPr="00C83CC5" w:rsidRDefault="00BA67F2" w:rsidP="00C83CC5">
      <w:pPr>
        <w:spacing w:line="360" w:lineRule="auto"/>
        <w:rPr>
          <w:rFonts w:ascii="Arial" w:hAnsi="Arial" w:cs="Arial"/>
        </w:rPr>
      </w:pPr>
      <w:r w:rsidRPr="00C83CC5">
        <w:rPr>
          <w:rFonts w:ascii="Arial" w:hAnsi="Arial" w:cs="Arial"/>
        </w:rPr>
        <w:t xml:space="preserve">In addition, the empirical evidence strongly supports these constructs: ego integrity has a positive correlation with mental health; despair is a strong predictor of depression. Significantly, ego integrity also buffered older adults' wellbeing during isolation in </w:t>
      </w:r>
      <w:r w:rsidR="00425FCC" w:rsidRPr="00C83CC5">
        <w:rPr>
          <w:rFonts w:ascii="Arial" w:hAnsi="Arial" w:cs="Arial"/>
        </w:rPr>
        <w:t>COVID-19</w:t>
      </w:r>
      <w:r w:rsidRPr="00C83CC5">
        <w:rPr>
          <w:rFonts w:ascii="Arial" w:hAnsi="Arial" w:cs="Arial"/>
        </w:rPr>
        <w:t xml:space="preserve"> </w:t>
      </w:r>
      <w:r w:rsidR="00425FCC" w:rsidRPr="00C83CC5">
        <w:rPr>
          <w:rFonts w:ascii="Arial" w:hAnsi="Arial" w:cs="Arial"/>
        </w:rPr>
        <w:t>(Van der</w:t>
      </w:r>
      <w:r w:rsidRPr="00C83CC5">
        <w:rPr>
          <w:rFonts w:ascii="Arial" w:hAnsi="Arial" w:cs="Arial"/>
        </w:rPr>
        <w:t xml:space="preserve"> </w:t>
      </w:r>
      <w:r w:rsidR="00425FCC" w:rsidRPr="00C83CC5">
        <w:rPr>
          <w:rFonts w:ascii="Arial" w:hAnsi="Arial" w:cs="Arial"/>
        </w:rPr>
        <w:t>Kaap</w:t>
      </w:r>
      <w:r w:rsidRPr="00C83CC5">
        <w:rPr>
          <w:rFonts w:ascii="Arial" w:hAnsi="Arial" w:cs="Arial"/>
        </w:rPr>
        <w:t>-</w:t>
      </w:r>
      <w:r w:rsidR="00425FCC" w:rsidRPr="00C83CC5">
        <w:rPr>
          <w:rFonts w:ascii="Arial" w:hAnsi="Arial" w:cs="Arial"/>
        </w:rPr>
        <w:t xml:space="preserve">Deeder </w:t>
      </w:r>
      <w:r w:rsidR="00425FCC" w:rsidRPr="00C83CC5">
        <w:rPr>
          <w:rFonts w:ascii="Arial" w:hAnsi="Arial" w:cs="Arial"/>
          <w:i/>
          <w:iCs/>
        </w:rPr>
        <w:t>et al</w:t>
      </w:r>
      <w:r w:rsidR="00A51A76" w:rsidRPr="00C83CC5">
        <w:rPr>
          <w:rFonts w:ascii="Arial" w:hAnsi="Arial" w:cs="Arial"/>
          <w:i/>
          <w:iCs/>
        </w:rPr>
        <w:t>.,</w:t>
      </w:r>
      <w:r w:rsidRPr="00C83CC5">
        <w:rPr>
          <w:rFonts w:ascii="Arial" w:hAnsi="Arial" w:cs="Arial"/>
        </w:rPr>
        <w:t xml:space="preserve"> </w:t>
      </w:r>
      <w:r w:rsidR="00425FCC" w:rsidRPr="00C83CC5">
        <w:rPr>
          <w:rFonts w:ascii="Arial" w:hAnsi="Arial" w:cs="Arial"/>
        </w:rPr>
        <w:t>2021</w:t>
      </w:r>
      <w:r w:rsidRPr="00C83CC5">
        <w:rPr>
          <w:rFonts w:ascii="Arial" w:hAnsi="Arial" w:cs="Arial"/>
        </w:rPr>
        <w:t>). Additionally, longitudinal research affirm</w:t>
      </w:r>
      <w:r w:rsidR="00805F2D" w:rsidRPr="00C83CC5">
        <w:rPr>
          <w:rFonts w:ascii="Arial" w:hAnsi="Arial" w:cs="Arial"/>
        </w:rPr>
        <w:t>s</w:t>
      </w:r>
      <w:r w:rsidRPr="00C83CC5">
        <w:rPr>
          <w:rFonts w:ascii="Arial" w:hAnsi="Arial" w:cs="Arial"/>
        </w:rPr>
        <w:t xml:space="preserve"> the temporal stability of integrity (Newton </w:t>
      </w:r>
      <w:r w:rsidRPr="00C83CC5">
        <w:rPr>
          <w:rFonts w:ascii="Arial" w:hAnsi="Arial" w:cs="Arial"/>
          <w:i/>
          <w:iCs/>
        </w:rPr>
        <w:t>et al.</w:t>
      </w:r>
      <w:r w:rsidRPr="00C83CC5">
        <w:rPr>
          <w:rFonts w:ascii="Arial" w:hAnsi="Arial" w:cs="Arial"/>
        </w:rPr>
        <w:t>, 2019), thereby backing up regimented approaches.</w:t>
      </w:r>
    </w:p>
    <w:p w14:paraId="0863B246" w14:textId="77777777" w:rsidR="00BA67F2" w:rsidRPr="00C83CC5" w:rsidRDefault="00BA67F2" w:rsidP="00C83CC5">
      <w:pPr>
        <w:spacing w:line="360" w:lineRule="auto"/>
        <w:rPr>
          <w:rFonts w:ascii="Arial" w:hAnsi="Arial" w:cs="Arial"/>
        </w:rPr>
      </w:pPr>
    </w:p>
    <w:p w14:paraId="73BAE278" w14:textId="77777777" w:rsidR="00BA67F2" w:rsidRPr="00AE09F4" w:rsidRDefault="00BA67F2" w:rsidP="00C83CC5">
      <w:pPr>
        <w:spacing w:line="360" w:lineRule="auto"/>
        <w:rPr>
          <w:rFonts w:ascii="Arial" w:hAnsi="Arial" w:cs="Arial"/>
          <w:b/>
          <w:bCs/>
          <w:sz w:val="28"/>
          <w:szCs w:val="28"/>
        </w:rPr>
      </w:pPr>
      <w:r w:rsidRPr="00AE09F4">
        <w:rPr>
          <w:rFonts w:ascii="Arial" w:hAnsi="Arial" w:cs="Arial"/>
          <w:b/>
          <w:bCs/>
          <w:sz w:val="28"/>
          <w:szCs w:val="28"/>
        </w:rPr>
        <w:t>Application to Residential Care</w:t>
      </w:r>
    </w:p>
    <w:p w14:paraId="638F1AE4" w14:textId="77777777" w:rsidR="00BA67F2" w:rsidRPr="00C83CC5" w:rsidRDefault="00BA67F2" w:rsidP="00C83CC5">
      <w:pPr>
        <w:spacing w:line="360" w:lineRule="auto"/>
        <w:rPr>
          <w:rFonts w:ascii="Arial" w:hAnsi="Arial" w:cs="Arial"/>
        </w:rPr>
      </w:pPr>
    </w:p>
    <w:p w14:paraId="04077C11" w14:textId="57992035" w:rsidR="00BA67F2" w:rsidRPr="00C83CC5" w:rsidRDefault="00BA67F2" w:rsidP="00C83CC5">
      <w:pPr>
        <w:spacing w:line="360" w:lineRule="auto"/>
        <w:rPr>
          <w:rFonts w:ascii="Arial" w:hAnsi="Arial" w:cs="Arial"/>
        </w:rPr>
      </w:pPr>
      <w:r w:rsidRPr="00C83CC5">
        <w:rPr>
          <w:rFonts w:ascii="Arial" w:hAnsi="Arial" w:cs="Arial"/>
        </w:rPr>
        <w:t>The direct application of Erikson's theory for improvement of wellbeing is found through formal structured life review interventions facilitating integrity. Care managers also coordinate reminiscence therapy groups wherein residents recount life narratives, affirm successes and re-frame regrets to e</w:t>
      </w:r>
      <w:r w:rsidR="00AF36C5" w:rsidRPr="00C83CC5">
        <w:rPr>
          <w:rFonts w:ascii="Arial" w:hAnsi="Arial" w:cs="Arial"/>
        </w:rPr>
        <w:t>nhance</w:t>
      </w:r>
      <w:r w:rsidRPr="00C83CC5">
        <w:rPr>
          <w:rFonts w:ascii="Arial" w:hAnsi="Arial" w:cs="Arial"/>
        </w:rPr>
        <w:t xml:space="preserve"> social relationship</w:t>
      </w:r>
      <w:r w:rsidR="00156E25" w:rsidRPr="00C83CC5">
        <w:rPr>
          <w:rFonts w:ascii="Arial" w:hAnsi="Arial" w:cs="Arial"/>
        </w:rPr>
        <w:t>s</w:t>
      </w:r>
      <w:r w:rsidRPr="00C83CC5">
        <w:rPr>
          <w:rFonts w:ascii="Arial" w:hAnsi="Arial" w:cs="Arial"/>
        </w:rPr>
        <w:t xml:space="preserve"> and purpose (Woods </w:t>
      </w:r>
      <w:r w:rsidRPr="00C83CC5">
        <w:rPr>
          <w:rFonts w:ascii="Arial" w:hAnsi="Arial" w:cs="Arial"/>
          <w:i/>
          <w:iCs/>
        </w:rPr>
        <w:t>et al.</w:t>
      </w:r>
      <w:r w:rsidRPr="00C83CC5">
        <w:rPr>
          <w:rFonts w:ascii="Arial" w:hAnsi="Arial" w:cs="Arial"/>
        </w:rPr>
        <w:t>, 2018).</w:t>
      </w:r>
    </w:p>
    <w:p w14:paraId="2E2F467C" w14:textId="77777777" w:rsidR="00BA67F2" w:rsidRPr="00C83CC5" w:rsidRDefault="00BA67F2" w:rsidP="00C83CC5">
      <w:pPr>
        <w:spacing w:line="360" w:lineRule="auto"/>
        <w:rPr>
          <w:rFonts w:ascii="Arial" w:hAnsi="Arial" w:cs="Arial"/>
        </w:rPr>
      </w:pPr>
    </w:p>
    <w:p w14:paraId="66AFC043" w14:textId="31A93A17" w:rsidR="00BA67F2" w:rsidRPr="00C83CC5" w:rsidRDefault="00BA67F2" w:rsidP="00C83CC5">
      <w:pPr>
        <w:spacing w:line="360" w:lineRule="auto"/>
        <w:rPr>
          <w:rFonts w:ascii="Arial" w:hAnsi="Arial" w:cs="Arial"/>
        </w:rPr>
      </w:pPr>
      <w:r w:rsidRPr="00C83CC5">
        <w:rPr>
          <w:rFonts w:ascii="Arial" w:hAnsi="Arial" w:cs="Arial"/>
        </w:rPr>
        <w:t>Practical approaches involve weekly themed sessions with personal photographs,</w:t>
      </w:r>
      <w:r w:rsidR="0000277C" w:rsidRPr="00C83CC5">
        <w:rPr>
          <w:rFonts w:ascii="Arial" w:hAnsi="Arial" w:cs="Arial"/>
        </w:rPr>
        <w:t xml:space="preserve"> </w:t>
      </w:r>
      <w:r w:rsidRPr="00C83CC5">
        <w:rPr>
          <w:rFonts w:ascii="Arial" w:hAnsi="Arial" w:cs="Arial"/>
        </w:rPr>
        <w:t>era-s</w:t>
      </w:r>
      <w:r w:rsidR="0000277C" w:rsidRPr="00C83CC5">
        <w:rPr>
          <w:rFonts w:ascii="Arial" w:hAnsi="Arial" w:cs="Arial"/>
        </w:rPr>
        <w:t xml:space="preserve">pecific </w:t>
      </w:r>
      <w:r w:rsidRPr="00C83CC5">
        <w:rPr>
          <w:rFonts w:ascii="Arial" w:hAnsi="Arial" w:cs="Arial"/>
        </w:rPr>
        <w:t>music and memory-related objects alongside generativity activities like mentoring younger staff or creating family memory books. Importantly, three-year follow-up studies indicate reminiscence therapy maintains cognitive and mood improvements in older adults with mild cognitive impairment</w:t>
      </w:r>
      <w:r w:rsidR="008F58BD" w:rsidRPr="00C83CC5">
        <w:rPr>
          <w:rFonts w:ascii="Arial" w:hAnsi="Arial" w:cs="Arial"/>
        </w:rPr>
        <w:t xml:space="preserve"> </w:t>
      </w:r>
      <w:r w:rsidR="0095763E" w:rsidRPr="00C83CC5">
        <w:rPr>
          <w:rFonts w:ascii="Arial" w:hAnsi="Arial" w:cs="Arial"/>
        </w:rPr>
        <w:t>Well</w:t>
      </w:r>
      <w:r w:rsidR="00817ED1" w:rsidRPr="00C83CC5">
        <w:rPr>
          <w:rFonts w:ascii="Arial" w:hAnsi="Arial" w:cs="Arial"/>
        </w:rPr>
        <w:t>-</w:t>
      </w:r>
      <w:r w:rsidR="0095763E" w:rsidRPr="00C83CC5">
        <w:rPr>
          <w:rFonts w:ascii="Arial" w:hAnsi="Arial" w:cs="Arial"/>
        </w:rPr>
        <w:t>suit</w:t>
      </w:r>
      <w:r w:rsidR="00817ED1" w:rsidRPr="00C83CC5">
        <w:rPr>
          <w:rFonts w:ascii="Arial" w:hAnsi="Arial" w:cs="Arial"/>
        </w:rPr>
        <w:t>ed</w:t>
      </w:r>
      <w:r w:rsidRPr="00C83CC5">
        <w:rPr>
          <w:rFonts w:ascii="Arial" w:hAnsi="Arial" w:cs="Arial"/>
        </w:rPr>
        <w:t xml:space="preserve"> for care home </w:t>
      </w:r>
      <w:r w:rsidR="00817ED1" w:rsidRPr="00C83CC5">
        <w:rPr>
          <w:rFonts w:ascii="Arial" w:hAnsi="Arial" w:cs="Arial"/>
        </w:rPr>
        <w:t>population</w:t>
      </w:r>
      <w:r w:rsidR="00621FAB" w:rsidRPr="00C83CC5">
        <w:rPr>
          <w:rFonts w:ascii="Arial" w:hAnsi="Arial" w:cs="Arial"/>
        </w:rPr>
        <w:t>s</w:t>
      </w:r>
      <w:r w:rsidRPr="00C83CC5">
        <w:rPr>
          <w:rFonts w:ascii="Arial" w:hAnsi="Arial" w:cs="Arial"/>
        </w:rPr>
        <w:t xml:space="preserve"> (Rijnhart </w:t>
      </w:r>
      <w:r w:rsidRPr="00C83CC5">
        <w:rPr>
          <w:rFonts w:ascii="Arial" w:hAnsi="Arial" w:cs="Arial"/>
          <w:i/>
          <w:iCs/>
        </w:rPr>
        <w:t>et al.</w:t>
      </w:r>
      <w:r w:rsidRPr="00C83CC5">
        <w:rPr>
          <w:rFonts w:ascii="Arial" w:hAnsi="Arial" w:cs="Arial"/>
        </w:rPr>
        <w:t>, 2019).</w:t>
      </w:r>
    </w:p>
    <w:p w14:paraId="7F6FB389" w14:textId="77777777" w:rsidR="00BA67F2" w:rsidRPr="00C83CC5" w:rsidRDefault="00BA67F2" w:rsidP="00C83CC5">
      <w:pPr>
        <w:spacing w:line="360" w:lineRule="auto"/>
        <w:rPr>
          <w:rFonts w:ascii="Arial" w:hAnsi="Arial" w:cs="Arial"/>
        </w:rPr>
      </w:pPr>
    </w:p>
    <w:p w14:paraId="7B478FDE" w14:textId="6D6507E2" w:rsidR="00BA67F2" w:rsidRPr="00C83CC5" w:rsidRDefault="00BA67F2" w:rsidP="00C83CC5">
      <w:pPr>
        <w:spacing w:line="360" w:lineRule="auto"/>
        <w:rPr>
          <w:rFonts w:ascii="Arial" w:hAnsi="Arial" w:cs="Arial"/>
        </w:rPr>
      </w:pPr>
      <w:r w:rsidRPr="00C83CC5">
        <w:rPr>
          <w:rFonts w:ascii="Arial" w:hAnsi="Arial" w:cs="Arial"/>
        </w:rPr>
        <w:t>Case scenario: Mrs Jenkins,</w:t>
      </w:r>
      <w:r w:rsidR="006E66F3" w:rsidRPr="00C83CC5">
        <w:rPr>
          <w:rFonts w:ascii="Arial" w:hAnsi="Arial" w:cs="Arial"/>
        </w:rPr>
        <w:t xml:space="preserve"> a</w:t>
      </w:r>
      <w:r w:rsidRPr="00C83CC5">
        <w:rPr>
          <w:rFonts w:ascii="Arial" w:hAnsi="Arial" w:cs="Arial"/>
        </w:rPr>
        <w:t xml:space="preserve"> </w:t>
      </w:r>
      <w:r w:rsidR="006E66F3" w:rsidRPr="00C83CC5">
        <w:rPr>
          <w:rFonts w:ascii="Arial" w:hAnsi="Arial" w:cs="Arial"/>
        </w:rPr>
        <w:t xml:space="preserve">widow </w:t>
      </w:r>
      <w:r w:rsidRPr="00C83CC5">
        <w:rPr>
          <w:rFonts w:ascii="Arial" w:hAnsi="Arial" w:cs="Arial"/>
        </w:rPr>
        <w:t>aged 82 and recently admitted to a London care home, show</w:t>
      </w:r>
      <w:r w:rsidR="006E66F3" w:rsidRPr="00C83CC5">
        <w:rPr>
          <w:rFonts w:ascii="Arial" w:hAnsi="Arial" w:cs="Arial"/>
        </w:rPr>
        <w:t>ed</w:t>
      </w:r>
      <w:r w:rsidRPr="00C83CC5">
        <w:rPr>
          <w:rFonts w:ascii="Arial" w:hAnsi="Arial" w:cs="Arial"/>
        </w:rPr>
        <w:t xml:space="preserve"> classic signs of despair—social</w:t>
      </w:r>
      <w:r w:rsidR="00601737" w:rsidRPr="00C83CC5">
        <w:rPr>
          <w:rFonts w:ascii="Arial" w:hAnsi="Arial" w:cs="Arial"/>
        </w:rPr>
        <w:t xml:space="preserve"> </w:t>
      </w:r>
      <w:r w:rsidR="0083385A" w:rsidRPr="00C83CC5">
        <w:rPr>
          <w:rFonts w:ascii="Arial" w:hAnsi="Arial" w:cs="Arial"/>
        </w:rPr>
        <w:t>withdrawal,</w:t>
      </w:r>
      <w:r w:rsidRPr="00C83CC5">
        <w:rPr>
          <w:rFonts w:ascii="Arial" w:hAnsi="Arial" w:cs="Arial"/>
        </w:rPr>
        <w:t xml:space="preserve"> tearful</w:t>
      </w:r>
      <w:r w:rsidR="0083385A" w:rsidRPr="00C83CC5">
        <w:rPr>
          <w:rFonts w:ascii="Arial" w:hAnsi="Arial" w:cs="Arial"/>
        </w:rPr>
        <w:t xml:space="preserve">ness </w:t>
      </w:r>
      <w:r w:rsidR="00B31C16" w:rsidRPr="00C83CC5">
        <w:rPr>
          <w:rFonts w:ascii="Arial" w:hAnsi="Arial" w:cs="Arial"/>
        </w:rPr>
        <w:t xml:space="preserve">and </w:t>
      </w:r>
      <w:r w:rsidRPr="00C83CC5">
        <w:rPr>
          <w:rFonts w:ascii="Arial" w:hAnsi="Arial" w:cs="Arial"/>
        </w:rPr>
        <w:t>loss of appetite since her husband died. Using Erikson's work guiding life review sessions, over the course of six weeks</w:t>
      </w:r>
      <w:r w:rsidR="00AB0249" w:rsidRPr="00C83CC5">
        <w:rPr>
          <w:rFonts w:ascii="Arial" w:hAnsi="Arial" w:cs="Arial"/>
        </w:rPr>
        <w:t>,</w:t>
      </w:r>
      <w:r w:rsidRPr="00C83CC5">
        <w:rPr>
          <w:rFonts w:ascii="Arial" w:hAnsi="Arial" w:cs="Arial"/>
        </w:rPr>
        <w:t xml:space="preserve"> staff </w:t>
      </w:r>
      <w:r w:rsidR="003245BE" w:rsidRPr="00C83CC5">
        <w:rPr>
          <w:rFonts w:ascii="Arial" w:hAnsi="Arial" w:cs="Arial"/>
        </w:rPr>
        <w:t>facilitated</w:t>
      </w:r>
      <w:r w:rsidRPr="00C83CC5">
        <w:rPr>
          <w:rFonts w:ascii="Arial" w:hAnsi="Arial" w:cs="Arial"/>
        </w:rPr>
        <w:t xml:space="preserve"> individual life review meetings with patients. Initially focused on mistakes she made as a parent, Mrs. Jenkins </w:t>
      </w:r>
      <w:r w:rsidR="00146BE5" w:rsidRPr="00C83CC5">
        <w:rPr>
          <w:rFonts w:ascii="Arial" w:hAnsi="Arial" w:cs="Arial"/>
        </w:rPr>
        <w:t>gradually</w:t>
      </w:r>
      <w:r w:rsidRPr="00C83CC5">
        <w:rPr>
          <w:rFonts w:ascii="Arial" w:hAnsi="Arial" w:cs="Arial"/>
        </w:rPr>
        <w:t xml:space="preserve"> recontextualized these failures as successes of generativity, pointing out that her children all managed to go live independently. By week four, she offered to facilitate group storytelling and even reported feeling "useful again." Her Geriatric Depression Scale score improved dramatically from 14/15 to 6/15, indicating measurable psychological gains (Woods </w:t>
      </w:r>
      <w:r w:rsidRPr="00C83CC5">
        <w:rPr>
          <w:rFonts w:ascii="Arial" w:hAnsi="Arial" w:cs="Arial"/>
          <w:i/>
          <w:iCs/>
        </w:rPr>
        <w:t>et al.</w:t>
      </w:r>
      <w:r w:rsidRPr="00C83CC5">
        <w:rPr>
          <w:rFonts w:ascii="Arial" w:hAnsi="Arial" w:cs="Arial"/>
        </w:rPr>
        <w:t>, 2018).</w:t>
      </w:r>
    </w:p>
    <w:p w14:paraId="036736A8" w14:textId="77777777" w:rsidR="00BA67F2" w:rsidRPr="00C83CC5" w:rsidRDefault="00BA67F2" w:rsidP="00C83CC5">
      <w:pPr>
        <w:spacing w:line="360" w:lineRule="auto"/>
        <w:rPr>
          <w:rFonts w:ascii="Arial" w:hAnsi="Arial" w:cs="Arial"/>
        </w:rPr>
      </w:pPr>
    </w:p>
    <w:p w14:paraId="4F94FC20" w14:textId="77777777" w:rsidR="00922B02" w:rsidRDefault="00922B02" w:rsidP="00C83CC5">
      <w:pPr>
        <w:spacing w:line="360" w:lineRule="auto"/>
        <w:rPr>
          <w:rFonts w:ascii="Arial" w:hAnsi="Arial" w:cs="Arial"/>
          <w:b/>
          <w:bCs/>
          <w:sz w:val="28"/>
          <w:szCs w:val="28"/>
        </w:rPr>
      </w:pPr>
    </w:p>
    <w:p w14:paraId="29A87A03" w14:textId="4C005905" w:rsidR="00BA67F2" w:rsidRPr="00C83CC5" w:rsidRDefault="00BA67F2" w:rsidP="00C83CC5">
      <w:pPr>
        <w:spacing w:line="360" w:lineRule="auto"/>
        <w:rPr>
          <w:rFonts w:ascii="Arial" w:hAnsi="Arial" w:cs="Arial"/>
          <w:b/>
          <w:bCs/>
          <w:sz w:val="28"/>
          <w:szCs w:val="28"/>
        </w:rPr>
      </w:pPr>
      <w:r w:rsidRPr="00C83CC5">
        <w:rPr>
          <w:rFonts w:ascii="Arial" w:hAnsi="Arial" w:cs="Arial"/>
          <w:b/>
          <w:bCs/>
          <w:sz w:val="28"/>
          <w:szCs w:val="28"/>
        </w:rPr>
        <w:lastRenderedPageBreak/>
        <w:t>Challenge and Strategy</w:t>
      </w:r>
    </w:p>
    <w:p w14:paraId="3F5D9AA9" w14:textId="77777777" w:rsidR="00BA67F2" w:rsidRPr="00C83CC5" w:rsidRDefault="00BA67F2" w:rsidP="00C83CC5">
      <w:pPr>
        <w:spacing w:line="360" w:lineRule="auto"/>
        <w:rPr>
          <w:rFonts w:ascii="Arial" w:hAnsi="Arial" w:cs="Arial"/>
        </w:rPr>
      </w:pPr>
    </w:p>
    <w:p w14:paraId="05030982" w14:textId="15D8A678" w:rsidR="00BA67F2" w:rsidRPr="00C83CC5" w:rsidRDefault="00BA67F2" w:rsidP="00C83CC5">
      <w:pPr>
        <w:spacing w:line="360" w:lineRule="auto"/>
        <w:rPr>
          <w:rFonts w:ascii="Arial" w:hAnsi="Arial" w:cs="Arial"/>
        </w:rPr>
      </w:pPr>
      <w:r w:rsidRPr="00C83CC5">
        <w:rPr>
          <w:rFonts w:ascii="Arial" w:hAnsi="Arial" w:cs="Arial"/>
        </w:rPr>
        <w:t xml:space="preserve">At the most fundamental level, cognitive impairment is a barrier to participation in structured life review, and around </w:t>
      </w:r>
      <w:r w:rsidR="00425FCC" w:rsidRPr="00C83CC5">
        <w:rPr>
          <w:rFonts w:ascii="Arial" w:hAnsi="Arial" w:cs="Arial"/>
        </w:rPr>
        <w:t>70% of UK care home residents have dementia</w:t>
      </w:r>
      <w:r w:rsidRPr="00C83CC5">
        <w:rPr>
          <w:rFonts w:ascii="Arial" w:hAnsi="Arial" w:cs="Arial"/>
        </w:rPr>
        <w:t xml:space="preserve"> (BGS</w:t>
      </w:r>
      <w:r w:rsidR="00791682" w:rsidRPr="00C83CC5">
        <w:rPr>
          <w:rFonts w:ascii="Arial" w:hAnsi="Arial" w:cs="Arial"/>
        </w:rPr>
        <w:t>,</w:t>
      </w:r>
      <w:r w:rsidRPr="00C83CC5">
        <w:rPr>
          <w:rFonts w:ascii="Arial" w:hAnsi="Arial" w:cs="Arial"/>
        </w:rPr>
        <w:t xml:space="preserve"> 2017). The frustration that accompanies gaps in memory often contributes to further despair, not resolution (Woods </w:t>
      </w:r>
      <w:r w:rsidRPr="00C83CC5">
        <w:rPr>
          <w:rFonts w:ascii="Arial" w:hAnsi="Arial" w:cs="Arial"/>
          <w:i/>
          <w:iCs/>
        </w:rPr>
        <w:t>et al.</w:t>
      </w:r>
      <w:r w:rsidRPr="00C83CC5">
        <w:rPr>
          <w:rFonts w:ascii="Arial" w:hAnsi="Arial" w:cs="Arial"/>
        </w:rPr>
        <w:t xml:space="preserve">, 2018). But some evidence-based remedies: tailor the interventions through multi-sensory techniques — tactile objects, known music, brief sessions — and include family-provided collateral histories. Randomised controlled trials (RCTs) indicate that such adaptations retain their effectiveness even in moderate dementia when staff are better trained on person-centred adaptations (Rijnhart </w:t>
      </w:r>
      <w:r w:rsidRPr="00C83CC5">
        <w:rPr>
          <w:rFonts w:ascii="Arial" w:hAnsi="Arial" w:cs="Arial"/>
          <w:i/>
          <w:iCs/>
        </w:rPr>
        <w:t>et al.</w:t>
      </w:r>
      <w:r w:rsidRPr="00C83CC5">
        <w:rPr>
          <w:rFonts w:ascii="Arial" w:hAnsi="Arial" w:cs="Arial"/>
        </w:rPr>
        <w:t>, 2019). Furthermore, integrity protects against depression in residential care environments; increased ego integrity associates with fewer depressive symptoms despite environmental stressors (Tovel, Carmel and Hedaya, 2016).</w:t>
      </w:r>
    </w:p>
    <w:p w14:paraId="609077F9" w14:textId="77777777" w:rsidR="00BA67F2" w:rsidRPr="00C83CC5" w:rsidRDefault="00BA67F2" w:rsidP="00C83CC5">
      <w:pPr>
        <w:spacing w:line="360" w:lineRule="auto"/>
        <w:rPr>
          <w:rFonts w:ascii="Arial" w:hAnsi="Arial" w:cs="Arial"/>
        </w:rPr>
      </w:pPr>
    </w:p>
    <w:p w14:paraId="21576AB1" w14:textId="77777777" w:rsidR="00BA67F2" w:rsidRPr="00C83CC5" w:rsidRDefault="00BA67F2" w:rsidP="00C83CC5">
      <w:pPr>
        <w:spacing w:line="360" w:lineRule="auto"/>
        <w:rPr>
          <w:rFonts w:ascii="Arial" w:hAnsi="Arial" w:cs="Arial"/>
          <w:b/>
          <w:bCs/>
          <w:sz w:val="28"/>
          <w:szCs w:val="28"/>
        </w:rPr>
      </w:pPr>
      <w:r w:rsidRPr="00C83CC5">
        <w:rPr>
          <w:rFonts w:ascii="Arial" w:hAnsi="Arial" w:cs="Arial"/>
          <w:b/>
          <w:bCs/>
          <w:sz w:val="28"/>
          <w:szCs w:val="28"/>
        </w:rPr>
        <w:t>Conclusion</w:t>
      </w:r>
    </w:p>
    <w:p w14:paraId="31A4DCF9" w14:textId="77777777" w:rsidR="00BA67F2" w:rsidRPr="00C83CC5" w:rsidRDefault="00BA67F2" w:rsidP="00C83CC5">
      <w:pPr>
        <w:spacing w:line="360" w:lineRule="auto"/>
        <w:rPr>
          <w:rFonts w:ascii="Arial" w:hAnsi="Arial" w:cs="Arial"/>
        </w:rPr>
      </w:pPr>
    </w:p>
    <w:p w14:paraId="54084308" w14:textId="1CBDF9AD" w:rsidR="00DB390C" w:rsidRPr="00C83CC5" w:rsidRDefault="00BA67F2" w:rsidP="00C83CC5">
      <w:pPr>
        <w:spacing w:line="360" w:lineRule="auto"/>
        <w:rPr>
          <w:rFonts w:ascii="Arial" w:hAnsi="Arial" w:cs="Arial"/>
        </w:rPr>
      </w:pPr>
      <w:r w:rsidRPr="00C83CC5">
        <w:rPr>
          <w:rFonts w:ascii="Arial" w:hAnsi="Arial" w:cs="Arial"/>
        </w:rPr>
        <w:t>Life review therapy can be a powerful catalyst that fits within Erikson's integrity versus despair stage to promote care home residents' psychological well-being. As professionals utilize these multi-sensory, family supported approaches, attending discovery that facilitate the challenge of cognitive decline, even dementia patients can achieve serious life development and a sense of purpose in late age. This highlights the critical role of psychology within health and social care, where interventions that could be mundane become immensely humanising, connecting what may feel like humane needs on the emotional side with practical support for dignity, resilience and holistic wellbeing for these populations.</w:t>
      </w:r>
    </w:p>
    <w:p w14:paraId="35F94DB4" w14:textId="77777777" w:rsidR="00DB390C" w:rsidRPr="00C83CC5" w:rsidRDefault="00DB390C" w:rsidP="00C83CC5">
      <w:pPr>
        <w:spacing w:line="360" w:lineRule="auto"/>
        <w:rPr>
          <w:rFonts w:ascii="Arial" w:hAnsi="Arial" w:cs="Arial"/>
        </w:rPr>
      </w:pPr>
    </w:p>
    <w:p w14:paraId="44A0B7A8" w14:textId="77777777" w:rsidR="00DB390C" w:rsidRPr="00C83CC5" w:rsidRDefault="00DB390C" w:rsidP="00C83CC5">
      <w:pPr>
        <w:spacing w:line="360" w:lineRule="auto"/>
        <w:rPr>
          <w:rFonts w:ascii="Arial" w:hAnsi="Arial" w:cs="Arial"/>
        </w:rPr>
      </w:pPr>
    </w:p>
    <w:p w14:paraId="7A5A9C82" w14:textId="77777777" w:rsidR="00BA67F2" w:rsidRDefault="00BA67F2" w:rsidP="00524A63">
      <w:pPr>
        <w:spacing w:line="360" w:lineRule="auto"/>
        <w:rPr>
          <w:rFonts w:ascii="Arial" w:hAnsi="Arial" w:cs="Arial"/>
        </w:rPr>
      </w:pPr>
    </w:p>
    <w:p w14:paraId="22CE4E0F" w14:textId="77777777" w:rsidR="00BA67F2" w:rsidRDefault="00BA67F2" w:rsidP="00524A63">
      <w:pPr>
        <w:spacing w:line="360" w:lineRule="auto"/>
        <w:rPr>
          <w:rFonts w:ascii="Arial" w:hAnsi="Arial" w:cs="Arial"/>
        </w:rPr>
      </w:pPr>
    </w:p>
    <w:p w14:paraId="7F9C8C6E" w14:textId="77777777" w:rsidR="00BA67F2" w:rsidRDefault="00BA67F2" w:rsidP="00524A63">
      <w:pPr>
        <w:spacing w:line="360" w:lineRule="auto"/>
        <w:rPr>
          <w:rFonts w:ascii="Arial" w:hAnsi="Arial" w:cs="Arial"/>
        </w:rPr>
      </w:pPr>
    </w:p>
    <w:p w14:paraId="0B1B9B9A" w14:textId="77777777" w:rsidR="00BA67F2" w:rsidRDefault="00BA67F2" w:rsidP="00524A63">
      <w:pPr>
        <w:spacing w:line="360" w:lineRule="auto"/>
        <w:rPr>
          <w:rFonts w:ascii="Arial" w:hAnsi="Arial" w:cs="Arial"/>
        </w:rPr>
      </w:pPr>
    </w:p>
    <w:p w14:paraId="0E1EB68C" w14:textId="33043590" w:rsidR="00255B0B" w:rsidRPr="00524A63" w:rsidRDefault="00255B0B" w:rsidP="00524A63">
      <w:pPr>
        <w:pStyle w:val="Heading1"/>
        <w:spacing w:line="360" w:lineRule="auto"/>
        <w:rPr>
          <w:rFonts w:ascii="Arial" w:eastAsiaTheme="minorHAnsi" w:hAnsi="Arial" w:cs="Arial"/>
          <w:color w:val="auto"/>
          <w:sz w:val="22"/>
          <w:szCs w:val="22"/>
        </w:rPr>
      </w:pPr>
      <w:bookmarkStart w:id="10" w:name="_Toc223612270"/>
      <w:bookmarkStart w:id="11" w:name="_Toc223612967"/>
      <w:r w:rsidRPr="003B0C88">
        <w:rPr>
          <w:rFonts w:ascii="Arial" w:hAnsi="Arial" w:cs="Arial"/>
          <w:b/>
          <w:bCs/>
          <w:color w:val="000000" w:themeColor="text1"/>
          <w:sz w:val="28"/>
          <w:szCs w:val="28"/>
        </w:rPr>
        <w:lastRenderedPageBreak/>
        <w:t>References</w:t>
      </w:r>
      <w:bookmarkEnd w:id="10"/>
      <w:bookmarkEnd w:id="11"/>
      <w:r w:rsidRPr="003B0C88">
        <w:rPr>
          <w:rFonts w:ascii="Arial" w:hAnsi="Arial" w:cs="Arial"/>
          <w:b/>
          <w:bCs/>
          <w:color w:val="000000" w:themeColor="text1"/>
          <w:sz w:val="28"/>
          <w:szCs w:val="28"/>
        </w:rPr>
        <w:t xml:space="preserve"> </w:t>
      </w:r>
      <w:r w:rsidRPr="00524A63">
        <w:rPr>
          <w:rFonts w:ascii="Arial" w:eastAsiaTheme="minorHAnsi" w:hAnsi="Arial" w:cs="Arial"/>
          <w:color w:val="auto"/>
          <w:sz w:val="22"/>
          <w:szCs w:val="22"/>
        </w:rPr>
        <w:br/>
      </w:r>
    </w:p>
    <w:p w14:paraId="7DBE4EC5" w14:textId="77777777" w:rsidR="00791682" w:rsidRDefault="00791682" w:rsidP="00524A63">
      <w:pPr>
        <w:spacing w:line="360" w:lineRule="auto"/>
        <w:rPr>
          <w:rFonts w:ascii="Arial" w:hAnsi="Arial" w:cs="Arial"/>
        </w:rPr>
      </w:pPr>
      <w:r w:rsidRPr="00524A63">
        <w:rPr>
          <w:rFonts w:ascii="Arial" w:hAnsi="Arial" w:cs="Arial"/>
        </w:rPr>
        <w:t>Cassidy, J., Jones, J.D. and Shaver, P.R. (2013) 'Contributions of attachment theory and research: a framework for future research, translation, and policy', Development and Psychopathology, 25(4 Pt 2), pp. 1415-1434. Available at: </w:t>
      </w:r>
      <w:hyperlink r:id="rId15" w:tgtFrame="_blank" w:history="1">
        <w:r w:rsidRPr="00524A63">
          <w:rPr>
            <w:rStyle w:val="Hyperlink"/>
            <w:rFonts w:ascii="Arial" w:hAnsi="Arial" w:cs="Arial"/>
          </w:rPr>
          <w:t>https://pmc.ncbi.nlm.nih.gov/articles/PMC4085672/</w:t>
        </w:r>
      </w:hyperlink>
      <w:r w:rsidRPr="00524A63">
        <w:rPr>
          <w:rFonts w:ascii="Arial" w:hAnsi="Arial" w:cs="Arial"/>
        </w:rPr>
        <w:t> (Accessed: 3 March 2026).</w:t>
      </w:r>
      <w:r w:rsidRPr="00524A63">
        <w:rPr>
          <w:rFonts w:ascii="Arial" w:hAnsi="Arial" w:cs="Arial"/>
        </w:rPr>
        <w:br/>
      </w:r>
    </w:p>
    <w:p w14:paraId="4725C831" w14:textId="77777777" w:rsidR="00791682" w:rsidRDefault="00255B0B" w:rsidP="00524A63">
      <w:pPr>
        <w:spacing w:line="360" w:lineRule="auto"/>
        <w:rPr>
          <w:rFonts w:ascii="Arial" w:hAnsi="Arial" w:cs="Arial"/>
        </w:rPr>
      </w:pPr>
      <w:r w:rsidRPr="00524A63">
        <w:rPr>
          <w:rFonts w:ascii="Arial" w:hAnsi="Arial" w:cs="Arial"/>
        </w:rPr>
        <w:t>Concordia University</w:t>
      </w:r>
      <w:r w:rsidR="00791682">
        <w:rPr>
          <w:rFonts w:ascii="Arial" w:hAnsi="Arial" w:cs="Arial"/>
        </w:rPr>
        <w:t xml:space="preserve"> (</w:t>
      </w:r>
      <w:r w:rsidRPr="00524A63">
        <w:rPr>
          <w:rFonts w:ascii="Arial" w:hAnsi="Arial" w:cs="Arial"/>
        </w:rPr>
        <w:t>2021</w:t>
      </w:r>
      <w:r w:rsidR="00791682">
        <w:rPr>
          <w:rFonts w:ascii="Arial" w:hAnsi="Arial" w:cs="Arial"/>
        </w:rPr>
        <w:t>)</w:t>
      </w:r>
      <w:r w:rsidRPr="00524A63">
        <w:rPr>
          <w:rFonts w:ascii="Arial" w:hAnsi="Arial" w:cs="Arial"/>
        </w:rPr>
        <w:t xml:space="preserve"> </w:t>
      </w:r>
      <w:r w:rsidRPr="000716B3">
        <w:rPr>
          <w:rFonts w:ascii="Arial" w:hAnsi="Arial" w:cs="Arial"/>
          <w:i/>
          <w:iCs/>
        </w:rPr>
        <w:t>Erikson – Integrity vs. Despair. In: Lifespan Development: A Psychological Perspective.</w:t>
      </w:r>
      <w:r w:rsidRPr="00524A63">
        <w:rPr>
          <w:rFonts w:ascii="Arial" w:hAnsi="Arial" w:cs="Arial"/>
        </w:rPr>
        <w:t xml:space="preserve"> Available at: </w:t>
      </w:r>
      <w:hyperlink r:id="rId16" w:tgtFrame="_blank" w:history="1">
        <w:r w:rsidRPr="00524A63">
          <w:rPr>
            <w:rFonts w:ascii="Arial" w:hAnsi="Arial" w:cs="Arial"/>
            <w:color w:val="0000FF"/>
            <w:u w:val="single"/>
          </w:rPr>
          <w:t>https://opentextbooks.concordia.ca/lifespandevelopment/chapter/9-17-erikson-integrity-vs-despair/</w:t>
        </w:r>
      </w:hyperlink>
      <w:r w:rsidRPr="00524A63">
        <w:rPr>
          <w:rFonts w:ascii="Arial" w:hAnsi="Arial" w:cs="Arial"/>
        </w:rPr>
        <w:t> (Accessed: 4 March 2026).</w:t>
      </w:r>
      <w:r w:rsidRPr="00524A63">
        <w:rPr>
          <w:rFonts w:ascii="Arial" w:hAnsi="Arial" w:cs="Arial"/>
        </w:rPr>
        <w:br/>
      </w:r>
    </w:p>
    <w:p w14:paraId="4F23F996" w14:textId="77777777" w:rsidR="00791682" w:rsidRDefault="00791682" w:rsidP="00524A63">
      <w:pPr>
        <w:spacing w:line="360" w:lineRule="auto"/>
        <w:rPr>
          <w:rFonts w:ascii="Arial" w:hAnsi="Arial" w:cs="Arial"/>
        </w:rPr>
      </w:pPr>
      <w:r w:rsidRPr="00524A63">
        <w:rPr>
          <w:rFonts w:ascii="Arial" w:hAnsi="Arial" w:cs="Arial"/>
        </w:rPr>
        <w:t>Lam, J., Aftab, A., Lee, E. and Jeste, D. (2020) 'Positive psychiatry interventions in geriatric mental health', </w:t>
      </w:r>
      <w:r w:rsidRPr="00791682">
        <w:rPr>
          <w:rFonts w:ascii="Arial" w:hAnsi="Arial" w:cs="Arial"/>
          <w:i/>
          <w:iCs/>
        </w:rPr>
        <w:t>Current Treatment Options in Psychiatry</w:t>
      </w:r>
      <w:r w:rsidRPr="00524A63">
        <w:rPr>
          <w:rFonts w:ascii="Arial" w:hAnsi="Arial" w:cs="Arial"/>
        </w:rPr>
        <w:t>, 7(4), pp. 471-488. Available at: </w:t>
      </w:r>
      <w:hyperlink r:id="rId17" w:tgtFrame="_blank" w:history="1">
        <w:r w:rsidRPr="00524A63">
          <w:rPr>
            <w:rStyle w:val="Hyperlink"/>
            <w:rFonts w:ascii="Arial" w:hAnsi="Arial" w:cs="Arial"/>
          </w:rPr>
          <w:t>https://pmc.ncbi.nlm.nih.gov/articles/PMC7904105/</w:t>
        </w:r>
      </w:hyperlink>
      <w:r w:rsidRPr="00524A63">
        <w:rPr>
          <w:rFonts w:ascii="Arial" w:hAnsi="Arial" w:cs="Arial"/>
        </w:rPr>
        <w:t> (Accessed: 3 March 2026).</w:t>
      </w:r>
      <w:r w:rsidRPr="00524A63">
        <w:rPr>
          <w:rFonts w:ascii="Arial" w:hAnsi="Arial" w:cs="Arial"/>
        </w:rPr>
        <w:br/>
      </w:r>
    </w:p>
    <w:p w14:paraId="10D6F9C2" w14:textId="77777777" w:rsidR="00791682" w:rsidRDefault="00791682" w:rsidP="00524A63">
      <w:pPr>
        <w:spacing w:line="360" w:lineRule="auto"/>
        <w:rPr>
          <w:rFonts w:ascii="Arial" w:hAnsi="Arial" w:cs="Arial"/>
        </w:rPr>
      </w:pPr>
      <w:r w:rsidRPr="00524A63">
        <w:rPr>
          <w:rFonts w:ascii="Arial" w:hAnsi="Arial" w:cs="Arial"/>
        </w:rPr>
        <w:t>Lemon, B.W., Bengtson, V.L. and Peterson, J.A. (1972) 'An exploration of the activity theory of aging: Activity types and life satisfaction among inmovers to a retirement community', </w:t>
      </w:r>
      <w:r w:rsidRPr="00524A63">
        <w:rPr>
          <w:rFonts w:ascii="Arial" w:hAnsi="Arial" w:cs="Arial"/>
          <w:i/>
          <w:iCs/>
        </w:rPr>
        <w:t>Journal of Gerontology</w:t>
      </w:r>
      <w:r w:rsidRPr="00524A63">
        <w:rPr>
          <w:rFonts w:ascii="Arial" w:hAnsi="Arial" w:cs="Arial"/>
        </w:rPr>
        <w:t>, 27(4), pp. 511-523. Available at: </w:t>
      </w:r>
      <w:hyperlink r:id="rId18" w:tgtFrame="_blank" w:history="1">
        <w:r w:rsidRPr="00524A63">
          <w:rPr>
            <w:rFonts w:ascii="Arial" w:hAnsi="Arial" w:cs="Arial"/>
            <w:color w:val="0000FF"/>
            <w:u w:val="single"/>
          </w:rPr>
          <w:t>https://academic.oup.com/geronj/article/27/4/511/626998</w:t>
        </w:r>
      </w:hyperlink>
      <w:r w:rsidRPr="00524A63">
        <w:rPr>
          <w:rFonts w:ascii="Arial" w:hAnsi="Arial" w:cs="Arial"/>
        </w:rPr>
        <w:t> (Accessed: 3 March 2026).</w:t>
      </w:r>
      <w:r w:rsidRPr="00524A63">
        <w:rPr>
          <w:rFonts w:ascii="Arial" w:hAnsi="Arial" w:cs="Arial"/>
        </w:rPr>
        <w:br/>
      </w:r>
    </w:p>
    <w:p w14:paraId="4B4DD1F4" w14:textId="61D70490" w:rsidR="00255B0B" w:rsidRPr="00524A63" w:rsidRDefault="00791682" w:rsidP="00524A63">
      <w:pPr>
        <w:spacing w:line="360" w:lineRule="auto"/>
        <w:rPr>
          <w:rFonts w:ascii="Arial" w:hAnsi="Arial" w:cs="Arial"/>
        </w:rPr>
      </w:pPr>
      <w:r w:rsidRPr="00524A63">
        <w:rPr>
          <w:rFonts w:ascii="Arial" w:hAnsi="Arial" w:cs="Arial"/>
        </w:rPr>
        <w:t xml:space="preserve">Malone, J.C., Liu, S.R., Vaillant, G.E., Rentz, D.M. and Waldinger, R.J. (2016) 'Midlife </w:t>
      </w:r>
      <w:proofErr w:type="spellStart"/>
      <w:r w:rsidRPr="00524A63">
        <w:rPr>
          <w:rFonts w:ascii="Arial" w:hAnsi="Arial" w:cs="Arial"/>
        </w:rPr>
        <w:t>Eriksonian</w:t>
      </w:r>
      <w:proofErr w:type="spellEnd"/>
      <w:r w:rsidRPr="00524A63">
        <w:rPr>
          <w:rFonts w:ascii="Arial" w:hAnsi="Arial" w:cs="Arial"/>
        </w:rPr>
        <w:t xml:space="preserve"> psychosocial development: Setting the stage for late-life cognitive and emotional health', </w:t>
      </w:r>
      <w:r w:rsidRPr="00524A63">
        <w:rPr>
          <w:rFonts w:ascii="Arial" w:hAnsi="Arial" w:cs="Arial"/>
          <w:i/>
          <w:iCs/>
        </w:rPr>
        <w:t>Developmental Psychology</w:t>
      </w:r>
      <w:r w:rsidRPr="00524A63">
        <w:rPr>
          <w:rFonts w:ascii="Arial" w:hAnsi="Arial" w:cs="Arial"/>
        </w:rPr>
        <w:t>, 52(3), pp. 496-508. Available at: </w:t>
      </w:r>
      <w:hyperlink r:id="rId19" w:tgtFrame="_blank" w:history="1">
        <w:r w:rsidRPr="00524A63">
          <w:rPr>
            <w:rFonts w:ascii="Arial" w:hAnsi="Arial" w:cs="Arial"/>
            <w:color w:val="0000FF"/>
            <w:u w:val="single"/>
          </w:rPr>
          <w:t>https://pmc.ncbi.nlm.nih.gov/articles/PMC5398200/</w:t>
        </w:r>
      </w:hyperlink>
      <w:r w:rsidRPr="00524A63">
        <w:rPr>
          <w:rFonts w:ascii="Arial" w:hAnsi="Arial" w:cs="Arial"/>
        </w:rPr>
        <w:t> (Accessed: 3 March 2026).</w:t>
      </w:r>
      <w:r w:rsidRPr="00524A63">
        <w:rPr>
          <w:rFonts w:ascii="Arial" w:hAnsi="Arial" w:cs="Arial"/>
        </w:rPr>
        <w:br/>
      </w:r>
    </w:p>
    <w:p w14:paraId="037C6738" w14:textId="66F4D6DD" w:rsidR="00255B0B" w:rsidRPr="00524A63" w:rsidRDefault="00255B0B" w:rsidP="00524A63">
      <w:pPr>
        <w:spacing w:line="360" w:lineRule="auto"/>
        <w:rPr>
          <w:rFonts w:ascii="Arial" w:hAnsi="Arial" w:cs="Arial"/>
        </w:rPr>
      </w:pPr>
      <w:r w:rsidRPr="00524A63">
        <w:rPr>
          <w:rFonts w:ascii="Arial" w:hAnsi="Arial" w:cs="Arial"/>
        </w:rPr>
        <w:t>Newton, N.J., Mroczek, D.K. and Friedman, E.M.</w:t>
      </w:r>
      <w:r w:rsidR="00791682">
        <w:rPr>
          <w:rFonts w:ascii="Arial" w:hAnsi="Arial" w:cs="Arial"/>
        </w:rPr>
        <w:t xml:space="preserve"> (</w:t>
      </w:r>
      <w:r w:rsidRPr="00524A63">
        <w:rPr>
          <w:rFonts w:ascii="Arial" w:hAnsi="Arial" w:cs="Arial"/>
        </w:rPr>
        <w:t>2019</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Longitudinal stability and change in ego integrity and despair in older adulthood</w:t>
      </w:r>
      <w:r w:rsidR="00791682">
        <w:rPr>
          <w:rFonts w:ascii="Arial" w:hAnsi="Arial" w:cs="Arial"/>
        </w:rPr>
        <w:t>’,</w:t>
      </w:r>
      <w:r w:rsidRPr="00524A63">
        <w:rPr>
          <w:rFonts w:ascii="Arial" w:hAnsi="Arial" w:cs="Arial"/>
        </w:rPr>
        <w:t> </w:t>
      </w:r>
      <w:r w:rsidRPr="000716B3">
        <w:rPr>
          <w:rFonts w:ascii="Arial" w:hAnsi="Arial" w:cs="Arial"/>
          <w:i/>
          <w:iCs/>
        </w:rPr>
        <w:t>Journal of Personality</w:t>
      </w:r>
      <w:r w:rsidRPr="00524A63">
        <w:rPr>
          <w:rFonts w:ascii="Arial" w:hAnsi="Arial" w:cs="Arial"/>
        </w:rPr>
        <w:t>, 87(4), pp.846–858. Available at: </w:t>
      </w:r>
      <w:hyperlink r:id="rId20" w:tgtFrame="_blank" w:history="1">
        <w:r w:rsidRPr="00524A63">
          <w:rPr>
            <w:rFonts w:ascii="Arial" w:hAnsi="Arial" w:cs="Arial"/>
            <w:color w:val="0000FF"/>
            <w:u w:val="single"/>
          </w:rPr>
          <w:t>https://doi.org/10.1111/jopy.12446</w:t>
        </w:r>
      </w:hyperlink>
      <w:r w:rsidRPr="00524A63">
        <w:rPr>
          <w:rFonts w:ascii="Arial" w:hAnsi="Arial" w:cs="Arial"/>
        </w:rPr>
        <w:t>.</w:t>
      </w:r>
      <w:r w:rsidRPr="00524A63">
        <w:rPr>
          <w:rFonts w:ascii="Arial" w:hAnsi="Arial" w:cs="Arial"/>
        </w:rPr>
        <w:br/>
      </w:r>
    </w:p>
    <w:p w14:paraId="56908032" w14:textId="6828CE23" w:rsidR="00255B0B" w:rsidRPr="00524A63" w:rsidRDefault="00255B0B" w:rsidP="00524A63">
      <w:pPr>
        <w:spacing w:line="360" w:lineRule="auto"/>
        <w:rPr>
          <w:rFonts w:ascii="Arial" w:hAnsi="Arial" w:cs="Arial"/>
        </w:rPr>
      </w:pPr>
      <w:r w:rsidRPr="00524A63">
        <w:rPr>
          <w:rFonts w:ascii="Arial" w:hAnsi="Arial" w:cs="Arial"/>
        </w:rPr>
        <w:t>Rijnhart, J.J.M., Ros, L., Delespaul, P.A.E.G., Kleber, R.J., Westerhof, G.J. and Bohlmeijer, E.T.</w:t>
      </w:r>
      <w:r w:rsidR="00791682">
        <w:rPr>
          <w:rFonts w:ascii="Arial" w:hAnsi="Arial" w:cs="Arial"/>
        </w:rPr>
        <w:t xml:space="preserve"> (</w:t>
      </w:r>
      <w:r w:rsidRPr="00524A63">
        <w:rPr>
          <w:rFonts w:ascii="Arial" w:hAnsi="Arial" w:cs="Arial"/>
        </w:rPr>
        <w:t>2019</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Three-year follow-up effects of reminiscence therapy in older adults with mild cognitive impairment</w:t>
      </w:r>
      <w:r w:rsidR="00791682">
        <w:rPr>
          <w:rFonts w:ascii="Arial" w:hAnsi="Arial" w:cs="Arial"/>
        </w:rPr>
        <w:t>’,</w:t>
      </w:r>
      <w:r w:rsidRPr="00524A63">
        <w:rPr>
          <w:rFonts w:ascii="Arial" w:hAnsi="Arial" w:cs="Arial"/>
        </w:rPr>
        <w:t> </w:t>
      </w:r>
      <w:r w:rsidRPr="000716B3">
        <w:rPr>
          <w:rFonts w:ascii="Arial" w:hAnsi="Arial" w:cs="Arial"/>
          <w:i/>
          <w:iCs/>
        </w:rPr>
        <w:t>Aging &amp; Mental Health</w:t>
      </w:r>
      <w:r w:rsidRPr="00524A63">
        <w:rPr>
          <w:rFonts w:ascii="Arial" w:hAnsi="Arial" w:cs="Arial"/>
        </w:rPr>
        <w:t xml:space="preserve">, 23(10), pp.1342–1349. Available </w:t>
      </w:r>
      <w:r w:rsidRPr="00524A63">
        <w:rPr>
          <w:rFonts w:ascii="Arial" w:hAnsi="Arial" w:cs="Arial"/>
        </w:rPr>
        <w:lastRenderedPageBreak/>
        <w:t>at: </w:t>
      </w:r>
      <w:hyperlink r:id="rId21" w:tgtFrame="_blank" w:history="1">
        <w:r w:rsidRPr="00524A63">
          <w:rPr>
            <w:rFonts w:ascii="Arial" w:hAnsi="Arial" w:cs="Arial"/>
            <w:color w:val="0000FF"/>
            <w:u w:val="single"/>
          </w:rPr>
          <w:t>https://doi.org/10.1080/13607863.2018.1479836</w:t>
        </w:r>
      </w:hyperlink>
      <w:r w:rsidRPr="00524A63">
        <w:rPr>
          <w:rFonts w:ascii="Arial" w:hAnsi="Arial" w:cs="Arial"/>
        </w:rPr>
        <w:t>.</w:t>
      </w:r>
      <w:r w:rsidRPr="00524A63">
        <w:rPr>
          <w:rFonts w:ascii="Arial" w:hAnsi="Arial" w:cs="Arial"/>
        </w:rPr>
        <w:br/>
      </w:r>
    </w:p>
    <w:p w14:paraId="0092E87E" w14:textId="3FA596E4" w:rsidR="00255B0B" w:rsidRPr="00524A63" w:rsidRDefault="00255B0B" w:rsidP="00524A63">
      <w:pPr>
        <w:spacing w:line="360" w:lineRule="auto"/>
        <w:rPr>
          <w:rFonts w:ascii="Arial" w:hAnsi="Arial" w:cs="Arial"/>
        </w:rPr>
      </w:pPr>
      <w:r w:rsidRPr="00524A63">
        <w:rPr>
          <w:rFonts w:ascii="Arial" w:hAnsi="Arial" w:cs="Arial"/>
        </w:rPr>
        <w:t>Tovel, H., Carmel, S. and Hedaya, P.</w:t>
      </w:r>
      <w:r w:rsidR="00791682">
        <w:rPr>
          <w:rFonts w:ascii="Arial" w:hAnsi="Arial" w:cs="Arial"/>
        </w:rPr>
        <w:t xml:space="preserve"> (</w:t>
      </w:r>
      <w:r w:rsidRPr="00524A63">
        <w:rPr>
          <w:rFonts w:ascii="Arial" w:hAnsi="Arial" w:cs="Arial"/>
        </w:rPr>
        <w:t>2016</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Forgiveness, ego-integrity, and depressive symptoms in community-dwelling and residential elderly adults</w:t>
      </w:r>
      <w:r w:rsidR="00791682">
        <w:rPr>
          <w:rFonts w:ascii="Arial" w:hAnsi="Arial" w:cs="Arial"/>
        </w:rPr>
        <w:t>’,</w:t>
      </w:r>
      <w:r w:rsidRPr="00524A63">
        <w:rPr>
          <w:rFonts w:ascii="Arial" w:hAnsi="Arial" w:cs="Arial"/>
        </w:rPr>
        <w:t> </w:t>
      </w:r>
      <w:r w:rsidRPr="000716B3">
        <w:rPr>
          <w:rFonts w:ascii="Arial" w:hAnsi="Arial" w:cs="Arial"/>
          <w:i/>
          <w:iCs/>
        </w:rPr>
        <w:t>The Journals of Gerontology: Series B</w:t>
      </w:r>
      <w:r w:rsidRPr="00524A63">
        <w:rPr>
          <w:rFonts w:ascii="Arial" w:hAnsi="Arial" w:cs="Arial"/>
        </w:rPr>
        <w:t>, 71(5), pp.786–794. Available at: </w:t>
      </w:r>
      <w:hyperlink r:id="rId22" w:tgtFrame="_blank" w:history="1">
        <w:r w:rsidRPr="00524A63">
          <w:rPr>
            <w:rFonts w:ascii="Arial" w:hAnsi="Arial" w:cs="Arial"/>
            <w:color w:val="0000FF"/>
            <w:u w:val="single"/>
          </w:rPr>
          <w:t>https://doi.org/10.1093/geronb/gbv094</w:t>
        </w:r>
      </w:hyperlink>
      <w:r w:rsidRPr="00524A63">
        <w:rPr>
          <w:rFonts w:ascii="Arial" w:hAnsi="Arial" w:cs="Arial"/>
        </w:rPr>
        <w:t>.</w:t>
      </w:r>
      <w:r w:rsidRPr="00524A63">
        <w:rPr>
          <w:rFonts w:ascii="Arial" w:hAnsi="Arial" w:cs="Arial"/>
        </w:rPr>
        <w:br/>
      </w:r>
    </w:p>
    <w:p w14:paraId="1EEDD396" w14:textId="3FCB883E" w:rsidR="00255B0B" w:rsidRPr="00524A63" w:rsidRDefault="00255B0B" w:rsidP="00524A63">
      <w:pPr>
        <w:spacing w:line="360" w:lineRule="auto"/>
        <w:rPr>
          <w:rFonts w:ascii="Arial" w:hAnsi="Arial" w:cs="Arial"/>
        </w:rPr>
      </w:pPr>
      <w:r w:rsidRPr="00524A63">
        <w:rPr>
          <w:rFonts w:ascii="Arial" w:hAnsi="Arial" w:cs="Arial"/>
        </w:rPr>
        <w:t xml:space="preserve">Van der Kaap-Deeder, J., Vermote, B., Waterschoot, J., Soenens, B., Morbée, S., Vansteenkiste, M. and Spruyt, B. </w:t>
      </w:r>
      <w:r w:rsidR="00791682">
        <w:rPr>
          <w:rFonts w:ascii="Arial" w:hAnsi="Arial" w:cs="Arial"/>
        </w:rPr>
        <w:t>(</w:t>
      </w:r>
      <w:r w:rsidRPr="00524A63">
        <w:rPr>
          <w:rFonts w:ascii="Arial" w:hAnsi="Arial" w:cs="Arial"/>
        </w:rPr>
        <w:t>2021</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The role of ego integrity and despair in older adults' well-being during the COVID-19 crisis</w:t>
      </w:r>
      <w:r w:rsidR="00791682">
        <w:rPr>
          <w:rFonts w:ascii="Arial" w:hAnsi="Arial" w:cs="Arial"/>
        </w:rPr>
        <w:t>’,</w:t>
      </w:r>
      <w:r w:rsidRPr="00524A63">
        <w:rPr>
          <w:rFonts w:ascii="Arial" w:hAnsi="Arial" w:cs="Arial"/>
        </w:rPr>
        <w:t> </w:t>
      </w:r>
      <w:r w:rsidRPr="000716B3">
        <w:rPr>
          <w:rFonts w:ascii="Arial" w:hAnsi="Arial" w:cs="Arial"/>
          <w:i/>
          <w:iCs/>
        </w:rPr>
        <w:t>Aging &amp; Mental Health</w:t>
      </w:r>
      <w:r w:rsidRPr="00524A63">
        <w:rPr>
          <w:rFonts w:ascii="Arial" w:hAnsi="Arial" w:cs="Arial"/>
        </w:rPr>
        <w:t>, 25(11), pp.2051–2062. Available at: </w:t>
      </w:r>
      <w:hyperlink r:id="rId23" w:tgtFrame="_blank" w:history="1">
        <w:r w:rsidRPr="00524A63">
          <w:rPr>
            <w:rFonts w:ascii="Arial" w:hAnsi="Arial" w:cs="Arial"/>
            <w:color w:val="0000FF"/>
            <w:u w:val="single"/>
          </w:rPr>
          <w:t>https://pmc.ncbi.nlm.nih.gov/articles/PMC7914386/</w:t>
        </w:r>
      </w:hyperlink>
      <w:r w:rsidRPr="00524A63">
        <w:rPr>
          <w:rFonts w:ascii="Arial" w:hAnsi="Arial" w:cs="Arial"/>
        </w:rPr>
        <w:t>.</w:t>
      </w:r>
      <w:r w:rsidRPr="00524A63">
        <w:rPr>
          <w:rFonts w:ascii="Arial" w:hAnsi="Arial" w:cs="Arial"/>
        </w:rPr>
        <w:br/>
      </w:r>
    </w:p>
    <w:p w14:paraId="24DAE29C" w14:textId="010422E9" w:rsidR="00255B0B" w:rsidRPr="00524A63" w:rsidRDefault="00255B0B" w:rsidP="00524A63">
      <w:pPr>
        <w:spacing w:line="360" w:lineRule="auto"/>
        <w:rPr>
          <w:rFonts w:ascii="Arial" w:hAnsi="Arial" w:cs="Arial"/>
        </w:rPr>
      </w:pPr>
      <w:r w:rsidRPr="00524A63">
        <w:rPr>
          <w:rFonts w:ascii="Arial" w:hAnsi="Arial" w:cs="Arial"/>
        </w:rPr>
        <w:t>Westerhof, G.J., Bohlmeijer, E.T. and McAdams, D.P.</w:t>
      </w:r>
      <w:r w:rsidR="00791682">
        <w:rPr>
          <w:rFonts w:ascii="Arial" w:hAnsi="Arial" w:cs="Arial"/>
        </w:rPr>
        <w:t xml:space="preserve"> (</w:t>
      </w:r>
      <w:r w:rsidRPr="00524A63">
        <w:rPr>
          <w:rFonts w:ascii="Arial" w:hAnsi="Arial" w:cs="Arial"/>
        </w:rPr>
        <w:t>2017</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The relation of ego integrity and despair to personality traits and mental health</w:t>
      </w:r>
      <w:r w:rsidR="00791682">
        <w:rPr>
          <w:rFonts w:ascii="Arial" w:hAnsi="Arial" w:cs="Arial"/>
        </w:rPr>
        <w:t>’,</w:t>
      </w:r>
      <w:r w:rsidRPr="00524A63">
        <w:rPr>
          <w:rFonts w:ascii="Arial" w:hAnsi="Arial" w:cs="Arial"/>
        </w:rPr>
        <w:t> </w:t>
      </w:r>
      <w:r w:rsidRPr="000716B3">
        <w:rPr>
          <w:rFonts w:ascii="Arial" w:hAnsi="Arial" w:cs="Arial"/>
          <w:i/>
          <w:iCs/>
        </w:rPr>
        <w:t>The Journals of Gerontology: Series B</w:t>
      </w:r>
      <w:r w:rsidRPr="00524A63">
        <w:rPr>
          <w:rFonts w:ascii="Arial" w:hAnsi="Arial" w:cs="Arial"/>
        </w:rPr>
        <w:t>, 72(3), pp.400–407. Available at: </w:t>
      </w:r>
      <w:hyperlink r:id="rId24" w:tgtFrame="_blank" w:history="1">
        <w:r w:rsidRPr="00524A63">
          <w:rPr>
            <w:rFonts w:ascii="Arial" w:hAnsi="Arial" w:cs="Arial"/>
            <w:color w:val="0000FF"/>
            <w:u w:val="single"/>
          </w:rPr>
          <w:t>https://doi.org/10.1093/geronb/gbv062</w:t>
        </w:r>
      </w:hyperlink>
      <w:r w:rsidRPr="00524A63">
        <w:rPr>
          <w:rFonts w:ascii="Arial" w:hAnsi="Arial" w:cs="Arial"/>
        </w:rPr>
        <w:t>.</w:t>
      </w:r>
      <w:r w:rsidRPr="00524A63">
        <w:rPr>
          <w:rFonts w:ascii="Arial" w:hAnsi="Arial" w:cs="Arial"/>
        </w:rPr>
        <w:br/>
      </w:r>
    </w:p>
    <w:p w14:paraId="5F23ADE5" w14:textId="22442CB2" w:rsidR="004943E7" w:rsidRPr="00524A63" w:rsidRDefault="00255B0B" w:rsidP="00524A63">
      <w:pPr>
        <w:spacing w:line="360" w:lineRule="auto"/>
        <w:rPr>
          <w:rFonts w:ascii="Arial" w:hAnsi="Arial" w:cs="Arial"/>
          <w:spacing w:val="-6"/>
        </w:rPr>
      </w:pPr>
      <w:r w:rsidRPr="00524A63">
        <w:rPr>
          <w:rFonts w:ascii="Arial" w:hAnsi="Arial" w:cs="Arial"/>
        </w:rPr>
        <w:t>Woods, B., O'Philbin, L., Farrell, E.M., Spector, A.E. and Orrell, M.</w:t>
      </w:r>
      <w:r w:rsidR="00791682">
        <w:rPr>
          <w:rFonts w:ascii="Arial" w:hAnsi="Arial" w:cs="Arial"/>
        </w:rPr>
        <w:t xml:space="preserve"> (</w:t>
      </w:r>
      <w:r w:rsidRPr="00524A63">
        <w:rPr>
          <w:rFonts w:ascii="Arial" w:hAnsi="Arial" w:cs="Arial"/>
        </w:rPr>
        <w:t>2018</w:t>
      </w:r>
      <w:r w:rsidR="00791682">
        <w:rPr>
          <w:rFonts w:ascii="Arial" w:hAnsi="Arial" w:cs="Arial"/>
        </w:rPr>
        <w:t>)</w:t>
      </w:r>
      <w:r w:rsidRPr="00524A63">
        <w:rPr>
          <w:rFonts w:ascii="Arial" w:hAnsi="Arial" w:cs="Arial"/>
        </w:rPr>
        <w:t xml:space="preserve"> </w:t>
      </w:r>
      <w:r w:rsidR="00791682">
        <w:rPr>
          <w:rFonts w:ascii="Arial" w:hAnsi="Arial" w:cs="Arial"/>
        </w:rPr>
        <w:t>‘</w:t>
      </w:r>
      <w:r w:rsidRPr="00524A63">
        <w:rPr>
          <w:rFonts w:ascii="Arial" w:hAnsi="Arial" w:cs="Arial"/>
        </w:rPr>
        <w:t>Reminiscence therapy for dementia</w:t>
      </w:r>
      <w:r w:rsidR="00791682">
        <w:rPr>
          <w:rFonts w:ascii="Arial" w:hAnsi="Arial" w:cs="Arial"/>
        </w:rPr>
        <w:t>’,</w:t>
      </w:r>
      <w:r w:rsidRPr="00524A63">
        <w:rPr>
          <w:rFonts w:ascii="Arial" w:hAnsi="Arial" w:cs="Arial"/>
        </w:rPr>
        <w:t> </w:t>
      </w:r>
      <w:r w:rsidRPr="000716B3">
        <w:rPr>
          <w:rFonts w:ascii="Arial" w:hAnsi="Arial" w:cs="Arial"/>
          <w:i/>
          <w:iCs/>
        </w:rPr>
        <w:t>Cochrane Database of Systematic Reviews</w:t>
      </w:r>
      <w:r w:rsidRPr="00524A63">
        <w:rPr>
          <w:rFonts w:ascii="Arial" w:hAnsi="Arial" w:cs="Arial"/>
        </w:rPr>
        <w:t>, (3), CD001120. Available at: </w:t>
      </w:r>
      <w:hyperlink r:id="rId25" w:tgtFrame="_blank" w:history="1">
        <w:r w:rsidRPr="00524A63">
          <w:rPr>
            <w:rFonts w:ascii="Arial" w:hAnsi="Arial" w:cs="Arial"/>
            <w:color w:val="0000FF"/>
            <w:u w:val="single"/>
          </w:rPr>
          <w:t>https://doi.org/10.1002/14651858.CD001120.pub3</w:t>
        </w:r>
      </w:hyperlink>
      <w:r w:rsidRPr="00524A63">
        <w:rPr>
          <w:rFonts w:ascii="Arial" w:hAnsi="Arial" w:cs="Arial"/>
        </w:rPr>
        <w:t>.</w:t>
      </w:r>
      <w:r w:rsidR="00A67367" w:rsidRPr="00524A63">
        <w:rPr>
          <w:rFonts w:ascii="Arial" w:hAnsi="Arial" w:cs="Arial"/>
        </w:rPr>
        <w:t xml:space="preserve"> </w:t>
      </w:r>
    </w:p>
    <w:p w14:paraId="39DD497A" w14:textId="77777777" w:rsidR="006E71AB" w:rsidRPr="00524A63" w:rsidRDefault="006E71AB" w:rsidP="00524A63">
      <w:pPr>
        <w:spacing w:line="360" w:lineRule="auto"/>
        <w:rPr>
          <w:rFonts w:ascii="Arial" w:hAnsi="Arial" w:cs="Arial"/>
        </w:rPr>
      </w:pPr>
    </w:p>
    <w:p w14:paraId="5773B430" w14:textId="77777777" w:rsidR="006E71AB" w:rsidRPr="00524A63" w:rsidRDefault="006E71AB" w:rsidP="00524A63">
      <w:pPr>
        <w:spacing w:line="360" w:lineRule="auto"/>
        <w:rPr>
          <w:rFonts w:ascii="Arial" w:hAnsi="Arial" w:cs="Arial"/>
        </w:rPr>
      </w:pPr>
    </w:p>
    <w:p w14:paraId="4F6429F1" w14:textId="77777777" w:rsidR="006E71AB" w:rsidRPr="00524A63" w:rsidRDefault="006E71AB" w:rsidP="00524A63">
      <w:pPr>
        <w:spacing w:line="360" w:lineRule="auto"/>
        <w:rPr>
          <w:rFonts w:ascii="Arial" w:hAnsi="Arial" w:cs="Arial"/>
        </w:rPr>
      </w:pPr>
    </w:p>
    <w:p w14:paraId="2321CFD8" w14:textId="77777777" w:rsidR="006E71AB" w:rsidRPr="00524A63" w:rsidRDefault="006E71AB" w:rsidP="00524A63">
      <w:pPr>
        <w:spacing w:line="360" w:lineRule="auto"/>
        <w:rPr>
          <w:rFonts w:ascii="Arial" w:hAnsi="Arial" w:cs="Arial"/>
        </w:rPr>
      </w:pPr>
    </w:p>
    <w:p w14:paraId="2746CBA8" w14:textId="77777777" w:rsidR="006E71AB" w:rsidRPr="00524A63" w:rsidRDefault="006E71AB" w:rsidP="00524A63">
      <w:pPr>
        <w:spacing w:line="360" w:lineRule="auto"/>
        <w:rPr>
          <w:rFonts w:ascii="Arial" w:hAnsi="Arial" w:cs="Arial"/>
        </w:rPr>
      </w:pPr>
    </w:p>
    <w:p w14:paraId="2AA7A116" w14:textId="77777777" w:rsidR="006E71AB" w:rsidRPr="00524A63" w:rsidRDefault="006E71AB" w:rsidP="00524A63">
      <w:pPr>
        <w:spacing w:line="360" w:lineRule="auto"/>
        <w:rPr>
          <w:rFonts w:ascii="Arial" w:hAnsi="Arial" w:cs="Arial"/>
        </w:rPr>
      </w:pPr>
    </w:p>
    <w:p w14:paraId="2ED8528B" w14:textId="77777777" w:rsidR="006E71AB" w:rsidRPr="00524A63" w:rsidRDefault="006E71AB" w:rsidP="00524A63">
      <w:pPr>
        <w:spacing w:line="360" w:lineRule="auto"/>
        <w:rPr>
          <w:rFonts w:ascii="Arial" w:hAnsi="Arial" w:cs="Arial"/>
        </w:rPr>
      </w:pPr>
    </w:p>
    <w:p w14:paraId="1D22743B" w14:textId="77777777" w:rsidR="006E71AB" w:rsidRPr="00524A63" w:rsidRDefault="006E71AB" w:rsidP="00524A63">
      <w:pPr>
        <w:spacing w:line="360" w:lineRule="auto"/>
        <w:rPr>
          <w:rFonts w:ascii="Arial" w:hAnsi="Arial" w:cs="Arial"/>
        </w:rPr>
      </w:pPr>
    </w:p>
    <w:sectPr w:rsidR="006E71AB" w:rsidRPr="00524A63" w:rsidSect="00E524E9">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8BAD9" w14:textId="77777777" w:rsidR="00BA0ADE" w:rsidRDefault="00BA0ADE" w:rsidP="00E524E9">
      <w:pPr>
        <w:spacing w:after="0" w:line="240" w:lineRule="auto"/>
      </w:pPr>
      <w:r>
        <w:separator/>
      </w:r>
    </w:p>
  </w:endnote>
  <w:endnote w:type="continuationSeparator" w:id="0">
    <w:p w14:paraId="68C7924C" w14:textId="77777777" w:rsidR="00BA0ADE" w:rsidRDefault="00BA0ADE" w:rsidP="00E5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176040"/>
      <w:docPartObj>
        <w:docPartGallery w:val="Page Numbers (Bottom of Page)"/>
        <w:docPartUnique/>
      </w:docPartObj>
    </w:sdtPr>
    <w:sdtContent>
      <w:p w14:paraId="6B3EC8DE" w14:textId="19F6D332" w:rsidR="00E524E9" w:rsidRDefault="00E524E9">
        <w:pPr>
          <w:pStyle w:val="Footer"/>
          <w:jc w:val="center"/>
        </w:pPr>
        <w:r>
          <w:fldChar w:fldCharType="begin"/>
        </w:r>
        <w:r>
          <w:instrText>PAGE   \* MERGEFORMAT</w:instrText>
        </w:r>
        <w:r>
          <w:fldChar w:fldCharType="separate"/>
        </w:r>
        <w:r>
          <w:t>2</w:t>
        </w:r>
        <w:r>
          <w:fldChar w:fldCharType="end"/>
        </w:r>
      </w:p>
    </w:sdtContent>
  </w:sdt>
  <w:p w14:paraId="5E790A22" w14:textId="77777777" w:rsidR="00E524E9" w:rsidRDefault="00E52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7E387" w14:textId="77777777" w:rsidR="00BA0ADE" w:rsidRDefault="00BA0ADE" w:rsidP="00E524E9">
      <w:pPr>
        <w:spacing w:after="0" w:line="240" w:lineRule="auto"/>
      </w:pPr>
      <w:r>
        <w:separator/>
      </w:r>
    </w:p>
  </w:footnote>
  <w:footnote w:type="continuationSeparator" w:id="0">
    <w:p w14:paraId="7A4A5F66" w14:textId="77777777" w:rsidR="00BA0ADE" w:rsidRDefault="00BA0ADE" w:rsidP="00E52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175ED4"/>
    <w:multiLevelType w:val="hybridMultilevel"/>
    <w:tmpl w:val="892CB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641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E9"/>
    <w:rsid w:val="0000277C"/>
    <w:rsid w:val="00002FC7"/>
    <w:rsid w:val="0003139E"/>
    <w:rsid w:val="0003534F"/>
    <w:rsid w:val="00040187"/>
    <w:rsid w:val="000716B3"/>
    <w:rsid w:val="00073B46"/>
    <w:rsid w:val="00091A53"/>
    <w:rsid w:val="000A7E59"/>
    <w:rsid w:val="000F775E"/>
    <w:rsid w:val="001042B1"/>
    <w:rsid w:val="00111CB2"/>
    <w:rsid w:val="001202D6"/>
    <w:rsid w:val="001276B9"/>
    <w:rsid w:val="0014643B"/>
    <w:rsid w:val="00146BE5"/>
    <w:rsid w:val="00152585"/>
    <w:rsid w:val="00156E25"/>
    <w:rsid w:val="00156FED"/>
    <w:rsid w:val="001570AB"/>
    <w:rsid w:val="00165BCF"/>
    <w:rsid w:val="00170D73"/>
    <w:rsid w:val="00172556"/>
    <w:rsid w:val="00172E4D"/>
    <w:rsid w:val="001A16AD"/>
    <w:rsid w:val="001B5E86"/>
    <w:rsid w:val="001E39D6"/>
    <w:rsid w:val="002277B2"/>
    <w:rsid w:val="00233D11"/>
    <w:rsid w:val="00255B0B"/>
    <w:rsid w:val="002626D5"/>
    <w:rsid w:val="002647D8"/>
    <w:rsid w:val="0027171E"/>
    <w:rsid w:val="002868AB"/>
    <w:rsid w:val="00287423"/>
    <w:rsid w:val="00296430"/>
    <w:rsid w:val="002A4E3E"/>
    <w:rsid w:val="002B3F1B"/>
    <w:rsid w:val="002C214D"/>
    <w:rsid w:val="002F248E"/>
    <w:rsid w:val="002F6A26"/>
    <w:rsid w:val="003048CA"/>
    <w:rsid w:val="00322C9B"/>
    <w:rsid w:val="003245BE"/>
    <w:rsid w:val="0034343A"/>
    <w:rsid w:val="003657EA"/>
    <w:rsid w:val="003714E7"/>
    <w:rsid w:val="00393DEF"/>
    <w:rsid w:val="003A4BB1"/>
    <w:rsid w:val="003A7B47"/>
    <w:rsid w:val="003B0C88"/>
    <w:rsid w:val="003D091A"/>
    <w:rsid w:val="003D7EDC"/>
    <w:rsid w:val="00400DBB"/>
    <w:rsid w:val="004100F4"/>
    <w:rsid w:val="00425FCC"/>
    <w:rsid w:val="004312B7"/>
    <w:rsid w:val="004562E7"/>
    <w:rsid w:val="00471FBE"/>
    <w:rsid w:val="00483D8E"/>
    <w:rsid w:val="004943E7"/>
    <w:rsid w:val="004C2760"/>
    <w:rsid w:val="004F44F5"/>
    <w:rsid w:val="004F7C7D"/>
    <w:rsid w:val="00507903"/>
    <w:rsid w:val="005146BD"/>
    <w:rsid w:val="00524A63"/>
    <w:rsid w:val="0054123D"/>
    <w:rsid w:val="0056005F"/>
    <w:rsid w:val="00561DE8"/>
    <w:rsid w:val="005702AC"/>
    <w:rsid w:val="005A53A7"/>
    <w:rsid w:val="005A707E"/>
    <w:rsid w:val="005A7D49"/>
    <w:rsid w:val="005C0549"/>
    <w:rsid w:val="005D3451"/>
    <w:rsid w:val="005E56E3"/>
    <w:rsid w:val="005F286A"/>
    <w:rsid w:val="00601737"/>
    <w:rsid w:val="00603232"/>
    <w:rsid w:val="00621FAB"/>
    <w:rsid w:val="00630E7E"/>
    <w:rsid w:val="00631E80"/>
    <w:rsid w:val="00640A34"/>
    <w:rsid w:val="0064316C"/>
    <w:rsid w:val="00652648"/>
    <w:rsid w:val="00695173"/>
    <w:rsid w:val="006C0D94"/>
    <w:rsid w:val="006D0577"/>
    <w:rsid w:val="006D446D"/>
    <w:rsid w:val="006E0BBF"/>
    <w:rsid w:val="006E66F3"/>
    <w:rsid w:val="006E71AB"/>
    <w:rsid w:val="006F770D"/>
    <w:rsid w:val="00717BF2"/>
    <w:rsid w:val="0072647D"/>
    <w:rsid w:val="0075643B"/>
    <w:rsid w:val="00756AAD"/>
    <w:rsid w:val="007859DA"/>
    <w:rsid w:val="00791682"/>
    <w:rsid w:val="00796439"/>
    <w:rsid w:val="007A72AD"/>
    <w:rsid w:val="007A7356"/>
    <w:rsid w:val="007C3AEC"/>
    <w:rsid w:val="007F0EBC"/>
    <w:rsid w:val="0080085D"/>
    <w:rsid w:val="00805F2D"/>
    <w:rsid w:val="00811103"/>
    <w:rsid w:val="00812DBB"/>
    <w:rsid w:val="00817ED1"/>
    <w:rsid w:val="0083385A"/>
    <w:rsid w:val="00834D52"/>
    <w:rsid w:val="00842434"/>
    <w:rsid w:val="00851A2D"/>
    <w:rsid w:val="008553C5"/>
    <w:rsid w:val="0086706C"/>
    <w:rsid w:val="00885217"/>
    <w:rsid w:val="008B07A2"/>
    <w:rsid w:val="008B62B6"/>
    <w:rsid w:val="008C4316"/>
    <w:rsid w:val="008E0904"/>
    <w:rsid w:val="008E22F1"/>
    <w:rsid w:val="008F1B0A"/>
    <w:rsid w:val="008F58BD"/>
    <w:rsid w:val="00922B02"/>
    <w:rsid w:val="0095174C"/>
    <w:rsid w:val="0095763E"/>
    <w:rsid w:val="00971DC9"/>
    <w:rsid w:val="00973412"/>
    <w:rsid w:val="009B425E"/>
    <w:rsid w:val="009C3779"/>
    <w:rsid w:val="009D1252"/>
    <w:rsid w:val="009D18F6"/>
    <w:rsid w:val="009D5527"/>
    <w:rsid w:val="009D5BCE"/>
    <w:rsid w:val="009E30BF"/>
    <w:rsid w:val="009F7136"/>
    <w:rsid w:val="00A15A84"/>
    <w:rsid w:val="00A20CB1"/>
    <w:rsid w:val="00A2478D"/>
    <w:rsid w:val="00A3120C"/>
    <w:rsid w:val="00A35292"/>
    <w:rsid w:val="00A51A76"/>
    <w:rsid w:val="00A6421C"/>
    <w:rsid w:val="00A67367"/>
    <w:rsid w:val="00A95B5C"/>
    <w:rsid w:val="00AA3F80"/>
    <w:rsid w:val="00AA56D3"/>
    <w:rsid w:val="00AB0249"/>
    <w:rsid w:val="00AD6560"/>
    <w:rsid w:val="00AD678E"/>
    <w:rsid w:val="00AE09F4"/>
    <w:rsid w:val="00AE6195"/>
    <w:rsid w:val="00AE7B69"/>
    <w:rsid w:val="00AF36C5"/>
    <w:rsid w:val="00B24E56"/>
    <w:rsid w:val="00B31C16"/>
    <w:rsid w:val="00B755BD"/>
    <w:rsid w:val="00BA0ADE"/>
    <w:rsid w:val="00BA67F2"/>
    <w:rsid w:val="00BB7692"/>
    <w:rsid w:val="00BC3D81"/>
    <w:rsid w:val="00BD68A4"/>
    <w:rsid w:val="00BD7768"/>
    <w:rsid w:val="00BE7059"/>
    <w:rsid w:val="00BF3E85"/>
    <w:rsid w:val="00BF407D"/>
    <w:rsid w:val="00BF491E"/>
    <w:rsid w:val="00BF6874"/>
    <w:rsid w:val="00C27891"/>
    <w:rsid w:val="00C44C0E"/>
    <w:rsid w:val="00C83CC5"/>
    <w:rsid w:val="00CC3832"/>
    <w:rsid w:val="00CD684A"/>
    <w:rsid w:val="00CE1C2C"/>
    <w:rsid w:val="00CF2506"/>
    <w:rsid w:val="00D029D8"/>
    <w:rsid w:val="00D2256D"/>
    <w:rsid w:val="00D26651"/>
    <w:rsid w:val="00D3022E"/>
    <w:rsid w:val="00D37671"/>
    <w:rsid w:val="00D455AF"/>
    <w:rsid w:val="00D5092D"/>
    <w:rsid w:val="00D6538E"/>
    <w:rsid w:val="00DB390C"/>
    <w:rsid w:val="00E10104"/>
    <w:rsid w:val="00E12C18"/>
    <w:rsid w:val="00E33DC7"/>
    <w:rsid w:val="00E34FDA"/>
    <w:rsid w:val="00E524E9"/>
    <w:rsid w:val="00E72420"/>
    <w:rsid w:val="00E8524C"/>
    <w:rsid w:val="00EC0180"/>
    <w:rsid w:val="00EC637C"/>
    <w:rsid w:val="00EE4487"/>
    <w:rsid w:val="00EE7DBB"/>
    <w:rsid w:val="00F1227E"/>
    <w:rsid w:val="00F422B0"/>
    <w:rsid w:val="00F66A52"/>
    <w:rsid w:val="00F77174"/>
    <w:rsid w:val="00FA182A"/>
    <w:rsid w:val="00FB2BE3"/>
    <w:rsid w:val="00FC11D2"/>
    <w:rsid w:val="00FD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C8F8"/>
  <w15:chartTrackingRefBased/>
  <w15:docId w15:val="{9AC17F25-E76C-4F8E-AB3E-0B11D862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2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2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4E9"/>
    <w:rPr>
      <w:rFonts w:eastAsiaTheme="majorEastAsia" w:cstheme="majorBidi"/>
      <w:color w:val="272727" w:themeColor="text1" w:themeTint="D8"/>
    </w:rPr>
  </w:style>
  <w:style w:type="paragraph" w:styleId="Title">
    <w:name w:val="Title"/>
    <w:basedOn w:val="Normal"/>
    <w:next w:val="Normal"/>
    <w:link w:val="TitleChar"/>
    <w:uiPriority w:val="10"/>
    <w:qFormat/>
    <w:rsid w:val="00E52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4E9"/>
    <w:pPr>
      <w:spacing w:before="160"/>
      <w:jc w:val="center"/>
    </w:pPr>
    <w:rPr>
      <w:i/>
      <w:iCs/>
      <w:color w:val="404040" w:themeColor="text1" w:themeTint="BF"/>
    </w:rPr>
  </w:style>
  <w:style w:type="character" w:customStyle="1" w:styleId="QuoteChar">
    <w:name w:val="Quote Char"/>
    <w:basedOn w:val="DefaultParagraphFont"/>
    <w:link w:val="Quote"/>
    <w:uiPriority w:val="29"/>
    <w:rsid w:val="00E524E9"/>
    <w:rPr>
      <w:i/>
      <w:iCs/>
      <w:color w:val="404040" w:themeColor="text1" w:themeTint="BF"/>
    </w:rPr>
  </w:style>
  <w:style w:type="paragraph" w:styleId="ListParagraph">
    <w:name w:val="List Paragraph"/>
    <w:basedOn w:val="Normal"/>
    <w:uiPriority w:val="34"/>
    <w:qFormat/>
    <w:rsid w:val="00E524E9"/>
    <w:pPr>
      <w:ind w:left="720"/>
      <w:contextualSpacing/>
    </w:pPr>
  </w:style>
  <w:style w:type="character" w:styleId="IntenseEmphasis">
    <w:name w:val="Intense Emphasis"/>
    <w:basedOn w:val="DefaultParagraphFont"/>
    <w:uiPriority w:val="21"/>
    <w:qFormat/>
    <w:rsid w:val="00E524E9"/>
    <w:rPr>
      <w:i/>
      <w:iCs/>
      <w:color w:val="0F4761" w:themeColor="accent1" w:themeShade="BF"/>
    </w:rPr>
  </w:style>
  <w:style w:type="paragraph" w:styleId="IntenseQuote">
    <w:name w:val="Intense Quote"/>
    <w:basedOn w:val="Normal"/>
    <w:next w:val="Normal"/>
    <w:link w:val="IntenseQuoteChar"/>
    <w:uiPriority w:val="30"/>
    <w:qFormat/>
    <w:rsid w:val="00E5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4E9"/>
    <w:rPr>
      <w:i/>
      <w:iCs/>
      <w:color w:val="0F4761" w:themeColor="accent1" w:themeShade="BF"/>
    </w:rPr>
  </w:style>
  <w:style w:type="character" w:styleId="IntenseReference">
    <w:name w:val="Intense Reference"/>
    <w:basedOn w:val="DefaultParagraphFont"/>
    <w:uiPriority w:val="32"/>
    <w:qFormat/>
    <w:rsid w:val="00E524E9"/>
    <w:rPr>
      <w:b/>
      <w:bCs/>
      <w:smallCaps/>
      <w:color w:val="0F4761" w:themeColor="accent1" w:themeShade="BF"/>
      <w:spacing w:val="5"/>
    </w:rPr>
  </w:style>
  <w:style w:type="paragraph" w:styleId="NoSpacing">
    <w:name w:val="No Spacing"/>
    <w:link w:val="NoSpacingChar"/>
    <w:uiPriority w:val="1"/>
    <w:qFormat/>
    <w:rsid w:val="00E524E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524E9"/>
    <w:rPr>
      <w:rFonts w:eastAsiaTheme="minorEastAsia"/>
      <w:kern w:val="0"/>
      <w:lang w:eastAsia="en-GB"/>
      <w14:ligatures w14:val="none"/>
    </w:rPr>
  </w:style>
  <w:style w:type="paragraph" w:styleId="Header">
    <w:name w:val="header"/>
    <w:basedOn w:val="Normal"/>
    <w:link w:val="HeaderChar"/>
    <w:uiPriority w:val="99"/>
    <w:unhideWhenUsed/>
    <w:rsid w:val="00E52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4E9"/>
  </w:style>
  <w:style w:type="paragraph" w:styleId="Footer">
    <w:name w:val="footer"/>
    <w:basedOn w:val="Normal"/>
    <w:link w:val="FooterChar"/>
    <w:uiPriority w:val="99"/>
    <w:unhideWhenUsed/>
    <w:rsid w:val="00E52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4E9"/>
  </w:style>
  <w:style w:type="character" w:styleId="Hyperlink">
    <w:name w:val="Hyperlink"/>
    <w:basedOn w:val="DefaultParagraphFont"/>
    <w:uiPriority w:val="99"/>
    <w:unhideWhenUsed/>
    <w:rsid w:val="00E524E9"/>
    <w:rPr>
      <w:color w:val="467886" w:themeColor="hyperlink"/>
      <w:u w:val="single"/>
    </w:rPr>
  </w:style>
  <w:style w:type="character" w:styleId="UnresolvedMention">
    <w:name w:val="Unresolved Mention"/>
    <w:basedOn w:val="DefaultParagraphFont"/>
    <w:uiPriority w:val="99"/>
    <w:semiHidden/>
    <w:unhideWhenUsed/>
    <w:rsid w:val="00652648"/>
    <w:rPr>
      <w:color w:val="605E5C"/>
      <w:shd w:val="clear" w:color="auto" w:fill="E1DFDD"/>
    </w:rPr>
  </w:style>
  <w:style w:type="paragraph" w:styleId="TOCHeading">
    <w:name w:val="TOC Heading"/>
    <w:basedOn w:val="Heading1"/>
    <w:next w:val="Normal"/>
    <w:uiPriority w:val="39"/>
    <w:unhideWhenUsed/>
    <w:qFormat/>
    <w:rsid w:val="0065264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31E80"/>
    <w:pPr>
      <w:tabs>
        <w:tab w:val="right" w:leader="dot" w:pos="9016"/>
      </w:tabs>
      <w:spacing w:after="100"/>
    </w:pPr>
    <w:rPr>
      <w:rFonts w:ascii="Arial" w:hAnsi="Arial" w:cs="Arial"/>
      <w:b/>
      <w:bCs/>
      <w:noProof/>
    </w:rPr>
  </w:style>
  <w:style w:type="character" w:styleId="FollowedHyperlink">
    <w:name w:val="FollowedHyperlink"/>
    <w:basedOn w:val="DefaultParagraphFont"/>
    <w:uiPriority w:val="99"/>
    <w:semiHidden/>
    <w:unhideWhenUsed/>
    <w:rsid w:val="00FC11D2"/>
    <w:rPr>
      <w:color w:val="96607D" w:themeColor="followedHyperlink"/>
      <w:u w:val="single"/>
    </w:rPr>
  </w:style>
  <w:style w:type="character" w:styleId="Strong">
    <w:name w:val="Strong"/>
    <w:basedOn w:val="DefaultParagraphFont"/>
    <w:uiPriority w:val="22"/>
    <w:qFormat/>
    <w:rsid w:val="008B07A2"/>
    <w:rPr>
      <w:b/>
      <w:bCs/>
    </w:rPr>
  </w:style>
  <w:style w:type="paragraph" w:customStyle="1" w:styleId="my-2">
    <w:name w:val="my-2"/>
    <w:basedOn w:val="Normal"/>
    <w:rsid w:val="004943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943E7"/>
    <w:rPr>
      <w:i/>
      <w:iCs/>
    </w:rPr>
  </w:style>
  <w:style w:type="character" w:customStyle="1" w:styleId="text-box-trim-both">
    <w:name w:val="text-box-trim-both"/>
    <w:basedOn w:val="DefaultParagraphFont"/>
    <w:rsid w:val="00494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ademic.oup.com/geronj/article/27/4/511/626998" TargetMode="External"/><Relationship Id="rId18" Type="http://schemas.openxmlformats.org/officeDocument/2006/relationships/hyperlink" Target="https://academic.oup.com/geronj/article/27/4/511/626998"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doi.org/10.1080/13607863.2018.1479836" TargetMode="External"/><Relationship Id="rId7" Type="http://schemas.openxmlformats.org/officeDocument/2006/relationships/footnotes" Target="footnotes.xml"/><Relationship Id="rId12" Type="http://schemas.openxmlformats.org/officeDocument/2006/relationships/hyperlink" Target="https://pmc.ncbi.nlm.nih.gov/articles/PMC7904105/" TargetMode="External"/><Relationship Id="rId17" Type="http://schemas.openxmlformats.org/officeDocument/2006/relationships/hyperlink" Target="https://pmc.ncbi.nlm.nih.gov/articles/PMC7904105/" TargetMode="External"/><Relationship Id="rId25" Type="http://schemas.openxmlformats.org/officeDocument/2006/relationships/hyperlink" Target="https://doi.org/10.1002/14651858.CD001120.pub3" TargetMode="External"/><Relationship Id="rId2" Type="http://schemas.openxmlformats.org/officeDocument/2006/relationships/customXml" Target="../customXml/item2.xml"/><Relationship Id="rId16" Type="http://schemas.openxmlformats.org/officeDocument/2006/relationships/hyperlink" Target="https://opentextbooks.concordia.ca/lifespandevelopment/chapter/9-17-erikson-integrity-vs-despair/" TargetMode="External"/><Relationship Id="rId20" Type="http://schemas.openxmlformats.org/officeDocument/2006/relationships/hyperlink" Target="https://doi.org/10.1111/jopy.1244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mc.ncbi.nlm.nih.gov/articles/PMC4085672/" TargetMode="External"/><Relationship Id="rId24" Type="http://schemas.openxmlformats.org/officeDocument/2006/relationships/hyperlink" Target="https://doi.org/10.1093/geronb/gbv062" TargetMode="External"/><Relationship Id="rId5" Type="http://schemas.openxmlformats.org/officeDocument/2006/relationships/settings" Target="settings.xml"/><Relationship Id="rId15" Type="http://schemas.openxmlformats.org/officeDocument/2006/relationships/hyperlink" Target="https://pmc.ncbi.nlm.nih.gov/articles/PMC4085672/" TargetMode="External"/><Relationship Id="rId23" Type="http://schemas.openxmlformats.org/officeDocument/2006/relationships/hyperlink" Target="https://pmc.ncbi.nlm.nih.gov/articles/PMC7914386/"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pmc.ncbi.nlm.nih.gov/articles/PMC539820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mc.ncbi.nlm.nih.gov/articles/PMC5398200/" TargetMode="External"/><Relationship Id="rId22" Type="http://schemas.openxmlformats.org/officeDocument/2006/relationships/hyperlink" Target="https://doi.org/10.1093/geronb/gbv09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ahlam bchini
2439423
module code: lchs4010
lecturer’s name: ALICE CLAYTON
assigment title: component 2 report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D53CE9-7806-49EB-8B4B-8E45C89EB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Bchini (2439423)</dc:creator>
  <cp:keywords/>
  <dc:description/>
  <cp:lastModifiedBy>Ahlam Bchini (2439423)</cp:lastModifiedBy>
  <cp:revision>3</cp:revision>
  <dcterms:created xsi:type="dcterms:W3CDTF">2026-03-22T18:20:00Z</dcterms:created>
  <dcterms:modified xsi:type="dcterms:W3CDTF">2026-03-22T18:21:00Z</dcterms:modified>
</cp:coreProperties>
</file>