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13A7753E" w:rsidR="00F37B62" w:rsidRPr="006833D5" w:rsidRDefault="006833D5">
      <w:pPr>
        <w:rPr>
          <w:rFonts w:ascii="Arial" w:hAnsi="Arial" w:cs="Arial"/>
          <w:b/>
          <w:bCs/>
          <w:sz w:val="44"/>
          <w:szCs w:val="44"/>
        </w:rPr>
      </w:pPr>
      <w:r w:rsidRPr="006833D5">
        <w:rPr>
          <w:rFonts w:ascii="Arial" w:hAnsi="Arial" w:cs="Arial"/>
          <w:b/>
          <w:bCs/>
          <w:sz w:val="44"/>
          <w:szCs w:val="44"/>
        </w:rPr>
        <w:t xml:space="preserve">BA (Hons) Leadership and Management </w:t>
      </w:r>
    </w:p>
    <w:p w14:paraId="43FA50BC" w14:textId="77777777" w:rsidR="00F37B62" w:rsidRDefault="00F37B62" w:rsidP="00F37B62">
      <w:pPr>
        <w:spacing w:line="600" w:lineRule="auto"/>
        <w:rPr>
          <w:rFonts w:ascii="Arial" w:hAnsi="Arial" w:cs="Arial"/>
          <w:i/>
          <w:iCs/>
        </w:rPr>
      </w:pPr>
    </w:p>
    <w:p w14:paraId="1EE10BBF" w14:textId="5F13F2FB" w:rsidR="00F37B62" w:rsidRPr="00ED1B29" w:rsidRDefault="00F37B62" w:rsidP="00F37B62">
      <w:pPr>
        <w:spacing w:line="600" w:lineRule="auto"/>
        <w:rPr>
          <w:rFonts w:ascii="Arial" w:hAnsi="Arial" w:cs="Arial"/>
          <w:b/>
          <w:bCs/>
          <w:i/>
          <w:iCs/>
        </w:rPr>
      </w:pPr>
      <w:r w:rsidRPr="008F4215">
        <w:rPr>
          <w:rFonts w:ascii="Arial" w:hAnsi="Arial" w:cs="Arial"/>
          <w:b/>
          <w:bCs/>
          <w:i/>
          <w:iCs/>
        </w:rPr>
        <w:t>Student Name:</w:t>
      </w:r>
      <w:r w:rsidR="00ED1B29">
        <w:rPr>
          <w:rFonts w:ascii="Arial" w:hAnsi="Arial" w:cs="Arial"/>
          <w:b/>
          <w:bCs/>
          <w:i/>
          <w:iCs/>
          <w:lang w:val="ru-RU"/>
        </w:rPr>
        <w:t xml:space="preserve">  </w:t>
      </w:r>
      <w:r w:rsidR="00ED1B29">
        <w:rPr>
          <w:rFonts w:ascii="Arial" w:hAnsi="Arial" w:cs="Arial"/>
          <w:b/>
          <w:bCs/>
          <w:i/>
          <w:iCs/>
        </w:rPr>
        <w:t>Taras Kandelaki</w:t>
      </w:r>
    </w:p>
    <w:p w14:paraId="432CDF3F" w14:textId="126AF455" w:rsidR="00F37B62" w:rsidRPr="008F4215" w:rsidRDefault="00F37B62" w:rsidP="00F37B62">
      <w:pPr>
        <w:spacing w:line="600" w:lineRule="auto"/>
        <w:rPr>
          <w:rFonts w:ascii="Arial" w:hAnsi="Arial" w:cs="Arial"/>
          <w:b/>
          <w:bCs/>
          <w:i/>
          <w:iCs/>
        </w:rPr>
      </w:pPr>
      <w:r w:rsidRPr="008F4215">
        <w:rPr>
          <w:rFonts w:ascii="Arial" w:hAnsi="Arial" w:cs="Arial"/>
          <w:b/>
          <w:bCs/>
          <w:i/>
          <w:iCs/>
        </w:rPr>
        <w:t>Student Number:</w:t>
      </w:r>
      <w:r w:rsidR="00ED1B29">
        <w:rPr>
          <w:rFonts w:ascii="Arial" w:hAnsi="Arial" w:cs="Arial"/>
          <w:b/>
          <w:bCs/>
          <w:i/>
          <w:iCs/>
        </w:rPr>
        <w:t xml:space="preserve"> </w:t>
      </w:r>
      <w:r w:rsidR="00FD3073">
        <w:rPr>
          <w:rFonts w:ascii="Arial" w:hAnsi="Arial" w:cs="Arial"/>
          <w:b/>
          <w:bCs/>
          <w:i/>
          <w:iCs/>
        </w:rPr>
        <w:t>2329104</w:t>
      </w:r>
    </w:p>
    <w:p w14:paraId="0C2F4DFE" w14:textId="10CFD329" w:rsidR="000B4AC4" w:rsidRPr="00A734CB" w:rsidRDefault="00494B6B">
      <w:pPr>
        <w:pStyle w:val="p1"/>
        <w:rPr>
          <w:rFonts w:ascii="Helvetica" w:hAnsi="Helvetica"/>
          <w:sz w:val="18"/>
          <w:szCs w:val="18"/>
          <w:lang w:val="ru-RU"/>
        </w:rPr>
      </w:pPr>
      <w:r>
        <w:rPr>
          <w:rFonts w:ascii="Arial" w:hAnsi="Arial" w:cs="Arial"/>
          <w:b/>
          <w:bCs/>
          <w:i/>
          <w:iCs/>
        </w:rPr>
        <w:t xml:space="preserve"> </w:t>
      </w:r>
      <w:r w:rsidR="00F37B62" w:rsidRPr="19DF5ED4">
        <w:rPr>
          <w:rFonts w:ascii="Arial" w:hAnsi="Arial" w:cs="Arial"/>
          <w:b/>
          <w:bCs/>
          <w:i/>
          <w:iCs/>
        </w:rPr>
        <w:t>Course Name:</w:t>
      </w:r>
      <w:r w:rsidR="00F37B62" w:rsidRPr="19DF5ED4">
        <w:rPr>
          <w:rFonts w:ascii="Arial" w:hAnsi="Arial" w:cs="Arial"/>
          <w:i/>
          <w:iCs/>
        </w:rPr>
        <w:t xml:space="preserve"> </w:t>
      </w:r>
      <w:r w:rsidR="000B4AC4" w:rsidRPr="000B4AC4">
        <w:rPr>
          <w:rFonts w:ascii="Helvetica" w:hAnsi="Helvetica"/>
          <w:sz w:val="18"/>
          <w:szCs w:val="18"/>
        </w:rPr>
        <w:t>Leadership and Management Skills in the Workplace</w:t>
      </w:r>
      <w:r w:rsidR="00A734CB">
        <w:rPr>
          <w:rFonts w:ascii="Helvetica" w:hAnsi="Helvetica"/>
          <w:sz w:val="18"/>
          <w:szCs w:val="18"/>
          <w:lang w:val="ru-RU"/>
        </w:rPr>
        <w:t xml:space="preserve"> </w:t>
      </w:r>
      <w:r w:rsidR="00A734CB" w:rsidRPr="00A734CB">
        <w:rPr>
          <w:rFonts w:ascii="Helvetica" w:hAnsi="Helvetica"/>
          <w:sz w:val="18"/>
          <w:szCs w:val="18"/>
        </w:rPr>
        <w:t>LCLM5003</w:t>
      </w:r>
    </w:p>
    <w:p w14:paraId="29FBFCA3" w14:textId="77777777" w:rsidR="00673B2C" w:rsidRPr="00673B2C" w:rsidRDefault="00F37B62">
      <w:pPr>
        <w:pStyle w:val="p1"/>
        <w:rPr>
          <w:rFonts w:ascii="Helvetica" w:hAnsi="Helvetica"/>
          <w:sz w:val="18"/>
          <w:szCs w:val="18"/>
        </w:rPr>
      </w:pPr>
      <w:r w:rsidRPr="008F4215">
        <w:rPr>
          <w:rFonts w:ascii="Arial" w:hAnsi="Arial" w:cs="Arial"/>
          <w:b/>
          <w:bCs/>
          <w:i/>
          <w:iCs/>
        </w:rPr>
        <w:t xml:space="preserve">Lecturer Name: </w:t>
      </w:r>
      <w:r w:rsidR="00673B2C" w:rsidRPr="00673B2C">
        <w:rPr>
          <w:rFonts w:ascii="Helvetica" w:hAnsi="Helvetica"/>
          <w:sz w:val="18"/>
          <w:szCs w:val="18"/>
        </w:rPr>
        <w:t>Rexon Nting</w:t>
      </w:r>
    </w:p>
    <w:p w14:paraId="0CF901E6" w14:textId="126BA2A4" w:rsidR="00F37B62" w:rsidRPr="00F37B62" w:rsidRDefault="00F37B62" w:rsidP="00673B2C">
      <w:pPr>
        <w:pStyle w:val="p1"/>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w:t>
      </w:r>
      <w:r w:rsidR="008E438A">
        <w:rPr>
          <w:rFonts w:ascii="Arial" w:hAnsi="Arial" w:cs="Arial"/>
          <w:i/>
          <w:iCs/>
          <w:lang w:val="en-GB"/>
        </w:rPr>
        <w:t xml:space="preserve">May </w:t>
      </w:r>
      <w:r w:rsidRPr="19DF5ED4">
        <w:rPr>
          <w:rFonts w:ascii="Arial" w:hAnsi="Arial" w:cs="Arial"/>
          <w:b/>
          <w:bCs/>
          <w:i/>
          <w:iCs/>
        </w:rPr>
        <w:t>202</w:t>
      </w:r>
      <w:r w:rsidR="008E438A">
        <w:rPr>
          <w:rFonts w:ascii="Arial" w:hAnsi="Arial" w:cs="Arial"/>
          <w:b/>
          <w:bCs/>
          <w:i/>
          <w:iCs/>
        </w:rPr>
        <w:t>6</w:t>
      </w:r>
      <w:r w:rsidRPr="19DF5ED4">
        <w:rPr>
          <w:rFonts w:ascii="Arial" w:hAnsi="Arial" w:cs="Arial"/>
          <w:b/>
          <w:bCs/>
          <w:i/>
          <w:iCs/>
        </w:rPr>
        <w:t xml:space="preserve"> Term </w:t>
      </w:r>
    </w:p>
    <w:p w14:paraId="5A7D7C48" w14:textId="45598E74" w:rsidR="19DF5ED4" w:rsidRDefault="19DF5ED4" w:rsidP="19DF5ED4">
      <w:pPr>
        <w:spacing w:line="600" w:lineRule="auto"/>
        <w:rPr>
          <w:rFonts w:ascii="Arial" w:hAnsi="Arial" w:cs="Arial"/>
          <w:b/>
          <w:bCs/>
          <w:i/>
          <w:iCs/>
        </w:rPr>
      </w:pPr>
    </w:p>
    <w:p w14:paraId="661E8BC7" w14:textId="77777777" w:rsidR="000E54CE" w:rsidRDefault="000E54CE" w:rsidP="19DF5ED4">
      <w:pPr>
        <w:spacing w:line="600" w:lineRule="auto"/>
        <w:rPr>
          <w:rFonts w:ascii="Arial" w:hAnsi="Arial" w:cs="Arial"/>
          <w:b/>
          <w:bCs/>
          <w:i/>
          <w:iCs/>
        </w:rPr>
      </w:pPr>
    </w:p>
    <w:p w14:paraId="10364994" w14:textId="77777777" w:rsidR="000E54CE" w:rsidRDefault="000E54CE" w:rsidP="19DF5ED4">
      <w:pPr>
        <w:spacing w:line="600" w:lineRule="auto"/>
        <w:rPr>
          <w:rFonts w:ascii="Arial" w:hAnsi="Arial" w:cs="Arial"/>
          <w:b/>
          <w:bCs/>
          <w:i/>
          <w:iCs/>
        </w:rPr>
      </w:pPr>
    </w:p>
    <w:p w14:paraId="6C750A1F" w14:textId="77777777" w:rsidR="000E54CE" w:rsidRDefault="000E54CE" w:rsidP="19DF5ED4">
      <w:pPr>
        <w:spacing w:line="600" w:lineRule="auto"/>
        <w:rPr>
          <w:rFonts w:ascii="Arial" w:hAnsi="Arial" w:cs="Arial"/>
          <w:b/>
          <w:bCs/>
          <w:i/>
          <w:iCs/>
        </w:rPr>
      </w:pPr>
    </w:p>
    <w:p w14:paraId="118C5D2D" w14:textId="77777777" w:rsidR="000E54CE" w:rsidRDefault="000E54CE" w:rsidP="19DF5ED4">
      <w:pPr>
        <w:spacing w:line="600" w:lineRule="auto"/>
        <w:rPr>
          <w:rFonts w:ascii="Arial" w:hAnsi="Arial" w:cs="Arial"/>
          <w:b/>
          <w:bCs/>
          <w:i/>
          <w:iCs/>
        </w:rPr>
      </w:pPr>
    </w:p>
    <w:p w14:paraId="1F285F18" w14:textId="77777777" w:rsidR="000E54CE" w:rsidRDefault="000E54CE" w:rsidP="19DF5ED4">
      <w:pPr>
        <w:spacing w:line="600" w:lineRule="auto"/>
        <w:rPr>
          <w:rFonts w:ascii="Arial" w:hAnsi="Arial" w:cs="Arial"/>
          <w:b/>
          <w:bCs/>
          <w:i/>
          <w:iCs/>
        </w:rPr>
      </w:pPr>
    </w:p>
    <w:p w14:paraId="24E7E98A" w14:textId="77777777" w:rsidR="000E54CE" w:rsidRPr="000E54CE" w:rsidRDefault="000E54CE" w:rsidP="000E54CE">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0E54CE">
        <w:rPr>
          <w:rFonts w:ascii="Times New Roman" w:eastAsia="Times New Roman" w:hAnsi="Times New Roman" w:cs="Times New Roman"/>
          <w:b/>
          <w:bCs/>
          <w:sz w:val="36"/>
          <w:szCs w:val="36"/>
          <w:lang w:val="ru-GB" w:eastAsia="ru-RU"/>
        </w:rPr>
        <w:lastRenderedPageBreak/>
        <w:t>Table of Contents</w:t>
      </w:r>
    </w:p>
    <w:p w14:paraId="6FF7282C" w14:textId="01177893" w:rsidR="000E54CE" w:rsidRPr="000E54CE" w:rsidRDefault="000E54CE"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sidRPr="000E54CE">
        <w:rPr>
          <w:rFonts w:ascii="Times New Roman" w:hAnsi="Times New Roman" w:cs="Times New Roman"/>
          <w:sz w:val="24"/>
          <w:szCs w:val="24"/>
          <w:lang w:val="ru-GB" w:eastAsia="ru-RU"/>
        </w:rPr>
        <w:t>Introducti</w:t>
      </w:r>
      <w:r>
        <w:rPr>
          <w:rFonts w:ascii="Times New Roman" w:hAnsi="Times New Roman" w:cs="Times New Roman"/>
          <w:sz w:val="24"/>
          <w:szCs w:val="24"/>
          <w:lang w:val="ru-GB" w:eastAsia="ru-RU"/>
        </w:rPr>
        <w:t>on</w:t>
      </w:r>
      <w:r w:rsidRPr="000E54CE">
        <w:rPr>
          <w:rFonts w:ascii="Times New Roman" w:hAnsi="Times New Roman" w:cs="Times New Roman"/>
          <w:sz w:val="24"/>
          <w:szCs w:val="24"/>
          <w:lang w:val="ru-GB" w:eastAsia="ru-RU"/>
        </w:rPr>
        <w:t>……………………………………………………… 1</w:t>
      </w:r>
    </w:p>
    <w:p w14:paraId="4F4A4BDF" w14:textId="463A0242" w:rsidR="00F919B1" w:rsidRDefault="009F1C37" w:rsidP="0088547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eastAsia="ru-RU"/>
        </w:rPr>
        <w:t>Project description……………</w:t>
      </w:r>
      <w:r w:rsidR="00F919B1">
        <w:rPr>
          <w:rFonts w:ascii="Times New Roman" w:hAnsi="Times New Roman" w:cs="Times New Roman"/>
          <w:sz w:val="24"/>
          <w:szCs w:val="24"/>
          <w:lang w:val="ru-RU" w:eastAsia="ru-RU"/>
        </w:rPr>
        <w:t>……………</w:t>
      </w:r>
      <w:r w:rsidR="001E5104">
        <w:rPr>
          <w:rFonts w:ascii="Times New Roman" w:hAnsi="Times New Roman" w:cs="Times New Roman"/>
          <w:sz w:val="24"/>
          <w:szCs w:val="24"/>
          <w:lang w:eastAsia="ru-RU"/>
        </w:rPr>
        <w:t>………..</w:t>
      </w:r>
      <w:r w:rsidR="000E54CE" w:rsidRPr="000E54CE">
        <w:rPr>
          <w:rFonts w:ascii="Times New Roman" w:hAnsi="Times New Roman" w:cs="Times New Roman"/>
          <w:sz w:val="24"/>
          <w:szCs w:val="24"/>
          <w:lang w:val="ru-GB" w:eastAsia="ru-RU"/>
        </w:rPr>
        <w:t>………</w:t>
      </w:r>
      <w:r w:rsidR="000E54CE">
        <w:rPr>
          <w:rFonts w:ascii="Times New Roman" w:hAnsi="Times New Roman" w:cs="Times New Roman"/>
          <w:sz w:val="24"/>
          <w:szCs w:val="24"/>
          <w:lang w:val="ru-GB" w:eastAsia="ru-RU"/>
        </w:rPr>
        <w:t>……</w:t>
      </w:r>
      <w:r w:rsidR="000E54CE" w:rsidRPr="000E54CE">
        <w:rPr>
          <w:rFonts w:ascii="Times New Roman" w:hAnsi="Times New Roman" w:cs="Times New Roman"/>
          <w:sz w:val="24"/>
          <w:szCs w:val="24"/>
          <w:lang w:val="ru-GB" w:eastAsia="ru-RU"/>
        </w:rPr>
        <w:t xml:space="preserve"> 2</w:t>
      </w:r>
      <w:r w:rsidR="000E54CE" w:rsidRPr="000E54CE">
        <w:rPr>
          <w:rFonts w:ascii="Times New Roman" w:hAnsi="Times New Roman" w:cs="Times New Roman"/>
          <w:sz w:val="24"/>
          <w:szCs w:val="24"/>
          <w:lang w:val="ru-GB" w:eastAsia="ru-RU"/>
        </w:rPr>
        <w:t> </w:t>
      </w:r>
    </w:p>
    <w:p w14:paraId="47A53D3D" w14:textId="02A1FFC7" w:rsidR="000E54CE" w:rsidRPr="0088547E" w:rsidRDefault="00F919B1" w:rsidP="0088547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eastAsia="ru-RU"/>
        </w:rPr>
        <w:t>Scope……………</w:t>
      </w:r>
      <w:r w:rsidR="000E54CE" w:rsidRPr="000E54CE">
        <w:rPr>
          <w:rFonts w:ascii="Times New Roman" w:hAnsi="Times New Roman" w:cs="Times New Roman"/>
          <w:sz w:val="24"/>
          <w:szCs w:val="24"/>
          <w:lang w:val="ru-GB" w:eastAsia="ru-RU"/>
        </w:rPr>
        <w:t>…………………………………………</w:t>
      </w:r>
      <w:r>
        <w:rPr>
          <w:rFonts w:ascii="Times New Roman" w:hAnsi="Times New Roman" w:cs="Times New Roman"/>
          <w:sz w:val="24"/>
          <w:szCs w:val="24"/>
          <w:lang w:val="ru-GB" w:eastAsia="ru-RU"/>
        </w:rPr>
        <w:t>………3</w:t>
      </w:r>
      <w:r w:rsidR="000E54CE" w:rsidRPr="000E54CE">
        <w:rPr>
          <w:rFonts w:ascii="Times New Roman" w:hAnsi="Times New Roman" w:cs="Times New Roman"/>
          <w:sz w:val="24"/>
          <w:szCs w:val="24"/>
          <w:lang w:val="ru-GB" w:eastAsia="ru-RU"/>
        </w:rPr>
        <w:t xml:space="preserve"> </w:t>
      </w:r>
    </w:p>
    <w:p w14:paraId="3B1AA3EF" w14:textId="0022DF38" w:rsidR="000E54CE" w:rsidRPr="0027356C" w:rsidRDefault="0027356C"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sidRPr="0027356C">
        <w:rPr>
          <w:rFonts w:ascii="Times New Roman" w:hAnsi="Times New Roman" w:cs="Times New Roman"/>
          <w:sz w:val="24"/>
          <w:szCs w:val="24"/>
          <w:lang w:val="ru-GB" w:eastAsia="ru-RU"/>
        </w:rPr>
        <w:t>Work Breakdown Structure………………..</w:t>
      </w:r>
      <w:r w:rsidR="000E54CE" w:rsidRPr="0027356C">
        <w:rPr>
          <w:rFonts w:ascii="Times New Roman" w:hAnsi="Times New Roman" w:cs="Times New Roman"/>
          <w:sz w:val="24"/>
          <w:szCs w:val="24"/>
          <w:lang w:val="ru-GB" w:eastAsia="ru-RU"/>
        </w:rPr>
        <w:t>……………</w:t>
      </w:r>
      <w:r w:rsidRPr="0027356C">
        <w:rPr>
          <w:rFonts w:ascii="Times New Roman" w:hAnsi="Times New Roman" w:cs="Times New Roman"/>
          <w:sz w:val="24"/>
          <w:szCs w:val="24"/>
          <w:lang w:val="ru-GB" w:eastAsia="ru-RU"/>
        </w:rPr>
        <w:t>………</w:t>
      </w:r>
      <w:r w:rsidR="0088547E" w:rsidRPr="0027356C">
        <w:rPr>
          <w:rFonts w:ascii="Times New Roman" w:hAnsi="Times New Roman" w:cs="Times New Roman"/>
          <w:sz w:val="24"/>
          <w:szCs w:val="24"/>
          <w:lang w:val="ru-GB" w:eastAsia="ru-RU"/>
        </w:rPr>
        <w:t>…</w:t>
      </w:r>
      <w:r w:rsidRPr="0027356C">
        <w:rPr>
          <w:rFonts w:ascii="Times New Roman" w:hAnsi="Times New Roman" w:cs="Times New Roman"/>
          <w:sz w:val="24"/>
          <w:szCs w:val="24"/>
          <w:lang w:val="ru-GB" w:eastAsia="ru-RU"/>
        </w:rPr>
        <w:t>4</w:t>
      </w:r>
      <w:r w:rsidR="000E54CE" w:rsidRPr="0027356C">
        <w:rPr>
          <w:rFonts w:ascii="Times New Roman" w:hAnsi="Times New Roman" w:cs="Times New Roman"/>
          <w:sz w:val="24"/>
          <w:szCs w:val="24"/>
          <w:lang w:val="ru-GB" w:eastAsia="ru-RU"/>
        </w:rPr>
        <w:t xml:space="preserve"> </w:t>
      </w:r>
      <w:r w:rsidRPr="0027356C">
        <w:rPr>
          <w:rFonts w:ascii="Times New Roman" w:hAnsi="Times New Roman" w:cs="Times New Roman"/>
          <w:sz w:val="24"/>
          <w:szCs w:val="24"/>
          <w:lang w:val="ru-GB" w:eastAsia="ru-RU"/>
        </w:rPr>
        <w:t xml:space="preserve">                   </w:t>
      </w:r>
    </w:p>
    <w:p w14:paraId="080FCE43" w14:textId="04B0C7FA" w:rsidR="000E54CE" w:rsidRPr="000E54CE" w:rsidRDefault="00494B6B"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val="ru-GB" w:eastAsia="ru-RU"/>
        </w:rPr>
        <w:t>Quad chart</w:t>
      </w:r>
      <w:r w:rsidR="000E54CE" w:rsidRPr="000E54CE">
        <w:rPr>
          <w:rFonts w:ascii="Times New Roman" w:hAnsi="Times New Roman" w:cs="Times New Roman"/>
          <w:sz w:val="24"/>
          <w:szCs w:val="24"/>
          <w:lang w:val="ru-GB" w:eastAsia="ru-RU"/>
        </w:rPr>
        <w:t xml:space="preserve"> ……………………………</w:t>
      </w:r>
      <w:r>
        <w:rPr>
          <w:rFonts w:ascii="Times New Roman" w:hAnsi="Times New Roman" w:cs="Times New Roman"/>
          <w:sz w:val="24"/>
          <w:szCs w:val="24"/>
          <w:lang w:val="ru-GB" w:eastAsia="ru-RU"/>
        </w:rPr>
        <w:t>……………………………</w:t>
      </w:r>
      <w:r w:rsidR="00EC1377">
        <w:rPr>
          <w:rFonts w:ascii="Times New Roman" w:hAnsi="Times New Roman" w:cs="Times New Roman"/>
          <w:sz w:val="24"/>
          <w:szCs w:val="24"/>
          <w:lang w:val="ru-GB" w:eastAsia="ru-RU"/>
        </w:rPr>
        <w:t>5</w:t>
      </w:r>
    </w:p>
    <w:p w14:paraId="616889EC" w14:textId="3C75F5B0" w:rsidR="000E54CE" w:rsidRDefault="004D7528"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val="ru-GB" w:eastAsia="ru-RU"/>
        </w:rPr>
        <w:t>Gant chart</w:t>
      </w:r>
      <w:r w:rsidR="000E54CE" w:rsidRPr="000E54CE">
        <w:rPr>
          <w:rFonts w:ascii="Times New Roman" w:hAnsi="Times New Roman" w:cs="Times New Roman"/>
          <w:sz w:val="24"/>
          <w:szCs w:val="24"/>
          <w:lang w:val="ru-GB" w:eastAsia="ru-RU"/>
        </w:rPr>
        <w:t>……………………………………………………</w:t>
      </w:r>
      <w:r>
        <w:rPr>
          <w:rFonts w:ascii="Times New Roman" w:hAnsi="Times New Roman" w:cs="Times New Roman"/>
          <w:sz w:val="24"/>
          <w:szCs w:val="24"/>
          <w:lang w:val="ru-GB" w:eastAsia="ru-RU"/>
        </w:rPr>
        <w:t>……..6</w:t>
      </w:r>
    </w:p>
    <w:p w14:paraId="23843FCC" w14:textId="515F4678" w:rsidR="004D7528" w:rsidRPr="006305D1" w:rsidRDefault="001E5104"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eastAsia="ru-RU"/>
        </w:rPr>
        <w:t>Stakeholder Involvement…………………………………………..7</w:t>
      </w:r>
    </w:p>
    <w:p w14:paraId="2A7AB92D" w14:textId="611DE2E3" w:rsidR="006305D1" w:rsidRPr="006305D1" w:rsidRDefault="006305D1"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eastAsia="ru-RU"/>
        </w:rPr>
        <w:t>Allocation of Sources………………………………………………8</w:t>
      </w:r>
    </w:p>
    <w:p w14:paraId="603B04CC" w14:textId="3E8A2A5B" w:rsidR="006305D1" w:rsidRPr="000822E8" w:rsidRDefault="000822E8"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eastAsia="ru-RU"/>
        </w:rPr>
        <w:t>Risk analyses………………………………………………………..9</w:t>
      </w:r>
    </w:p>
    <w:p w14:paraId="54D2C24B" w14:textId="15340690" w:rsidR="000822E8" w:rsidRPr="00CA4B61" w:rsidRDefault="00CA4B61"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eastAsia="ru-RU"/>
        </w:rPr>
        <w:t>Conclusion………………………………………………………..10</w:t>
      </w:r>
    </w:p>
    <w:p w14:paraId="16302F65" w14:textId="68395D7C" w:rsidR="00CA4B61" w:rsidRPr="000E54CE" w:rsidRDefault="00FE5CC8" w:rsidP="000E54CE">
      <w:pPr>
        <w:numPr>
          <w:ilvl w:val="0"/>
          <w:numId w:val="8"/>
        </w:numPr>
        <w:spacing w:before="100" w:beforeAutospacing="1" w:after="100" w:afterAutospacing="1" w:line="240" w:lineRule="auto"/>
        <w:rPr>
          <w:rFonts w:ascii="Times New Roman" w:hAnsi="Times New Roman" w:cs="Times New Roman"/>
          <w:sz w:val="24"/>
          <w:szCs w:val="24"/>
          <w:lang w:val="ru-GB" w:eastAsia="ru-RU"/>
        </w:rPr>
      </w:pPr>
      <w:r>
        <w:rPr>
          <w:rFonts w:ascii="Times New Roman" w:hAnsi="Times New Roman" w:cs="Times New Roman"/>
          <w:sz w:val="24"/>
          <w:szCs w:val="24"/>
          <w:lang w:eastAsia="ru-RU"/>
        </w:rPr>
        <w:t>References</w:t>
      </w:r>
      <w:r>
        <w:rPr>
          <w:rFonts w:ascii="Times New Roman" w:hAnsi="Times New Roman" w:cs="Times New Roman"/>
          <w:sz w:val="24"/>
          <w:szCs w:val="24"/>
          <w:lang w:eastAsia="ru-RU"/>
        </w:rPr>
        <w:t>……………………………………………………</w:t>
      </w:r>
      <w:r>
        <w:rPr>
          <w:rFonts w:ascii="Times New Roman" w:hAnsi="Times New Roman" w:cs="Times New Roman"/>
          <w:sz w:val="24"/>
          <w:szCs w:val="24"/>
          <w:lang w:eastAsia="ru-RU"/>
        </w:rPr>
        <w:t>……11</w:t>
      </w:r>
    </w:p>
    <w:p w14:paraId="02DB0ECB" w14:textId="77777777" w:rsidR="000E54CE" w:rsidRDefault="000E54CE" w:rsidP="19DF5ED4">
      <w:pPr>
        <w:spacing w:line="600" w:lineRule="auto"/>
        <w:rPr>
          <w:rFonts w:ascii="Arial" w:hAnsi="Arial" w:cs="Arial"/>
          <w:b/>
          <w:bCs/>
          <w:i/>
          <w:iCs/>
        </w:rPr>
      </w:pPr>
    </w:p>
    <w:p w14:paraId="409D330A" w14:textId="77777777" w:rsidR="000E54CE" w:rsidRDefault="000E54CE" w:rsidP="19DF5ED4">
      <w:pPr>
        <w:spacing w:line="600" w:lineRule="auto"/>
        <w:rPr>
          <w:rFonts w:ascii="Arial" w:hAnsi="Arial" w:cs="Arial"/>
          <w:b/>
          <w:bCs/>
          <w:i/>
          <w:iCs/>
        </w:rPr>
      </w:pPr>
    </w:p>
    <w:p w14:paraId="2151C0C4" w14:textId="77777777" w:rsidR="00254A9D" w:rsidRDefault="00254A9D" w:rsidP="19DF5ED4">
      <w:pPr>
        <w:spacing w:line="600" w:lineRule="auto"/>
        <w:rPr>
          <w:rFonts w:ascii="Arial" w:hAnsi="Arial" w:cs="Arial"/>
          <w:b/>
          <w:bCs/>
          <w:i/>
          <w:iCs/>
        </w:rPr>
      </w:pPr>
    </w:p>
    <w:p w14:paraId="7E30362E" w14:textId="77777777" w:rsidR="00254A9D" w:rsidRDefault="00254A9D" w:rsidP="19DF5ED4">
      <w:pPr>
        <w:spacing w:line="600" w:lineRule="auto"/>
        <w:rPr>
          <w:rFonts w:ascii="Arial" w:hAnsi="Arial" w:cs="Arial"/>
          <w:b/>
          <w:bCs/>
          <w:i/>
          <w:iCs/>
        </w:rPr>
      </w:pPr>
    </w:p>
    <w:p w14:paraId="57EF1FBA" w14:textId="77777777" w:rsidR="00254A9D" w:rsidRDefault="00254A9D" w:rsidP="19DF5ED4">
      <w:pPr>
        <w:spacing w:line="600" w:lineRule="auto"/>
        <w:rPr>
          <w:rFonts w:ascii="Arial" w:hAnsi="Arial" w:cs="Arial"/>
          <w:b/>
          <w:bCs/>
          <w:i/>
          <w:iCs/>
        </w:rPr>
      </w:pPr>
    </w:p>
    <w:p w14:paraId="3A92B339" w14:textId="77777777" w:rsidR="00254A9D" w:rsidRDefault="00254A9D" w:rsidP="19DF5ED4">
      <w:pPr>
        <w:spacing w:line="600" w:lineRule="auto"/>
        <w:rPr>
          <w:rFonts w:ascii="Arial" w:hAnsi="Arial" w:cs="Arial"/>
          <w:b/>
          <w:bCs/>
          <w:i/>
          <w:iCs/>
        </w:rPr>
      </w:pPr>
    </w:p>
    <w:p w14:paraId="74432BFD" w14:textId="77777777" w:rsidR="00254A9D" w:rsidRDefault="00254A9D" w:rsidP="19DF5ED4">
      <w:pPr>
        <w:spacing w:line="600" w:lineRule="auto"/>
        <w:rPr>
          <w:rFonts w:ascii="Arial" w:hAnsi="Arial" w:cs="Arial"/>
          <w:b/>
          <w:bCs/>
          <w:i/>
          <w:iCs/>
        </w:rPr>
      </w:pPr>
    </w:p>
    <w:p w14:paraId="7F801270" w14:textId="77777777" w:rsidR="00254A9D" w:rsidRDefault="00254A9D" w:rsidP="19DF5ED4">
      <w:pPr>
        <w:spacing w:line="600" w:lineRule="auto"/>
        <w:rPr>
          <w:rFonts w:ascii="Arial" w:hAnsi="Arial" w:cs="Arial"/>
          <w:b/>
          <w:bCs/>
          <w:i/>
          <w:iCs/>
        </w:rPr>
      </w:pPr>
    </w:p>
    <w:p w14:paraId="75A8BC18" w14:textId="77777777" w:rsidR="00254A9D" w:rsidRDefault="00254A9D" w:rsidP="19DF5ED4">
      <w:pPr>
        <w:spacing w:line="600" w:lineRule="auto"/>
        <w:rPr>
          <w:rFonts w:ascii="Arial" w:hAnsi="Arial" w:cs="Arial"/>
          <w:b/>
          <w:bCs/>
          <w:i/>
          <w:iCs/>
        </w:rPr>
      </w:pPr>
    </w:p>
    <w:p w14:paraId="1EA78824" w14:textId="77777777" w:rsidR="00254A9D" w:rsidRDefault="00254A9D" w:rsidP="19DF5ED4">
      <w:pPr>
        <w:spacing w:line="600" w:lineRule="auto"/>
        <w:rPr>
          <w:rFonts w:ascii="Arial" w:hAnsi="Arial" w:cs="Arial"/>
          <w:b/>
          <w:bCs/>
          <w:i/>
          <w:iCs/>
        </w:rPr>
      </w:pPr>
    </w:p>
    <w:p w14:paraId="76039458" w14:textId="77777777" w:rsidR="001E79E1" w:rsidRDefault="001E79E1" w:rsidP="00254A9D">
      <w:pPr>
        <w:spacing w:before="100" w:beforeAutospacing="1" w:after="100" w:afterAutospacing="1" w:line="240" w:lineRule="auto"/>
        <w:outlineLvl w:val="2"/>
        <w:rPr>
          <w:rFonts w:ascii="Times New Roman" w:eastAsia="Times New Roman" w:hAnsi="Times New Roman" w:cs="Times New Roman"/>
          <w:b/>
          <w:bCs/>
          <w:sz w:val="27"/>
          <w:szCs w:val="27"/>
          <w:lang w:val="ru-GB" w:eastAsia="ru-RU"/>
        </w:rPr>
      </w:pPr>
    </w:p>
    <w:p w14:paraId="0FFDCB68" w14:textId="77777777" w:rsidR="001E79E1" w:rsidRDefault="001E79E1" w:rsidP="00254A9D">
      <w:pPr>
        <w:spacing w:before="100" w:beforeAutospacing="1" w:after="100" w:afterAutospacing="1" w:line="240" w:lineRule="auto"/>
        <w:outlineLvl w:val="2"/>
        <w:rPr>
          <w:rFonts w:ascii="Times New Roman" w:eastAsia="Times New Roman" w:hAnsi="Times New Roman" w:cs="Times New Roman"/>
          <w:b/>
          <w:bCs/>
          <w:sz w:val="27"/>
          <w:szCs w:val="27"/>
          <w:lang w:val="ru-GB" w:eastAsia="ru-RU"/>
        </w:rPr>
      </w:pPr>
    </w:p>
    <w:p w14:paraId="0AB28502" w14:textId="77777777" w:rsidR="001E79E1" w:rsidRDefault="001E79E1" w:rsidP="00254A9D">
      <w:pPr>
        <w:spacing w:before="100" w:beforeAutospacing="1" w:after="100" w:afterAutospacing="1" w:line="240" w:lineRule="auto"/>
        <w:outlineLvl w:val="2"/>
        <w:rPr>
          <w:rFonts w:ascii="Times New Roman" w:eastAsia="Times New Roman" w:hAnsi="Times New Roman" w:cs="Times New Roman"/>
          <w:b/>
          <w:bCs/>
          <w:sz w:val="27"/>
          <w:szCs w:val="27"/>
          <w:lang w:val="ru-GB" w:eastAsia="ru-RU"/>
        </w:rPr>
      </w:pPr>
    </w:p>
    <w:p w14:paraId="7079D60A" w14:textId="16711154" w:rsidR="00254A9D" w:rsidRPr="00254A9D" w:rsidRDefault="00254A9D" w:rsidP="00254A9D">
      <w:pPr>
        <w:spacing w:before="100" w:beforeAutospacing="1" w:after="100" w:afterAutospacing="1" w:line="240" w:lineRule="auto"/>
        <w:outlineLvl w:val="2"/>
        <w:rPr>
          <w:rFonts w:ascii="Times New Roman" w:eastAsia="Times New Roman" w:hAnsi="Times New Roman" w:cs="Times New Roman"/>
          <w:b/>
          <w:bCs/>
          <w:sz w:val="27"/>
          <w:szCs w:val="27"/>
          <w:lang w:val="ru-GB" w:eastAsia="ru-RU"/>
        </w:rPr>
      </w:pPr>
      <w:r w:rsidRPr="00254A9D">
        <w:rPr>
          <w:rFonts w:ascii="Times New Roman" w:eastAsia="Times New Roman" w:hAnsi="Times New Roman" w:cs="Times New Roman"/>
          <w:b/>
          <w:bCs/>
          <w:sz w:val="27"/>
          <w:szCs w:val="27"/>
          <w:lang w:val="ru-GB" w:eastAsia="ru-RU"/>
        </w:rPr>
        <w:lastRenderedPageBreak/>
        <w:t>Reflection on Feedback Received from Tutor and Peers</w:t>
      </w:r>
    </w:p>
    <w:p w14:paraId="0D152A5B" w14:textId="77777777" w:rsidR="00254A9D" w:rsidRPr="00254A9D" w:rsidRDefault="00254A9D" w:rsidP="00254A9D">
      <w:pPr>
        <w:spacing w:before="100" w:beforeAutospacing="1" w:after="100" w:afterAutospacing="1" w:line="240" w:lineRule="auto"/>
        <w:rPr>
          <w:rFonts w:ascii="Times New Roman" w:hAnsi="Times New Roman" w:cs="Times New Roman"/>
          <w:sz w:val="24"/>
          <w:szCs w:val="24"/>
          <w:lang w:val="ru-GB" w:eastAsia="ru-RU"/>
        </w:rPr>
      </w:pPr>
      <w:r w:rsidRPr="00254A9D">
        <w:rPr>
          <w:rFonts w:ascii="Times New Roman" w:hAnsi="Times New Roman" w:cs="Times New Roman"/>
          <w:sz w:val="24"/>
          <w:szCs w:val="24"/>
          <w:lang w:val="ru-GB" w:eastAsia="ru-RU"/>
        </w:rPr>
        <w:t>The feedback received from both my tutor and peers was very useful in helping me evaluate the strengths and weaknesses of my Flood Recovery Project poster. Overall, the feedback highlighted several positive aspects of the work while also identifying areas that require further improvement before developing the final project plan.</w:t>
      </w:r>
    </w:p>
    <w:p w14:paraId="0006AE1E" w14:textId="77777777" w:rsidR="00254A9D" w:rsidRPr="00254A9D" w:rsidRDefault="00254A9D" w:rsidP="00254A9D">
      <w:pPr>
        <w:spacing w:before="100" w:beforeAutospacing="1" w:after="100" w:afterAutospacing="1" w:line="240" w:lineRule="auto"/>
        <w:rPr>
          <w:rFonts w:ascii="Times New Roman" w:hAnsi="Times New Roman" w:cs="Times New Roman"/>
          <w:sz w:val="24"/>
          <w:szCs w:val="24"/>
          <w:lang w:val="ru-GB" w:eastAsia="ru-RU"/>
        </w:rPr>
      </w:pPr>
      <w:r w:rsidRPr="00254A9D">
        <w:rPr>
          <w:rFonts w:ascii="Times New Roman" w:hAnsi="Times New Roman" w:cs="Times New Roman"/>
          <w:sz w:val="24"/>
          <w:szCs w:val="24"/>
          <w:lang w:val="ru-GB" w:eastAsia="ru-RU"/>
        </w:rPr>
        <w:t>One of the main strengths identified was the clarity of the project aim and objectives. Both the tutor and peers commented that the purpose of the project was easy to understand and clearly connected to the flooding issues experienced in Worcester following the River Severn overflow in July 2025. The poster successfully explained the need to rebuild and improve the transport corridor while focusing on flood resilience, public safety, and long-term sustainability. The use of concise bullet points and a logical structure also helped present the information in an organised and professional way.</w:t>
      </w:r>
    </w:p>
    <w:p w14:paraId="1B526C33" w14:textId="77777777" w:rsidR="00254A9D" w:rsidRPr="00254A9D" w:rsidRDefault="00254A9D" w:rsidP="00254A9D">
      <w:pPr>
        <w:spacing w:before="100" w:beforeAutospacing="1" w:after="100" w:afterAutospacing="1" w:line="240" w:lineRule="auto"/>
        <w:rPr>
          <w:rFonts w:ascii="Times New Roman" w:hAnsi="Times New Roman" w:cs="Times New Roman"/>
          <w:sz w:val="24"/>
          <w:szCs w:val="24"/>
          <w:lang w:val="ru-GB" w:eastAsia="ru-RU"/>
        </w:rPr>
      </w:pPr>
      <w:r w:rsidRPr="00254A9D">
        <w:rPr>
          <w:rFonts w:ascii="Times New Roman" w:hAnsi="Times New Roman" w:cs="Times New Roman"/>
          <w:sz w:val="24"/>
          <w:szCs w:val="24"/>
          <w:lang w:val="ru-GB" w:eastAsia="ru-RU"/>
        </w:rPr>
        <w:t>Another positive point mentioned in the feedback was the identification of key stakeholders. The inclusion of Worcester City Council, the Environment Agency, emergency services, local residents, businesses, and transport authorities demonstrated a strong understanding of the groups affected by the project. Peers also noted that the expected outcomes and success criteria were realistic and directly linked to the project objectives. This showed that the project had measurable goals and practical benefits for the local community.</w:t>
      </w:r>
    </w:p>
    <w:p w14:paraId="440D95F4" w14:textId="77777777" w:rsidR="00254A9D" w:rsidRPr="00254A9D" w:rsidRDefault="00254A9D" w:rsidP="00254A9D">
      <w:pPr>
        <w:spacing w:before="100" w:beforeAutospacing="1" w:after="100" w:afterAutospacing="1" w:line="240" w:lineRule="auto"/>
        <w:rPr>
          <w:rFonts w:ascii="Times New Roman" w:hAnsi="Times New Roman" w:cs="Times New Roman"/>
          <w:sz w:val="24"/>
          <w:szCs w:val="24"/>
          <w:lang w:val="ru-GB" w:eastAsia="ru-RU"/>
        </w:rPr>
      </w:pPr>
      <w:r w:rsidRPr="00254A9D">
        <w:rPr>
          <w:rFonts w:ascii="Times New Roman" w:hAnsi="Times New Roman" w:cs="Times New Roman"/>
          <w:sz w:val="24"/>
          <w:szCs w:val="24"/>
          <w:lang w:val="ru-GB" w:eastAsia="ru-RU"/>
        </w:rPr>
        <w:t>Despite these strengths, the feedback also identified several areas for improvement. One recommendation from the tutor was to provide more detailed risk analysis in the final project plan. Although key risks were briefly mentioned in the poster, the tutor suggested explaining how risks such as budget overruns, construction delays, adverse weather conditions, and disruption to local residents would be managed. Adding mitigation strategies and contingency planning will make the project plan more comprehensive and realistic.</w:t>
      </w:r>
    </w:p>
    <w:p w14:paraId="583E864F" w14:textId="77777777" w:rsidR="00254A9D" w:rsidRPr="00254A9D" w:rsidRDefault="00254A9D" w:rsidP="00254A9D">
      <w:pPr>
        <w:spacing w:before="100" w:beforeAutospacing="1" w:after="100" w:afterAutospacing="1" w:line="240" w:lineRule="auto"/>
        <w:rPr>
          <w:rFonts w:ascii="Times New Roman" w:hAnsi="Times New Roman" w:cs="Times New Roman"/>
          <w:sz w:val="24"/>
          <w:szCs w:val="24"/>
          <w:lang w:val="ru-GB" w:eastAsia="ru-RU"/>
        </w:rPr>
      </w:pPr>
      <w:r w:rsidRPr="00254A9D">
        <w:rPr>
          <w:rFonts w:ascii="Times New Roman" w:hAnsi="Times New Roman" w:cs="Times New Roman"/>
          <w:sz w:val="24"/>
          <w:szCs w:val="24"/>
          <w:lang w:val="ru-GB" w:eastAsia="ru-RU"/>
        </w:rPr>
        <w:t>Another area highlighted for improvement was the financial section. Some peers commented that the estimated budget of £8–12 million was too broad and required a clearer breakdown of costs. In response to this feedback, I plan to include more detailed financial information in the final project plan, such as estimated costs for drainage systems, road reconstruction, labour, materials, and environmental protection measures. This will improve the credibility and professionalism of the project.</w:t>
      </w:r>
    </w:p>
    <w:p w14:paraId="71B36847" w14:textId="77777777" w:rsidR="00254A9D" w:rsidRPr="00254A9D" w:rsidRDefault="00254A9D" w:rsidP="00254A9D">
      <w:pPr>
        <w:spacing w:before="100" w:beforeAutospacing="1" w:after="100" w:afterAutospacing="1" w:line="240" w:lineRule="auto"/>
        <w:rPr>
          <w:rFonts w:ascii="Times New Roman" w:hAnsi="Times New Roman" w:cs="Times New Roman"/>
          <w:sz w:val="24"/>
          <w:szCs w:val="24"/>
          <w:lang w:val="ru-GB" w:eastAsia="ru-RU"/>
        </w:rPr>
      </w:pPr>
      <w:r w:rsidRPr="00254A9D">
        <w:rPr>
          <w:rFonts w:ascii="Times New Roman" w:hAnsi="Times New Roman" w:cs="Times New Roman"/>
          <w:sz w:val="24"/>
          <w:szCs w:val="24"/>
          <w:lang w:val="ru-GB" w:eastAsia="ru-RU"/>
        </w:rPr>
        <w:t>The tutor also advised expanding the sustainability and flood-resilience aspects of the proposal. While the poster mentioned improved drainage and flood-resistant design, the final plan should explain the specific engineering solutions and technologies that will be used to reduce future flood damage. Including sustainable construction methods and environmentally friendly materials would strengthen the overall proposal.</w:t>
      </w:r>
    </w:p>
    <w:p w14:paraId="0AB454FF" w14:textId="77777777" w:rsidR="00254A9D" w:rsidRPr="00254A9D" w:rsidRDefault="00254A9D" w:rsidP="00254A9D">
      <w:pPr>
        <w:spacing w:before="100" w:beforeAutospacing="1" w:after="100" w:afterAutospacing="1" w:line="240" w:lineRule="auto"/>
        <w:rPr>
          <w:rFonts w:ascii="Times New Roman" w:hAnsi="Times New Roman" w:cs="Times New Roman"/>
          <w:sz w:val="24"/>
          <w:szCs w:val="24"/>
          <w:lang w:val="ru-GB" w:eastAsia="ru-RU"/>
        </w:rPr>
      </w:pPr>
      <w:r w:rsidRPr="00254A9D">
        <w:rPr>
          <w:rFonts w:ascii="Times New Roman" w:hAnsi="Times New Roman" w:cs="Times New Roman"/>
          <w:sz w:val="24"/>
          <w:szCs w:val="24"/>
          <w:lang w:val="ru-GB" w:eastAsia="ru-RU"/>
        </w:rPr>
        <w:t>In conclusion, the feedback from both the tutor and peers was constructive and valuable. It confirmed that the project has a clear purpose and strong foundation while also identifying important areas that need further development. By improving the risk management section, providing a more detailed budget, and expanding the sustainability strategies, the final project plan will become more detailed, realistic, and professionally presented.</w:t>
      </w:r>
    </w:p>
    <w:p w14:paraId="12E8A23B" w14:textId="77777777" w:rsidR="00254A9D" w:rsidRDefault="00254A9D" w:rsidP="19DF5ED4">
      <w:pPr>
        <w:spacing w:line="600" w:lineRule="auto"/>
        <w:rPr>
          <w:rFonts w:ascii="Arial" w:hAnsi="Arial" w:cs="Arial"/>
          <w:b/>
          <w:bCs/>
          <w:i/>
          <w:iCs/>
          <w:lang w:val="ru-RU"/>
        </w:rPr>
      </w:pPr>
    </w:p>
    <w:p w14:paraId="070DFAA0" w14:textId="77777777" w:rsidR="001E79E1" w:rsidRDefault="001E79E1" w:rsidP="19DF5ED4">
      <w:pPr>
        <w:spacing w:line="600" w:lineRule="auto"/>
        <w:rPr>
          <w:rFonts w:ascii="Arial" w:hAnsi="Arial" w:cs="Arial"/>
          <w:b/>
          <w:bCs/>
          <w:i/>
          <w:iCs/>
          <w:lang w:val="ru-RU"/>
        </w:rPr>
      </w:pPr>
    </w:p>
    <w:p w14:paraId="493A596E" w14:textId="77777777" w:rsidR="001E79E1" w:rsidRDefault="001E79E1" w:rsidP="19DF5ED4">
      <w:pPr>
        <w:spacing w:line="600" w:lineRule="auto"/>
        <w:rPr>
          <w:rFonts w:ascii="Arial" w:hAnsi="Arial" w:cs="Arial"/>
          <w:b/>
          <w:bCs/>
          <w:i/>
          <w:iCs/>
          <w:lang w:val="ru-RU"/>
        </w:rPr>
      </w:pPr>
    </w:p>
    <w:p w14:paraId="14A804B2"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Project Management Plan</w:t>
      </w:r>
    </w:p>
    <w:p w14:paraId="0CC8EB25"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Reconstruction of Flood-Resilient Transport Corridor in Worcester</w:t>
      </w:r>
    </w:p>
    <w:p w14:paraId="12F1B30D"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51F2AFEB" wp14:editId="6653A8EE">
                <wp:extent cx="5731510" cy="1270"/>
                <wp:effectExtent l="0" t="31750" r="0" b="36830"/>
                <wp:docPr id="1096019865" name="Прямоугольник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6EFFEDD" id="Прямоугольник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6EAD92"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1. Introduction</w:t>
      </w:r>
    </w:p>
    <w:p w14:paraId="7A05AE8D"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In July 2025, severe flooding caused by extreme Atlantic weather conditions resulted in the overflow of the River Severn, significantly affecting several towns in the West Midlands region of the United Kingdom, including Worcester, Shrewsbury, and Kidderminster. The flooding caused widespread disruption to transport infrastructure, with roads submerged, drainage systems failing, and emergency services facing major operational challenges. As a result, local communities experienced restricted mobility, interrupted supply chains, and economic losses.</w:t>
      </w:r>
    </w:p>
    <w:p w14:paraId="4706425F"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This Project Management Plan outlines the strategy for reconstructing and upgrading a key transport corridor in Worcester. The project aims not only to restore damaged infrastructure but also to improve flood resilience through sustainable engineering solutions, improved drainage systems, and enhanced emergency accessibility. The plan applies recognised project management approaches and techniques to ensure successful project delivery within the required time, cost, and quality constraints.</w:t>
      </w:r>
    </w:p>
    <w:p w14:paraId="562D069C"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project is expected to be completed within six months, with an estimated budget ranging from £8 million to £12 million. The successful completion of the project will improve transport reliability, reduce future flood risks, and strengthen community resilience against extreme weather events.</w:t>
      </w:r>
    </w:p>
    <w:p w14:paraId="18636F2F"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32849525" wp14:editId="235A6863">
                <wp:extent cx="5731510" cy="1270"/>
                <wp:effectExtent l="0" t="31750" r="0" b="36830"/>
                <wp:docPr id="932343503" name="Прямоугольник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2FDE881" id="Прямоугольник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9AD0FC1"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2. Project Description</w:t>
      </w:r>
    </w:p>
    <w:p w14:paraId="3F422300"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project focuses on the reconstruction and upgrading of a major transport corridor in Worcester that was severely damaged during the July 2025 floods. The corridor is essential for local residents, businesses, emergency services, and freight transportation. Due to flood damage, sections of the roadway became inaccessible, drainage systems failed, and supporting infrastructure suffered structural deterioration.</w:t>
      </w:r>
    </w:p>
    <w:p w14:paraId="67458034"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lastRenderedPageBreak/>
        <w:t>The project includes repairing damaged roads, reinforcing bridges and culverts, installing advanced drainage systems, improving water management infrastructure, and integrating flood-resistant engineering designs. In addition, the project seeks to minimise disruption to residents and businesses during the construction process.</w:t>
      </w:r>
    </w:p>
    <w:p w14:paraId="7054367C"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project will be managed using a structured project management framework involving planning, scheduling, risk management, stakeholder engagement, and resource allocation. Regular monitoring and communication will ensure that progress aligns with the project objectives and stakeholder expectations.</w:t>
      </w:r>
    </w:p>
    <w:p w14:paraId="69BB2CF4"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5E635D6D" wp14:editId="25041908">
                <wp:extent cx="5731510" cy="1270"/>
                <wp:effectExtent l="0" t="31750" r="0" b="36830"/>
                <wp:docPr id="367845073" name="Прямоугольник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B4FE5E8" id="Прямоугольник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CB87ADC"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3. Scope</w:t>
      </w:r>
    </w:p>
    <w:p w14:paraId="5C4E2B2D"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In Scope</w:t>
      </w:r>
    </w:p>
    <w:p w14:paraId="3DDB54B5"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project scope includes reconstruction of damaged road sections, installation of flood-resistant road materials, upgrading drainage and water management systems, repair and reinforcement of bridges and culverts, traffic management during construction, environmental protection measures, stakeholder communication and consultation, health and safety management, and final testing and inspection before reopening the corridor.</w:t>
      </w:r>
    </w:p>
    <w:p w14:paraId="224D8B28"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Out of Scope</w:t>
      </w:r>
    </w:p>
    <w:p w14:paraId="13E04A7C"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project does not include construction of entirely new transport routes, residential property repairs, long-term regional flood defence schemes outside Worcester, or public transport upgrades unrelated to the damaged corridor.</w:t>
      </w:r>
    </w:p>
    <w:p w14:paraId="1E963F6E"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Project Deliverables</w:t>
      </w:r>
    </w:p>
    <w:p w14:paraId="050C2446"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project will deliver a fully operational transport corridor, improved drainage infrastructure, flood-resistant road design, reduced risk of future transport disruption, enhanced emergency response access, and a final project completion report.</w:t>
      </w:r>
    </w:p>
    <w:p w14:paraId="3DD84595"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29411A1B" wp14:editId="41933B40">
                <wp:extent cx="5731510" cy="1270"/>
                <wp:effectExtent l="0" t="31750" r="0" b="36830"/>
                <wp:docPr id="556086961" name="Прямоугольник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FA43F17" id="Прямоугольник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CF228CA"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4. Work Breakdown Structure (WBS)</w:t>
      </w:r>
    </w:p>
    <w:p w14:paraId="6113A80B"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1. Project Initiation</w:t>
      </w:r>
    </w:p>
    <w:p w14:paraId="4A22A5F5" w14:textId="77777777" w:rsidR="001E79E1" w:rsidRPr="001E79E1" w:rsidRDefault="001E79E1" w:rsidP="001E79E1">
      <w:pPr>
        <w:numPr>
          <w:ilvl w:val="0"/>
          <w:numId w:val="9"/>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Feasibility assessment</w:t>
      </w:r>
    </w:p>
    <w:p w14:paraId="2E457A6D" w14:textId="77777777" w:rsidR="001E79E1" w:rsidRPr="001E79E1" w:rsidRDefault="001E79E1" w:rsidP="001E79E1">
      <w:pPr>
        <w:numPr>
          <w:ilvl w:val="0"/>
          <w:numId w:val="9"/>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Stakeholder identification</w:t>
      </w:r>
    </w:p>
    <w:p w14:paraId="3A7679F2" w14:textId="77777777" w:rsidR="001E79E1" w:rsidRPr="001E79E1" w:rsidRDefault="001E79E1" w:rsidP="001E79E1">
      <w:pPr>
        <w:numPr>
          <w:ilvl w:val="0"/>
          <w:numId w:val="9"/>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Budget approval</w:t>
      </w:r>
    </w:p>
    <w:p w14:paraId="6E31044A" w14:textId="77777777" w:rsidR="001E79E1" w:rsidRPr="001E79E1" w:rsidRDefault="001E79E1" w:rsidP="001E79E1">
      <w:pPr>
        <w:numPr>
          <w:ilvl w:val="0"/>
          <w:numId w:val="9"/>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Development of project charter</w:t>
      </w:r>
    </w:p>
    <w:p w14:paraId="697E80BE"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lastRenderedPageBreak/>
        <w:t>2. Project Planning</w:t>
      </w:r>
    </w:p>
    <w:p w14:paraId="351DEE96" w14:textId="77777777" w:rsidR="001E79E1" w:rsidRPr="001E79E1" w:rsidRDefault="001E79E1" w:rsidP="001E79E1">
      <w:pPr>
        <w:numPr>
          <w:ilvl w:val="0"/>
          <w:numId w:val="10"/>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Schedule development</w:t>
      </w:r>
    </w:p>
    <w:p w14:paraId="5856CA1B" w14:textId="77777777" w:rsidR="001E79E1" w:rsidRPr="001E79E1" w:rsidRDefault="001E79E1" w:rsidP="001E79E1">
      <w:pPr>
        <w:numPr>
          <w:ilvl w:val="0"/>
          <w:numId w:val="10"/>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Risk assessment</w:t>
      </w:r>
    </w:p>
    <w:p w14:paraId="149450F1" w14:textId="77777777" w:rsidR="001E79E1" w:rsidRPr="001E79E1" w:rsidRDefault="001E79E1" w:rsidP="001E79E1">
      <w:pPr>
        <w:numPr>
          <w:ilvl w:val="0"/>
          <w:numId w:val="10"/>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Resource planning</w:t>
      </w:r>
    </w:p>
    <w:p w14:paraId="18F1ECF1" w14:textId="77777777" w:rsidR="001E79E1" w:rsidRPr="001E79E1" w:rsidRDefault="001E79E1" w:rsidP="001E79E1">
      <w:pPr>
        <w:numPr>
          <w:ilvl w:val="0"/>
          <w:numId w:val="10"/>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Procurement planning</w:t>
      </w:r>
    </w:p>
    <w:p w14:paraId="141BA6A8"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3. Design Phase</w:t>
      </w:r>
    </w:p>
    <w:p w14:paraId="03D52AFD" w14:textId="77777777" w:rsidR="001E79E1" w:rsidRPr="001E79E1" w:rsidRDefault="001E79E1" w:rsidP="001E79E1">
      <w:pPr>
        <w:numPr>
          <w:ilvl w:val="0"/>
          <w:numId w:val="11"/>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Engineering surveys</w:t>
      </w:r>
    </w:p>
    <w:p w14:paraId="23DEE8FB" w14:textId="77777777" w:rsidR="001E79E1" w:rsidRPr="001E79E1" w:rsidRDefault="001E79E1" w:rsidP="001E79E1">
      <w:pPr>
        <w:numPr>
          <w:ilvl w:val="0"/>
          <w:numId w:val="11"/>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Drainage system design</w:t>
      </w:r>
    </w:p>
    <w:p w14:paraId="399C9A15" w14:textId="77777777" w:rsidR="001E79E1" w:rsidRPr="001E79E1" w:rsidRDefault="001E79E1" w:rsidP="001E79E1">
      <w:pPr>
        <w:numPr>
          <w:ilvl w:val="0"/>
          <w:numId w:val="11"/>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Flood resilience planning</w:t>
      </w:r>
    </w:p>
    <w:p w14:paraId="47CFFA9C" w14:textId="77777777" w:rsidR="001E79E1" w:rsidRPr="001E79E1" w:rsidRDefault="001E79E1" w:rsidP="001E79E1">
      <w:pPr>
        <w:numPr>
          <w:ilvl w:val="0"/>
          <w:numId w:val="11"/>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Environmental assessment</w:t>
      </w:r>
    </w:p>
    <w:p w14:paraId="10CE0A7E"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4. Construction Phase</w:t>
      </w:r>
    </w:p>
    <w:p w14:paraId="4B7532C1" w14:textId="77777777" w:rsidR="001E79E1" w:rsidRPr="001E79E1" w:rsidRDefault="001E79E1" w:rsidP="001E79E1">
      <w:pPr>
        <w:numPr>
          <w:ilvl w:val="0"/>
          <w:numId w:val="12"/>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Site preparation</w:t>
      </w:r>
    </w:p>
    <w:p w14:paraId="6A28EBAE" w14:textId="77777777" w:rsidR="001E79E1" w:rsidRPr="001E79E1" w:rsidRDefault="001E79E1" w:rsidP="001E79E1">
      <w:pPr>
        <w:numPr>
          <w:ilvl w:val="0"/>
          <w:numId w:val="12"/>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Road reconstruction</w:t>
      </w:r>
    </w:p>
    <w:p w14:paraId="3EE65CAF" w14:textId="77777777" w:rsidR="001E79E1" w:rsidRPr="001E79E1" w:rsidRDefault="001E79E1" w:rsidP="001E79E1">
      <w:pPr>
        <w:numPr>
          <w:ilvl w:val="0"/>
          <w:numId w:val="12"/>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Bridge and culvert repairs</w:t>
      </w:r>
    </w:p>
    <w:p w14:paraId="267E83B0" w14:textId="77777777" w:rsidR="001E79E1" w:rsidRPr="001E79E1" w:rsidRDefault="001E79E1" w:rsidP="001E79E1">
      <w:pPr>
        <w:numPr>
          <w:ilvl w:val="0"/>
          <w:numId w:val="12"/>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Drainage installation</w:t>
      </w:r>
    </w:p>
    <w:p w14:paraId="5E8EAFCE" w14:textId="77777777" w:rsidR="001E79E1" w:rsidRPr="001E79E1" w:rsidRDefault="001E79E1" w:rsidP="001E79E1">
      <w:pPr>
        <w:numPr>
          <w:ilvl w:val="0"/>
          <w:numId w:val="12"/>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Traffic management implementation</w:t>
      </w:r>
    </w:p>
    <w:p w14:paraId="22FB6CDF"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5. Monitoring and Control</w:t>
      </w:r>
    </w:p>
    <w:p w14:paraId="228C643B" w14:textId="77777777" w:rsidR="001E79E1" w:rsidRPr="001E79E1" w:rsidRDefault="001E79E1" w:rsidP="001E79E1">
      <w:pPr>
        <w:numPr>
          <w:ilvl w:val="0"/>
          <w:numId w:val="13"/>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Quality inspections</w:t>
      </w:r>
    </w:p>
    <w:p w14:paraId="7EEDEE44" w14:textId="77777777" w:rsidR="001E79E1" w:rsidRPr="001E79E1" w:rsidRDefault="001E79E1" w:rsidP="001E79E1">
      <w:pPr>
        <w:numPr>
          <w:ilvl w:val="0"/>
          <w:numId w:val="13"/>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Safety monitoring</w:t>
      </w:r>
    </w:p>
    <w:p w14:paraId="08DAA7CF" w14:textId="77777777" w:rsidR="001E79E1" w:rsidRPr="001E79E1" w:rsidRDefault="001E79E1" w:rsidP="001E79E1">
      <w:pPr>
        <w:numPr>
          <w:ilvl w:val="0"/>
          <w:numId w:val="13"/>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Cost control</w:t>
      </w:r>
    </w:p>
    <w:p w14:paraId="4764627A" w14:textId="77777777" w:rsidR="001E79E1" w:rsidRPr="001E79E1" w:rsidRDefault="001E79E1" w:rsidP="001E79E1">
      <w:pPr>
        <w:numPr>
          <w:ilvl w:val="0"/>
          <w:numId w:val="13"/>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Progress reporting</w:t>
      </w:r>
    </w:p>
    <w:p w14:paraId="7122B796" w14:textId="77777777" w:rsidR="001E79E1" w:rsidRPr="001E79E1" w:rsidRDefault="001E79E1" w:rsidP="001E79E1">
      <w:pPr>
        <w:spacing w:before="100" w:beforeAutospacing="1" w:after="100" w:afterAutospacing="1" w:line="240" w:lineRule="auto"/>
        <w:outlineLvl w:val="1"/>
        <w:rPr>
          <w:rFonts w:ascii="Times New Roman" w:eastAsia="Times New Roman" w:hAnsi="Times New Roman" w:cs="Times New Roman"/>
          <w:b/>
          <w:bCs/>
          <w:sz w:val="36"/>
          <w:szCs w:val="36"/>
          <w:lang w:val="ru-GB" w:eastAsia="ru-RU"/>
        </w:rPr>
      </w:pPr>
      <w:r w:rsidRPr="001E79E1">
        <w:rPr>
          <w:rFonts w:ascii="Times New Roman" w:eastAsia="Times New Roman" w:hAnsi="Times New Roman" w:cs="Times New Roman"/>
          <w:b/>
          <w:bCs/>
          <w:sz w:val="36"/>
          <w:szCs w:val="36"/>
          <w:lang w:val="ru-GB" w:eastAsia="ru-RU"/>
        </w:rPr>
        <w:t>6. Project Closure</w:t>
      </w:r>
    </w:p>
    <w:p w14:paraId="5BE9EA74" w14:textId="77777777" w:rsidR="001E79E1" w:rsidRPr="001E79E1" w:rsidRDefault="001E79E1" w:rsidP="001E79E1">
      <w:pPr>
        <w:numPr>
          <w:ilvl w:val="0"/>
          <w:numId w:val="14"/>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Final inspections</w:t>
      </w:r>
    </w:p>
    <w:p w14:paraId="37D452CF" w14:textId="77777777" w:rsidR="001E79E1" w:rsidRPr="001E79E1" w:rsidRDefault="001E79E1" w:rsidP="001E79E1">
      <w:pPr>
        <w:numPr>
          <w:ilvl w:val="0"/>
          <w:numId w:val="14"/>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Stakeholder approval</w:t>
      </w:r>
    </w:p>
    <w:p w14:paraId="6779B3E7" w14:textId="77777777" w:rsidR="001E79E1" w:rsidRPr="001E79E1" w:rsidRDefault="001E79E1" w:rsidP="001E79E1">
      <w:pPr>
        <w:numPr>
          <w:ilvl w:val="0"/>
          <w:numId w:val="14"/>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Documentation handover</w:t>
      </w:r>
    </w:p>
    <w:p w14:paraId="42F7838D" w14:textId="77777777" w:rsidR="001E79E1" w:rsidRPr="001E79E1" w:rsidRDefault="001E79E1" w:rsidP="001E79E1">
      <w:pPr>
        <w:numPr>
          <w:ilvl w:val="0"/>
          <w:numId w:val="14"/>
        </w:numPr>
        <w:spacing w:before="100" w:beforeAutospacing="1" w:after="100" w:afterAutospacing="1"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sz w:val="24"/>
          <w:szCs w:val="24"/>
          <w:lang w:val="ru-GB" w:eastAsia="ru-RU"/>
        </w:rPr>
        <w:t>Project evaluation report</w:t>
      </w:r>
    </w:p>
    <w:p w14:paraId="2C7EA1E0"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4854DDFE" wp14:editId="7AD527A5">
                <wp:extent cx="5731510" cy="1270"/>
                <wp:effectExtent l="0" t="31750" r="0" b="36830"/>
                <wp:docPr id="1195255774" name="Прямоугольник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B1F9BAD" id="Прямоугольник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114C633"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5. Quad Chart</w:t>
      </w:r>
    </w:p>
    <w:p w14:paraId="6504525D"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main objectives of the project are to reopen the transport corridor within six months, improve flood resilience, minimise disruption to local communities, and improve emergency access during future flooding events.</w:t>
      </w:r>
    </w:p>
    <w:p w14:paraId="71D8B0B2"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project schedule is planned over a six-month period, beginning with project initiation and ending with final testing and project closure.</w:t>
      </w:r>
    </w:p>
    <w:p w14:paraId="20FF809F"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lastRenderedPageBreak/>
        <w:t>The estimated project budget ranges between £8 million and £12 million, covering construction works, drainage systems, labour costs, environmental protection, and contingency reserves.</w:t>
      </w:r>
    </w:p>
    <w:p w14:paraId="04F61314"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main project risks include extreme weather conditions, budget overruns, supply chain delays, environmental restrictions, and stakeholder dissatisfaction.</w:t>
      </w:r>
    </w:p>
    <w:p w14:paraId="6F46AC65"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5E5EE4FE" wp14:editId="7983CE72">
                <wp:extent cx="5731510" cy="1270"/>
                <wp:effectExtent l="0" t="31750" r="0" b="36830"/>
                <wp:docPr id="1416108343" name="Прямоугольник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1BE1EF" id="Прямоугольник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5509F7F"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6. Gantt Chart</w:t>
      </w:r>
    </w:p>
    <w:p w14:paraId="010387E8"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During Month 1, the project initiation phase will begin, including feasibility studies, stakeholder consultations, and project approval processes. Planning and design activities will continue through Months 1 and 2.</w:t>
      </w:r>
    </w:p>
    <w:p w14:paraId="7F818EAB"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Procurement activities will mainly take place during Month 2, ensuring that construction materials, equipment, and contractors are secured before the main construction phase begins.</w:t>
      </w:r>
    </w:p>
    <w:p w14:paraId="284B2997"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Site preparation activities will occur during Months 2 and 3. Road reconstruction, drainage installation, and bridge repairs will begin in Month 3 and continue until Month 5.</w:t>
      </w:r>
    </w:p>
    <w:p w14:paraId="66874146"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Monitoring, inspections, and quality control activities will take place throughout the construction phase to ensure compliance with safety and engineering standards.</w:t>
      </w:r>
    </w:p>
    <w:p w14:paraId="6DDFF5D7"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Final testing, inspections, and commissioning activities will occur during Months 5 and 6, followed by project closure and final reporting at the end of Month 6.</w:t>
      </w:r>
    </w:p>
    <w:p w14:paraId="43E72A06"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5093D403" wp14:editId="523966CF">
                <wp:extent cx="5731510" cy="1270"/>
                <wp:effectExtent l="0" t="31750" r="0" b="36830"/>
                <wp:docPr id="1317763150" name="Прямоугольник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E0FD8A5" id="Прямоугольник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643F7D5"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7. Stakeholder Involvement</w:t>
      </w:r>
    </w:p>
    <w:p w14:paraId="48875D14"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Effective stakeholder involvement is essential for successful project delivery. Worcester City Council will provide local coordination, project approval, and funding support. The Environment Agency will ensure environmental compliance and provide flood management guidance.</w:t>
      </w:r>
    </w:p>
    <w:p w14:paraId="0C0A92AC"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Emergency services will contribute to emergency route planning and operational recommendations to maintain accessibility during future flood events. Local residents and businesses will be consulted regularly to minimise disruption and gather feedback throughout the project lifecycle.</w:t>
      </w:r>
    </w:p>
    <w:p w14:paraId="0CA99220"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Transport authorities will ensure that the project complies with transportation regulations and engineering standards. Contractors and engineers will be responsible for the technical implementation of construction activities.</w:t>
      </w:r>
    </w:p>
    <w:p w14:paraId="60578D98"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Stakeholder engagement strategies will include regular project meetings, public consultations, progress reports, risk communication, and updates through local media channels.</w:t>
      </w:r>
    </w:p>
    <w:p w14:paraId="19DFF45C"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w:lastRenderedPageBreak/>
        <mc:AlternateContent>
          <mc:Choice Requires="wps">
            <w:drawing>
              <wp:inline distT="0" distB="0" distL="0" distR="0" wp14:anchorId="7F29E65E" wp14:editId="057795D2">
                <wp:extent cx="5731510" cy="1270"/>
                <wp:effectExtent l="0" t="31750" r="0" b="36830"/>
                <wp:docPr id="1820064515" name="Прямоугольник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1F1CDBA" id="Прямоугольник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FAE35BA"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8. Allocation of Resources</w:t>
      </w:r>
    </w:p>
    <w:p w14:paraId="19500547"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project will require a combination of human, material, financial, and technological resources.</w:t>
      </w:r>
    </w:p>
    <w:p w14:paraId="2DE72D11"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Human resources will include a project manager, civil engineers, environmental specialists, construction workers, procurement officers, and health and safety officers. These professionals will ensure efficient planning, coordination, and project execution.</w:t>
      </w:r>
    </w:p>
    <w:p w14:paraId="18B8A877"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Material resources will include flood-resistant construction materials, drainage pipes, pumps, heavy machinery, road surfacing materials, and traffic management equipment.</w:t>
      </w:r>
    </w:p>
    <w:p w14:paraId="7F23950C"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financial resources allocated to the project are estimated at between £8 million and £12 million. Approximately £4 million will be allocated to road reconstruction, £2 million for drainage systems, £2 million for bridge and culvert repairs, £1.5 million for labour costs, £0.5 million for environmental protection measures, and the remaining budget will be reserved as contingency funding for unexpected costs.</w:t>
      </w:r>
    </w:p>
    <w:p w14:paraId="1319F9EE"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Technology resources such as GIS mapping systems, flood monitoring technology, communication systems, and project management software will support planning, monitoring, and reporting activities throughout the project.</w:t>
      </w:r>
    </w:p>
    <w:p w14:paraId="6695C9A5"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57BB3B88" wp14:editId="44E7AA9F">
                <wp:extent cx="5731510" cy="1270"/>
                <wp:effectExtent l="0" t="31750" r="0" b="36830"/>
                <wp:docPr id="153411678" name="Прямоугольник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66347EB" id="Прямоугольник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B65A2E6"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9. Risk Analysis</w:t>
      </w:r>
    </w:p>
    <w:p w14:paraId="252710DF"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Risk management is critical to ensuring the successful completion of the project. One major risk is extreme weather, which could delay construction activities and increase project costs. This risk will be mitigated through flexible scheduling and contingency planning.</w:t>
      </w:r>
    </w:p>
    <w:p w14:paraId="66BF0124"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Another important risk involves budget overruns due to unexpected construction costs or material price increases. Continuous financial monitoring and strict cost-control measures will help manage this issue.</w:t>
      </w:r>
    </w:p>
    <w:p w14:paraId="489BC2E1"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Supply chain disruptions may also affect the availability of construction materials and equipment. To reduce this risk, the project team will engage multiple suppliers and implement early procurement strategies.</w:t>
      </w:r>
    </w:p>
    <w:p w14:paraId="1A9014CC"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Environmental compliance risks could arise if construction activities negatively affect surrounding ecosystems. Continuous consultation with the Environment Agency and environmental specialists will ensure compliance with environmental regulations.</w:t>
      </w:r>
    </w:p>
    <w:p w14:paraId="247A8E88"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Community dissatisfaction may occur due to road closures and construction-related disruptions. Regular communication, stakeholder engagement, and public updates will help maintain positive community relations.</w:t>
      </w:r>
    </w:p>
    <w:p w14:paraId="0CBAC8A2"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lastRenderedPageBreak/>
        <w:t>Health and safety risks are also significant during construction activities. Strict safety procedures, worker training, and regular inspections will reduce the likelihood of accidents and injuries.</w:t>
      </w:r>
    </w:p>
    <w:p w14:paraId="74AF9E6E"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A risk register will be maintained throughout the project lifecycle to monitor risks, mitigation measures, and project performance.</w:t>
      </w:r>
    </w:p>
    <w:p w14:paraId="105DC8EA"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068963EA" wp14:editId="5FCACCCA">
                <wp:extent cx="5731510" cy="1270"/>
                <wp:effectExtent l="0" t="31750" r="0" b="36830"/>
                <wp:docPr id="1527282874" name="Прямоугольник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A2316B3" id="Прямоугольник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8F18282"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10. Conclusion</w:t>
      </w:r>
    </w:p>
    <w:p w14:paraId="6428BCB2"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Reconstruction of the Flood-Resilient Transport Corridor in Worcester is a vital infrastructure project designed to restore connectivity and improve resilience against future flooding events. The July 2025 floods demonstrated the vulnerability of existing infrastructure and highlighted the need for sustainable and flood-resistant engineering solutions.</w:t>
      </w:r>
    </w:p>
    <w:p w14:paraId="09DBE218"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This Project Management Plan provides a structured framework for achieving project objectives within the required schedule and budget. Through effective planning, stakeholder engagement, resource allocation, and risk management, the project aims to deliver long-term benefits to the Worcester community while minimising disruption during construction.</w:t>
      </w:r>
    </w:p>
    <w:p w14:paraId="537D55A2"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The successful completion of the project will improve public safety, support economic recovery, strengthen emergency response capabilities, and reduce future flood-related transport disruptions.</w:t>
      </w:r>
    </w:p>
    <w:p w14:paraId="0A4B1A6C" w14:textId="77777777" w:rsidR="001E79E1" w:rsidRPr="001E79E1" w:rsidRDefault="001E79E1" w:rsidP="001E79E1">
      <w:pPr>
        <w:spacing w:after="0" w:line="240" w:lineRule="auto"/>
        <w:rPr>
          <w:rFonts w:ascii="Times New Roman" w:eastAsia="Times New Roman" w:hAnsi="Times New Roman" w:cs="Times New Roman"/>
          <w:sz w:val="24"/>
          <w:szCs w:val="24"/>
          <w:lang w:val="ru-GB" w:eastAsia="ru-RU"/>
        </w:rPr>
      </w:pPr>
      <w:r w:rsidRPr="001E79E1">
        <w:rPr>
          <w:rFonts w:ascii="Times New Roman" w:eastAsia="Times New Roman" w:hAnsi="Times New Roman" w:cs="Times New Roman"/>
          <w:noProof/>
          <w:sz w:val="24"/>
          <w:szCs w:val="24"/>
          <w:lang w:val="ru-GB" w:eastAsia="ru-RU"/>
        </w:rPr>
        <mc:AlternateContent>
          <mc:Choice Requires="wps">
            <w:drawing>
              <wp:inline distT="0" distB="0" distL="0" distR="0" wp14:anchorId="021F57D9" wp14:editId="0779D9FB">
                <wp:extent cx="5731510" cy="1270"/>
                <wp:effectExtent l="0" t="31750" r="0" b="36830"/>
                <wp:docPr id="1560156361" name="Прямоугольник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AB47DD4" id="Прямоугольник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E414A4B" w14:textId="77777777" w:rsidR="001E79E1" w:rsidRPr="001E79E1" w:rsidRDefault="001E79E1" w:rsidP="001E79E1">
      <w:pPr>
        <w:spacing w:before="100" w:beforeAutospacing="1" w:after="100" w:afterAutospacing="1" w:line="240" w:lineRule="auto"/>
        <w:outlineLvl w:val="0"/>
        <w:rPr>
          <w:rFonts w:ascii="Times New Roman" w:eastAsia="Times New Roman" w:hAnsi="Times New Roman" w:cs="Times New Roman"/>
          <w:b/>
          <w:bCs/>
          <w:kern w:val="36"/>
          <w:sz w:val="48"/>
          <w:szCs w:val="48"/>
          <w:lang w:val="ru-GB" w:eastAsia="ru-RU"/>
        </w:rPr>
      </w:pPr>
      <w:r w:rsidRPr="001E79E1">
        <w:rPr>
          <w:rFonts w:ascii="Times New Roman" w:eastAsia="Times New Roman" w:hAnsi="Times New Roman" w:cs="Times New Roman"/>
          <w:b/>
          <w:bCs/>
          <w:kern w:val="36"/>
          <w:sz w:val="48"/>
          <w:szCs w:val="48"/>
          <w:lang w:val="ru-GB" w:eastAsia="ru-RU"/>
        </w:rPr>
        <w:t>11. References</w:t>
      </w:r>
    </w:p>
    <w:p w14:paraId="29CC0DC4"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 xml:space="preserve">Association for Project Management (APM) (2023) </w:t>
      </w:r>
      <w:r w:rsidRPr="001E79E1">
        <w:rPr>
          <w:rFonts w:ascii="Times New Roman" w:hAnsi="Times New Roman" w:cs="Times New Roman"/>
          <w:i/>
          <w:iCs/>
          <w:sz w:val="24"/>
          <w:szCs w:val="24"/>
          <w:lang w:val="ru-GB" w:eastAsia="ru-RU"/>
        </w:rPr>
        <w:t>APM Body of Knowledge</w:t>
      </w:r>
      <w:r w:rsidRPr="001E79E1">
        <w:rPr>
          <w:rFonts w:ascii="Times New Roman" w:hAnsi="Times New Roman" w:cs="Times New Roman"/>
          <w:sz w:val="24"/>
          <w:szCs w:val="24"/>
          <w:lang w:val="ru-GB" w:eastAsia="ru-RU"/>
        </w:rPr>
        <w:t>. 8th ed. Buckinghamshire: APM.</w:t>
      </w:r>
    </w:p>
    <w:p w14:paraId="1438EF0C"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 xml:space="preserve">Kerzner, H. (2022) </w:t>
      </w:r>
      <w:r w:rsidRPr="001E79E1">
        <w:rPr>
          <w:rFonts w:ascii="Times New Roman" w:hAnsi="Times New Roman" w:cs="Times New Roman"/>
          <w:i/>
          <w:iCs/>
          <w:sz w:val="24"/>
          <w:szCs w:val="24"/>
          <w:lang w:val="ru-GB" w:eastAsia="ru-RU"/>
        </w:rPr>
        <w:t>Project Management: A Systems Approach to Planning, Scheduling, and Controlling</w:t>
      </w:r>
      <w:r w:rsidRPr="001E79E1">
        <w:rPr>
          <w:rFonts w:ascii="Times New Roman" w:hAnsi="Times New Roman" w:cs="Times New Roman"/>
          <w:sz w:val="24"/>
          <w:szCs w:val="24"/>
          <w:lang w:val="ru-GB" w:eastAsia="ru-RU"/>
        </w:rPr>
        <w:t>. 13th ed. Hoboken: Wiley.</w:t>
      </w:r>
    </w:p>
    <w:p w14:paraId="673766D7"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 xml:space="preserve">Project Management Institute (PMI) (2021) </w:t>
      </w:r>
      <w:r w:rsidRPr="001E79E1">
        <w:rPr>
          <w:rFonts w:ascii="Times New Roman" w:hAnsi="Times New Roman" w:cs="Times New Roman"/>
          <w:i/>
          <w:iCs/>
          <w:sz w:val="24"/>
          <w:szCs w:val="24"/>
          <w:lang w:val="ru-GB" w:eastAsia="ru-RU"/>
        </w:rPr>
        <w:t>A Guide to the Project Management Body of Knowledge (PMBOK Guide)</w:t>
      </w:r>
      <w:r w:rsidRPr="001E79E1">
        <w:rPr>
          <w:rFonts w:ascii="Times New Roman" w:hAnsi="Times New Roman" w:cs="Times New Roman"/>
          <w:sz w:val="24"/>
          <w:szCs w:val="24"/>
          <w:lang w:val="ru-GB" w:eastAsia="ru-RU"/>
        </w:rPr>
        <w:t>. 7th ed. Pennsylvania: PMI.</w:t>
      </w:r>
    </w:p>
    <w:p w14:paraId="53712AE2"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 xml:space="preserve">UK Environment Agency (2024) </w:t>
      </w:r>
      <w:r w:rsidRPr="001E79E1">
        <w:rPr>
          <w:rFonts w:ascii="Times New Roman" w:hAnsi="Times New Roman" w:cs="Times New Roman"/>
          <w:i/>
          <w:iCs/>
          <w:sz w:val="24"/>
          <w:szCs w:val="24"/>
          <w:lang w:val="ru-GB" w:eastAsia="ru-RU"/>
        </w:rPr>
        <w:t>Flood and Coastal Risk Management Report</w:t>
      </w:r>
      <w:r w:rsidRPr="001E79E1">
        <w:rPr>
          <w:rFonts w:ascii="Times New Roman" w:hAnsi="Times New Roman" w:cs="Times New Roman"/>
          <w:sz w:val="24"/>
          <w:szCs w:val="24"/>
          <w:lang w:val="ru-GB" w:eastAsia="ru-RU"/>
        </w:rPr>
        <w:t>. London: Environment Agency.</w:t>
      </w:r>
    </w:p>
    <w:p w14:paraId="378705B5" w14:textId="77777777" w:rsidR="001E79E1" w:rsidRPr="001E79E1" w:rsidRDefault="001E79E1" w:rsidP="001E79E1">
      <w:pPr>
        <w:spacing w:before="100" w:beforeAutospacing="1" w:after="100" w:afterAutospacing="1" w:line="240" w:lineRule="auto"/>
        <w:rPr>
          <w:rFonts w:ascii="Times New Roman" w:hAnsi="Times New Roman" w:cs="Times New Roman"/>
          <w:sz w:val="24"/>
          <w:szCs w:val="24"/>
          <w:lang w:val="ru-GB" w:eastAsia="ru-RU"/>
        </w:rPr>
      </w:pPr>
      <w:r w:rsidRPr="001E79E1">
        <w:rPr>
          <w:rFonts w:ascii="Times New Roman" w:hAnsi="Times New Roman" w:cs="Times New Roman"/>
          <w:sz w:val="24"/>
          <w:szCs w:val="24"/>
          <w:lang w:val="ru-GB" w:eastAsia="ru-RU"/>
        </w:rPr>
        <w:t xml:space="preserve">Worcester City Council (2025) </w:t>
      </w:r>
      <w:r w:rsidRPr="001E79E1">
        <w:rPr>
          <w:rFonts w:ascii="Times New Roman" w:hAnsi="Times New Roman" w:cs="Times New Roman"/>
          <w:i/>
          <w:iCs/>
          <w:sz w:val="24"/>
          <w:szCs w:val="24"/>
          <w:lang w:val="ru-GB" w:eastAsia="ru-RU"/>
        </w:rPr>
        <w:t>Infrastructure Recovery and Flood Response Strategy</w:t>
      </w:r>
      <w:r w:rsidRPr="001E79E1">
        <w:rPr>
          <w:rFonts w:ascii="Times New Roman" w:hAnsi="Times New Roman" w:cs="Times New Roman"/>
          <w:sz w:val="24"/>
          <w:szCs w:val="24"/>
          <w:lang w:val="ru-GB" w:eastAsia="ru-RU"/>
        </w:rPr>
        <w:t>. Worcester: Worcester City Council.</w:t>
      </w:r>
    </w:p>
    <w:p w14:paraId="65808062" w14:textId="77777777" w:rsidR="0035211D" w:rsidRDefault="0035211D" w:rsidP="00436F18">
      <w:pPr>
        <w:spacing w:after="0" w:line="240" w:lineRule="auto"/>
        <w:rPr>
          <w:rFonts w:ascii="Arial" w:hAnsi="Arial" w:cs="Arial"/>
          <w:b/>
          <w:bCs/>
          <w:i/>
          <w:iCs/>
        </w:rPr>
      </w:pPr>
    </w:p>
    <w:p w14:paraId="1B128324" w14:textId="77777777" w:rsidR="0035211D" w:rsidRDefault="0035211D" w:rsidP="00436F18">
      <w:pPr>
        <w:spacing w:after="0" w:line="240" w:lineRule="auto"/>
        <w:rPr>
          <w:rFonts w:ascii="Arial" w:hAnsi="Arial" w:cs="Arial"/>
          <w:b/>
          <w:bCs/>
          <w:i/>
          <w:iCs/>
        </w:rPr>
      </w:pPr>
    </w:p>
    <w:p w14:paraId="4898F6DD" w14:textId="77777777" w:rsidR="0035211D" w:rsidRDefault="0035211D" w:rsidP="00436F18">
      <w:pPr>
        <w:spacing w:after="0" w:line="240" w:lineRule="auto"/>
        <w:rPr>
          <w:rFonts w:ascii="Arial" w:hAnsi="Arial" w:cs="Arial"/>
          <w:b/>
          <w:bCs/>
          <w:i/>
          <w:iCs/>
        </w:rPr>
      </w:pPr>
    </w:p>
    <w:p w14:paraId="79998F4E" w14:textId="303DA969" w:rsidR="00436F18" w:rsidRPr="00DD174F" w:rsidRDefault="0035211D" w:rsidP="00436F18">
      <w:pPr>
        <w:spacing w:after="0" w:line="240" w:lineRule="auto"/>
        <w:rPr>
          <w:rFonts w:ascii="Arial" w:hAnsi="Arial" w:cs="Arial"/>
          <w:sz w:val="26"/>
          <w:szCs w:val="26"/>
          <w:lang w:val="ru-GB" w:eastAsia="ru-RU"/>
        </w:rPr>
      </w:pPr>
      <w:r>
        <w:rPr>
          <w:rFonts w:ascii="Arial" w:hAnsi="Arial" w:cs="Arial"/>
          <w:b/>
          <w:bCs/>
          <w:sz w:val="26"/>
          <w:szCs w:val="26"/>
          <w:lang w:val="ru-GB" w:eastAsia="ru-RU"/>
        </w:rPr>
        <w:lastRenderedPageBreak/>
        <w:t>E</w:t>
      </w:r>
      <w:r w:rsidR="00436F18" w:rsidRPr="00DD174F">
        <w:rPr>
          <w:rFonts w:ascii="Arial" w:hAnsi="Arial" w:cs="Arial"/>
          <w:b/>
          <w:bCs/>
          <w:sz w:val="26"/>
          <w:szCs w:val="26"/>
          <w:lang w:val="ru-GB" w:eastAsia="ru-RU"/>
        </w:rPr>
        <w:t>mployee Grievances During Organisational Transformation</w:t>
      </w:r>
    </w:p>
    <w:p w14:paraId="131B8F63" w14:textId="77777777" w:rsidR="00436F18" w:rsidRPr="00DD174F" w:rsidRDefault="00436F18" w:rsidP="00436F18">
      <w:pPr>
        <w:spacing w:after="0" w:line="240" w:lineRule="auto"/>
        <w:rPr>
          <w:rFonts w:ascii="Arial" w:hAnsi="Arial" w:cs="Arial"/>
          <w:sz w:val="26"/>
          <w:szCs w:val="26"/>
          <w:lang w:val="ru-GB" w:eastAsia="ru-RU"/>
        </w:rPr>
      </w:pPr>
    </w:p>
    <w:p w14:paraId="23587998"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Introduction </w:t>
      </w:r>
    </w:p>
    <w:p w14:paraId="143D91A4" w14:textId="77777777" w:rsidR="00436F18" w:rsidRPr="00DD174F" w:rsidRDefault="00436F18" w:rsidP="00436F18">
      <w:pPr>
        <w:spacing w:after="0" w:line="240" w:lineRule="auto"/>
        <w:rPr>
          <w:rFonts w:ascii="Arial" w:hAnsi="Arial" w:cs="Arial"/>
          <w:sz w:val="26"/>
          <w:szCs w:val="26"/>
          <w:lang w:val="ru-GB" w:eastAsia="ru-RU"/>
        </w:rPr>
      </w:pPr>
    </w:p>
    <w:p w14:paraId="1908F6C1"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After completing my studies, I joined the Human Resources department of a London/Birmingham-based organisation. My academic background in leadership and management made me a suitable candidate for the role, and I was eager to apply theoretical knowledge in a practical setting. However, within the first month of employment, it became evident that the organisation was experiencing a significantly high number of employee grievances. These grievances related to workload pressures, communication failures, perceived unfair treatment, and difficulties adapting to new ways of working.</w:t>
      </w:r>
    </w:p>
    <w:p w14:paraId="07EF0A1B" w14:textId="77777777" w:rsidR="00436F18" w:rsidRPr="00DD174F" w:rsidRDefault="00436F18" w:rsidP="00436F18">
      <w:pPr>
        <w:spacing w:after="0" w:line="240" w:lineRule="auto"/>
        <w:rPr>
          <w:rFonts w:ascii="Arial" w:hAnsi="Arial" w:cs="Arial"/>
          <w:sz w:val="26"/>
          <w:szCs w:val="26"/>
          <w:lang w:val="ru-GB" w:eastAsia="ru-RU"/>
        </w:rPr>
      </w:pPr>
    </w:p>
    <w:p w14:paraId="786365ED"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Senior management identified ongoing business transformation, increased reliance on digital technologies, and the introduction of flexible working arrangements as key contributing factors. Although these changes are essential for organisational competitiveness and long-term sustainability, their implementation has had unintended consequences for employee wellbeing and engagement. When such changes are introduced rapidly or without sufficient support, employees may experience uncertainty, stress, and resistance, which often manifests through formal grievances.</w:t>
      </w:r>
    </w:p>
    <w:p w14:paraId="184A372D" w14:textId="77777777" w:rsidR="00436F18" w:rsidRPr="00DD174F" w:rsidRDefault="00436F18" w:rsidP="00436F18">
      <w:pPr>
        <w:spacing w:after="0" w:line="240" w:lineRule="auto"/>
        <w:rPr>
          <w:rFonts w:ascii="Arial" w:hAnsi="Arial" w:cs="Arial"/>
          <w:sz w:val="26"/>
          <w:szCs w:val="26"/>
          <w:lang w:val="ru-GB" w:eastAsia="ru-RU"/>
        </w:rPr>
      </w:pPr>
    </w:p>
    <w:p w14:paraId="72337969"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The purpose of this report is to analyse the underlying organisational factors that have contributed to the rise in grievances and to propose appropriate HR-led solutions. Firstly, the report explains the specific factors related to business transformation, digital technological trends, and flexible working arrangements within the organisation. Secondly, it evaluates contemporary HR practices that can be used to address each of these factors effectively. Thirdly, it critically assesses how departmental managers can ensure that these HR practices are implemented as a matter of urgency.</w:t>
      </w:r>
    </w:p>
    <w:p w14:paraId="3BC59699" w14:textId="77777777" w:rsidR="00436F18" w:rsidRPr="00DD174F" w:rsidRDefault="00436F18" w:rsidP="00436F18">
      <w:pPr>
        <w:spacing w:after="0" w:line="240" w:lineRule="auto"/>
        <w:rPr>
          <w:rFonts w:ascii="Arial" w:hAnsi="Arial" w:cs="Arial"/>
          <w:sz w:val="26"/>
          <w:szCs w:val="26"/>
          <w:lang w:val="ru-GB" w:eastAsia="ru-RU"/>
        </w:rPr>
      </w:pPr>
    </w:p>
    <w:p w14:paraId="262F432D"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The report concludes by summarising the key findings and providing practical recommendations aimed at reducing grievances, improving employee relations, and supporting a smoother transition during periods of organisational change.</w:t>
      </w:r>
    </w:p>
    <w:p w14:paraId="7E30D5C8" w14:textId="77777777" w:rsidR="00436F18" w:rsidRPr="00DD174F" w:rsidRDefault="00436F18" w:rsidP="00436F18">
      <w:pPr>
        <w:spacing w:after="0" w:line="240" w:lineRule="auto"/>
        <w:rPr>
          <w:rFonts w:ascii="Arial" w:hAnsi="Arial" w:cs="Arial"/>
          <w:sz w:val="26"/>
          <w:szCs w:val="26"/>
          <w:lang w:val="ru-GB" w:eastAsia="ru-RU"/>
        </w:rPr>
      </w:pPr>
    </w:p>
    <w:p w14:paraId="58997283" w14:textId="77777777" w:rsidR="00436F18" w:rsidRPr="00DD174F" w:rsidRDefault="00436F18" w:rsidP="00436F18">
      <w:pPr>
        <w:spacing w:after="0" w:line="240" w:lineRule="auto"/>
        <w:rPr>
          <w:rFonts w:ascii="Arial" w:hAnsi="Arial" w:cs="Arial"/>
          <w:b/>
          <w:bCs/>
          <w:sz w:val="26"/>
          <w:szCs w:val="26"/>
          <w:lang w:val="ru-GB" w:eastAsia="ru-RU"/>
        </w:rPr>
      </w:pPr>
    </w:p>
    <w:p w14:paraId="2F66236B" w14:textId="77777777" w:rsidR="00436F18" w:rsidRPr="00DD174F" w:rsidRDefault="00436F18" w:rsidP="00436F18">
      <w:pPr>
        <w:spacing w:after="0" w:line="240" w:lineRule="auto"/>
        <w:rPr>
          <w:rFonts w:ascii="Arial" w:hAnsi="Arial" w:cs="Arial"/>
          <w:b/>
          <w:bCs/>
          <w:sz w:val="26"/>
          <w:szCs w:val="26"/>
          <w:lang w:val="ru-GB" w:eastAsia="ru-RU"/>
        </w:rPr>
      </w:pPr>
    </w:p>
    <w:p w14:paraId="7A040F3E" w14:textId="77777777" w:rsidR="00436F18" w:rsidRPr="00DD174F" w:rsidRDefault="00436F18" w:rsidP="00436F18">
      <w:pPr>
        <w:spacing w:after="0" w:line="240" w:lineRule="auto"/>
        <w:rPr>
          <w:rFonts w:ascii="Arial" w:hAnsi="Arial" w:cs="Arial"/>
          <w:b/>
          <w:bCs/>
          <w:sz w:val="26"/>
          <w:szCs w:val="26"/>
          <w:lang w:val="ru-GB" w:eastAsia="ru-RU"/>
        </w:rPr>
      </w:pPr>
    </w:p>
    <w:p w14:paraId="3EAE5840" w14:textId="77777777" w:rsidR="00436F18" w:rsidRPr="00DD174F" w:rsidRDefault="00436F18" w:rsidP="00436F18">
      <w:pPr>
        <w:spacing w:after="0" w:line="240" w:lineRule="auto"/>
        <w:rPr>
          <w:rFonts w:ascii="Arial" w:hAnsi="Arial" w:cs="Arial"/>
          <w:b/>
          <w:bCs/>
          <w:sz w:val="26"/>
          <w:szCs w:val="26"/>
          <w:lang w:val="ru-GB" w:eastAsia="ru-RU"/>
        </w:rPr>
      </w:pPr>
    </w:p>
    <w:p w14:paraId="59B0AD5E" w14:textId="77777777" w:rsidR="00436F18" w:rsidRPr="00DD174F" w:rsidRDefault="00436F18" w:rsidP="00436F18">
      <w:pPr>
        <w:spacing w:after="0" w:line="240" w:lineRule="auto"/>
        <w:rPr>
          <w:rFonts w:ascii="Arial" w:hAnsi="Arial" w:cs="Arial"/>
          <w:b/>
          <w:bCs/>
          <w:sz w:val="26"/>
          <w:szCs w:val="26"/>
          <w:lang w:val="ru-GB" w:eastAsia="ru-RU"/>
        </w:rPr>
      </w:pPr>
    </w:p>
    <w:p w14:paraId="62E63812" w14:textId="77777777" w:rsidR="00436F18" w:rsidRPr="00DD174F" w:rsidRDefault="00436F18" w:rsidP="00436F18">
      <w:pPr>
        <w:spacing w:after="0" w:line="240" w:lineRule="auto"/>
        <w:rPr>
          <w:rFonts w:ascii="Arial" w:hAnsi="Arial" w:cs="Arial"/>
          <w:b/>
          <w:bCs/>
          <w:sz w:val="26"/>
          <w:szCs w:val="26"/>
          <w:lang w:val="ru-GB" w:eastAsia="ru-RU"/>
        </w:rPr>
      </w:pPr>
    </w:p>
    <w:p w14:paraId="2718B297" w14:textId="77777777" w:rsidR="00436F18" w:rsidRPr="00DD174F" w:rsidRDefault="00436F18" w:rsidP="00436F18">
      <w:pPr>
        <w:spacing w:after="0" w:line="240" w:lineRule="auto"/>
        <w:rPr>
          <w:rFonts w:ascii="Arial" w:hAnsi="Arial" w:cs="Arial"/>
          <w:b/>
          <w:bCs/>
          <w:sz w:val="26"/>
          <w:szCs w:val="26"/>
          <w:lang w:val="ru-GB" w:eastAsia="ru-RU"/>
        </w:rPr>
      </w:pPr>
    </w:p>
    <w:p w14:paraId="73DE15E6" w14:textId="77777777" w:rsidR="00436F18" w:rsidRPr="00DD174F" w:rsidRDefault="00436F18" w:rsidP="00436F18">
      <w:pPr>
        <w:spacing w:after="0" w:line="240" w:lineRule="auto"/>
        <w:rPr>
          <w:rFonts w:ascii="Arial" w:hAnsi="Arial" w:cs="Arial"/>
          <w:b/>
          <w:bCs/>
          <w:sz w:val="26"/>
          <w:szCs w:val="26"/>
          <w:lang w:val="ru-GB" w:eastAsia="ru-RU"/>
        </w:rPr>
      </w:pPr>
    </w:p>
    <w:p w14:paraId="1E3FBB44" w14:textId="77777777" w:rsidR="00436F18" w:rsidRPr="00DD174F" w:rsidRDefault="00436F18" w:rsidP="00436F18">
      <w:pPr>
        <w:spacing w:after="0" w:line="240" w:lineRule="auto"/>
        <w:rPr>
          <w:rFonts w:ascii="Arial" w:hAnsi="Arial" w:cs="Arial"/>
          <w:b/>
          <w:bCs/>
          <w:sz w:val="26"/>
          <w:szCs w:val="26"/>
          <w:lang w:val="ru-GB" w:eastAsia="ru-RU"/>
        </w:rPr>
      </w:pPr>
    </w:p>
    <w:p w14:paraId="328661F4" w14:textId="29FB06C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1. Organisational Factors Contributing to Grievances</w:t>
      </w:r>
    </w:p>
    <w:p w14:paraId="686890B3" w14:textId="77777777" w:rsidR="00436F18" w:rsidRPr="00DD174F" w:rsidRDefault="00436F18" w:rsidP="00436F18">
      <w:pPr>
        <w:spacing w:after="0" w:line="240" w:lineRule="auto"/>
        <w:rPr>
          <w:rFonts w:ascii="Arial" w:hAnsi="Arial" w:cs="Arial"/>
          <w:sz w:val="26"/>
          <w:szCs w:val="26"/>
          <w:lang w:val="ru-GB" w:eastAsia="ru-RU"/>
        </w:rPr>
      </w:pPr>
    </w:p>
    <w:p w14:paraId="0E8412AD"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1.1 Business Transformation</w:t>
      </w:r>
    </w:p>
    <w:p w14:paraId="7BCD1CAF" w14:textId="77777777" w:rsidR="00436F18" w:rsidRPr="00DD174F" w:rsidRDefault="00436F18" w:rsidP="00436F18">
      <w:pPr>
        <w:spacing w:after="0" w:line="240" w:lineRule="auto"/>
        <w:rPr>
          <w:rFonts w:ascii="Arial" w:hAnsi="Arial" w:cs="Arial"/>
          <w:sz w:val="26"/>
          <w:szCs w:val="26"/>
          <w:lang w:val="ru-GB" w:eastAsia="ru-RU"/>
        </w:rPr>
      </w:pPr>
    </w:p>
    <w:p w14:paraId="06D25B5E"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Business transformation involves significant changes to organisational structures, processes, and cultures in order to improve performance and respond to external pressures (CIPD, 2023). Within the organisation, transformation has included departmental restructuring, changes to job roles, and revised performance expectations. While these changes aim to enhance efficiency, they have also generated uncertainty among employees.</w:t>
      </w:r>
    </w:p>
    <w:p w14:paraId="4F07C6F1" w14:textId="77777777" w:rsidR="00436F18" w:rsidRPr="00DD174F" w:rsidRDefault="00436F18" w:rsidP="00436F18">
      <w:pPr>
        <w:spacing w:after="0" w:line="240" w:lineRule="auto"/>
        <w:rPr>
          <w:rFonts w:ascii="Arial" w:hAnsi="Arial" w:cs="Arial"/>
          <w:sz w:val="26"/>
          <w:szCs w:val="26"/>
          <w:lang w:val="ru-GB" w:eastAsia="ru-RU"/>
        </w:rPr>
      </w:pPr>
    </w:p>
    <w:p w14:paraId="7867E251"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Many grievances relate to role ambiguity, increased workloads, and concerns about job security. Employees have reported that changes were introduced with limited consultation, resulting in feelings of exclusion and reduced trust in senior leadership. Where communication is unclear or inconsistent, employees may interpret transformation as a threat rather than an opportunity, increasing anxiety and resistance (Kotter, 2012).</w:t>
      </w:r>
    </w:p>
    <w:p w14:paraId="4462244D" w14:textId="77777777" w:rsidR="00436F18" w:rsidRPr="00DD174F" w:rsidRDefault="00436F18" w:rsidP="00436F18">
      <w:pPr>
        <w:spacing w:after="0" w:line="240" w:lineRule="auto"/>
        <w:rPr>
          <w:rFonts w:ascii="Arial" w:hAnsi="Arial" w:cs="Arial"/>
          <w:sz w:val="26"/>
          <w:szCs w:val="26"/>
          <w:lang w:val="ru-GB" w:eastAsia="ru-RU"/>
        </w:rPr>
      </w:pPr>
    </w:p>
    <w:p w14:paraId="041786F4"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1.2 Digital Technological Trends</w:t>
      </w:r>
    </w:p>
    <w:p w14:paraId="15A0DE1D" w14:textId="77777777" w:rsidR="00436F18" w:rsidRPr="00DD174F" w:rsidRDefault="00436F18" w:rsidP="00436F18">
      <w:pPr>
        <w:spacing w:after="0" w:line="240" w:lineRule="auto"/>
        <w:rPr>
          <w:rFonts w:ascii="Arial" w:hAnsi="Arial" w:cs="Arial"/>
          <w:sz w:val="26"/>
          <w:szCs w:val="26"/>
          <w:lang w:val="ru-GB" w:eastAsia="ru-RU"/>
        </w:rPr>
      </w:pPr>
    </w:p>
    <w:p w14:paraId="5775BD19"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Digital technology plays a central role in modern organisational operations. The organisation has introduced new HR systems, digital communication platforms, and performance monitoring tools to improve efficiency and data accuracy. However, the rapid adoption of these technologies has created challenges for employees.</w:t>
      </w:r>
    </w:p>
    <w:p w14:paraId="5AE45B9F" w14:textId="77777777" w:rsidR="00436F18" w:rsidRPr="00DD174F" w:rsidRDefault="00436F18" w:rsidP="00436F18">
      <w:pPr>
        <w:spacing w:after="0" w:line="240" w:lineRule="auto"/>
        <w:rPr>
          <w:rFonts w:ascii="Arial" w:hAnsi="Arial" w:cs="Arial"/>
          <w:sz w:val="26"/>
          <w:szCs w:val="26"/>
          <w:lang w:val="ru-GB" w:eastAsia="ru-RU"/>
        </w:rPr>
      </w:pPr>
    </w:p>
    <w:p w14:paraId="059BC00D"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Grievances have arisen due to insufficient training, digital skill gaps, and concerns around increased surveillance. Some employees feel overwhelmed by frequent system updates, while others fear that automation may reduce job security. Additionally, employees with lower digital confidence may feel marginalised, contributing to perceptions of inequality within the workplace (Bondarouk and Brewster, 2016).</w:t>
      </w:r>
    </w:p>
    <w:p w14:paraId="43236BAB" w14:textId="77777777" w:rsidR="00436F18" w:rsidRPr="00DD174F" w:rsidRDefault="00436F18" w:rsidP="00436F18">
      <w:pPr>
        <w:spacing w:after="0" w:line="240" w:lineRule="auto"/>
        <w:rPr>
          <w:rFonts w:ascii="Arial" w:hAnsi="Arial" w:cs="Arial"/>
          <w:sz w:val="26"/>
          <w:szCs w:val="26"/>
          <w:lang w:val="ru-GB" w:eastAsia="ru-RU"/>
        </w:rPr>
      </w:pPr>
    </w:p>
    <w:p w14:paraId="40E65AC2"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1.3 Flexible Working Arrangements</w:t>
      </w:r>
    </w:p>
    <w:p w14:paraId="6034A3EF" w14:textId="77777777" w:rsidR="00436F18" w:rsidRPr="00DD174F" w:rsidRDefault="00436F18" w:rsidP="00436F18">
      <w:pPr>
        <w:spacing w:after="0" w:line="240" w:lineRule="auto"/>
        <w:rPr>
          <w:rFonts w:ascii="Arial" w:hAnsi="Arial" w:cs="Arial"/>
          <w:sz w:val="26"/>
          <w:szCs w:val="26"/>
          <w:lang w:val="ru-GB" w:eastAsia="ru-RU"/>
        </w:rPr>
      </w:pPr>
    </w:p>
    <w:p w14:paraId="5E81F166"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Flexible working arrangements, including hybrid and remote working, have become increasingly common. While flexibility can improve work–life balance, poor implementation can create operational and relational issues.</w:t>
      </w:r>
    </w:p>
    <w:p w14:paraId="3A16AD46" w14:textId="77777777" w:rsidR="00436F18" w:rsidRPr="00DD174F" w:rsidRDefault="00436F18" w:rsidP="00436F18">
      <w:pPr>
        <w:spacing w:after="0" w:line="240" w:lineRule="auto"/>
        <w:rPr>
          <w:rFonts w:ascii="Arial" w:hAnsi="Arial" w:cs="Arial"/>
          <w:sz w:val="26"/>
          <w:szCs w:val="26"/>
          <w:lang w:val="ru-GB" w:eastAsia="ru-RU"/>
        </w:rPr>
      </w:pPr>
    </w:p>
    <w:p w14:paraId="13021A65"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In the organisation, grievances linked to flexible working include inconsistent managerial approaches, perceived unfair access to flexibility, and difficulties maintaining communication. Some employees report working longer hours due to blurred boundaries between work and personal life, while others experience isolation and reduced team cohesion. Without clear policies and managerial capability, flexible working can unintentionally increase stress rather than reduce it (CIPD, 2022).</w:t>
      </w:r>
    </w:p>
    <w:p w14:paraId="52BB3E80" w14:textId="77777777" w:rsidR="00436F18" w:rsidRPr="00DD174F" w:rsidRDefault="00436F18" w:rsidP="00436F18">
      <w:pPr>
        <w:spacing w:after="0" w:line="240" w:lineRule="auto"/>
        <w:rPr>
          <w:rFonts w:ascii="Arial" w:hAnsi="Arial" w:cs="Arial"/>
          <w:sz w:val="26"/>
          <w:szCs w:val="26"/>
          <w:lang w:val="ru-GB" w:eastAsia="ru-RU"/>
        </w:rPr>
      </w:pPr>
    </w:p>
    <w:p w14:paraId="2A0D809E" w14:textId="77777777" w:rsidR="00436F18" w:rsidRPr="00DD174F" w:rsidRDefault="00436F18" w:rsidP="00436F18">
      <w:pPr>
        <w:spacing w:after="0" w:line="240" w:lineRule="auto"/>
        <w:rPr>
          <w:rFonts w:ascii="Arial" w:hAnsi="Arial" w:cs="Arial"/>
          <w:b/>
          <w:bCs/>
          <w:sz w:val="26"/>
          <w:szCs w:val="26"/>
          <w:lang w:val="ru-GB" w:eastAsia="ru-RU"/>
        </w:rPr>
      </w:pPr>
    </w:p>
    <w:p w14:paraId="5D9E766E" w14:textId="77777777" w:rsidR="00436F18" w:rsidRPr="00DD174F" w:rsidRDefault="00436F18" w:rsidP="00436F18">
      <w:pPr>
        <w:spacing w:after="0" w:line="240" w:lineRule="auto"/>
        <w:rPr>
          <w:rFonts w:ascii="Arial" w:hAnsi="Arial" w:cs="Arial"/>
          <w:b/>
          <w:bCs/>
          <w:sz w:val="26"/>
          <w:szCs w:val="26"/>
          <w:lang w:val="ru-GB" w:eastAsia="ru-RU"/>
        </w:rPr>
      </w:pPr>
    </w:p>
    <w:p w14:paraId="578FB5EE" w14:textId="77777777" w:rsidR="00436F18" w:rsidRPr="00DD174F" w:rsidRDefault="00436F18" w:rsidP="00436F18">
      <w:pPr>
        <w:spacing w:after="0" w:line="240" w:lineRule="auto"/>
        <w:rPr>
          <w:rFonts w:ascii="Arial" w:hAnsi="Arial" w:cs="Arial"/>
          <w:b/>
          <w:bCs/>
          <w:sz w:val="26"/>
          <w:szCs w:val="26"/>
          <w:lang w:val="ru-GB" w:eastAsia="ru-RU"/>
        </w:rPr>
      </w:pPr>
    </w:p>
    <w:p w14:paraId="128FCF1B" w14:textId="77777777" w:rsidR="00436F18" w:rsidRPr="00DD174F" w:rsidRDefault="00436F18" w:rsidP="00436F18">
      <w:pPr>
        <w:spacing w:after="0" w:line="240" w:lineRule="auto"/>
        <w:rPr>
          <w:rFonts w:ascii="Arial" w:hAnsi="Arial" w:cs="Arial"/>
          <w:b/>
          <w:bCs/>
          <w:sz w:val="26"/>
          <w:szCs w:val="26"/>
          <w:lang w:val="ru-GB" w:eastAsia="ru-RU"/>
        </w:rPr>
      </w:pPr>
    </w:p>
    <w:p w14:paraId="1C6ECA41" w14:textId="77777777" w:rsidR="00436F18" w:rsidRPr="00DD174F" w:rsidRDefault="00436F18" w:rsidP="00436F18">
      <w:pPr>
        <w:spacing w:after="0" w:line="240" w:lineRule="auto"/>
        <w:rPr>
          <w:rFonts w:ascii="Arial" w:hAnsi="Arial" w:cs="Arial"/>
          <w:b/>
          <w:bCs/>
          <w:sz w:val="26"/>
          <w:szCs w:val="26"/>
          <w:lang w:val="ru-GB" w:eastAsia="ru-RU"/>
        </w:rPr>
      </w:pPr>
    </w:p>
    <w:p w14:paraId="1D46B212" w14:textId="77777777" w:rsidR="00436F18" w:rsidRPr="00DD174F" w:rsidRDefault="00436F18" w:rsidP="00436F18">
      <w:pPr>
        <w:spacing w:after="0" w:line="240" w:lineRule="auto"/>
        <w:rPr>
          <w:rFonts w:ascii="Arial" w:hAnsi="Arial" w:cs="Arial"/>
          <w:b/>
          <w:bCs/>
          <w:sz w:val="26"/>
          <w:szCs w:val="26"/>
          <w:lang w:val="ru-GB" w:eastAsia="ru-RU"/>
        </w:rPr>
      </w:pPr>
    </w:p>
    <w:p w14:paraId="74599BF9" w14:textId="6151E18C"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2. Evaluation of Contemporary HR Practices </w:t>
      </w:r>
    </w:p>
    <w:p w14:paraId="2CC199BE"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2.1 HR Practices for Business Transformation</w:t>
      </w:r>
    </w:p>
    <w:p w14:paraId="1A33D249" w14:textId="77777777" w:rsidR="00436F18" w:rsidRPr="00DD174F" w:rsidRDefault="00436F18" w:rsidP="00436F18">
      <w:pPr>
        <w:spacing w:after="0" w:line="240" w:lineRule="auto"/>
        <w:rPr>
          <w:rFonts w:ascii="Arial" w:hAnsi="Arial" w:cs="Arial"/>
          <w:sz w:val="26"/>
          <w:szCs w:val="26"/>
          <w:lang w:val="ru-GB" w:eastAsia="ru-RU"/>
        </w:rPr>
      </w:pPr>
    </w:p>
    <w:p w14:paraId="51170034"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Effective change management is a key contemporary HR practice. Structured communication strategies, employee consultation forums, and feedback mechanisms can reduce uncertainty and increase employee engagement during transformation. Models such as Kotter’s change framework emphasise the importance of clear vision and employee involvement (Kotter, 2012).</w:t>
      </w:r>
    </w:p>
    <w:p w14:paraId="7A6FA1E1" w14:textId="77777777" w:rsidR="00436F18" w:rsidRPr="00DD174F" w:rsidRDefault="00436F18" w:rsidP="00436F18">
      <w:pPr>
        <w:spacing w:after="0" w:line="240" w:lineRule="auto"/>
        <w:rPr>
          <w:rFonts w:ascii="Arial" w:hAnsi="Arial" w:cs="Arial"/>
          <w:sz w:val="26"/>
          <w:szCs w:val="26"/>
          <w:lang w:val="ru-GB" w:eastAsia="ru-RU"/>
        </w:rPr>
      </w:pPr>
    </w:p>
    <w:p w14:paraId="27A23086"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Learning and development initiatives are also critical. Upskilling and reskilling programmes help employees adapt to new roles and reduce fear of redundancy. Additionally, wellbeing initiatives such as employee assistance programmes (EAPs) can support mental health during periods of change.</w:t>
      </w:r>
    </w:p>
    <w:p w14:paraId="142C3ADB" w14:textId="77777777" w:rsidR="00436F18" w:rsidRPr="00DD174F" w:rsidRDefault="00436F18" w:rsidP="00436F18">
      <w:pPr>
        <w:spacing w:after="0" w:line="240" w:lineRule="auto"/>
        <w:rPr>
          <w:rFonts w:ascii="Arial" w:hAnsi="Arial" w:cs="Arial"/>
          <w:sz w:val="26"/>
          <w:szCs w:val="26"/>
          <w:lang w:val="ru-GB" w:eastAsia="ru-RU"/>
        </w:rPr>
      </w:pPr>
    </w:p>
    <w:p w14:paraId="7FDAA38B"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2.2 HR Practices Addressing Digital Technology</w:t>
      </w:r>
    </w:p>
    <w:p w14:paraId="01C11059" w14:textId="77777777" w:rsidR="00436F18" w:rsidRPr="00DD174F" w:rsidRDefault="00436F18" w:rsidP="00436F18">
      <w:pPr>
        <w:spacing w:after="0" w:line="240" w:lineRule="auto"/>
        <w:rPr>
          <w:rFonts w:ascii="Arial" w:hAnsi="Arial" w:cs="Arial"/>
          <w:sz w:val="26"/>
          <w:szCs w:val="26"/>
          <w:lang w:val="ru-GB" w:eastAsia="ru-RU"/>
        </w:rPr>
      </w:pPr>
    </w:p>
    <w:p w14:paraId="669CDBC1"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Continuous digital skills training is essential to support employees in adapting to new technologies. HR can implement blended learning approaches, including workshops and online modules, to accommodate different learning needs. Mentoring and peer support can further reduce anxiety related to digital change.</w:t>
      </w:r>
    </w:p>
    <w:p w14:paraId="2AA76883" w14:textId="77777777" w:rsidR="00436F18" w:rsidRPr="00DD174F" w:rsidRDefault="00436F18" w:rsidP="00436F18">
      <w:pPr>
        <w:spacing w:after="0" w:line="240" w:lineRule="auto"/>
        <w:rPr>
          <w:rFonts w:ascii="Arial" w:hAnsi="Arial" w:cs="Arial"/>
          <w:sz w:val="26"/>
          <w:szCs w:val="26"/>
          <w:lang w:val="ru-GB" w:eastAsia="ru-RU"/>
        </w:rPr>
      </w:pPr>
    </w:p>
    <w:p w14:paraId="73613B8F"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Clear digital policies are also important. Transparent guidance on data use, performance monitoring, and employee privacy can build trust and reduce concerns about surveillance. Ethical use of HR analytics allows organisations to identify trends in workload and engagement while maintaining employee confidence (Marler and Boudreau, 2017).</w:t>
      </w:r>
    </w:p>
    <w:p w14:paraId="7436D236" w14:textId="77777777" w:rsidR="00436F18" w:rsidRPr="00DD174F" w:rsidRDefault="00436F18" w:rsidP="00436F18">
      <w:pPr>
        <w:spacing w:after="0" w:line="240" w:lineRule="auto"/>
        <w:rPr>
          <w:rFonts w:ascii="Arial" w:hAnsi="Arial" w:cs="Arial"/>
          <w:sz w:val="26"/>
          <w:szCs w:val="26"/>
          <w:lang w:val="ru-GB" w:eastAsia="ru-RU"/>
        </w:rPr>
      </w:pPr>
    </w:p>
    <w:p w14:paraId="762B45CB"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2.3 HR Practices Supporting Flexible Working</w:t>
      </w:r>
    </w:p>
    <w:p w14:paraId="75217767" w14:textId="77777777" w:rsidR="00436F18" w:rsidRPr="00DD174F" w:rsidRDefault="00436F18" w:rsidP="00436F18">
      <w:pPr>
        <w:spacing w:after="0" w:line="240" w:lineRule="auto"/>
        <w:rPr>
          <w:rFonts w:ascii="Arial" w:hAnsi="Arial" w:cs="Arial"/>
          <w:sz w:val="26"/>
          <w:szCs w:val="26"/>
          <w:lang w:val="ru-GB" w:eastAsia="ru-RU"/>
        </w:rPr>
      </w:pPr>
    </w:p>
    <w:p w14:paraId="1FEE9199"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Formal flexible working policies help ensure fairness and consistency across departments. HR should provide clear eligibility criteria, guidance for managers, and regular policy reviews. Training managers in remote leadership, communication, and outcome-based performance management is essential to ensure effective implementation.</w:t>
      </w:r>
    </w:p>
    <w:p w14:paraId="1E5452B5" w14:textId="77777777" w:rsidR="00436F18" w:rsidRPr="00DD174F" w:rsidRDefault="00436F18" w:rsidP="00436F18">
      <w:pPr>
        <w:spacing w:after="0" w:line="240" w:lineRule="auto"/>
        <w:rPr>
          <w:rFonts w:ascii="Arial" w:hAnsi="Arial" w:cs="Arial"/>
          <w:sz w:val="26"/>
          <w:szCs w:val="26"/>
          <w:lang w:val="ru-GB" w:eastAsia="ru-RU"/>
        </w:rPr>
      </w:pPr>
    </w:p>
    <w:p w14:paraId="23F59F1B"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Wellbeing-focused practices, such as regular check-ins, workload monitoring, and encouragement of boundary-setting, are particularly important in flexible working environments. These practices help prevent burnout and support long-term productivity.</w:t>
      </w:r>
    </w:p>
    <w:p w14:paraId="20E58EE0" w14:textId="77777777" w:rsidR="00436F18" w:rsidRPr="00DD174F" w:rsidRDefault="00436F18" w:rsidP="00436F18">
      <w:pPr>
        <w:spacing w:after="0" w:line="240" w:lineRule="auto"/>
        <w:rPr>
          <w:rFonts w:ascii="Arial" w:hAnsi="Arial" w:cs="Arial"/>
          <w:sz w:val="26"/>
          <w:szCs w:val="26"/>
          <w:lang w:val="ru-GB" w:eastAsia="ru-RU"/>
        </w:rPr>
      </w:pPr>
    </w:p>
    <w:p w14:paraId="362DCA2F" w14:textId="77777777" w:rsidR="00436F18" w:rsidRPr="00DD174F" w:rsidRDefault="00436F18" w:rsidP="00436F18">
      <w:pPr>
        <w:spacing w:after="0" w:line="240" w:lineRule="auto"/>
        <w:rPr>
          <w:rFonts w:ascii="Arial" w:hAnsi="Arial" w:cs="Arial"/>
          <w:b/>
          <w:bCs/>
          <w:sz w:val="26"/>
          <w:szCs w:val="26"/>
          <w:lang w:val="ru-GB" w:eastAsia="ru-RU"/>
        </w:rPr>
      </w:pPr>
    </w:p>
    <w:p w14:paraId="72DBB63D" w14:textId="77777777" w:rsidR="00436F18" w:rsidRPr="00DD174F" w:rsidRDefault="00436F18" w:rsidP="00436F18">
      <w:pPr>
        <w:spacing w:after="0" w:line="240" w:lineRule="auto"/>
        <w:rPr>
          <w:rFonts w:ascii="Arial" w:hAnsi="Arial" w:cs="Arial"/>
          <w:b/>
          <w:bCs/>
          <w:sz w:val="26"/>
          <w:szCs w:val="26"/>
          <w:lang w:val="ru-GB" w:eastAsia="ru-RU"/>
        </w:rPr>
      </w:pPr>
    </w:p>
    <w:p w14:paraId="671BF573" w14:textId="77777777" w:rsidR="00436F18" w:rsidRPr="00DD174F" w:rsidRDefault="00436F18" w:rsidP="00436F18">
      <w:pPr>
        <w:spacing w:after="0" w:line="240" w:lineRule="auto"/>
        <w:rPr>
          <w:rFonts w:ascii="Arial" w:hAnsi="Arial" w:cs="Arial"/>
          <w:b/>
          <w:bCs/>
          <w:sz w:val="26"/>
          <w:szCs w:val="26"/>
          <w:lang w:val="ru-GB" w:eastAsia="ru-RU"/>
        </w:rPr>
      </w:pPr>
    </w:p>
    <w:p w14:paraId="535D1688" w14:textId="77777777" w:rsidR="00436F18" w:rsidRPr="00DD174F" w:rsidRDefault="00436F18" w:rsidP="00436F18">
      <w:pPr>
        <w:spacing w:after="0" w:line="240" w:lineRule="auto"/>
        <w:rPr>
          <w:rFonts w:ascii="Arial" w:hAnsi="Arial" w:cs="Arial"/>
          <w:b/>
          <w:bCs/>
          <w:sz w:val="26"/>
          <w:szCs w:val="26"/>
          <w:lang w:val="ru-GB" w:eastAsia="ru-RU"/>
        </w:rPr>
      </w:pPr>
    </w:p>
    <w:p w14:paraId="7C1C791B" w14:textId="77777777" w:rsidR="00436F18" w:rsidRPr="00DD174F" w:rsidRDefault="00436F18" w:rsidP="00436F18">
      <w:pPr>
        <w:spacing w:after="0" w:line="240" w:lineRule="auto"/>
        <w:rPr>
          <w:rFonts w:ascii="Arial" w:hAnsi="Arial" w:cs="Arial"/>
          <w:b/>
          <w:bCs/>
          <w:sz w:val="26"/>
          <w:szCs w:val="26"/>
          <w:lang w:val="ru-GB" w:eastAsia="ru-RU"/>
        </w:rPr>
      </w:pPr>
    </w:p>
    <w:p w14:paraId="21A6E678" w14:textId="35363859"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3. Role of Departmental Managers in Urgent Implementation </w:t>
      </w:r>
    </w:p>
    <w:p w14:paraId="1AE43AD3" w14:textId="77777777" w:rsidR="00436F18" w:rsidRPr="00DD174F" w:rsidRDefault="00436F18" w:rsidP="00436F18">
      <w:pPr>
        <w:spacing w:after="0" w:line="240" w:lineRule="auto"/>
        <w:rPr>
          <w:rFonts w:ascii="Arial" w:hAnsi="Arial" w:cs="Arial"/>
          <w:sz w:val="26"/>
          <w:szCs w:val="26"/>
          <w:lang w:val="ru-GB" w:eastAsia="ru-RU"/>
        </w:rPr>
      </w:pPr>
    </w:p>
    <w:p w14:paraId="40B17117"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Departmental managers play a crucial role in translating HR policies into daily practice. To ensure the urgent implementation of contemporary HR practices, managers must demonstrate strong leadership, accountability, and communication skills.</w:t>
      </w:r>
    </w:p>
    <w:p w14:paraId="724C6149" w14:textId="77777777" w:rsidR="00436F18" w:rsidRPr="00DD174F" w:rsidRDefault="00436F18" w:rsidP="00436F18">
      <w:pPr>
        <w:spacing w:after="0" w:line="240" w:lineRule="auto"/>
        <w:rPr>
          <w:rFonts w:ascii="Arial" w:hAnsi="Arial" w:cs="Arial"/>
          <w:sz w:val="26"/>
          <w:szCs w:val="26"/>
          <w:lang w:val="ru-GB" w:eastAsia="ru-RU"/>
        </w:rPr>
      </w:pPr>
    </w:p>
    <w:p w14:paraId="773D16DE"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Firstly, managers should act as change champions by clearly explaining the purpose and benefits of transformation initiatives. Regular team meetings and one-to-one discussions can help address concerns early and prevent grievances from escalating. Managers who model positive attitudes towards change are more likely to gain employee trust.</w:t>
      </w:r>
    </w:p>
    <w:p w14:paraId="7DA32B52" w14:textId="77777777" w:rsidR="00436F18" w:rsidRPr="00DD174F" w:rsidRDefault="00436F18" w:rsidP="00436F18">
      <w:pPr>
        <w:spacing w:after="0" w:line="240" w:lineRule="auto"/>
        <w:rPr>
          <w:rFonts w:ascii="Arial" w:hAnsi="Arial" w:cs="Arial"/>
          <w:sz w:val="26"/>
          <w:szCs w:val="26"/>
          <w:lang w:val="ru-GB" w:eastAsia="ru-RU"/>
        </w:rPr>
      </w:pPr>
    </w:p>
    <w:p w14:paraId="77C1DF8C"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Secondly, managers must apply HR policies consistently. Inconsistent decision-making, particularly regarding flexible working, is a common source of grievances. Managers should be supported through training and clear guidance to ensure fairness and compliance.</w:t>
      </w:r>
    </w:p>
    <w:p w14:paraId="63A9FA50" w14:textId="77777777" w:rsidR="00436F18" w:rsidRPr="00DD174F" w:rsidRDefault="00436F18" w:rsidP="00436F18">
      <w:pPr>
        <w:spacing w:after="0" w:line="240" w:lineRule="auto"/>
        <w:rPr>
          <w:rFonts w:ascii="Arial" w:hAnsi="Arial" w:cs="Arial"/>
          <w:sz w:val="26"/>
          <w:szCs w:val="26"/>
          <w:lang w:val="ru-GB" w:eastAsia="ru-RU"/>
        </w:rPr>
      </w:pPr>
    </w:p>
    <w:p w14:paraId="0AF4C407"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Thirdly, managers should prioritise employee wellbeing. Monitoring workloads, recognising signs of stress, and signposting HR support services can significantly reduce grievance levels. Prompt action demonstrates organisational commitment to employee welfare.</w:t>
      </w:r>
    </w:p>
    <w:p w14:paraId="6B1108C6" w14:textId="77777777" w:rsidR="00436F18" w:rsidRPr="00DD174F" w:rsidRDefault="00436F18" w:rsidP="00436F18">
      <w:pPr>
        <w:spacing w:after="0" w:line="240" w:lineRule="auto"/>
        <w:rPr>
          <w:rFonts w:ascii="Arial" w:hAnsi="Arial" w:cs="Arial"/>
          <w:sz w:val="26"/>
          <w:szCs w:val="26"/>
          <w:lang w:val="ru-GB" w:eastAsia="ru-RU"/>
        </w:rPr>
      </w:pPr>
    </w:p>
    <w:p w14:paraId="078A71AB"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Finally, collaboration between managers and HR is essential. Managers should provide feedback on policy effectiveness and escalate issues early. This partnership approach ensures that HR practices are not only implemented quickly but also adapted to operational realities.</w:t>
      </w:r>
    </w:p>
    <w:p w14:paraId="65376996" w14:textId="77777777" w:rsidR="00436F18" w:rsidRPr="00DD174F" w:rsidRDefault="00436F18" w:rsidP="00436F18">
      <w:pPr>
        <w:spacing w:after="0" w:line="240" w:lineRule="auto"/>
        <w:rPr>
          <w:rFonts w:ascii="Arial" w:hAnsi="Arial" w:cs="Arial"/>
          <w:sz w:val="26"/>
          <w:szCs w:val="26"/>
          <w:lang w:val="ru-GB" w:eastAsia="ru-RU"/>
        </w:rPr>
      </w:pPr>
    </w:p>
    <w:p w14:paraId="19DA8FBD" w14:textId="77777777" w:rsidR="00436F18" w:rsidRPr="00DD174F" w:rsidRDefault="00436F18" w:rsidP="00436F18">
      <w:pPr>
        <w:spacing w:after="0" w:line="240" w:lineRule="auto"/>
        <w:rPr>
          <w:rFonts w:ascii="Arial" w:hAnsi="Arial" w:cs="Arial"/>
          <w:sz w:val="26"/>
          <w:szCs w:val="26"/>
          <w:lang w:val="ru-GB" w:eastAsia="ru-RU"/>
        </w:rPr>
      </w:pPr>
    </w:p>
    <w:p w14:paraId="70C8FCE1" w14:textId="77777777" w:rsidR="00436F18" w:rsidRPr="00DD174F" w:rsidRDefault="00436F18" w:rsidP="00436F18">
      <w:pPr>
        <w:spacing w:after="0" w:line="240" w:lineRule="auto"/>
        <w:rPr>
          <w:rFonts w:ascii="Arial" w:hAnsi="Arial" w:cs="Arial"/>
          <w:sz w:val="26"/>
          <w:szCs w:val="26"/>
          <w:lang w:val="ru-GB" w:eastAsia="ru-RU"/>
        </w:rPr>
      </w:pPr>
    </w:p>
    <w:p w14:paraId="699A3EEB" w14:textId="77777777" w:rsidR="00436F18" w:rsidRPr="00DD174F" w:rsidRDefault="00436F18" w:rsidP="00436F18">
      <w:pPr>
        <w:spacing w:after="0" w:line="240" w:lineRule="auto"/>
        <w:rPr>
          <w:rFonts w:ascii="Arial" w:hAnsi="Arial" w:cs="Arial"/>
          <w:sz w:val="26"/>
          <w:szCs w:val="26"/>
          <w:lang w:val="ru-GB" w:eastAsia="ru-RU"/>
        </w:rPr>
      </w:pPr>
    </w:p>
    <w:p w14:paraId="384ECF79" w14:textId="77777777" w:rsidR="00436F18" w:rsidRPr="00DD174F" w:rsidRDefault="00436F18" w:rsidP="00436F18">
      <w:pPr>
        <w:spacing w:after="0" w:line="240" w:lineRule="auto"/>
        <w:rPr>
          <w:rFonts w:ascii="Arial" w:hAnsi="Arial" w:cs="Arial"/>
          <w:b/>
          <w:bCs/>
          <w:sz w:val="26"/>
          <w:szCs w:val="26"/>
          <w:lang w:val="ru-GB" w:eastAsia="ru-RU"/>
        </w:rPr>
      </w:pPr>
    </w:p>
    <w:p w14:paraId="63E95F36" w14:textId="77777777" w:rsidR="00436F18" w:rsidRPr="00DD174F" w:rsidRDefault="00436F18" w:rsidP="00436F18">
      <w:pPr>
        <w:spacing w:after="0" w:line="240" w:lineRule="auto"/>
        <w:rPr>
          <w:rFonts w:ascii="Arial" w:hAnsi="Arial" w:cs="Arial"/>
          <w:b/>
          <w:bCs/>
          <w:sz w:val="26"/>
          <w:szCs w:val="26"/>
          <w:lang w:val="ru-GB" w:eastAsia="ru-RU"/>
        </w:rPr>
      </w:pPr>
    </w:p>
    <w:p w14:paraId="2EBE5D12" w14:textId="77777777" w:rsidR="00436F18" w:rsidRPr="00DD174F" w:rsidRDefault="00436F18" w:rsidP="00436F18">
      <w:pPr>
        <w:spacing w:after="0" w:line="240" w:lineRule="auto"/>
        <w:rPr>
          <w:rFonts w:ascii="Arial" w:hAnsi="Arial" w:cs="Arial"/>
          <w:b/>
          <w:bCs/>
          <w:sz w:val="26"/>
          <w:szCs w:val="26"/>
          <w:lang w:val="ru-GB" w:eastAsia="ru-RU"/>
        </w:rPr>
      </w:pPr>
    </w:p>
    <w:p w14:paraId="5CB81DCB" w14:textId="77777777" w:rsidR="00436F18" w:rsidRPr="00DD174F" w:rsidRDefault="00436F18" w:rsidP="00436F18">
      <w:pPr>
        <w:spacing w:after="0" w:line="240" w:lineRule="auto"/>
        <w:rPr>
          <w:rFonts w:ascii="Arial" w:hAnsi="Arial" w:cs="Arial"/>
          <w:b/>
          <w:bCs/>
          <w:sz w:val="26"/>
          <w:szCs w:val="26"/>
          <w:lang w:val="ru-GB" w:eastAsia="ru-RU"/>
        </w:rPr>
      </w:pPr>
    </w:p>
    <w:p w14:paraId="5D6CAEE3" w14:textId="580541BF"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Conclusion </w:t>
      </w:r>
    </w:p>
    <w:p w14:paraId="2D7E1B6C" w14:textId="77777777" w:rsidR="00436F18" w:rsidRPr="00DD174F" w:rsidRDefault="00436F18" w:rsidP="00436F18">
      <w:pPr>
        <w:spacing w:after="0" w:line="240" w:lineRule="auto"/>
        <w:rPr>
          <w:rFonts w:ascii="Arial" w:hAnsi="Arial" w:cs="Arial"/>
          <w:sz w:val="26"/>
          <w:szCs w:val="26"/>
          <w:lang w:val="ru-GB" w:eastAsia="ru-RU"/>
        </w:rPr>
      </w:pPr>
    </w:p>
    <w:p w14:paraId="59EED9B8"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 xml:space="preserve">This report has demonstrated that the high number of grievances within the organisation is closely linked to business transformation, digital technological change, and flexible working arrangements. While these factors are essential </w:t>
      </w:r>
      <w:r w:rsidRPr="00DD174F">
        <w:rPr>
          <w:rFonts w:ascii="Arial" w:hAnsi="Arial" w:cs="Arial"/>
          <w:sz w:val="26"/>
          <w:szCs w:val="26"/>
          <w:lang w:val="ru-GB" w:eastAsia="ru-RU"/>
        </w:rPr>
        <w:lastRenderedPageBreak/>
        <w:t>for organisational success, their impact on employees must be carefully managed.</w:t>
      </w:r>
    </w:p>
    <w:p w14:paraId="3B235FBB" w14:textId="77777777" w:rsidR="00436F18" w:rsidRPr="00DD174F" w:rsidRDefault="00436F18" w:rsidP="00436F18">
      <w:pPr>
        <w:spacing w:after="0" w:line="240" w:lineRule="auto"/>
        <w:rPr>
          <w:rFonts w:ascii="Arial" w:hAnsi="Arial" w:cs="Arial"/>
          <w:sz w:val="26"/>
          <w:szCs w:val="26"/>
          <w:lang w:val="ru-GB" w:eastAsia="ru-RU"/>
        </w:rPr>
      </w:pPr>
    </w:p>
    <w:p w14:paraId="571C5463"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To address these challenges, it is recommended that:</w:t>
      </w:r>
    </w:p>
    <w:p w14:paraId="74DE306E" w14:textId="77777777" w:rsidR="00436F18" w:rsidRPr="00DD174F" w:rsidRDefault="00436F18" w:rsidP="00436F18">
      <w:pPr>
        <w:spacing w:after="0" w:line="240" w:lineRule="auto"/>
        <w:ind w:left="540"/>
        <w:rPr>
          <w:rFonts w:ascii="Arial" w:hAnsi="Arial" w:cs="Arial"/>
          <w:sz w:val="26"/>
          <w:szCs w:val="26"/>
          <w:lang w:val="ru-GB" w:eastAsia="ru-RU"/>
        </w:rPr>
      </w:pPr>
      <w:r w:rsidRPr="00DD174F">
        <w:rPr>
          <w:rFonts w:ascii="Arial" w:hAnsi="Arial" w:cs="Arial"/>
          <w:sz w:val="26"/>
          <w:szCs w:val="26"/>
          <w:lang w:val="ru-GB" w:eastAsia="ru-RU"/>
        </w:rPr>
        <w:tab/>
        <w:t>•</w:t>
      </w:r>
      <w:r w:rsidRPr="00DD174F">
        <w:rPr>
          <w:rFonts w:ascii="Arial" w:hAnsi="Arial" w:cs="Arial"/>
          <w:sz w:val="26"/>
          <w:szCs w:val="26"/>
          <w:lang w:val="ru-GB" w:eastAsia="ru-RU"/>
        </w:rPr>
        <w:tab/>
        <w:t>Structured change management approaches are embedded across the organisation.</w:t>
      </w:r>
    </w:p>
    <w:p w14:paraId="0AF4DD55" w14:textId="77777777" w:rsidR="00436F18" w:rsidRPr="00DD174F" w:rsidRDefault="00436F18" w:rsidP="00436F18">
      <w:pPr>
        <w:spacing w:after="0" w:line="240" w:lineRule="auto"/>
        <w:ind w:left="540"/>
        <w:rPr>
          <w:rFonts w:ascii="Arial" w:hAnsi="Arial" w:cs="Arial"/>
          <w:sz w:val="26"/>
          <w:szCs w:val="26"/>
          <w:lang w:val="ru-GB" w:eastAsia="ru-RU"/>
        </w:rPr>
      </w:pPr>
      <w:r w:rsidRPr="00DD174F">
        <w:rPr>
          <w:rFonts w:ascii="Arial" w:hAnsi="Arial" w:cs="Arial"/>
          <w:sz w:val="26"/>
          <w:szCs w:val="26"/>
          <w:lang w:val="ru-GB" w:eastAsia="ru-RU"/>
        </w:rPr>
        <w:tab/>
        <w:t>•</w:t>
      </w:r>
      <w:r w:rsidRPr="00DD174F">
        <w:rPr>
          <w:rFonts w:ascii="Arial" w:hAnsi="Arial" w:cs="Arial"/>
          <w:sz w:val="26"/>
          <w:szCs w:val="26"/>
          <w:lang w:val="ru-GB" w:eastAsia="ru-RU"/>
        </w:rPr>
        <w:tab/>
        <w:t>Continuous digital skills training is prioritised to reduce inequality and stress.</w:t>
      </w:r>
    </w:p>
    <w:p w14:paraId="6EDBB29C" w14:textId="77777777" w:rsidR="00436F18" w:rsidRPr="00DD174F" w:rsidRDefault="00436F18" w:rsidP="00436F18">
      <w:pPr>
        <w:spacing w:after="0" w:line="240" w:lineRule="auto"/>
        <w:ind w:left="540"/>
        <w:rPr>
          <w:rFonts w:ascii="Arial" w:hAnsi="Arial" w:cs="Arial"/>
          <w:sz w:val="26"/>
          <w:szCs w:val="26"/>
          <w:lang w:val="ru-GB" w:eastAsia="ru-RU"/>
        </w:rPr>
      </w:pPr>
      <w:r w:rsidRPr="00DD174F">
        <w:rPr>
          <w:rFonts w:ascii="Arial" w:hAnsi="Arial" w:cs="Arial"/>
          <w:sz w:val="26"/>
          <w:szCs w:val="26"/>
          <w:lang w:val="ru-GB" w:eastAsia="ru-RU"/>
        </w:rPr>
        <w:tab/>
        <w:t>•</w:t>
      </w:r>
      <w:r w:rsidRPr="00DD174F">
        <w:rPr>
          <w:rFonts w:ascii="Arial" w:hAnsi="Arial" w:cs="Arial"/>
          <w:sz w:val="26"/>
          <w:szCs w:val="26"/>
          <w:lang w:val="ru-GB" w:eastAsia="ru-RU"/>
        </w:rPr>
        <w:tab/>
        <w:t>Flexible working policies are applied consistently and supported by managerial training.</w:t>
      </w:r>
    </w:p>
    <w:p w14:paraId="7D5FF55E" w14:textId="77777777" w:rsidR="00436F18" w:rsidRPr="00DD174F" w:rsidRDefault="00436F18" w:rsidP="00436F18">
      <w:pPr>
        <w:spacing w:after="0" w:line="240" w:lineRule="auto"/>
        <w:ind w:left="540"/>
        <w:rPr>
          <w:rFonts w:ascii="Arial" w:hAnsi="Arial" w:cs="Arial"/>
          <w:sz w:val="26"/>
          <w:szCs w:val="26"/>
          <w:lang w:val="ru-GB" w:eastAsia="ru-RU"/>
        </w:rPr>
      </w:pPr>
      <w:r w:rsidRPr="00DD174F">
        <w:rPr>
          <w:rFonts w:ascii="Arial" w:hAnsi="Arial" w:cs="Arial"/>
          <w:sz w:val="26"/>
          <w:szCs w:val="26"/>
          <w:lang w:val="ru-GB" w:eastAsia="ru-RU"/>
        </w:rPr>
        <w:tab/>
        <w:t>•</w:t>
      </w:r>
      <w:r w:rsidRPr="00DD174F">
        <w:rPr>
          <w:rFonts w:ascii="Arial" w:hAnsi="Arial" w:cs="Arial"/>
          <w:sz w:val="26"/>
          <w:szCs w:val="26"/>
          <w:lang w:val="ru-GB" w:eastAsia="ru-RU"/>
        </w:rPr>
        <w:tab/>
        <w:t>Managers are held accountable for employee wellbeing and policy implementation.</w:t>
      </w:r>
    </w:p>
    <w:p w14:paraId="65550A29" w14:textId="77777777" w:rsidR="00436F18" w:rsidRPr="00DD174F" w:rsidRDefault="00436F18" w:rsidP="00436F18">
      <w:pPr>
        <w:spacing w:after="0" w:line="240" w:lineRule="auto"/>
        <w:ind w:left="540"/>
        <w:rPr>
          <w:rFonts w:ascii="Arial" w:hAnsi="Arial" w:cs="Arial"/>
          <w:sz w:val="26"/>
          <w:szCs w:val="26"/>
          <w:lang w:val="ru-GB" w:eastAsia="ru-RU"/>
        </w:rPr>
      </w:pPr>
      <w:r w:rsidRPr="00DD174F">
        <w:rPr>
          <w:rFonts w:ascii="Arial" w:hAnsi="Arial" w:cs="Arial"/>
          <w:sz w:val="26"/>
          <w:szCs w:val="26"/>
          <w:lang w:val="ru-GB" w:eastAsia="ru-RU"/>
        </w:rPr>
        <w:tab/>
        <w:t>•</w:t>
      </w:r>
      <w:r w:rsidRPr="00DD174F">
        <w:rPr>
          <w:rFonts w:ascii="Arial" w:hAnsi="Arial" w:cs="Arial"/>
          <w:sz w:val="26"/>
          <w:szCs w:val="26"/>
          <w:lang w:val="ru-GB" w:eastAsia="ru-RU"/>
        </w:rPr>
        <w:tab/>
        <w:t>Ongoing communication and feedback mechanisms are strengthened.</w:t>
      </w:r>
    </w:p>
    <w:p w14:paraId="0A73C035" w14:textId="77777777" w:rsidR="00436F18" w:rsidRPr="00DD174F" w:rsidRDefault="00436F18" w:rsidP="00436F18">
      <w:pPr>
        <w:spacing w:after="0" w:line="240" w:lineRule="auto"/>
        <w:ind w:left="540"/>
        <w:rPr>
          <w:rFonts w:ascii="Arial" w:hAnsi="Arial" w:cs="Arial"/>
          <w:sz w:val="26"/>
          <w:szCs w:val="26"/>
          <w:lang w:val="ru-GB" w:eastAsia="ru-RU"/>
        </w:rPr>
      </w:pPr>
    </w:p>
    <w:p w14:paraId="15A167A8" w14:textId="77777777" w:rsidR="00436F18" w:rsidRPr="00DD174F" w:rsidRDefault="00436F18" w:rsidP="00436F18">
      <w:pPr>
        <w:spacing w:after="0" w:line="240" w:lineRule="auto"/>
        <w:ind w:left="540"/>
        <w:rPr>
          <w:rFonts w:ascii="Arial" w:hAnsi="Arial" w:cs="Arial"/>
          <w:sz w:val="26"/>
          <w:szCs w:val="26"/>
          <w:lang w:val="ru-GB" w:eastAsia="ru-RU"/>
        </w:rPr>
      </w:pPr>
      <w:r w:rsidRPr="00DD174F">
        <w:rPr>
          <w:rFonts w:ascii="Arial" w:hAnsi="Arial" w:cs="Arial"/>
          <w:sz w:val="26"/>
          <w:szCs w:val="26"/>
          <w:lang w:val="ru-GB" w:eastAsia="ru-RU"/>
        </w:rPr>
        <w:t>By adopting these recommendations, the organisation can reduce grievances, improve employee relations, and ensure that transformation initiatives are implemented in a sustainable and inclusive manner.</w:t>
      </w:r>
    </w:p>
    <w:p w14:paraId="6C12468F" w14:textId="77777777" w:rsidR="00436F18" w:rsidRPr="00DD174F" w:rsidRDefault="00436F18" w:rsidP="00436F18">
      <w:pPr>
        <w:spacing w:after="0" w:line="240" w:lineRule="auto"/>
        <w:rPr>
          <w:rFonts w:ascii="Arial" w:hAnsi="Arial" w:cs="Arial"/>
          <w:sz w:val="26"/>
          <w:szCs w:val="26"/>
          <w:lang w:val="ru-GB" w:eastAsia="ru-RU"/>
        </w:rPr>
      </w:pPr>
    </w:p>
    <w:p w14:paraId="43D4995F" w14:textId="77777777" w:rsidR="00436F18" w:rsidRPr="00DD174F" w:rsidRDefault="00436F18" w:rsidP="00436F18">
      <w:pPr>
        <w:spacing w:after="0" w:line="240" w:lineRule="auto"/>
        <w:rPr>
          <w:rFonts w:ascii="Arial" w:hAnsi="Arial" w:cs="Arial"/>
          <w:b/>
          <w:bCs/>
          <w:sz w:val="26"/>
          <w:szCs w:val="26"/>
          <w:lang w:val="ru-GB" w:eastAsia="ru-RU"/>
        </w:rPr>
      </w:pPr>
    </w:p>
    <w:p w14:paraId="5544C251" w14:textId="77777777" w:rsidR="00436F18" w:rsidRPr="00DD174F" w:rsidRDefault="00436F18" w:rsidP="00436F18">
      <w:pPr>
        <w:spacing w:after="0" w:line="240" w:lineRule="auto"/>
        <w:rPr>
          <w:rFonts w:ascii="Arial" w:hAnsi="Arial" w:cs="Arial"/>
          <w:b/>
          <w:bCs/>
          <w:sz w:val="26"/>
          <w:szCs w:val="26"/>
          <w:lang w:val="ru-GB" w:eastAsia="ru-RU"/>
        </w:rPr>
      </w:pPr>
    </w:p>
    <w:p w14:paraId="1F2E2383" w14:textId="77777777" w:rsidR="00436F18" w:rsidRPr="00DD174F" w:rsidRDefault="00436F18" w:rsidP="00436F18">
      <w:pPr>
        <w:spacing w:after="0" w:line="240" w:lineRule="auto"/>
        <w:rPr>
          <w:rFonts w:ascii="Arial" w:hAnsi="Arial" w:cs="Arial"/>
          <w:b/>
          <w:bCs/>
          <w:sz w:val="26"/>
          <w:szCs w:val="26"/>
          <w:lang w:val="ru-GB" w:eastAsia="ru-RU"/>
        </w:rPr>
      </w:pPr>
    </w:p>
    <w:p w14:paraId="6D62587B" w14:textId="77777777" w:rsidR="00436F18" w:rsidRPr="00DD174F" w:rsidRDefault="00436F18" w:rsidP="00436F18">
      <w:pPr>
        <w:spacing w:after="0" w:line="240" w:lineRule="auto"/>
        <w:rPr>
          <w:rFonts w:ascii="Arial" w:hAnsi="Arial" w:cs="Arial"/>
          <w:b/>
          <w:bCs/>
          <w:sz w:val="26"/>
          <w:szCs w:val="26"/>
          <w:lang w:val="ru-GB" w:eastAsia="ru-RU"/>
        </w:rPr>
      </w:pPr>
    </w:p>
    <w:p w14:paraId="1429D470" w14:textId="48151F66"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b/>
          <w:bCs/>
          <w:sz w:val="26"/>
          <w:szCs w:val="26"/>
          <w:lang w:val="ru-GB" w:eastAsia="ru-RU"/>
        </w:rPr>
        <w:t>References </w:t>
      </w:r>
    </w:p>
    <w:p w14:paraId="23C7832A" w14:textId="77777777" w:rsidR="00436F18" w:rsidRPr="00DD174F" w:rsidRDefault="00436F18" w:rsidP="00436F18">
      <w:pPr>
        <w:spacing w:after="0" w:line="240" w:lineRule="auto"/>
        <w:rPr>
          <w:rFonts w:ascii="Arial" w:hAnsi="Arial" w:cs="Arial"/>
          <w:sz w:val="26"/>
          <w:szCs w:val="26"/>
          <w:lang w:val="ru-GB" w:eastAsia="ru-RU"/>
        </w:rPr>
      </w:pPr>
    </w:p>
    <w:p w14:paraId="37FF97C2"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 xml:space="preserve">Bondarouk, T. and Brewster, C. (2016) </w:t>
      </w:r>
      <w:r w:rsidRPr="00DD174F">
        <w:rPr>
          <w:rFonts w:ascii="Arial" w:hAnsi="Arial" w:cs="Arial"/>
          <w:i/>
          <w:iCs/>
          <w:sz w:val="26"/>
          <w:szCs w:val="26"/>
          <w:lang w:val="ru-GB" w:eastAsia="ru-RU"/>
        </w:rPr>
        <w:t>Conceptualising the future of HRM and technology research</w:t>
      </w:r>
      <w:r w:rsidRPr="00DD174F">
        <w:rPr>
          <w:rFonts w:ascii="Arial" w:hAnsi="Arial" w:cs="Arial"/>
          <w:sz w:val="26"/>
          <w:szCs w:val="26"/>
          <w:lang w:val="ru-GB" w:eastAsia="ru-RU"/>
        </w:rPr>
        <w:t>. Human Resource Management Journal, 26(3), pp. 265–280.</w:t>
      </w:r>
    </w:p>
    <w:p w14:paraId="636DBB7A" w14:textId="77777777" w:rsidR="00436F18" w:rsidRPr="00DD174F" w:rsidRDefault="00436F18" w:rsidP="00436F18">
      <w:pPr>
        <w:spacing w:after="0" w:line="240" w:lineRule="auto"/>
        <w:rPr>
          <w:rFonts w:ascii="Arial" w:hAnsi="Arial" w:cs="Arial"/>
          <w:sz w:val="26"/>
          <w:szCs w:val="26"/>
          <w:lang w:val="ru-GB" w:eastAsia="ru-RU"/>
        </w:rPr>
      </w:pPr>
    </w:p>
    <w:p w14:paraId="03BE1489"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 xml:space="preserve">CIPD (2022) </w:t>
      </w:r>
      <w:r w:rsidRPr="00DD174F">
        <w:rPr>
          <w:rFonts w:ascii="Arial" w:hAnsi="Arial" w:cs="Arial"/>
          <w:i/>
          <w:iCs/>
          <w:sz w:val="26"/>
          <w:szCs w:val="26"/>
          <w:lang w:val="ru-GB" w:eastAsia="ru-RU"/>
        </w:rPr>
        <w:t>Flexible working practices</w:t>
      </w:r>
      <w:r w:rsidRPr="00DD174F">
        <w:rPr>
          <w:rFonts w:ascii="Arial" w:hAnsi="Arial" w:cs="Arial"/>
          <w:sz w:val="26"/>
          <w:szCs w:val="26"/>
          <w:lang w:val="ru-GB" w:eastAsia="ru-RU"/>
        </w:rPr>
        <w:t>. London: Chartered Institute of Personnel and Development.</w:t>
      </w:r>
    </w:p>
    <w:p w14:paraId="2E267DC0" w14:textId="77777777" w:rsidR="00436F18" w:rsidRPr="00DD174F" w:rsidRDefault="00436F18" w:rsidP="00436F18">
      <w:pPr>
        <w:spacing w:after="0" w:line="240" w:lineRule="auto"/>
        <w:rPr>
          <w:rFonts w:ascii="Arial" w:hAnsi="Arial" w:cs="Arial"/>
          <w:sz w:val="26"/>
          <w:szCs w:val="26"/>
          <w:lang w:val="ru-GB" w:eastAsia="ru-RU"/>
        </w:rPr>
      </w:pPr>
    </w:p>
    <w:p w14:paraId="15B2E826"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 xml:space="preserve">CIPD (2023) </w:t>
      </w:r>
      <w:r w:rsidRPr="00DD174F">
        <w:rPr>
          <w:rFonts w:ascii="Arial" w:hAnsi="Arial" w:cs="Arial"/>
          <w:i/>
          <w:iCs/>
          <w:sz w:val="26"/>
          <w:szCs w:val="26"/>
          <w:lang w:val="ru-GB" w:eastAsia="ru-RU"/>
        </w:rPr>
        <w:t>Managing organisational change</w:t>
      </w:r>
      <w:r w:rsidRPr="00DD174F">
        <w:rPr>
          <w:rFonts w:ascii="Arial" w:hAnsi="Arial" w:cs="Arial"/>
          <w:sz w:val="26"/>
          <w:szCs w:val="26"/>
          <w:lang w:val="ru-GB" w:eastAsia="ru-RU"/>
        </w:rPr>
        <w:t>. London: Chartered Institute of Personnel and Development.</w:t>
      </w:r>
    </w:p>
    <w:p w14:paraId="0B80B287" w14:textId="77777777" w:rsidR="00436F18" w:rsidRPr="00DD174F" w:rsidRDefault="00436F18" w:rsidP="00436F18">
      <w:pPr>
        <w:spacing w:after="0" w:line="240" w:lineRule="auto"/>
        <w:rPr>
          <w:rFonts w:ascii="Arial" w:hAnsi="Arial" w:cs="Arial"/>
          <w:sz w:val="26"/>
          <w:szCs w:val="26"/>
          <w:lang w:val="ru-GB" w:eastAsia="ru-RU"/>
        </w:rPr>
      </w:pPr>
    </w:p>
    <w:p w14:paraId="634DABC6"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 xml:space="preserve">Kotter, J.P. (2012) </w:t>
      </w:r>
      <w:r w:rsidRPr="00DD174F">
        <w:rPr>
          <w:rFonts w:ascii="Arial" w:hAnsi="Arial" w:cs="Arial"/>
          <w:i/>
          <w:iCs/>
          <w:sz w:val="26"/>
          <w:szCs w:val="26"/>
          <w:lang w:val="ru-GB" w:eastAsia="ru-RU"/>
        </w:rPr>
        <w:t>Leading Change</w:t>
      </w:r>
      <w:r w:rsidRPr="00DD174F">
        <w:rPr>
          <w:rFonts w:ascii="Arial" w:hAnsi="Arial" w:cs="Arial"/>
          <w:sz w:val="26"/>
          <w:szCs w:val="26"/>
          <w:lang w:val="ru-GB" w:eastAsia="ru-RU"/>
        </w:rPr>
        <w:t>. Boston: Harvard Business Review Press.</w:t>
      </w:r>
    </w:p>
    <w:p w14:paraId="35C3B6C1" w14:textId="77777777" w:rsidR="00436F18" w:rsidRPr="00DD174F" w:rsidRDefault="00436F18" w:rsidP="00436F18">
      <w:pPr>
        <w:spacing w:after="0" w:line="240" w:lineRule="auto"/>
        <w:rPr>
          <w:rFonts w:ascii="Arial" w:hAnsi="Arial" w:cs="Arial"/>
          <w:sz w:val="26"/>
          <w:szCs w:val="26"/>
          <w:lang w:val="ru-GB" w:eastAsia="ru-RU"/>
        </w:rPr>
      </w:pPr>
    </w:p>
    <w:p w14:paraId="3046CC34" w14:textId="77777777" w:rsidR="00436F18" w:rsidRPr="00DD174F" w:rsidRDefault="00436F18" w:rsidP="00436F18">
      <w:pPr>
        <w:spacing w:after="0" w:line="240" w:lineRule="auto"/>
        <w:rPr>
          <w:rFonts w:ascii="Arial" w:hAnsi="Arial" w:cs="Arial"/>
          <w:sz w:val="26"/>
          <w:szCs w:val="26"/>
          <w:lang w:val="ru-GB" w:eastAsia="ru-RU"/>
        </w:rPr>
      </w:pPr>
      <w:r w:rsidRPr="00DD174F">
        <w:rPr>
          <w:rFonts w:ascii="Arial" w:hAnsi="Arial" w:cs="Arial"/>
          <w:sz w:val="26"/>
          <w:szCs w:val="26"/>
          <w:lang w:val="ru-GB" w:eastAsia="ru-RU"/>
        </w:rPr>
        <w:t xml:space="preserve">Marler, J.H. and Boudreau, J.W. (2017) </w:t>
      </w:r>
      <w:r w:rsidRPr="00DD174F">
        <w:rPr>
          <w:rFonts w:ascii="Arial" w:hAnsi="Arial" w:cs="Arial"/>
          <w:i/>
          <w:iCs/>
          <w:sz w:val="26"/>
          <w:szCs w:val="26"/>
          <w:lang w:val="ru-GB" w:eastAsia="ru-RU"/>
        </w:rPr>
        <w:t>An evidence-based review of HR Analytics</w:t>
      </w:r>
      <w:r w:rsidRPr="00DD174F">
        <w:rPr>
          <w:rFonts w:ascii="Arial" w:hAnsi="Arial" w:cs="Arial"/>
          <w:sz w:val="26"/>
          <w:szCs w:val="26"/>
          <w:lang w:val="ru-GB" w:eastAsia="ru-RU"/>
        </w:rPr>
        <w:t>. International Journal of Human Resource Management, 28(1), pp. 3–26.</w:t>
      </w:r>
    </w:p>
    <w:p w14:paraId="38CE00E9" w14:textId="77777777" w:rsidR="00436F18" w:rsidRDefault="00436F18" w:rsidP="19DF5ED4">
      <w:pPr>
        <w:spacing w:line="600" w:lineRule="auto"/>
        <w:rPr>
          <w:rFonts w:ascii="Arial" w:hAnsi="Arial" w:cs="Arial"/>
          <w:b/>
          <w:bCs/>
          <w:i/>
          <w:iCs/>
        </w:rPr>
      </w:pPr>
    </w:p>
    <w:p w14:paraId="1637881D" w14:textId="77777777" w:rsidR="00525396" w:rsidRDefault="00525396" w:rsidP="19DF5ED4">
      <w:pPr>
        <w:spacing w:line="600" w:lineRule="auto"/>
        <w:rPr>
          <w:rFonts w:ascii="Arial" w:hAnsi="Arial" w:cs="Arial"/>
          <w:b/>
          <w:bCs/>
          <w:i/>
          <w:iCs/>
        </w:rPr>
      </w:pPr>
    </w:p>
    <w:p w14:paraId="4E3D0A85" w14:textId="77777777" w:rsidR="008469CD" w:rsidRDefault="008469CD" w:rsidP="19DF5ED4">
      <w:pPr>
        <w:spacing w:line="600" w:lineRule="auto"/>
        <w:rPr>
          <w:rFonts w:ascii="Arial" w:hAnsi="Arial" w:cs="Arial"/>
          <w:b/>
          <w:bCs/>
          <w:i/>
          <w:iCs/>
        </w:rPr>
      </w:pPr>
    </w:p>
    <w:p w14:paraId="47FD3213" w14:textId="77777777" w:rsidR="008469CD" w:rsidRDefault="008469CD" w:rsidP="19DF5ED4">
      <w:pPr>
        <w:spacing w:line="600" w:lineRule="auto"/>
        <w:rPr>
          <w:rFonts w:ascii="Arial" w:hAnsi="Arial" w:cs="Arial"/>
          <w:b/>
          <w:bCs/>
          <w:i/>
          <w:iCs/>
        </w:rPr>
      </w:pPr>
    </w:p>
    <w:p w14:paraId="054FDE97" w14:textId="77777777" w:rsidR="008469CD" w:rsidRDefault="008469CD" w:rsidP="19DF5ED4">
      <w:pPr>
        <w:spacing w:line="600" w:lineRule="auto"/>
        <w:rPr>
          <w:rFonts w:ascii="Arial" w:hAnsi="Arial" w:cs="Arial"/>
          <w:b/>
          <w:bCs/>
          <w:i/>
          <w:iCs/>
        </w:rPr>
      </w:pPr>
    </w:p>
    <w:p w14:paraId="7810460B" w14:textId="77777777" w:rsidR="006057C9" w:rsidRDefault="006057C9" w:rsidP="19DF5ED4">
      <w:pPr>
        <w:spacing w:line="600" w:lineRule="auto"/>
        <w:rPr>
          <w:rFonts w:ascii="Arial" w:hAnsi="Arial" w:cs="Arial"/>
          <w:b/>
          <w:bCs/>
          <w:i/>
          <w:iCs/>
        </w:rPr>
      </w:pPr>
    </w:p>
    <w:p w14:paraId="5F36B3FF" w14:textId="77777777" w:rsidR="006057C9" w:rsidRDefault="006057C9" w:rsidP="19DF5ED4">
      <w:pPr>
        <w:spacing w:line="600" w:lineRule="auto"/>
        <w:rPr>
          <w:rFonts w:ascii="Arial" w:hAnsi="Arial" w:cs="Arial"/>
          <w:b/>
          <w:bCs/>
          <w:i/>
          <w:iCs/>
        </w:rPr>
      </w:pPr>
    </w:p>
    <w:p w14:paraId="0296F2A1" w14:textId="13B815AC" w:rsidR="006057C9" w:rsidRDefault="0035211D" w:rsidP="19DF5ED4">
      <w:pPr>
        <w:spacing w:line="600" w:lineRule="auto"/>
        <w:rPr>
          <w:rFonts w:ascii="Arial" w:hAnsi="Arial" w:cs="Arial"/>
          <w:b/>
          <w:bCs/>
          <w:i/>
          <w:iCs/>
        </w:rPr>
      </w:pPr>
      <w:r>
        <w:rPr>
          <w:noProof/>
        </w:rPr>
        <w:lastRenderedPageBreak/>
        <w:drawing>
          <wp:anchor distT="0" distB="0" distL="114300" distR="114300" simplePos="0" relativeHeight="251661312" behindDoc="0" locked="0" layoutInCell="1" allowOverlap="1" wp14:anchorId="18241D6F" wp14:editId="3C89FCC6">
            <wp:simplePos x="0" y="0"/>
            <wp:positionH relativeFrom="column">
              <wp:posOffset>0</wp:posOffset>
            </wp:positionH>
            <wp:positionV relativeFrom="paragraph">
              <wp:posOffset>259715</wp:posOffset>
            </wp:positionV>
            <wp:extent cx="5731510" cy="8600440"/>
            <wp:effectExtent l="0" t="0" r="0" b="0"/>
            <wp:wrapTopAndBottom/>
            <wp:docPr id="141542479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424796" name=""/>
                    <pic:cNvPicPr/>
                  </pic:nvPicPr>
                  <pic:blipFill>
                    <a:blip r:embed="rId8"/>
                    <a:stretch>
                      <a:fillRect/>
                    </a:stretch>
                  </pic:blipFill>
                  <pic:spPr>
                    <a:xfrm>
                      <a:off x="0" y="0"/>
                      <a:ext cx="5731510" cy="8600440"/>
                    </a:xfrm>
                    <a:prstGeom prst="rect">
                      <a:avLst/>
                    </a:prstGeom>
                  </pic:spPr>
                </pic:pic>
              </a:graphicData>
            </a:graphic>
          </wp:anchor>
        </w:drawing>
      </w:r>
    </w:p>
    <w:p w14:paraId="63D7086E" w14:textId="32BCAB23" w:rsidR="00525396" w:rsidRDefault="00525396" w:rsidP="19DF5ED4">
      <w:pPr>
        <w:spacing w:line="600" w:lineRule="auto"/>
        <w:rPr>
          <w:rFonts w:ascii="Arial" w:hAnsi="Arial" w:cs="Arial"/>
          <w:b/>
          <w:bCs/>
          <w:i/>
          <w:iCs/>
        </w:rPr>
      </w:pPr>
    </w:p>
    <w:p w14:paraId="6CF22A59" w14:textId="499FB019" w:rsidR="00525396" w:rsidRPr="00DD174F" w:rsidRDefault="00525396" w:rsidP="19DF5ED4">
      <w:pPr>
        <w:spacing w:line="600" w:lineRule="auto"/>
        <w:rPr>
          <w:rFonts w:ascii="Arial" w:hAnsi="Arial" w:cs="Arial"/>
          <w:b/>
          <w:bCs/>
          <w:i/>
          <w:iCs/>
        </w:rPr>
      </w:pPr>
    </w:p>
    <w:p w14:paraId="3E75A714" w14:textId="77777777" w:rsidR="00436F18" w:rsidRDefault="00436F18" w:rsidP="19DF5ED4">
      <w:pPr>
        <w:spacing w:line="600" w:lineRule="auto"/>
        <w:rPr>
          <w:rFonts w:ascii="Arial" w:hAnsi="Arial" w:cs="Arial"/>
          <w:b/>
          <w:bCs/>
          <w:i/>
          <w:iCs/>
        </w:rPr>
      </w:pPr>
    </w:p>
    <w:p w14:paraId="48BF7C79" w14:textId="77777777" w:rsidR="00436F18" w:rsidRDefault="00436F18" w:rsidP="19DF5ED4">
      <w:pPr>
        <w:spacing w:line="600" w:lineRule="auto"/>
        <w:rPr>
          <w:rFonts w:ascii="Arial" w:hAnsi="Arial" w:cs="Arial"/>
          <w:b/>
          <w:bCs/>
          <w:i/>
          <w:iCs/>
        </w:rPr>
      </w:pPr>
    </w:p>
    <w:p w14:paraId="104246E5" w14:textId="77777777" w:rsidR="00436F18" w:rsidRDefault="00436F18" w:rsidP="19DF5ED4">
      <w:pPr>
        <w:spacing w:line="600" w:lineRule="auto"/>
        <w:rPr>
          <w:rFonts w:ascii="Arial" w:hAnsi="Arial" w:cs="Arial"/>
          <w:b/>
          <w:bCs/>
          <w:i/>
          <w:iCs/>
        </w:rPr>
      </w:pPr>
    </w:p>
    <w:sectPr w:rsidR="00436F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AD011" w14:textId="77777777" w:rsidR="00C5080C" w:rsidRDefault="00C5080C" w:rsidP="00F37B62">
      <w:pPr>
        <w:spacing w:after="0" w:line="240" w:lineRule="auto"/>
      </w:pPr>
      <w:r>
        <w:separator/>
      </w:r>
    </w:p>
  </w:endnote>
  <w:endnote w:type="continuationSeparator" w:id="0">
    <w:p w14:paraId="32EEA5E5" w14:textId="77777777" w:rsidR="00C5080C" w:rsidRDefault="00C5080C"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1DD4A" w14:textId="77777777" w:rsidR="00C5080C" w:rsidRDefault="00C5080C" w:rsidP="00F37B62">
      <w:pPr>
        <w:spacing w:after="0" w:line="240" w:lineRule="auto"/>
      </w:pPr>
      <w:r>
        <w:separator/>
      </w:r>
    </w:p>
  </w:footnote>
  <w:footnote w:type="continuationSeparator" w:id="0">
    <w:p w14:paraId="3660654C" w14:textId="77777777" w:rsidR="00C5080C" w:rsidRDefault="00C5080C"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D6E20"/>
    <w:multiLevelType w:val="hybridMultilevel"/>
    <w:tmpl w:val="7E0611D2"/>
    <w:lvl w:ilvl="0" w:tplc="FFFFFFFF">
      <w:start w:val="1"/>
      <w:numFmt w:val="decimal"/>
      <w:lvlText w:val="%1."/>
      <w:lvlJc w:val="left"/>
      <w:pPr>
        <w:ind w:left="720" w:hanging="360"/>
      </w:pPr>
      <w:rPr>
        <w:rFonts w:eastAsia="Times New Roman"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10360C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24BA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2518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A010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7E75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3930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655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0779D4"/>
    <w:multiLevelType w:val="hybridMultilevel"/>
    <w:tmpl w:val="80AE0894"/>
    <w:lvl w:ilvl="0" w:tplc="FFFFFFFF">
      <w:start w:val="1"/>
      <w:numFmt w:val="decimal"/>
      <w:lvlText w:val="%1."/>
      <w:lvlJc w:val="left"/>
      <w:pPr>
        <w:ind w:left="720" w:hanging="360"/>
      </w:pPr>
      <w:rPr>
        <w:rFonts w:eastAsia="Times New Roman" w:hint="default"/>
        <w:b/>
        <w:sz w:val="36"/>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9" w15:restartNumberingAfterBreak="0">
    <w:nsid w:val="654F41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F92B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09757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876F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3B5C7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8435719">
    <w:abstractNumId w:val="13"/>
  </w:num>
  <w:num w:numId="2" w16cid:durableId="510416954">
    <w:abstractNumId w:val="4"/>
  </w:num>
  <w:num w:numId="3" w16cid:durableId="1565020509">
    <w:abstractNumId w:val="3"/>
  </w:num>
  <w:num w:numId="4" w16cid:durableId="305740335">
    <w:abstractNumId w:val="12"/>
  </w:num>
  <w:num w:numId="5" w16cid:durableId="2145346338">
    <w:abstractNumId w:val="11"/>
  </w:num>
  <w:num w:numId="6" w16cid:durableId="8147180">
    <w:abstractNumId w:val="8"/>
  </w:num>
  <w:num w:numId="7" w16cid:durableId="487133850">
    <w:abstractNumId w:val="0"/>
  </w:num>
  <w:num w:numId="8" w16cid:durableId="408383276">
    <w:abstractNumId w:val="2"/>
  </w:num>
  <w:num w:numId="9" w16cid:durableId="1815634760">
    <w:abstractNumId w:val="6"/>
  </w:num>
  <w:num w:numId="10" w16cid:durableId="331836351">
    <w:abstractNumId w:val="1"/>
  </w:num>
  <w:num w:numId="11" w16cid:durableId="1642080110">
    <w:abstractNumId w:val="5"/>
  </w:num>
  <w:num w:numId="12" w16cid:durableId="2078163414">
    <w:abstractNumId w:val="7"/>
  </w:num>
  <w:num w:numId="13" w16cid:durableId="825245085">
    <w:abstractNumId w:val="10"/>
  </w:num>
  <w:num w:numId="14" w16cid:durableId="20018821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21416"/>
    <w:rsid w:val="000822E8"/>
    <w:rsid w:val="000B4AC4"/>
    <w:rsid w:val="000B4E76"/>
    <w:rsid w:val="000E54CE"/>
    <w:rsid w:val="001163EE"/>
    <w:rsid w:val="00123828"/>
    <w:rsid w:val="001B2694"/>
    <w:rsid w:val="001C6EED"/>
    <w:rsid w:val="001E200D"/>
    <w:rsid w:val="001E5104"/>
    <w:rsid w:val="001E79E1"/>
    <w:rsid w:val="00254A9D"/>
    <w:rsid w:val="00264F7D"/>
    <w:rsid w:val="0027356C"/>
    <w:rsid w:val="002E4FE6"/>
    <w:rsid w:val="003236E2"/>
    <w:rsid w:val="00343626"/>
    <w:rsid w:val="0035211D"/>
    <w:rsid w:val="003877C2"/>
    <w:rsid w:val="003C42A2"/>
    <w:rsid w:val="003F3651"/>
    <w:rsid w:val="00436F18"/>
    <w:rsid w:val="00494B34"/>
    <w:rsid w:val="00494B6B"/>
    <w:rsid w:val="004D7528"/>
    <w:rsid w:val="004D759A"/>
    <w:rsid w:val="00525396"/>
    <w:rsid w:val="0059315E"/>
    <w:rsid w:val="006057C9"/>
    <w:rsid w:val="006305D1"/>
    <w:rsid w:val="00673B2C"/>
    <w:rsid w:val="006833D5"/>
    <w:rsid w:val="006A1388"/>
    <w:rsid w:val="006A738C"/>
    <w:rsid w:val="0072707E"/>
    <w:rsid w:val="00730CEF"/>
    <w:rsid w:val="00770C83"/>
    <w:rsid w:val="00776C56"/>
    <w:rsid w:val="00784916"/>
    <w:rsid w:val="007F7F30"/>
    <w:rsid w:val="0082078E"/>
    <w:rsid w:val="008469CD"/>
    <w:rsid w:val="00855644"/>
    <w:rsid w:val="00872501"/>
    <w:rsid w:val="0088547E"/>
    <w:rsid w:val="008D1598"/>
    <w:rsid w:val="008E438A"/>
    <w:rsid w:val="008F4215"/>
    <w:rsid w:val="00981D55"/>
    <w:rsid w:val="009F1C37"/>
    <w:rsid w:val="00A734CB"/>
    <w:rsid w:val="00AD47B5"/>
    <w:rsid w:val="00AD6C85"/>
    <w:rsid w:val="00B465A0"/>
    <w:rsid w:val="00B64F89"/>
    <w:rsid w:val="00B80024"/>
    <w:rsid w:val="00BE51B1"/>
    <w:rsid w:val="00BF5CCA"/>
    <w:rsid w:val="00C5080C"/>
    <w:rsid w:val="00C55ABB"/>
    <w:rsid w:val="00C96B6C"/>
    <w:rsid w:val="00CA4B61"/>
    <w:rsid w:val="00CC1260"/>
    <w:rsid w:val="00CC6AD0"/>
    <w:rsid w:val="00D325A5"/>
    <w:rsid w:val="00D3424D"/>
    <w:rsid w:val="00D41CE9"/>
    <w:rsid w:val="00D4469F"/>
    <w:rsid w:val="00DA4E5D"/>
    <w:rsid w:val="00DD174F"/>
    <w:rsid w:val="00E12960"/>
    <w:rsid w:val="00E738AA"/>
    <w:rsid w:val="00EC1377"/>
    <w:rsid w:val="00ED1B29"/>
    <w:rsid w:val="00F37B62"/>
    <w:rsid w:val="00F5191F"/>
    <w:rsid w:val="00F67811"/>
    <w:rsid w:val="00F919B1"/>
    <w:rsid w:val="00FD3073"/>
    <w:rsid w:val="00FE5CC8"/>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64F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unhideWhenUsed/>
    <w:qFormat/>
    <w:rsid w:val="00264F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unhideWhenUsed/>
    <w:qFormat/>
    <w:rsid w:val="003236E2"/>
    <w:pPr>
      <w:keepNext/>
      <w:keepLines/>
      <w:spacing w:before="160" w:after="80"/>
      <w:outlineLvl w:val="2"/>
    </w:pPr>
    <w:rPr>
      <w:rFonts w:eastAsiaTheme="majorEastAsia" w:cstheme="majorBidi"/>
      <w:color w:val="2F5496"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37B62"/>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F37B62"/>
  </w:style>
  <w:style w:type="paragraph" w:styleId="a5">
    <w:name w:val="footer"/>
    <w:basedOn w:val="a"/>
    <w:link w:val="a6"/>
    <w:uiPriority w:val="99"/>
    <w:unhideWhenUsed/>
    <w:rsid w:val="00F37B62"/>
    <w:pPr>
      <w:tabs>
        <w:tab w:val="center" w:pos="4513"/>
        <w:tab w:val="right" w:pos="9026"/>
      </w:tabs>
      <w:spacing w:after="0" w:line="240" w:lineRule="auto"/>
    </w:pPr>
  </w:style>
  <w:style w:type="character" w:customStyle="1" w:styleId="a6">
    <w:name w:val="Нижний колонтитул Знак"/>
    <w:basedOn w:val="a0"/>
    <w:link w:val="a5"/>
    <w:uiPriority w:val="99"/>
    <w:rsid w:val="00F37B62"/>
  </w:style>
  <w:style w:type="paragraph" w:customStyle="1" w:styleId="p1">
    <w:name w:val="p1"/>
    <w:basedOn w:val="a"/>
    <w:rsid w:val="001B2694"/>
    <w:pPr>
      <w:spacing w:before="100" w:beforeAutospacing="1" w:after="100" w:afterAutospacing="1" w:line="240" w:lineRule="auto"/>
    </w:pPr>
    <w:rPr>
      <w:rFonts w:ascii="Times New Roman" w:hAnsi="Times New Roman" w:cs="Times New Roman"/>
      <w:sz w:val="24"/>
      <w:szCs w:val="24"/>
      <w:lang w:val="ru-GB" w:eastAsia="ru-RU"/>
    </w:rPr>
  </w:style>
  <w:style w:type="character" w:customStyle="1" w:styleId="s1">
    <w:name w:val="s1"/>
    <w:basedOn w:val="a0"/>
    <w:rsid w:val="001B2694"/>
  </w:style>
  <w:style w:type="character" w:customStyle="1" w:styleId="20">
    <w:name w:val="Заголовок 2 Знак"/>
    <w:basedOn w:val="a0"/>
    <w:link w:val="2"/>
    <w:uiPriority w:val="9"/>
    <w:semiHidden/>
    <w:rsid w:val="00264F7D"/>
    <w:rPr>
      <w:rFonts w:asciiTheme="majorHAnsi" w:eastAsiaTheme="majorEastAsia" w:hAnsiTheme="majorHAnsi" w:cstheme="majorBidi"/>
      <w:color w:val="2F5496" w:themeColor="accent1" w:themeShade="BF"/>
      <w:sz w:val="32"/>
      <w:szCs w:val="32"/>
    </w:rPr>
  </w:style>
  <w:style w:type="paragraph" w:customStyle="1" w:styleId="p2">
    <w:name w:val="p2"/>
    <w:basedOn w:val="a"/>
    <w:rsid w:val="00264F7D"/>
    <w:pPr>
      <w:spacing w:before="100" w:beforeAutospacing="1" w:after="100" w:afterAutospacing="1" w:line="240" w:lineRule="auto"/>
    </w:pPr>
    <w:rPr>
      <w:rFonts w:ascii="Times New Roman" w:hAnsi="Times New Roman" w:cs="Times New Roman"/>
      <w:sz w:val="24"/>
      <w:szCs w:val="24"/>
      <w:lang w:val="ru-GB" w:eastAsia="ru-RU"/>
    </w:rPr>
  </w:style>
  <w:style w:type="character" w:customStyle="1" w:styleId="s2">
    <w:name w:val="s2"/>
    <w:basedOn w:val="a0"/>
    <w:rsid w:val="00264F7D"/>
  </w:style>
  <w:style w:type="paragraph" w:customStyle="1" w:styleId="p3">
    <w:name w:val="p3"/>
    <w:basedOn w:val="a"/>
    <w:rsid w:val="00264F7D"/>
    <w:pPr>
      <w:spacing w:before="100" w:beforeAutospacing="1" w:after="100" w:afterAutospacing="1" w:line="240" w:lineRule="auto"/>
    </w:pPr>
    <w:rPr>
      <w:rFonts w:ascii="Times New Roman" w:hAnsi="Times New Roman" w:cs="Times New Roman"/>
      <w:sz w:val="24"/>
      <w:szCs w:val="24"/>
      <w:lang w:val="ru-GB" w:eastAsia="ru-RU"/>
    </w:rPr>
  </w:style>
  <w:style w:type="character" w:customStyle="1" w:styleId="30">
    <w:name w:val="Заголовок 3 Знак"/>
    <w:basedOn w:val="a0"/>
    <w:link w:val="3"/>
    <w:uiPriority w:val="9"/>
    <w:semiHidden/>
    <w:rsid w:val="003236E2"/>
    <w:rPr>
      <w:rFonts w:eastAsiaTheme="majorEastAsia" w:cstheme="majorBidi"/>
      <w:color w:val="2F5496" w:themeColor="accent1" w:themeShade="BF"/>
      <w:sz w:val="28"/>
      <w:szCs w:val="28"/>
    </w:rPr>
  </w:style>
  <w:style w:type="character" w:customStyle="1" w:styleId="10">
    <w:name w:val="Заголовок 1 Знак"/>
    <w:basedOn w:val="a0"/>
    <w:link w:val="1"/>
    <w:uiPriority w:val="9"/>
    <w:rsid w:val="00B64F89"/>
    <w:rPr>
      <w:rFonts w:asciiTheme="majorHAnsi" w:eastAsiaTheme="majorEastAsia" w:hAnsiTheme="majorHAnsi" w:cstheme="majorBidi"/>
      <w:color w:val="2F5496" w:themeColor="accent1" w:themeShade="BF"/>
      <w:sz w:val="40"/>
      <w:szCs w:val="40"/>
    </w:rPr>
  </w:style>
  <w:style w:type="character" w:customStyle="1" w:styleId="s3">
    <w:name w:val="s3"/>
    <w:basedOn w:val="a0"/>
    <w:rsid w:val="00B64F89"/>
  </w:style>
  <w:style w:type="paragraph" w:styleId="a7">
    <w:name w:val="List Paragraph"/>
    <w:basedOn w:val="a"/>
    <w:uiPriority w:val="34"/>
    <w:qFormat/>
    <w:rsid w:val="00981D55"/>
    <w:pPr>
      <w:ind w:left="720"/>
      <w:contextualSpacing/>
    </w:pPr>
  </w:style>
  <w:style w:type="paragraph" w:customStyle="1" w:styleId="p4">
    <w:name w:val="p4"/>
    <w:basedOn w:val="a"/>
    <w:rsid w:val="00436F18"/>
    <w:pPr>
      <w:spacing w:after="0" w:line="240" w:lineRule="auto"/>
      <w:ind w:left="540"/>
    </w:pPr>
    <w:rPr>
      <w:rFonts w:ascii=".AppleSystemUIFont" w:hAnsi=".AppleSystemUIFont" w:cs="Times New Roman"/>
      <w:sz w:val="26"/>
      <w:szCs w:val="26"/>
      <w:lang w:val="ru-GB" w:eastAsia="ru-RU"/>
    </w:rPr>
  </w:style>
  <w:style w:type="character" w:customStyle="1" w:styleId="apple-tab-span">
    <w:name w:val="apple-tab-span"/>
    <w:basedOn w:val="a0"/>
    <w:rsid w:val="00436F18"/>
  </w:style>
  <w:style w:type="character" w:customStyle="1" w:styleId="apple-converted-space">
    <w:name w:val="apple-converted-space"/>
    <w:basedOn w:val="a0"/>
    <w:rsid w:val="00436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3697</Words>
  <Characters>21079</Characters>
  <Application>Microsoft Office Word</Application>
  <DocSecurity>0</DocSecurity>
  <Lines>175</Lines>
  <Paragraphs>49</Paragraphs>
  <ScaleCrop>false</ScaleCrop>
  <Company/>
  <LinksUpToDate>false</LinksUpToDate>
  <CharactersWithSpaces>24727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Vladlena Naumenko</cp:lastModifiedBy>
  <cp:revision>2</cp:revision>
  <dcterms:created xsi:type="dcterms:W3CDTF">2026-05-25T19:15:00Z</dcterms:created>
  <dcterms:modified xsi:type="dcterms:W3CDTF">2026-05-25T19:15:00Z</dcterms:modified>
</cp:coreProperties>
</file>