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bookmarkStart w:id="0" w:name="_GoBack"/>
      <w:bookmarkEnd w:id="0"/>
      <w:r w:rsidRPr="007B4205">
        <w:rPr>
          <w:rFonts w:ascii="Gotham Narrow SSm B" w:eastAsia="Times New Roman" w:hAnsi="Gotham Narrow SSm B" w:cs="Times New Roman"/>
          <w:b/>
          <w:bCs/>
          <w:color w:val="191919"/>
          <w:sz w:val="24"/>
          <w:szCs w:val="24"/>
          <w:lang w:eastAsia="en-GB"/>
        </w:rPr>
        <w:t>Kolb’s model of Experiential Learning</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The theoretical model of Experiential Learning is grounded in the humanistic and constructivist perspective, proposing that we are naturally capable to learn, and that experience plays a critical role in knowledge construction and acquisition. In other words, learning occurs when someone creates knowledge though experiential transformations (Kolb, 1984).</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The image below demonstrates the Experiential Learning Cycle by Kolb:</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noProof/>
          <w:color w:val="191919"/>
          <w:sz w:val="24"/>
          <w:szCs w:val="24"/>
          <w:lang w:eastAsia="en-GB"/>
        </w:rPr>
        <w:drawing>
          <wp:inline distT="0" distB="0" distL="0" distR="0" wp14:anchorId="7FD1BDBD" wp14:editId="07C7545F">
            <wp:extent cx="3409950" cy="2619375"/>
            <wp:effectExtent l="0" t="0" r="0" b="9525"/>
            <wp:docPr id="2" name="Picture 2" descr="https://carleton.ca/experientialeducation/wp-content/uploads/learning-kolb-240x1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arleton.ca/experientialeducation/wp-content/uploads/learning-kolb-240x18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09950" cy="2619375"/>
                    </a:xfrm>
                    <a:prstGeom prst="rect">
                      <a:avLst/>
                    </a:prstGeom>
                    <a:noFill/>
                    <a:ln>
                      <a:noFill/>
                    </a:ln>
                  </pic:spPr>
                </pic:pic>
              </a:graphicData>
            </a:graphic>
          </wp:inline>
        </w:drawing>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Image: </w:t>
      </w:r>
      <w:r w:rsidRPr="007B4205">
        <w:rPr>
          <w:rFonts w:ascii="Gotham Narrow SSm B" w:eastAsia="Times New Roman" w:hAnsi="Gotham Narrow SSm B" w:cs="Times New Roman"/>
          <w:i/>
          <w:iCs/>
          <w:color w:val="191919"/>
          <w:sz w:val="24"/>
          <w:szCs w:val="24"/>
          <w:lang w:eastAsia="en-GB"/>
        </w:rPr>
        <w:t xml:space="preserve">The Experiential Learning </w:t>
      </w:r>
      <w:proofErr w:type="gramStart"/>
      <w:r w:rsidRPr="007B4205">
        <w:rPr>
          <w:rFonts w:ascii="Gotham Narrow SSm B" w:eastAsia="Times New Roman" w:hAnsi="Gotham Narrow SSm B" w:cs="Times New Roman"/>
          <w:i/>
          <w:iCs/>
          <w:color w:val="191919"/>
          <w:sz w:val="24"/>
          <w:szCs w:val="24"/>
          <w:lang w:eastAsia="en-GB"/>
        </w:rPr>
        <w:t>Cycle</w:t>
      </w:r>
      <w:r w:rsidRPr="007B4205">
        <w:rPr>
          <w:rFonts w:ascii="Gotham Narrow SSm B" w:eastAsia="Times New Roman" w:hAnsi="Gotham Narrow SSm B" w:cs="Times New Roman"/>
          <w:color w:val="191919"/>
          <w:sz w:val="24"/>
          <w:szCs w:val="24"/>
          <w:lang w:eastAsia="en-GB"/>
        </w:rPr>
        <w:t>(</w:t>
      </w:r>
      <w:proofErr w:type="gramEnd"/>
      <w:r w:rsidRPr="007B4205">
        <w:rPr>
          <w:rFonts w:ascii="Gotham Narrow SSm B" w:eastAsia="Times New Roman" w:hAnsi="Gotham Narrow SSm B" w:cs="Times New Roman"/>
          <w:color w:val="191919"/>
          <w:sz w:val="24"/>
          <w:szCs w:val="24"/>
          <w:lang w:eastAsia="en-GB"/>
        </w:rPr>
        <w:t>McLeod, 2013)</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Effective learning occurs in </w:t>
      </w:r>
      <w:r w:rsidRPr="007B4205">
        <w:rPr>
          <w:rFonts w:ascii="Gotham Narrow SSm B" w:eastAsia="Times New Roman" w:hAnsi="Gotham Narrow SSm B" w:cs="Times New Roman"/>
          <w:color w:val="191919"/>
          <w:sz w:val="24"/>
          <w:szCs w:val="24"/>
          <w:u w:val="single"/>
          <w:lang w:eastAsia="en-GB"/>
        </w:rPr>
        <w:t>four stages</w:t>
      </w:r>
      <w:r w:rsidRPr="007B4205">
        <w:rPr>
          <w:rFonts w:ascii="Gotham Narrow SSm B" w:eastAsia="Times New Roman" w:hAnsi="Gotham Narrow SSm B" w:cs="Times New Roman"/>
          <w:color w:val="191919"/>
          <w:sz w:val="24"/>
          <w:szCs w:val="24"/>
          <w:lang w:eastAsia="en-GB"/>
        </w:rPr>
        <w:t>:</w:t>
      </w:r>
    </w:p>
    <w:p w:rsidR="007B4205" w:rsidRPr="007B4205" w:rsidRDefault="007B4205" w:rsidP="007B4205">
      <w:pPr>
        <w:numPr>
          <w:ilvl w:val="0"/>
          <w:numId w:val="1"/>
        </w:numPr>
        <w:shd w:val="clear" w:color="auto" w:fill="FFFFFF"/>
        <w:spacing w:before="100" w:beforeAutospacing="1" w:after="15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Concrete Experience</w:t>
      </w:r>
      <w:r w:rsidRPr="007B4205">
        <w:rPr>
          <w:rFonts w:ascii="Gotham Narrow SSm B" w:eastAsia="Times New Roman" w:hAnsi="Gotham Narrow SSm B" w:cs="Times New Roman"/>
          <w:color w:val="191919"/>
          <w:sz w:val="24"/>
          <w:szCs w:val="24"/>
          <w:lang w:eastAsia="en-GB"/>
        </w:rPr>
        <w:t>: The learner encounters a new experience or engages in a reinterpretation process of an existing experience.</w:t>
      </w:r>
    </w:p>
    <w:p w:rsidR="007B4205" w:rsidRPr="007B4205" w:rsidRDefault="007B4205" w:rsidP="007B4205">
      <w:pPr>
        <w:numPr>
          <w:ilvl w:val="0"/>
          <w:numId w:val="1"/>
        </w:numPr>
        <w:shd w:val="clear" w:color="auto" w:fill="FFFFFF"/>
        <w:spacing w:before="100" w:beforeAutospacing="1" w:after="15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Reflective Observation</w:t>
      </w:r>
      <w:r w:rsidRPr="007B4205">
        <w:rPr>
          <w:rFonts w:ascii="Gotham Narrow SSm B" w:eastAsia="Times New Roman" w:hAnsi="Gotham Narrow SSm B" w:cs="Times New Roman"/>
          <w:color w:val="191919"/>
          <w:sz w:val="24"/>
          <w:szCs w:val="24"/>
          <w:lang w:eastAsia="en-GB"/>
        </w:rPr>
        <w:t>: The learner reviews and reflects on the new experience and identifies any inconsistencies between experience and understanding.</w:t>
      </w:r>
    </w:p>
    <w:p w:rsidR="007B4205" w:rsidRPr="007B4205" w:rsidRDefault="007B4205" w:rsidP="007B4205">
      <w:pPr>
        <w:numPr>
          <w:ilvl w:val="0"/>
          <w:numId w:val="1"/>
        </w:numPr>
        <w:shd w:val="clear" w:color="auto" w:fill="FFFFFF"/>
        <w:spacing w:before="100" w:beforeAutospacing="1" w:after="15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Abstract Conceptualization</w:t>
      </w:r>
      <w:r w:rsidRPr="007B4205">
        <w:rPr>
          <w:rFonts w:ascii="Gotham Narrow SSm B" w:eastAsia="Times New Roman" w:hAnsi="Gotham Narrow SSm B" w:cs="Times New Roman"/>
          <w:color w:val="191919"/>
          <w:sz w:val="24"/>
          <w:szCs w:val="24"/>
          <w:lang w:eastAsia="en-GB"/>
        </w:rPr>
        <w:t>: Through the reflective process, the learner creates a new idea/concept or modifies an existing abstract concept – analyzing the concepts and forming conclusions and generalizations.</w:t>
      </w:r>
    </w:p>
    <w:p w:rsidR="007B4205" w:rsidRPr="007B4205" w:rsidRDefault="007B4205" w:rsidP="007B4205">
      <w:pPr>
        <w:numPr>
          <w:ilvl w:val="0"/>
          <w:numId w:val="1"/>
        </w:numPr>
        <w:shd w:val="clear" w:color="auto" w:fill="FFFFFF"/>
        <w:spacing w:before="100" w:beforeAutospacing="1" w:after="0" w:line="240" w:lineRule="auto"/>
        <w:ind w:left="0"/>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b/>
          <w:bCs/>
          <w:color w:val="191919"/>
          <w:sz w:val="24"/>
          <w:szCs w:val="24"/>
          <w:lang w:eastAsia="en-GB"/>
        </w:rPr>
        <w:t>Active Experimentation</w:t>
      </w:r>
      <w:r w:rsidRPr="007B4205">
        <w:rPr>
          <w:rFonts w:ascii="Gotham Narrow SSm B" w:eastAsia="Times New Roman" w:hAnsi="Gotham Narrow SSm B" w:cs="Times New Roman"/>
          <w:color w:val="191919"/>
          <w:sz w:val="24"/>
          <w:szCs w:val="24"/>
          <w:lang w:eastAsia="en-GB"/>
        </w:rPr>
        <w:t>: The learner plans and tries out what was learned and is able to apply the new knowledge to other situations – conclusions and generalizations are used to tests hypothesis and thus the learner engages in new experiences.</w:t>
      </w:r>
    </w:p>
    <w:p w:rsidR="007B4205" w:rsidRPr="007B4205" w:rsidRDefault="007B4205" w:rsidP="007B4205">
      <w:pPr>
        <w:shd w:val="clear" w:color="auto" w:fill="FFFFFF"/>
        <w:spacing w:after="0" w:line="240" w:lineRule="auto"/>
        <w:rPr>
          <w:rFonts w:ascii="Gotham Narrow SSm B" w:eastAsia="Times New Roman" w:hAnsi="Gotham Narrow SSm B" w:cs="Times New Roman"/>
          <w:color w:val="191919"/>
          <w:sz w:val="24"/>
          <w:szCs w:val="24"/>
          <w:lang w:eastAsia="en-GB"/>
        </w:rPr>
      </w:pPr>
      <w:r w:rsidRPr="007B4205">
        <w:rPr>
          <w:rFonts w:ascii="Gotham Narrow SSm B" w:eastAsia="Times New Roman" w:hAnsi="Gotham Narrow SSm B" w:cs="Times New Roman"/>
          <w:color w:val="191919"/>
          <w:sz w:val="24"/>
          <w:szCs w:val="24"/>
          <w:lang w:eastAsia="en-GB"/>
        </w:rPr>
        <w:t>It is possible for the learner to enter at any of these four stages and follow them through their sequence to acquire new knowledge. What is highlighted is that for effective learning to occur the learner should complete all four stages of the model and no one stage can stand alone as a learning procedure.</w:t>
      </w:r>
    </w:p>
    <w:p w:rsidR="002C2093" w:rsidRDefault="002C2093"/>
    <w:sectPr w:rsidR="002C209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7A68" w:rsidRDefault="00237A68" w:rsidP="0069161F">
      <w:pPr>
        <w:spacing w:after="0" w:line="240" w:lineRule="auto"/>
      </w:pPr>
      <w:r>
        <w:separator/>
      </w:r>
    </w:p>
  </w:endnote>
  <w:endnote w:type="continuationSeparator" w:id="0">
    <w:p w:rsidR="00237A68" w:rsidRDefault="00237A68" w:rsidP="006916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otham Narrow SSm B">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9161F" w:rsidRDefault="00237A68">
    <w:pPr>
      <w:pStyle w:val="Footer"/>
    </w:pPr>
    <w:hyperlink r:id="rId1" w:history="1">
      <w:r w:rsidR="0069161F">
        <w:rPr>
          <w:rStyle w:val="Hyperlink"/>
        </w:rPr>
        <w:t>https://carleton.ca/experientialeducation/what-is-experiential-education/experiential-learni</w:t>
      </w:r>
    </w:hyperlink>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7A68" w:rsidRDefault="00237A68" w:rsidP="0069161F">
      <w:pPr>
        <w:spacing w:after="0" w:line="240" w:lineRule="auto"/>
      </w:pPr>
      <w:r>
        <w:separator/>
      </w:r>
    </w:p>
  </w:footnote>
  <w:footnote w:type="continuationSeparator" w:id="0">
    <w:p w:rsidR="00237A68" w:rsidRDefault="00237A68" w:rsidP="0069161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4F92203"/>
    <w:multiLevelType w:val="multilevel"/>
    <w:tmpl w:val="1E5AE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4205"/>
    <w:rsid w:val="00237A68"/>
    <w:rsid w:val="0026165F"/>
    <w:rsid w:val="002C2093"/>
    <w:rsid w:val="003B5625"/>
    <w:rsid w:val="006843F9"/>
    <w:rsid w:val="0069161F"/>
    <w:rsid w:val="007B4205"/>
    <w:rsid w:val="00A85A0B"/>
    <w:rsid w:val="00AE043E"/>
    <w:rsid w:val="00D1675F"/>
    <w:rsid w:val="00E76A8D"/>
    <w:rsid w:val="00ED08DE"/>
    <w:rsid w:val="00F20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044E71-0154-4B77-8A0B-2BEFD3EC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16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61F"/>
  </w:style>
  <w:style w:type="paragraph" w:styleId="Footer">
    <w:name w:val="footer"/>
    <w:basedOn w:val="Normal"/>
    <w:link w:val="FooterChar"/>
    <w:uiPriority w:val="99"/>
    <w:unhideWhenUsed/>
    <w:rsid w:val="006916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61F"/>
  </w:style>
  <w:style w:type="character" w:styleId="Hyperlink">
    <w:name w:val="Hyperlink"/>
    <w:basedOn w:val="DefaultParagraphFont"/>
    <w:uiPriority w:val="99"/>
    <w:semiHidden/>
    <w:unhideWhenUsed/>
    <w:rsid w:val="006916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2493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s://carleton.ca/experientialeducation/what-is-experiential-education/experiential-lear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239</Words>
  <Characters>1367</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2021-08-11T08:53:00Z</dcterms:created>
  <dcterms:modified xsi:type="dcterms:W3CDTF">2021-08-11T08:53:00Z</dcterms:modified>
</cp:coreProperties>
</file>