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left"/>
        <w:rPr>
          <w:rFonts w:ascii="Aptos" w:hAnsi="Aptos" w:cs="Aptos" w:eastAsia="Aptos"/>
          <w:color w:val="auto"/>
          <w:spacing w:val="0"/>
          <w:position w:val="0"/>
          <w:sz w:val="24"/>
          <w:shd w:fill="auto" w:val="clear"/>
        </w:rPr>
      </w:pPr>
      <w:r>
        <w:object w:dxaOrig="2592" w:dyaOrig="1441">
          <v:rect xmlns:o="urn:schemas-microsoft-com:office:office" xmlns:v="urn:schemas-microsoft-com:vml" id="rectole0000000000" style="width:129.600000pt;height:72.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8"/>
        <w:ind w:right="0" w:left="0" w:firstLine="0"/>
        <w:jc w:val="left"/>
        <w:rPr>
          <w:rFonts w:ascii="Aptos" w:hAnsi="Aptos" w:cs="Aptos" w:eastAsia="Aptos"/>
          <w:color w:val="auto"/>
          <w:spacing w:val="0"/>
          <w:position w:val="0"/>
          <w:sz w:val="24"/>
          <w:shd w:fill="auto" w:val="clear"/>
        </w:rPr>
      </w:pPr>
    </w:p>
    <w:tbl>
      <w:tblPr/>
      <w:tblGrid>
        <w:gridCol w:w="2965"/>
        <w:gridCol w:w="6385"/>
      </w:tblGrid>
      <w:tr>
        <w:trPr>
          <w:trHeight w:val="395" w:hRule="auto"/>
          <w:jc w:val="left"/>
        </w:trPr>
        <w:tc>
          <w:tcPr>
            <w:tcW w:w="2965" w:type="dxa"/>
            <w:tcBorders>
              <w:top w:val="single" w:color="000000" w:sz="4"/>
              <w:left w:val="single" w:color="000000" w:sz="4"/>
              <w:bottom w:val="single" w:color="000000" w:sz="4"/>
              <w:right w:val="single" w:color="000000" w:sz="4"/>
            </w:tcBorders>
            <w:shd w:color="auto" w:fill="b3cfe7"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Student name</w:t>
            </w:r>
          </w:p>
        </w:tc>
        <w:tc>
          <w:tcPr>
            <w:tcW w:w="63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raza khan ahmadzai </w:t>
            </w:r>
          </w:p>
        </w:tc>
      </w:tr>
      <w:tr>
        <w:trPr>
          <w:trHeight w:val="350" w:hRule="auto"/>
          <w:jc w:val="left"/>
        </w:trPr>
        <w:tc>
          <w:tcPr>
            <w:tcW w:w="2965" w:type="dxa"/>
            <w:tcBorders>
              <w:top w:val="single" w:color="000000" w:sz="4"/>
              <w:left w:val="single" w:color="000000" w:sz="4"/>
              <w:bottom w:val="single" w:color="000000" w:sz="4"/>
              <w:right w:val="single" w:color="000000" w:sz="4"/>
            </w:tcBorders>
            <w:shd w:color="auto" w:fill="b3cfe7"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Student ID </w:t>
            </w:r>
          </w:p>
        </w:tc>
        <w:tc>
          <w:tcPr>
            <w:tcW w:w="63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2423995</w:t>
            </w:r>
          </w:p>
        </w:tc>
      </w:tr>
      <w:tr>
        <w:trPr>
          <w:trHeight w:val="350" w:hRule="auto"/>
          <w:jc w:val="left"/>
        </w:trPr>
        <w:tc>
          <w:tcPr>
            <w:tcW w:w="2965" w:type="dxa"/>
            <w:tcBorders>
              <w:top w:val="single" w:color="000000" w:sz="4"/>
              <w:left w:val="single" w:color="000000" w:sz="4"/>
              <w:bottom w:val="single" w:color="000000" w:sz="4"/>
              <w:right w:val="single" w:color="000000" w:sz="4"/>
            </w:tcBorders>
            <w:shd w:color="auto" w:fill="b3cfe7"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Module name </w:t>
            </w:r>
          </w:p>
        </w:tc>
        <w:tc>
          <w:tcPr>
            <w:tcW w:w="63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BSC HEALTH AND SOCIAL CARE </w:t>
            </w:r>
          </w:p>
        </w:tc>
      </w:tr>
      <w:tr>
        <w:trPr>
          <w:trHeight w:val="350" w:hRule="auto"/>
          <w:jc w:val="left"/>
        </w:trPr>
        <w:tc>
          <w:tcPr>
            <w:tcW w:w="2965" w:type="dxa"/>
            <w:tcBorders>
              <w:top w:val="single" w:color="000000" w:sz="4"/>
              <w:left w:val="single" w:color="000000" w:sz="4"/>
              <w:bottom w:val="single" w:color="000000" w:sz="4"/>
              <w:right w:val="single" w:color="000000" w:sz="4"/>
            </w:tcBorders>
            <w:shd w:color="auto" w:fill="b3cfe7"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Module code </w:t>
            </w:r>
          </w:p>
        </w:tc>
        <w:tc>
          <w:tcPr>
            <w:tcW w:w="63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BMHP5019</w:t>
            </w:r>
          </w:p>
        </w:tc>
      </w:tr>
      <w:tr>
        <w:trPr>
          <w:trHeight w:val="440" w:hRule="auto"/>
          <w:jc w:val="left"/>
        </w:trPr>
        <w:tc>
          <w:tcPr>
            <w:tcW w:w="2965" w:type="dxa"/>
            <w:tcBorders>
              <w:top w:val="single" w:color="000000" w:sz="4"/>
              <w:left w:val="single" w:color="000000" w:sz="4"/>
              <w:bottom w:val="single" w:color="000000" w:sz="4"/>
              <w:right w:val="single" w:color="000000" w:sz="4"/>
            </w:tcBorders>
            <w:shd w:color="auto" w:fill="b3cfe7"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Programme </w:t>
            </w:r>
          </w:p>
        </w:tc>
        <w:tc>
          <w:tcPr>
            <w:tcW w:w="63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HEALTH CARE</w:t>
            </w:r>
          </w:p>
        </w:tc>
      </w:tr>
      <w:tr>
        <w:trPr>
          <w:trHeight w:val="350" w:hRule="auto"/>
          <w:jc w:val="left"/>
        </w:trPr>
        <w:tc>
          <w:tcPr>
            <w:tcW w:w="2965" w:type="dxa"/>
            <w:tcBorders>
              <w:top w:val="single" w:color="000000" w:sz="4"/>
              <w:left w:val="single" w:color="000000" w:sz="4"/>
              <w:bottom w:val="single" w:color="000000" w:sz="4"/>
              <w:right w:val="single" w:color="000000" w:sz="4"/>
            </w:tcBorders>
            <w:shd w:color="auto" w:fill="b3cfe7"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4"/>
                <w:shd w:fill="auto" w:val="clear"/>
              </w:rPr>
              <w:t xml:space="preserve">Assignment type </w:t>
            </w:r>
          </w:p>
        </w:tc>
        <w:tc>
          <w:tcPr>
            <w:tcW w:w="63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Component 1 Research proposal </w:t>
            </w:r>
          </w:p>
        </w:tc>
      </w:tr>
    </w:tbl>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Component 1: Research Proposal</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i/>
          <w:color w:val="auto"/>
          <w:spacing w:val="0"/>
          <w:position w:val="0"/>
          <w:sz w:val="24"/>
          <w:shd w:fill="auto" w:val="clear"/>
        </w:rPr>
        <w:t xml:space="preserve">Title:</w:t>
      </w:r>
      <w:r>
        <w:rPr>
          <w:rFonts w:ascii="Arial" w:hAnsi="Arial" w:cs="Arial" w:eastAsia="Arial"/>
          <w:color w:val="auto"/>
          <w:spacing w:val="0"/>
          <w:position w:val="0"/>
          <w:sz w:val="24"/>
          <w:shd w:fill="auto" w:val="clear"/>
        </w:rPr>
        <w:t xml:space="preserve"> Loneliness and Social Isolation Among Older Adults in England: A Scoping Review</w:t>
      </w:r>
    </w:p>
    <w:p>
      <w:pPr>
        <w:numPr>
          <w:ilvl w:val="0"/>
          <w:numId w:val="21"/>
        </w:numPr>
        <w:spacing w:before="0" w:after="160" w:line="36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Review Question</w:t>
      </w:r>
    </w:p>
    <w:p>
      <w:pPr>
        <w:spacing w:before="0" w:after="160" w:line="36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What do existing research reports about the relationship between loneliness, social isolation and mental wellbeing among adults aged 65 and over living in the community in England, and what community-based support approaches are described?</w:t>
      </w:r>
    </w:p>
    <w:p>
      <w:pPr>
        <w:numPr>
          <w:ilvl w:val="0"/>
          <w:numId w:val="23"/>
        </w:numPr>
        <w:spacing w:before="0" w:after="160" w:line="36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Objectives</w:t>
      </w:r>
    </w:p>
    <w:p>
      <w:pPr>
        <w:numPr>
          <w:ilvl w:val="0"/>
          <w:numId w:val="23"/>
        </w:numPr>
        <w:spacing w:before="0" w:after="160" w:line="360"/>
        <w:ind w:right="0" w:left="108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identify reported associations between loneliness, social isolation and mental wellbeing among older adults</w:t>
      </w:r>
    </w:p>
    <w:p>
      <w:pPr>
        <w:numPr>
          <w:ilvl w:val="0"/>
          <w:numId w:val="23"/>
        </w:numPr>
        <w:spacing w:before="0" w:after="160" w:line="360"/>
        <w:ind w:right="0" w:left="108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map existing evidence on community-based interventions designed to address loneliness and social isolation. </w:t>
      </w:r>
    </w:p>
    <w:p>
      <w:pPr>
        <w:numPr>
          <w:ilvl w:val="0"/>
          <w:numId w:val="23"/>
        </w:numPr>
        <w:spacing w:before="0" w:after="160" w:line="360"/>
        <w:ind w:right="0" w:left="108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explore barriers older adults experience when accessing social and community support.</w:t>
      </w:r>
    </w:p>
    <w:p>
      <w:pPr>
        <w:numPr>
          <w:ilvl w:val="0"/>
          <w:numId w:val="23"/>
        </w:numPr>
        <w:spacing w:before="0" w:after="160" w:line="360"/>
        <w:ind w:right="0" w:left="108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identify gaps in the evidence relevant to UK health and social care practice. </w:t>
      </w:r>
    </w:p>
    <w:p>
      <w:pPr>
        <w:numPr>
          <w:ilvl w:val="0"/>
          <w:numId w:val="23"/>
        </w:numPr>
        <w:spacing w:before="0" w:after="160" w:line="36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Rationale</w:t>
      </w:r>
    </w:p>
    <w:p>
      <w:pPr>
        <w:spacing w:before="0" w:after="160" w:line="36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Loneliness and social isolation are significant public health and social care issues as they can have a negative impact on the psychological wellbeing and quality of life of older people. Loneliness is the subjective experience of not having enough social relationships while social isolation is about decreased social contact. Loneliness and subjective wellbeing amongst adults in England are reported in the Health Survey for England 2024, highlighting the ongoing importance of the issue. In addition, a scoping review in the UK found community-based interventions such as befriending and telephone support and identified gaps in the evidence base relating to the effectiveness of interventions. A knowledge of the evidence can assist health and social care professionals in determining appropriate support for older adults and enhancing their wellbeing.</w:t>
      </w:r>
    </w:p>
    <w:p>
      <w:pPr>
        <w:numPr>
          <w:ilvl w:val="0"/>
          <w:numId w:val="27"/>
        </w:numPr>
        <w:spacing w:before="0" w:after="160" w:line="36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Methods</w:t>
      </w:r>
    </w:p>
    <w:p>
      <w:pPr>
        <w:spacing w:before="0" w:after="160" w:line="278"/>
        <w:ind w:right="0" w:left="72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scoping review will be carried out to provide an overview of current knowledge and gaps in evidence. The keywords and Boolean operators “older adults”, “loneliness”, “social isolation”, “mental wellbeing” and “community support” will be used to search PubMed, CINAHL and PsycINFO. Studies of adults (aged 65 and older) in England that are relevant to primary and secondary research will be included, if peer-reviewed. Studies that have been conducted on populations or settings that are not related to the current study will be excluded. Titles and abstracts will be reviewed, and then full text will be assessed against predetermined inclusion/exclusion criteria. The information will be extracted to a data-charting table and analysed thematically to highlight any themes in terms of reported effects, support, and barriers. The review will be conducted following the guidance for scoping reviews. </w:t>
      </w:r>
    </w:p>
    <w:p>
      <w:pPr>
        <w:numPr>
          <w:ilvl w:val="0"/>
          <w:numId w:val="29"/>
        </w:numPr>
        <w:spacing w:before="0" w:after="160" w:line="36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Ethical Considerations</w:t>
      </w:r>
    </w:p>
    <w:p>
      <w:pPr>
        <w:spacing w:before="0" w:after="160" w:line="278"/>
        <w:ind w:right="0" w:left="72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As this research will use published studies and will not recruit participants or collect personal data, formal participant consent is not anticipated. The University ethics approval guidance will still be adhered to. All sources will be cited correctly, findings will be presented fairly and plagiarism will not occur. The review will also acknowledge the gaps and limitations in the existing evidence, as well as any potential bias. </w:t>
      </w:r>
    </w:p>
    <w:p>
      <w:pPr>
        <w:numPr>
          <w:ilvl w:val="0"/>
          <w:numId w:val="31"/>
        </w:numPr>
        <w:spacing w:before="0" w:after="160" w:line="36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 </w:t>
      </w:r>
    </w:p>
    <w:p>
      <w:pPr>
        <w:spacing w:before="0" w:after="160" w:line="278"/>
        <w:ind w:right="0" w:left="72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Lee, C. et al. (2021) ‘A systematic scoping review of community-based interventions for the prevention of mental ill-health and the promotion of mental health in older adults in the UK’, Health &amp; Social Care in the Community, 30(1), pp. 27</w:t>
      </w:r>
      <w:r>
        <w:rPr>
          <w:rFonts w:ascii="Aptos" w:hAnsi="Aptos" w:cs="Aptos" w:eastAsia="Aptos"/>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57. Available at: </w:t>
      </w:r>
      <w:hyperlink xmlns:r="http://schemas.openxmlformats.org/officeDocument/2006/relationships" r:id="docRId2">
        <w:r>
          <w:rPr>
            <w:rFonts w:ascii="Aptos" w:hAnsi="Aptos" w:cs="Aptos" w:eastAsia="Aptos"/>
            <w:color w:val="0000FF"/>
            <w:spacing w:val="0"/>
            <w:position w:val="0"/>
            <w:sz w:val="24"/>
            <w:u w:val="single"/>
            <w:shd w:fill="auto" w:val="clear"/>
          </w:rPr>
          <w:t xml:space="preserve">https://doi.org/10.1111/hsc.13413</w:t>
        </w:r>
      </w:hyperlink>
      <w:r>
        <w:rPr>
          <w:rFonts w:ascii="Aptos" w:hAnsi="Aptos" w:cs="Aptos" w:eastAsia="Aptos"/>
          <w:color w:val="auto"/>
          <w:spacing w:val="0"/>
          <w:position w:val="0"/>
          <w:sz w:val="24"/>
          <w:shd w:fill="auto" w:val="clear"/>
        </w:rPr>
        <w:t xml:space="preserve"> </w:t>
      </w:r>
    </w:p>
    <w:p>
      <w:pPr>
        <w:spacing w:before="0" w:after="160" w:line="278"/>
        <w:ind w:right="0" w:left="720" w:firstLine="0"/>
        <w:jc w:val="left"/>
        <w:rPr>
          <w:rFonts w:ascii="Aptos" w:hAnsi="Aptos" w:cs="Aptos" w:eastAsia="Aptos"/>
          <w:color w:val="auto"/>
          <w:spacing w:val="0"/>
          <w:position w:val="0"/>
          <w:sz w:val="24"/>
          <w:shd w:fill="auto" w:val="clear"/>
        </w:rPr>
      </w:pPr>
    </w:p>
    <w:p>
      <w:pPr>
        <w:spacing w:before="0" w:after="160" w:line="278"/>
        <w:ind w:right="0" w:left="72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NHS England Digital (2026) Health Survey for England, 2024: Loneliness and wellbeing. Available at: </w:t>
      </w:r>
      <w:hyperlink xmlns:r="http://schemas.openxmlformats.org/officeDocument/2006/relationships" r:id="docRId3">
        <w:r>
          <w:rPr>
            <w:rFonts w:ascii="Aptos" w:hAnsi="Aptos" w:cs="Aptos" w:eastAsia="Aptos"/>
            <w:color w:val="0000FF"/>
            <w:spacing w:val="0"/>
            <w:position w:val="0"/>
            <w:sz w:val="24"/>
            <w:u w:val="single"/>
            <w:shd w:fill="auto" w:val="clear"/>
          </w:rPr>
          <w:t xml:space="preserve">https://digital.nhs.uk/data-and-information/publications/statistical/health-survey-for-england/2024/loneliness-and-wellbeing</w:t>
        </w:r>
      </w:hyperlink>
    </w:p>
    <w:p>
      <w:pPr>
        <w:spacing w:before="0" w:after="160" w:line="278"/>
        <w:ind w:right="0" w:left="720" w:firstLine="0"/>
        <w:jc w:val="left"/>
        <w:rPr>
          <w:rFonts w:ascii="Aptos" w:hAnsi="Aptos" w:cs="Aptos" w:eastAsia="Aptos"/>
          <w:color w:val="auto"/>
          <w:spacing w:val="0"/>
          <w:position w:val="0"/>
          <w:sz w:val="24"/>
          <w:shd w:fill="auto" w:val="clear"/>
        </w:rPr>
      </w:pPr>
    </w:p>
    <w:p>
      <w:pPr>
        <w:spacing w:before="0" w:after="160" w:line="278"/>
        <w:ind w:right="0" w:left="72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Peters, M.D.J. et al. (2021) ‘Updated methodological guidance for the conduct of scoping reviews’, JBI Evidence Implementation, 19(1), pp. 3</w:t>
      </w:r>
      <w:r>
        <w:rPr>
          <w:rFonts w:ascii="Calibri" w:hAnsi="Calibri" w:cs="Calibri" w:eastAsia="Calibri"/>
          <w:color w:val="auto"/>
          <w:spacing w:val="0"/>
          <w:position w:val="0"/>
          <w:sz w:val="24"/>
          <w:shd w:fill="auto" w:val="clear"/>
        </w:rPr>
        <w:t xml:space="preserve">–10. Available at: </w:t>
      </w:r>
      <w:hyperlink xmlns:r="http://schemas.openxmlformats.org/officeDocument/2006/relationships" r:id="docRId4">
        <w:r>
          <w:rPr>
            <w:rFonts w:ascii="Aptos" w:hAnsi="Aptos" w:cs="Aptos" w:eastAsia="Aptos"/>
            <w:color w:val="0000FF"/>
            <w:spacing w:val="0"/>
            <w:position w:val="0"/>
            <w:sz w:val="24"/>
            <w:u w:val="single"/>
            <w:shd w:fill="auto" w:val="clear"/>
          </w:rPr>
          <w:t xml:space="preserve">https://doi.org/10.1097/XEB.0000000000000277</w:t>
        </w:r>
      </w:hyperlink>
      <w:r>
        <w:rPr>
          <w:rFonts w:ascii="Aptos" w:hAnsi="Aptos" w:cs="Aptos" w:eastAsia="Aptos"/>
          <w:color w:val="auto"/>
          <w:spacing w:val="0"/>
          <w:position w:val="0"/>
          <w:sz w:val="24"/>
          <w:shd w:fill="auto" w:val="clear"/>
        </w:rPr>
        <w:t xml:space="preserve">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21">
    <w:abstractNumId w:val="24"/>
  </w:num>
  <w:num w:numId="23">
    <w:abstractNumId w:val="18"/>
  </w:num>
  <w:num w:numId="27">
    <w:abstractNumId w:val="12"/>
  </w:num>
  <w:num w:numId="29">
    <w:abstractNumId w:val="6"/>
  </w:num>
  <w:num w:numId="3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digital.nhs.uk/data-and-information/publications/statistical/health-survey-for-england/2024/loneliness-and-wellbeing" Id="docRId3" Type="http://schemas.openxmlformats.org/officeDocument/2006/relationships/hyperlink" /><Relationship Target="numbering.xml" Id="docRId5" Type="http://schemas.openxmlformats.org/officeDocument/2006/relationships/numbering" /><Relationship Target="embeddings/oleObject0.bin" Id="docRId0" Type="http://schemas.openxmlformats.org/officeDocument/2006/relationships/oleObject" /><Relationship TargetMode="External" Target="https://doi.org/10.1111/hsc.13413" Id="docRId2" Type="http://schemas.openxmlformats.org/officeDocument/2006/relationships/hyperlink" /><Relationship TargetMode="External" Target="https://doi.org/10.1097/XEB.0000000000000277" Id="docRId4" Type="http://schemas.openxmlformats.org/officeDocument/2006/relationships/hyperlink" /><Relationship Target="styles.xml" Id="docRId6" Type="http://schemas.openxmlformats.org/officeDocument/2006/relationships/styles" /></Relationships>
</file>