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BBDC58" w14:textId="77777777" w:rsidR="008E70A1" w:rsidRPr="009F4BB9" w:rsidRDefault="008E70A1" w:rsidP="009F4BB9">
      <w:pPr>
        <w:pStyle w:val="Title"/>
        <w:jc w:val="center"/>
        <w:rPr>
          <w:rFonts w:ascii="Arial" w:hAnsi="Arial" w:cs="Arial"/>
          <w:color w:val="000000" w:themeColor="text1"/>
          <w:sz w:val="32"/>
          <w:szCs w:val="32"/>
          <w:lang w:val="en-GB"/>
        </w:rPr>
      </w:pPr>
      <w:bookmarkStart w:id="0" w:name="_b2ce1oupyms0" w:colFirst="0" w:colLast="0"/>
      <w:bookmarkStart w:id="1" w:name="_3enk00c3o44z" w:colFirst="0" w:colLast="0"/>
      <w:bookmarkStart w:id="2" w:name="_u2fhiqhirxs1" w:colFirst="0" w:colLast="0"/>
      <w:bookmarkEnd w:id="0"/>
      <w:bookmarkEnd w:id="1"/>
      <w:bookmarkEnd w:id="2"/>
      <w:r w:rsidRPr="009F4BB9">
        <w:rPr>
          <w:rFonts w:ascii="Arial" w:hAnsi="Arial" w:cs="Arial"/>
          <w:noProof/>
          <w:color w:val="000000" w:themeColor="text1"/>
          <w:sz w:val="32"/>
          <w:szCs w:val="32"/>
          <w:lang w:val="en-IN" w:eastAsia="en-IN" w:bidi="gu-IN"/>
        </w:rPr>
        <w:drawing>
          <wp:inline distT="114300" distB="114300" distL="114300" distR="114300" wp14:anchorId="61371056" wp14:editId="57A0DA3F">
            <wp:extent cx="3101008" cy="1062990"/>
            <wp:effectExtent l="0" t="0" r="4445" b="381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34570" cy="1074495"/>
                    </a:xfrm>
                    <a:prstGeom prst="rect">
                      <a:avLst/>
                    </a:prstGeom>
                    <a:ln/>
                  </pic:spPr>
                </pic:pic>
              </a:graphicData>
            </a:graphic>
          </wp:inline>
        </w:drawing>
      </w:r>
    </w:p>
    <w:p w14:paraId="50E191EE" w14:textId="77777777" w:rsidR="00944A01" w:rsidRDefault="00944A01" w:rsidP="009F4BB9">
      <w:pPr>
        <w:pStyle w:val="Title"/>
        <w:jc w:val="center"/>
        <w:rPr>
          <w:rFonts w:ascii="Arial" w:hAnsi="Arial" w:cs="Arial"/>
          <w:color w:val="000000" w:themeColor="text1"/>
          <w:sz w:val="32"/>
          <w:szCs w:val="32"/>
          <w:lang w:val="en-GB"/>
        </w:rPr>
      </w:pPr>
    </w:p>
    <w:p w14:paraId="7D0101CB" w14:textId="77777777" w:rsidR="008E70A1" w:rsidRPr="009F4BB9" w:rsidRDefault="008E70A1"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Programme: Master of Business Administration</w:t>
      </w:r>
    </w:p>
    <w:p w14:paraId="2AAEC341" w14:textId="518B05B6" w:rsidR="008E70A1" w:rsidRDefault="00E44B98" w:rsidP="00E44B98">
      <w:pPr>
        <w:pStyle w:val="Title"/>
        <w:spacing w:line="480" w:lineRule="auto"/>
        <w:jc w:val="center"/>
        <w:rPr>
          <w:rFonts w:ascii="Arial" w:hAnsi="Arial" w:cs="Arial"/>
          <w:color w:val="000000" w:themeColor="text1"/>
          <w:sz w:val="32"/>
          <w:szCs w:val="32"/>
          <w:lang w:val="en-GB"/>
        </w:rPr>
      </w:pPr>
      <w:r>
        <w:rPr>
          <w:rFonts w:ascii="Arial" w:hAnsi="Arial" w:cs="Arial"/>
          <w:color w:val="000000" w:themeColor="text1"/>
          <w:sz w:val="32"/>
          <w:szCs w:val="32"/>
          <w:lang w:val="en-GB"/>
        </w:rPr>
        <w:t>Module C</w:t>
      </w:r>
      <w:r w:rsidR="008E70A1" w:rsidRPr="009F4BB9">
        <w:rPr>
          <w:rFonts w:ascii="Arial" w:hAnsi="Arial" w:cs="Arial"/>
          <w:color w:val="000000" w:themeColor="text1"/>
          <w:sz w:val="32"/>
          <w:szCs w:val="32"/>
          <w:lang w:val="en-GB"/>
        </w:rPr>
        <w:t>ode: LC</w:t>
      </w:r>
      <w:r w:rsidR="002349F7">
        <w:rPr>
          <w:rFonts w:ascii="Arial" w:hAnsi="Arial" w:cs="Arial"/>
          <w:color w:val="000000" w:themeColor="text1"/>
          <w:sz w:val="32"/>
          <w:szCs w:val="32"/>
          <w:lang w:val="en-GB"/>
        </w:rPr>
        <w:t>MB</w:t>
      </w:r>
      <w:r w:rsidR="008E70A1" w:rsidRPr="009F4BB9">
        <w:rPr>
          <w:rFonts w:ascii="Arial" w:hAnsi="Arial" w:cs="Arial"/>
          <w:color w:val="000000" w:themeColor="text1"/>
          <w:sz w:val="32"/>
          <w:szCs w:val="32"/>
          <w:lang w:val="en-GB"/>
        </w:rPr>
        <w:t xml:space="preserve">7026 </w:t>
      </w:r>
    </w:p>
    <w:p w14:paraId="5D66FD3E" w14:textId="762D5809" w:rsidR="00E44B98" w:rsidRPr="00E44B98" w:rsidRDefault="00E44B98" w:rsidP="00E44B98">
      <w:pPr>
        <w:jc w:val="center"/>
        <w:rPr>
          <w:rFonts w:ascii="Arial" w:hAnsi="Arial" w:cs="Arial"/>
          <w:sz w:val="32"/>
          <w:szCs w:val="32"/>
          <w:lang w:val="en-GB"/>
        </w:rPr>
      </w:pPr>
      <w:r w:rsidRPr="00E44B98">
        <w:rPr>
          <w:rFonts w:ascii="Arial" w:hAnsi="Arial" w:cs="Arial"/>
          <w:sz w:val="32"/>
          <w:szCs w:val="32"/>
          <w:lang w:val="en-GB"/>
        </w:rPr>
        <w:t>Module Name: International Marketing: Principle</w:t>
      </w:r>
      <w:r w:rsidR="0044302A">
        <w:rPr>
          <w:rFonts w:ascii="Arial" w:hAnsi="Arial" w:cs="Arial"/>
          <w:sz w:val="32"/>
          <w:szCs w:val="32"/>
          <w:lang w:val="en-GB"/>
        </w:rPr>
        <w:t>s</w:t>
      </w:r>
      <w:r w:rsidRPr="00E44B98">
        <w:rPr>
          <w:rFonts w:ascii="Arial" w:hAnsi="Arial" w:cs="Arial"/>
          <w:sz w:val="32"/>
          <w:szCs w:val="32"/>
          <w:lang w:val="en-GB"/>
        </w:rPr>
        <w:t xml:space="preserve"> and Practice</w:t>
      </w:r>
      <w:r w:rsidR="0044302A">
        <w:rPr>
          <w:rFonts w:ascii="Arial" w:hAnsi="Arial" w:cs="Arial"/>
          <w:sz w:val="32"/>
          <w:szCs w:val="32"/>
          <w:lang w:val="en-GB"/>
        </w:rPr>
        <w:t>s</w:t>
      </w:r>
    </w:p>
    <w:p w14:paraId="0D856DDB" w14:textId="087C2AA9" w:rsidR="008E70A1" w:rsidRPr="009F4BB9" w:rsidRDefault="008E70A1"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Student Name:</w:t>
      </w:r>
      <w:r w:rsidR="00E44B98">
        <w:rPr>
          <w:rFonts w:ascii="Arial" w:hAnsi="Arial" w:cs="Arial"/>
          <w:color w:val="000000" w:themeColor="text1"/>
          <w:sz w:val="32"/>
          <w:szCs w:val="32"/>
          <w:lang w:val="en-GB"/>
        </w:rPr>
        <w:t xml:space="preserve"> Dharmikkumar </w:t>
      </w:r>
      <w:proofErr w:type="spellStart"/>
      <w:r w:rsidR="00E44B98">
        <w:rPr>
          <w:rFonts w:ascii="Arial" w:hAnsi="Arial" w:cs="Arial"/>
          <w:color w:val="000000" w:themeColor="text1"/>
          <w:sz w:val="32"/>
          <w:szCs w:val="32"/>
          <w:lang w:val="en-GB"/>
        </w:rPr>
        <w:t>Govindbhai</w:t>
      </w:r>
      <w:proofErr w:type="spellEnd"/>
      <w:r w:rsidR="00E44B98">
        <w:rPr>
          <w:rFonts w:ascii="Arial" w:hAnsi="Arial" w:cs="Arial"/>
          <w:color w:val="000000" w:themeColor="text1"/>
          <w:sz w:val="32"/>
          <w:szCs w:val="32"/>
          <w:lang w:val="en-GB"/>
        </w:rPr>
        <w:t xml:space="preserve"> </w:t>
      </w:r>
      <w:proofErr w:type="spellStart"/>
      <w:r w:rsidR="00E44B98">
        <w:rPr>
          <w:rFonts w:ascii="Arial" w:hAnsi="Arial" w:cs="Arial"/>
          <w:color w:val="000000" w:themeColor="text1"/>
          <w:sz w:val="32"/>
          <w:szCs w:val="32"/>
          <w:lang w:val="en-GB"/>
        </w:rPr>
        <w:t>Rabari</w:t>
      </w:r>
      <w:proofErr w:type="spellEnd"/>
    </w:p>
    <w:p w14:paraId="52D42AD9" w14:textId="1E7D5875" w:rsidR="008E70A1" w:rsidRPr="009F4BB9" w:rsidRDefault="008E70A1"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Student ID:</w:t>
      </w:r>
      <w:r w:rsidR="00E44B98">
        <w:rPr>
          <w:rFonts w:ascii="Arial" w:hAnsi="Arial" w:cs="Arial"/>
          <w:color w:val="000000" w:themeColor="text1"/>
          <w:sz w:val="32"/>
          <w:szCs w:val="32"/>
          <w:lang w:val="en-GB"/>
        </w:rPr>
        <w:t xml:space="preserve"> 2510581</w:t>
      </w:r>
    </w:p>
    <w:p w14:paraId="660A978D" w14:textId="77777777" w:rsidR="00E44B98" w:rsidRDefault="008E70A1"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Assignment Title:</w:t>
      </w:r>
      <w:r w:rsidR="00E44B98">
        <w:rPr>
          <w:rFonts w:ascii="Arial" w:hAnsi="Arial" w:cs="Arial"/>
          <w:color w:val="000000" w:themeColor="text1"/>
          <w:sz w:val="32"/>
          <w:szCs w:val="32"/>
          <w:lang w:val="en-GB"/>
        </w:rPr>
        <w:t xml:space="preserve"> </w:t>
      </w:r>
      <w:r w:rsidR="00E44B98" w:rsidRPr="009F4BB9">
        <w:rPr>
          <w:rFonts w:ascii="Arial" w:hAnsi="Arial" w:cs="Arial"/>
          <w:color w:val="000000" w:themeColor="text1"/>
          <w:sz w:val="32"/>
          <w:szCs w:val="32"/>
          <w:lang w:val="en-GB"/>
        </w:rPr>
        <w:t>Individual report</w:t>
      </w:r>
    </w:p>
    <w:p w14:paraId="58BBAAA3" w14:textId="328E1605" w:rsidR="00E44B98" w:rsidRPr="009F4BB9" w:rsidRDefault="00E44B98"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Lecturer Name:</w:t>
      </w:r>
      <w:r>
        <w:rPr>
          <w:rFonts w:ascii="Arial" w:hAnsi="Arial" w:cs="Arial"/>
          <w:color w:val="000000" w:themeColor="text1"/>
          <w:sz w:val="32"/>
          <w:szCs w:val="32"/>
          <w:lang w:val="en-GB"/>
        </w:rPr>
        <w:t xml:space="preserve"> </w:t>
      </w:r>
      <w:proofErr w:type="spellStart"/>
      <w:r>
        <w:rPr>
          <w:rFonts w:ascii="Arial" w:hAnsi="Arial" w:cs="Arial"/>
          <w:color w:val="000000" w:themeColor="text1"/>
          <w:sz w:val="32"/>
          <w:szCs w:val="32"/>
          <w:lang w:val="en-GB"/>
        </w:rPr>
        <w:t>Dr.</w:t>
      </w:r>
      <w:proofErr w:type="spellEnd"/>
      <w:r>
        <w:rPr>
          <w:rFonts w:ascii="Arial" w:hAnsi="Arial" w:cs="Arial"/>
          <w:color w:val="000000" w:themeColor="text1"/>
          <w:sz w:val="32"/>
          <w:szCs w:val="32"/>
          <w:lang w:val="en-GB"/>
        </w:rPr>
        <w:t xml:space="preserve"> </w:t>
      </w:r>
      <w:proofErr w:type="spellStart"/>
      <w:r>
        <w:rPr>
          <w:rFonts w:ascii="Arial" w:hAnsi="Arial" w:cs="Arial"/>
          <w:color w:val="000000" w:themeColor="text1"/>
          <w:sz w:val="32"/>
          <w:szCs w:val="32"/>
          <w:lang w:val="en-GB"/>
        </w:rPr>
        <w:t>Piyumika</w:t>
      </w:r>
      <w:proofErr w:type="spellEnd"/>
      <w:r>
        <w:rPr>
          <w:rFonts w:ascii="Arial" w:hAnsi="Arial" w:cs="Arial"/>
          <w:color w:val="000000" w:themeColor="text1"/>
          <w:sz w:val="32"/>
          <w:szCs w:val="32"/>
          <w:lang w:val="en-GB"/>
        </w:rPr>
        <w:t xml:space="preserve"> </w:t>
      </w:r>
      <w:proofErr w:type="spellStart"/>
      <w:r>
        <w:rPr>
          <w:rFonts w:ascii="Arial" w:hAnsi="Arial" w:cs="Arial"/>
          <w:color w:val="000000" w:themeColor="text1"/>
          <w:sz w:val="32"/>
          <w:szCs w:val="32"/>
          <w:lang w:val="en-GB"/>
        </w:rPr>
        <w:t>Gamage</w:t>
      </w:r>
      <w:proofErr w:type="spellEnd"/>
      <w:r>
        <w:rPr>
          <w:rFonts w:ascii="Arial" w:hAnsi="Arial" w:cs="Arial"/>
          <w:color w:val="000000" w:themeColor="text1"/>
          <w:sz w:val="32"/>
          <w:szCs w:val="32"/>
          <w:lang w:val="en-GB"/>
        </w:rPr>
        <w:t xml:space="preserve"> </w:t>
      </w:r>
    </w:p>
    <w:p w14:paraId="2648DC5E" w14:textId="1610EAB6" w:rsidR="00096AB7" w:rsidRPr="009F4BB9" w:rsidRDefault="00096AB7"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Company: Toyota (India &amp; Japan)</w:t>
      </w:r>
    </w:p>
    <w:p w14:paraId="0843A364" w14:textId="45399F4E" w:rsidR="005C2CC7" w:rsidRPr="009F4BB9" w:rsidRDefault="008E70A1" w:rsidP="00E44B98">
      <w:pPr>
        <w:pStyle w:val="Title"/>
        <w:spacing w:line="480" w:lineRule="auto"/>
        <w:jc w:val="center"/>
        <w:rPr>
          <w:rFonts w:ascii="Arial" w:hAnsi="Arial" w:cs="Arial"/>
          <w:color w:val="000000" w:themeColor="text1"/>
          <w:sz w:val="32"/>
          <w:szCs w:val="32"/>
          <w:lang w:val="en-GB"/>
        </w:rPr>
      </w:pPr>
      <w:r w:rsidRPr="009F4BB9">
        <w:rPr>
          <w:rFonts w:ascii="Arial" w:hAnsi="Arial" w:cs="Arial"/>
          <w:color w:val="000000" w:themeColor="text1"/>
          <w:sz w:val="32"/>
          <w:szCs w:val="32"/>
          <w:lang w:val="en-GB"/>
        </w:rPr>
        <w:t xml:space="preserve">Words: </w:t>
      </w:r>
      <w:r w:rsidR="00A57D8A" w:rsidRPr="009F4BB9">
        <w:rPr>
          <w:rFonts w:ascii="Arial" w:hAnsi="Arial" w:cs="Arial"/>
          <w:color w:val="000000" w:themeColor="text1"/>
          <w:sz w:val="32"/>
          <w:szCs w:val="32"/>
          <w:lang w:val="en-GB"/>
        </w:rPr>
        <w:t>4700</w:t>
      </w:r>
    </w:p>
    <w:p w14:paraId="6A122448" w14:textId="0FEF7963" w:rsidR="00DC6E49" w:rsidRPr="00DF593C" w:rsidRDefault="00DC6E49" w:rsidP="00E44B98">
      <w:pPr>
        <w:pStyle w:val="Title"/>
        <w:spacing w:line="480" w:lineRule="auto"/>
        <w:jc w:val="center"/>
        <w:rPr>
          <w:lang w:val="en-GB"/>
        </w:rPr>
      </w:pPr>
      <w:r w:rsidRPr="00056B7B">
        <w:rPr>
          <w:lang w:val="en-GB"/>
        </w:rPr>
        <w:br w:type="page"/>
      </w:r>
    </w:p>
    <w:sdt>
      <w:sdtPr>
        <w:rPr>
          <w:rFonts w:ascii="Arial" w:eastAsiaTheme="minorEastAsia" w:hAnsi="Arial" w:cs="Arial"/>
          <w:color w:val="000000" w:themeColor="text1"/>
          <w:sz w:val="24"/>
          <w:szCs w:val="24"/>
          <w:lang w:val="en-GB"/>
        </w:rPr>
        <w:id w:val="638002182"/>
        <w:docPartObj>
          <w:docPartGallery w:val="Table of Contents"/>
          <w:docPartUnique/>
        </w:docPartObj>
      </w:sdtPr>
      <w:sdtEndPr>
        <w:rPr>
          <w:b/>
          <w:bCs/>
          <w:noProof/>
        </w:rPr>
      </w:sdtEndPr>
      <w:sdtContent>
        <w:p w14:paraId="4BE44094" w14:textId="1AE9B64F" w:rsidR="00DC6E49" w:rsidRPr="00ED2B84" w:rsidRDefault="00DC6E49" w:rsidP="00F05C75">
          <w:pPr>
            <w:pStyle w:val="TOCHeading"/>
            <w:spacing w:after="240" w:line="360" w:lineRule="auto"/>
            <w:jc w:val="both"/>
            <w:rPr>
              <w:rFonts w:ascii="Arial" w:hAnsi="Arial" w:cs="Arial"/>
              <w:b/>
              <w:bCs/>
              <w:color w:val="000000" w:themeColor="text1"/>
              <w:sz w:val="24"/>
              <w:szCs w:val="24"/>
              <w:lang w:val="en-GB"/>
            </w:rPr>
          </w:pPr>
          <w:r w:rsidRPr="00ED2B84">
            <w:rPr>
              <w:rFonts w:ascii="Arial" w:hAnsi="Arial" w:cs="Arial"/>
              <w:b/>
              <w:bCs/>
              <w:color w:val="000000" w:themeColor="text1"/>
              <w:sz w:val="24"/>
              <w:szCs w:val="24"/>
              <w:lang w:val="en-GB"/>
            </w:rPr>
            <w:t>Table of Contents</w:t>
          </w:r>
        </w:p>
        <w:p w14:paraId="2D0D6FFA" w14:textId="0EE4399F" w:rsidR="00ED2B84" w:rsidRDefault="00DC6E49">
          <w:pPr>
            <w:pStyle w:val="TOC1"/>
            <w:tabs>
              <w:tab w:val="right" w:leader="dot" w:pos="9016"/>
            </w:tabs>
            <w:rPr>
              <w:rFonts w:asciiTheme="minorHAnsi" w:hAnsiTheme="minorHAnsi"/>
              <w:noProof/>
              <w:kern w:val="2"/>
              <w:szCs w:val="30"/>
              <w:lang w:val="en-IN" w:eastAsia="en-IN" w:bidi="bn-IN"/>
              <w14:ligatures w14:val="standardContextual"/>
            </w:rPr>
          </w:pPr>
          <w:r w:rsidRPr="00056B7B">
            <w:rPr>
              <w:rFonts w:ascii="Arial" w:hAnsi="Arial" w:cs="Arial"/>
              <w:color w:val="000000" w:themeColor="text1"/>
              <w:szCs w:val="24"/>
              <w:lang w:val="en-GB"/>
            </w:rPr>
            <w:fldChar w:fldCharType="begin"/>
          </w:r>
          <w:r w:rsidRPr="00056B7B">
            <w:rPr>
              <w:rFonts w:ascii="Arial" w:hAnsi="Arial" w:cs="Arial"/>
              <w:color w:val="000000" w:themeColor="text1"/>
              <w:szCs w:val="24"/>
              <w:lang w:val="en-GB"/>
            </w:rPr>
            <w:instrText xml:space="preserve"> TOC \o "1-3" \h \z \u </w:instrText>
          </w:r>
          <w:r w:rsidRPr="00056B7B">
            <w:rPr>
              <w:rFonts w:ascii="Arial" w:hAnsi="Arial" w:cs="Arial"/>
              <w:color w:val="000000" w:themeColor="text1"/>
              <w:szCs w:val="24"/>
              <w:lang w:val="en-GB"/>
            </w:rPr>
            <w:fldChar w:fldCharType="separate"/>
          </w:r>
          <w:hyperlink w:anchor="_Toc237033494" w:history="1">
            <w:r w:rsidR="00ED2B84" w:rsidRPr="002442F1">
              <w:rPr>
                <w:rStyle w:val="Hyperlink"/>
                <w:rFonts w:ascii="Arial" w:hAnsi="Arial" w:cs="Arial"/>
                <w:noProof/>
                <w:lang w:val="en-GB"/>
              </w:rPr>
              <w:t>1. Introduction</w:t>
            </w:r>
            <w:r w:rsidR="00ED2B84">
              <w:rPr>
                <w:noProof/>
                <w:webHidden/>
              </w:rPr>
              <w:tab/>
            </w:r>
            <w:r w:rsidR="00ED2B84">
              <w:rPr>
                <w:noProof/>
                <w:webHidden/>
              </w:rPr>
              <w:fldChar w:fldCharType="begin"/>
            </w:r>
            <w:r w:rsidR="00ED2B84">
              <w:rPr>
                <w:noProof/>
                <w:webHidden/>
              </w:rPr>
              <w:instrText xml:space="preserve"> PAGEREF _Toc237033494 \h </w:instrText>
            </w:r>
            <w:r w:rsidR="00ED2B84">
              <w:rPr>
                <w:noProof/>
                <w:webHidden/>
              </w:rPr>
            </w:r>
            <w:r w:rsidR="00ED2B84">
              <w:rPr>
                <w:noProof/>
                <w:webHidden/>
              </w:rPr>
              <w:fldChar w:fldCharType="separate"/>
            </w:r>
            <w:r w:rsidR="00ED2B84">
              <w:rPr>
                <w:noProof/>
                <w:webHidden/>
              </w:rPr>
              <w:t>4</w:t>
            </w:r>
            <w:r w:rsidR="00ED2B84">
              <w:rPr>
                <w:noProof/>
                <w:webHidden/>
              </w:rPr>
              <w:fldChar w:fldCharType="end"/>
            </w:r>
          </w:hyperlink>
        </w:p>
        <w:p w14:paraId="778D8EAD" w14:textId="184C119D"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495" w:history="1">
            <w:r w:rsidR="00ED2B84" w:rsidRPr="002442F1">
              <w:rPr>
                <w:rStyle w:val="Hyperlink"/>
                <w:rFonts w:ascii="Arial" w:hAnsi="Arial" w:cs="Arial"/>
                <w:noProof/>
                <w:lang w:val="en-GB"/>
              </w:rPr>
              <w:t>2. Comparative PESTEL Analysis</w:t>
            </w:r>
            <w:r w:rsidR="00ED2B84">
              <w:rPr>
                <w:noProof/>
                <w:webHidden/>
              </w:rPr>
              <w:tab/>
            </w:r>
            <w:r w:rsidR="00ED2B84">
              <w:rPr>
                <w:noProof/>
                <w:webHidden/>
              </w:rPr>
              <w:fldChar w:fldCharType="begin"/>
            </w:r>
            <w:r w:rsidR="00ED2B84">
              <w:rPr>
                <w:noProof/>
                <w:webHidden/>
              </w:rPr>
              <w:instrText xml:space="preserve"> PAGEREF _Toc237033495 \h </w:instrText>
            </w:r>
            <w:r w:rsidR="00ED2B84">
              <w:rPr>
                <w:noProof/>
                <w:webHidden/>
              </w:rPr>
            </w:r>
            <w:r w:rsidR="00ED2B84">
              <w:rPr>
                <w:noProof/>
                <w:webHidden/>
              </w:rPr>
              <w:fldChar w:fldCharType="separate"/>
            </w:r>
            <w:r w:rsidR="00ED2B84">
              <w:rPr>
                <w:noProof/>
                <w:webHidden/>
              </w:rPr>
              <w:t>5</w:t>
            </w:r>
            <w:r w:rsidR="00ED2B84">
              <w:rPr>
                <w:noProof/>
                <w:webHidden/>
              </w:rPr>
              <w:fldChar w:fldCharType="end"/>
            </w:r>
          </w:hyperlink>
        </w:p>
        <w:p w14:paraId="0CA78048" w14:textId="43B5D80E"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496" w:history="1">
            <w:r w:rsidR="00ED2B84" w:rsidRPr="002442F1">
              <w:rPr>
                <w:rStyle w:val="Hyperlink"/>
                <w:rFonts w:ascii="Arial" w:hAnsi="Arial" w:cs="Arial"/>
                <w:noProof/>
                <w:lang w:val="en-GB"/>
              </w:rPr>
              <w:t>2.1 Political and legal context</w:t>
            </w:r>
            <w:r w:rsidR="00ED2B84">
              <w:rPr>
                <w:noProof/>
                <w:webHidden/>
              </w:rPr>
              <w:tab/>
            </w:r>
            <w:r w:rsidR="00ED2B84">
              <w:rPr>
                <w:noProof/>
                <w:webHidden/>
              </w:rPr>
              <w:fldChar w:fldCharType="begin"/>
            </w:r>
            <w:r w:rsidR="00ED2B84">
              <w:rPr>
                <w:noProof/>
                <w:webHidden/>
              </w:rPr>
              <w:instrText xml:space="preserve"> PAGEREF _Toc237033496 \h </w:instrText>
            </w:r>
            <w:r w:rsidR="00ED2B84">
              <w:rPr>
                <w:noProof/>
                <w:webHidden/>
              </w:rPr>
            </w:r>
            <w:r w:rsidR="00ED2B84">
              <w:rPr>
                <w:noProof/>
                <w:webHidden/>
              </w:rPr>
              <w:fldChar w:fldCharType="separate"/>
            </w:r>
            <w:r w:rsidR="00ED2B84">
              <w:rPr>
                <w:noProof/>
                <w:webHidden/>
              </w:rPr>
              <w:t>5</w:t>
            </w:r>
            <w:r w:rsidR="00ED2B84">
              <w:rPr>
                <w:noProof/>
                <w:webHidden/>
              </w:rPr>
              <w:fldChar w:fldCharType="end"/>
            </w:r>
          </w:hyperlink>
        </w:p>
        <w:p w14:paraId="10F10055" w14:textId="38D1A2E4"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497" w:history="1">
            <w:r w:rsidR="00ED2B84" w:rsidRPr="002442F1">
              <w:rPr>
                <w:rStyle w:val="Hyperlink"/>
                <w:rFonts w:ascii="Arial" w:hAnsi="Arial" w:cs="Arial"/>
                <w:noProof/>
                <w:lang w:val="en-GB"/>
              </w:rPr>
              <w:t>2.2 Economic conditions</w:t>
            </w:r>
            <w:r w:rsidR="00ED2B84">
              <w:rPr>
                <w:noProof/>
                <w:webHidden/>
              </w:rPr>
              <w:tab/>
            </w:r>
            <w:r w:rsidR="00ED2B84">
              <w:rPr>
                <w:noProof/>
                <w:webHidden/>
              </w:rPr>
              <w:fldChar w:fldCharType="begin"/>
            </w:r>
            <w:r w:rsidR="00ED2B84">
              <w:rPr>
                <w:noProof/>
                <w:webHidden/>
              </w:rPr>
              <w:instrText xml:space="preserve"> PAGEREF _Toc237033497 \h </w:instrText>
            </w:r>
            <w:r w:rsidR="00ED2B84">
              <w:rPr>
                <w:noProof/>
                <w:webHidden/>
              </w:rPr>
            </w:r>
            <w:r w:rsidR="00ED2B84">
              <w:rPr>
                <w:noProof/>
                <w:webHidden/>
              </w:rPr>
              <w:fldChar w:fldCharType="separate"/>
            </w:r>
            <w:r w:rsidR="00ED2B84">
              <w:rPr>
                <w:noProof/>
                <w:webHidden/>
              </w:rPr>
              <w:t>6</w:t>
            </w:r>
            <w:r w:rsidR="00ED2B84">
              <w:rPr>
                <w:noProof/>
                <w:webHidden/>
              </w:rPr>
              <w:fldChar w:fldCharType="end"/>
            </w:r>
          </w:hyperlink>
        </w:p>
        <w:p w14:paraId="08A67CDF" w14:textId="365288CB"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498" w:history="1">
            <w:r w:rsidR="00ED2B84" w:rsidRPr="002442F1">
              <w:rPr>
                <w:rStyle w:val="Hyperlink"/>
                <w:rFonts w:ascii="Arial" w:hAnsi="Arial" w:cs="Arial"/>
                <w:noProof/>
                <w:lang w:val="en-GB"/>
              </w:rPr>
              <w:t>2.3 Sociocultural factors</w:t>
            </w:r>
            <w:r w:rsidR="00ED2B84">
              <w:rPr>
                <w:noProof/>
                <w:webHidden/>
              </w:rPr>
              <w:tab/>
            </w:r>
            <w:r w:rsidR="00ED2B84">
              <w:rPr>
                <w:noProof/>
                <w:webHidden/>
              </w:rPr>
              <w:fldChar w:fldCharType="begin"/>
            </w:r>
            <w:r w:rsidR="00ED2B84">
              <w:rPr>
                <w:noProof/>
                <w:webHidden/>
              </w:rPr>
              <w:instrText xml:space="preserve"> PAGEREF _Toc237033498 \h </w:instrText>
            </w:r>
            <w:r w:rsidR="00ED2B84">
              <w:rPr>
                <w:noProof/>
                <w:webHidden/>
              </w:rPr>
            </w:r>
            <w:r w:rsidR="00ED2B84">
              <w:rPr>
                <w:noProof/>
                <w:webHidden/>
              </w:rPr>
              <w:fldChar w:fldCharType="separate"/>
            </w:r>
            <w:r w:rsidR="00ED2B84">
              <w:rPr>
                <w:noProof/>
                <w:webHidden/>
              </w:rPr>
              <w:t>7</w:t>
            </w:r>
            <w:r w:rsidR="00ED2B84">
              <w:rPr>
                <w:noProof/>
                <w:webHidden/>
              </w:rPr>
              <w:fldChar w:fldCharType="end"/>
            </w:r>
          </w:hyperlink>
        </w:p>
        <w:p w14:paraId="76112F21" w14:textId="70968475"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499" w:history="1">
            <w:r w:rsidR="00ED2B84" w:rsidRPr="002442F1">
              <w:rPr>
                <w:rStyle w:val="Hyperlink"/>
                <w:rFonts w:ascii="Arial" w:hAnsi="Arial" w:cs="Arial"/>
                <w:noProof/>
                <w:lang w:val="en-GB"/>
              </w:rPr>
              <w:t>2.4 Technological and environmental transition</w:t>
            </w:r>
            <w:r w:rsidR="00ED2B84">
              <w:rPr>
                <w:noProof/>
                <w:webHidden/>
              </w:rPr>
              <w:tab/>
            </w:r>
            <w:r w:rsidR="00ED2B84">
              <w:rPr>
                <w:noProof/>
                <w:webHidden/>
              </w:rPr>
              <w:fldChar w:fldCharType="begin"/>
            </w:r>
            <w:r w:rsidR="00ED2B84">
              <w:rPr>
                <w:noProof/>
                <w:webHidden/>
              </w:rPr>
              <w:instrText xml:space="preserve"> PAGEREF _Toc237033499 \h </w:instrText>
            </w:r>
            <w:r w:rsidR="00ED2B84">
              <w:rPr>
                <w:noProof/>
                <w:webHidden/>
              </w:rPr>
            </w:r>
            <w:r w:rsidR="00ED2B84">
              <w:rPr>
                <w:noProof/>
                <w:webHidden/>
              </w:rPr>
              <w:fldChar w:fldCharType="separate"/>
            </w:r>
            <w:r w:rsidR="00ED2B84">
              <w:rPr>
                <w:noProof/>
                <w:webHidden/>
              </w:rPr>
              <w:t>8</w:t>
            </w:r>
            <w:r w:rsidR="00ED2B84">
              <w:rPr>
                <w:noProof/>
                <w:webHidden/>
              </w:rPr>
              <w:fldChar w:fldCharType="end"/>
            </w:r>
          </w:hyperlink>
        </w:p>
        <w:p w14:paraId="0C4A0711" w14:textId="7EF9FE88"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00" w:history="1">
            <w:r w:rsidR="00ED2B84" w:rsidRPr="002442F1">
              <w:rPr>
                <w:rStyle w:val="Hyperlink"/>
                <w:rFonts w:ascii="Arial" w:hAnsi="Arial" w:cs="Arial"/>
                <w:noProof/>
                <w:lang w:val="en-GB"/>
              </w:rPr>
              <w:t>3. STP Analysis</w:t>
            </w:r>
            <w:r w:rsidR="00ED2B84">
              <w:rPr>
                <w:noProof/>
                <w:webHidden/>
              </w:rPr>
              <w:tab/>
            </w:r>
            <w:r w:rsidR="00ED2B84">
              <w:rPr>
                <w:noProof/>
                <w:webHidden/>
              </w:rPr>
              <w:fldChar w:fldCharType="begin"/>
            </w:r>
            <w:r w:rsidR="00ED2B84">
              <w:rPr>
                <w:noProof/>
                <w:webHidden/>
              </w:rPr>
              <w:instrText xml:space="preserve"> PAGEREF _Toc237033500 \h </w:instrText>
            </w:r>
            <w:r w:rsidR="00ED2B84">
              <w:rPr>
                <w:noProof/>
                <w:webHidden/>
              </w:rPr>
            </w:r>
            <w:r w:rsidR="00ED2B84">
              <w:rPr>
                <w:noProof/>
                <w:webHidden/>
              </w:rPr>
              <w:fldChar w:fldCharType="separate"/>
            </w:r>
            <w:r w:rsidR="00ED2B84">
              <w:rPr>
                <w:noProof/>
                <w:webHidden/>
              </w:rPr>
              <w:t>9</w:t>
            </w:r>
            <w:r w:rsidR="00ED2B84">
              <w:rPr>
                <w:noProof/>
                <w:webHidden/>
              </w:rPr>
              <w:fldChar w:fldCharType="end"/>
            </w:r>
          </w:hyperlink>
        </w:p>
        <w:p w14:paraId="0EFDD73E" w14:textId="2FA3FB8E"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1" w:history="1">
            <w:r w:rsidR="00ED2B84" w:rsidRPr="002442F1">
              <w:rPr>
                <w:rStyle w:val="Hyperlink"/>
                <w:rFonts w:ascii="Arial" w:hAnsi="Arial" w:cs="Arial"/>
                <w:noProof/>
                <w:lang w:val="en-GB"/>
              </w:rPr>
              <w:t>3.1 Segmentation</w:t>
            </w:r>
            <w:r w:rsidR="00ED2B84">
              <w:rPr>
                <w:noProof/>
                <w:webHidden/>
              </w:rPr>
              <w:tab/>
            </w:r>
            <w:r w:rsidR="00ED2B84">
              <w:rPr>
                <w:noProof/>
                <w:webHidden/>
              </w:rPr>
              <w:fldChar w:fldCharType="begin"/>
            </w:r>
            <w:r w:rsidR="00ED2B84">
              <w:rPr>
                <w:noProof/>
                <w:webHidden/>
              </w:rPr>
              <w:instrText xml:space="preserve"> PAGEREF _Toc237033501 \h </w:instrText>
            </w:r>
            <w:r w:rsidR="00ED2B84">
              <w:rPr>
                <w:noProof/>
                <w:webHidden/>
              </w:rPr>
            </w:r>
            <w:r w:rsidR="00ED2B84">
              <w:rPr>
                <w:noProof/>
                <w:webHidden/>
              </w:rPr>
              <w:fldChar w:fldCharType="separate"/>
            </w:r>
            <w:r w:rsidR="00ED2B84">
              <w:rPr>
                <w:noProof/>
                <w:webHidden/>
              </w:rPr>
              <w:t>9</w:t>
            </w:r>
            <w:r w:rsidR="00ED2B84">
              <w:rPr>
                <w:noProof/>
                <w:webHidden/>
              </w:rPr>
              <w:fldChar w:fldCharType="end"/>
            </w:r>
          </w:hyperlink>
        </w:p>
        <w:p w14:paraId="3B37249D" w14:textId="42F9E878"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2" w:history="1">
            <w:r w:rsidR="00ED2B84" w:rsidRPr="002442F1">
              <w:rPr>
                <w:rStyle w:val="Hyperlink"/>
                <w:rFonts w:ascii="Arial" w:hAnsi="Arial" w:cs="Arial"/>
                <w:noProof/>
                <w:lang w:val="en-GB"/>
              </w:rPr>
              <w:t>3.2 Targeting</w:t>
            </w:r>
            <w:r w:rsidR="00ED2B84">
              <w:rPr>
                <w:noProof/>
                <w:webHidden/>
              </w:rPr>
              <w:tab/>
            </w:r>
            <w:r w:rsidR="00ED2B84">
              <w:rPr>
                <w:noProof/>
                <w:webHidden/>
              </w:rPr>
              <w:fldChar w:fldCharType="begin"/>
            </w:r>
            <w:r w:rsidR="00ED2B84">
              <w:rPr>
                <w:noProof/>
                <w:webHidden/>
              </w:rPr>
              <w:instrText xml:space="preserve"> PAGEREF _Toc237033502 \h </w:instrText>
            </w:r>
            <w:r w:rsidR="00ED2B84">
              <w:rPr>
                <w:noProof/>
                <w:webHidden/>
              </w:rPr>
            </w:r>
            <w:r w:rsidR="00ED2B84">
              <w:rPr>
                <w:noProof/>
                <w:webHidden/>
              </w:rPr>
              <w:fldChar w:fldCharType="separate"/>
            </w:r>
            <w:r w:rsidR="00ED2B84">
              <w:rPr>
                <w:noProof/>
                <w:webHidden/>
              </w:rPr>
              <w:t>9</w:t>
            </w:r>
            <w:r w:rsidR="00ED2B84">
              <w:rPr>
                <w:noProof/>
                <w:webHidden/>
              </w:rPr>
              <w:fldChar w:fldCharType="end"/>
            </w:r>
          </w:hyperlink>
        </w:p>
        <w:p w14:paraId="4D8472A0" w14:textId="39034AC3"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3" w:history="1">
            <w:r w:rsidR="00ED2B84" w:rsidRPr="002442F1">
              <w:rPr>
                <w:rStyle w:val="Hyperlink"/>
                <w:rFonts w:ascii="Arial" w:hAnsi="Arial" w:cs="Arial"/>
                <w:noProof/>
                <w:lang w:val="en-GB"/>
              </w:rPr>
              <w:t>3.3 Positioning</w:t>
            </w:r>
            <w:r w:rsidR="00ED2B84">
              <w:rPr>
                <w:noProof/>
                <w:webHidden/>
              </w:rPr>
              <w:tab/>
            </w:r>
            <w:r w:rsidR="00ED2B84">
              <w:rPr>
                <w:noProof/>
                <w:webHidden/>
              </w:rPr>
              <w:fldChar w:fldCharType="begin"/>
            </w:r>
            <w:r w:rsidR="00ED2B84">
              <w:rPr>
                <w:noProof/>
                <w:webHidden/>
              </w:rPr>
              <w:instrText xml:space="preserve"> PAGEREF _Toc237033503 \h </w:instrText>
            </w:r>
            <w:r w:rsidR="00ED2B84">
              <w:rPr>
                <w:noProof/>
                <w:webHidden/>
              </w:rPr>
            </w:r>
            <w:r w:rsidR="00ED2B84">
              <w:rPr>
                <w:noProof/>
                <w:webHidden/>
              </w:rPr>
              <w:fldChar w:fldCharType="separate"/>
            </w:r>
            <w:r w:rsidR="00ED2B84">
              <w:rPr>
                <w:noProof/>
                <w:webHidden/>
              </w:rPr>
              <w:t>11</w:t>
            </w:r>
            <w:r w:rsidR="00ED2B84">
              <w:rPr>
                <w:noProof/>
                <w:webHidden/>
              </w:rPr>
              <w:fldChar w:fldCharType="end"/>
            </w:r>
          </w:hyperlink>
        </w:p>
        <w:p w14:paraId="6D2E4AED" w14:textId="1E69B35C"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04" w:history="1">
            <w:r w:rsidR="00ED2B84" w:rsidRPr="002442F1">
              <w:rPr>
                <w:rStyle w:val="Hyperlink"/>
                <w:rFonts w:ascii="Arial" w:hAnsi="Arial" w:cs="Arial"/>
                <w:noProof/>
                <w:lang w:val="en-GB"/>
              </w:rPr>
              <w:t>4. International Marketing Mix (7Ps)</w:t>
            </w:r>
            <w:r w:rsidR="00ED2B84">
              <w:rPr>
                <w:noProof/>
                <w:webHidden/>
              </w:rPr>
              <w:tab/>
            </w:r>
            <w:r w:rsidR="00ED2B84">
              <w:rPr>
                <w:noProof/>
                <w:webHidden/>
              </w:rPr>
              <w:fldChar w:fldCharType="begin"/>
            </w:r>
            <w:r w:rsidR="00ED2B84">
              <w:rPr>
                <w:noProof/>
                <w:webHidden/>
              </w:rPr>
              <w:instrText xml:space="preserve"> PAGEREF _Toc237033504 \h </w:instrText>
            </w:r>
            <w:r w:rsidR="00ED2B84">
              <w:rPr>
                <w:noProof/>
                <w:webHidden/>
              </w:rPr>
            </w:r>
            <w:r w:rsidR="00ED2B84">
              <w:rPr>
                <w:noProof/>
                <w:webHidden/>
              </w:rPr>
              <w:fldChar w:fldCharType="separate"/>
            </w:r>
            <w:r w:rsidR="00ED2B84">
              <w:rPr>
                <w:noProof/>
                <w:webHidden/>
              </w:rPr>
              <w:t>12</w:t>
            </w:r>
            <w:r w:rsidR="00ED2B84">
              <w:rPr>
                <w:noProof/>
                <w:webHidden/>
              </w:rPr>
              <w:fldChar w:fldCharType="end"/>
            </w:r>
          </w:hyperlink>
        </w:p>
        <w:p w14:paraId="23FD4808" w14:textId="5D519293"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5" w:history="1">
            <w:r w:rsidR="00ED2B84" w:rsidRPr="002442F1">
              <w:rPr>
                <w:rStyle w:val="Hyperlink"/>
                <w:rFonts w:ascii="Arial" w:hAnsi="Arial" w:cs="Arial"/>
                <w:noProof/>
                <w:lang w:val="en-GB"/>
              </w:rPr>
              <w:t>4.1 Product and price</w:t>
            </w:r>
            <w:r w:rsidR="00ED2B84">
              <w:rPr>
                <w:noProof/>
                <w:webHidden/>
              </w:rPr>
              <w:tab/>
            </w:r>
            <w:r w:rsidR="00ED2B84">
              <w:rPr>
                <w:noProof/>
                <w:webHidden/>
              </w:rPr>
              <w:fldChar w:fldCharType="begin"/>
            </w:r>
            <w:r w:rsidR="00ED2B84">
              <w:rPr>
                <w:noProof/>
                <w:webHidden/>
              </w:rPr>
              <w:instrText xml:space="preserve"> PAGEREF _Toc237033505 \h </w:instrText>
            </w:r>
            <w:r w:rsidR="00ED2B84">
              <w:rPr>
                <w:noProof/>
                <w:webHidden/>
              </w:rPr>
            </w:r>
            <w:r w:rsidR="00ED2B84">
              <w:rPr>
                <w:noProof/>
                <w:webHidden/>
              </w:rPr>
              <w:fldChar w:fldCharType="separate"/>
            </w:r>
            <w:r w:rsidR="00ED2B84">
              <w:rPr>
                <w:noProof/>
                <w:webHidden/>
              </w:rPr>
              <w:t>12</w:t>
            </w:r>
            <w:r w:rsidR="00ED2B84">
              <w:rPr>
                <w:noProof/>
                <w:webHidden/>
              </w:rPr>
              <w:fldChar w:fldCharType="end"/>
            </w:r>
          </w:hyperlink>
        </w:p>
        <w:p w14:paraId="46C11DF8" w14:textId="106216AC"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6" w:history="1">
            <w:r w:rsidR="00ED2B84" w:rsidRPr="002442F1">
              <w:rPr>
                <w:rStyle w:val="Hyperlink"/>
                <w:rFonts w:ascii="Arial" w:hAnsi="Arial" w:cs="Arial"/>
                <w:noProof/>
                <w:lang w:val="en-GB"/>
              </w:rPr>
              <w:t>4.2 Place, promotion and service design</w:t>
            </w:r>
            <w:r w:rsidR="00ED2B84">
              <w:rPr>
                <w:noProof/>
                <w:webHidden/>
              </w:rPr>
              <w:tab/>
            </w:r>
            <w:r w:rsidR="00ED2B84">
              <w:rPr>
                <w:noProof/>
                <w:webHidden/>
              </w:rPr>
              <w:fldChar w:fldCharType="begin"/>
            </w:r>
            <w:r w:rsidR="00ED2B84">
              <w:rPr>
                <w:noProof/>
                <w:webHidden/>
              </w:rPr>
              <w:instrText xml:space="preserve"> PAGEREF _Toc237033506 \h </w:instrText>
            </w:r>
            <w:r w:rsidR="00ED2B84">
              <w:rPr>
                <w:noProof/>
                <w:webHidden/>
              </w:rPr>
            </w:r>
            <w:r w:rsidR="00ED2B84">
              <w:rPr>
                <w:noProof/>
                <w:webHidden/>
              </w:rPr>
              <w:fldChar w:fldCharType="separate"/>
            </w:r>
            <w:r w:rsidR="00ED2B84">
              <w:rPr>
                <w:noProof/>
                <w:webHidden/>
              </w:rPr>
              <w:t>12</w:t>
            </w:r>
            <w:r w:rsidR="00ED2B84">
              <w:rPr>
                <w:noProof/>
                <w:webHidden/>
              </w:rPr>
              <w:fldChar w:fldCharType="end"/>
            </w:r>
          </w:hyperlink>
        </w:p>
        <w:p w14:paraId="79A77C5F" w14:textId="60B33AE8"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07" w:history="1">
            <w:r w:rsidR="00ED2B84" w:rsidRPr="002442F1">
              <w:rPr>
                <w:rStyle w:val="Hyperlink"/>
                <w:rFonts w:ascii="Arial" w:hAnsi="Arial" w:cs="Arial"/>
                <w:noProof/>
                <w:lang w:val="en-GB"/>
              </w:rPr>
              <w:t>4.3 People, process and physical evidence</w:t>
            </w:r>
            <w:r w:rsidR="00ED2B84">
              <w:rPr>
                <w:noProof/>
                <w:webHidden/>
              </w:rPr>
              <w:tab/>
            </w:r>
            <w:r w:rsidR="00ED2B84">
              <w:rPr>
                <w:noProof/>
                <w:webHidden/>
              </w:rPr>
              <w:fldChar w:fldCharType="begin"/>
            </w:r>
            <w:r w:rsidR="00ED2B84">
              <w:rPr>
                <w:noProof/>
                <w:webHidden/>
              </w:rPr>
              <w:instrText xml:space="preserve"> PAGEREF _Toc237033507 \h </w:instrText>
            </w:r>
            <w:r w:rsidR="00ED2B84">
              <w:rPr>
                <w:noProof/>
                <w:webHidden/>
              </w:rPr>
            </w:r>
            <w:r w:rsidR="00ED2B84">
              <w:rPr>
                <w:noProof/>
                <w:webHidden/>
              </w:rPr>
              <w:fldChar w:fldCharType="separate"/>
            </w:r>
            <w:r w:rsidR="00ED2B84">
              <w:rPr>
                <w:noProof/>
                <w:webHidden/>
              </w:rPr>
              <w:t>13</w:t>
            </w:r>
            <w:r w:rsidR="00ED2B84">
              <w:rPr>
                <w:noProof/>
                <w:webHidden/>
              </w:rPr>
              <w:fldChar w:fldCharType="end"/>
            </w:r>
          </w:hyperlink>
        </w:p>
        <w:p w14:paraId="295B3B14" w14:textId="13C66B22"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08" w:history="1">
            <w:r w:rsidR="00ED2B84" w:rsidRPr="002442F1">
              <w:rPr>
                <w:rStyle w:val="Hyperlink"/>
                <w:rFonts w:ascii="Arial" w:hAnsi="Arial" w:cs="Arial"/>
                <w:noProof/>
                <w:lang w:val="en-GB"/>
              </w:rPr>
              <w:t>5. Market Entry Strategy in India</w:t>
            </w:r>
            <w:r w:rsidR="00ED2B84">
              <w:rPr>
                <w:noProof/>
                <w:webHidden/>
              </w:rPr>
              <w:tab/>
            </w:r>
            <w:r w:rsidR="00ED2B84">
              <w:rPr>
                <w:noProof/>
                <w:webHidden/>
              </w:rPr>
              <w:fldChar w:fldCharType="begin"/>
            </w:r>
            <w:r w:rsidR="00ED2B84">
              <w:rPr>
                <w:noProof/>
                <w:webHidden/>
              </w:rPr>
              <w:instrText xml:space="preserve"> PAGEREF _Toc237033508 \h </w:instrText>
            </w:r>
            <w:r w:rsidR="00ED2B84">
              <w:rPr>
                <w:noProof/>
                <w:webHidden/>
              </w:rPr>
            </w:r>
            <w:r w:rsidR="00ED2B84">
              <w:rPr>
                <w:noProof/>
                <w:webHidden/>
              </w:rPr>
              <w:fldChar w:fldCharType="separate"/>
            </w:r>
            <w:r w:rsidR="00ED2B84">
              <w:rPr>
                <w:noProof/>
                <w:webHidden/>
              </w:rPr>
              <w:t>14</w:t>
            </w:r>
            <w:r w:rsidR="00ED2B84">
              <w:rPr>
                <w:noProof/>
                <w:webHidden/>
              </w:rPr>
              <w:fldChar w:fldCharType="end"/>
            </w:r>
          </w:hyperlink>
        </w:p>
        <w:p w14:paraId="2BF63DC4" w14:textId="6CF03FCC"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09" w:history="1">
            <w:r w:rsidR="00ED2B84" w:rsidRPr="002442F1">
              <w:rPr>
                <w:rStyle w:val="Hyperlink"/>
                <w:rFonts w:ascii="Arial" w:hAnsi="Arial" w:cs="Arial"/>
                <w:noProof/>
                <w:lang w:val="en-GB"/>
              </w:rPr>
              <w:t>6. Ethical Evaluation</w:t>
            </w:r>
            <w:r w:rsidR="00ED2B84">
              <w:rPr>
                <w:noProof/>
                <w:webHidden/>
              </w:rPr>
              <w:tab/>
            </w:r>
            <w:r w:rsidR="00ED2B84">
              <w:rPr>
                <w:noProof/>
                <w:webHidden/>
              </w:rPr>
              <w:fldChar w:fldCharType="begin"/>
            </w:r>
            <w:r w:rsidR="00ED2B84">
              <w:rPr>
                <w:noProof/>
                <w:webHidden/>
              </w:rPr>
              <w:instrText xml:space="preserve"> PAGEREF _Toc237033509 \h </w:instrText>
            </w:r>
            <w:r w:rsidR="00ED2B84">
              <w:rPr>
                <w:noProof/>
                <w:webHidden/>
              </w:rPr>
            </w:r>
            <w:r w:rsidR="00ED2B84">
              <w:rPr>
                <w:noProof/>
                <w:webHidden/>
              </w:rPr>
              <w:fldChar w:fldCharType="separate"/>
            </w:r>
            <w:r w:rsidR="00ED2B84">
              <w:rPr>
                <w:noProof/>
                <w:webHidden/>
              </w:rPr>
              <w:t>15</w:t>
            </w:r>
            <w:r w:rsidR="00ED2B84">
              <w:rPr>
                <w:noProof/>
                <w:webHidden/>
              </w:rPr>
              <w:fldChar w:fldCharType="end"/>
            </w:r>
          </w:hyperlink>
        </w:p>
        <w:p w14:paraId="20AC5754" w14:textId="5924F6BD"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10" w:history="1">
            <w:r w:rsidR="00ED2B84" w:rsidRPr="002442F1">
              <w:rPr>
                <w:rStyle w:val="Hyperlink"/>
                <w:rFonts w:ascii="Arial" w:hAnsi="Arial" w:cs="Arial"/>
                <w:noProof/>
                <w:lang w:val="en-GB"/>
              </w:rPr>
              <w:t>7. Recommendations</w:t>
            </w:r>
            <w:r w:rsidR="00ED2B84">
              <w:rPr>
                <w:noProof/>
                <w:webHidden/>
              </w:rPr>
              <w:tab/>
            </w:r>
            <w:r w:rsidR="00ED2B84">
              <w:rPr>
                <w:noProof/>
                <w:webHidden/>
              </w:rPr>
              <w:fldChar w:fldCharType="begin"/>
            </w:r>
            <w:r w:rsidR="00ED2B84">
              <w:rPr>
                <w:noProof/>
                <w:webHidden/>
              </w:rPr>
              <w:instrText xml:space="preserve"> PAGEREF _Toc237033510 \h </w:instrText>
            </w:r>
            <w:r w:rsidR="00ED2B84">
              <w:rPr>
                <w:noProof/>
                <w:webHidden/>
              </w:rPr>
            </w:r>
            <w:r w:rsidR="00ED2B84">
              <w:rPr>
                <w:noProof/>
                <w:webHidden/>
              </w:rPr>
              <w:fldChar w:fldCharType="separate"/>
            </w:r>
            <w:r w:rsidR="00ED2B84">
              <w:rPr>
                <w:noProof/>
                <w:webHidden/>
              </w:rPr>
              <w:t>16</w:t>
            </w:r>
            <w:r w:rsidR="00ED2B84">
              <w:rPr>
                <w:noProof/>
                <w:webHidden/>
              </w:rPr>
              <w:fldChar w:fldCharType="end"/>
            </w:r>
          </w:hyperlink>
        </w:p>
        <w:p w14:paraId="0E9F042A" w14:textId="67823F32"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11" w:history="1">
            <w:r w:rsidR="00ED2B84" w:rsidRPr="002442F1">
              <w:rPr>
                <w:rStyle w:val="Hyperlink"/>
                <w:rFonts w:ascii="Arial" w:hAnsi="Arial" w:cs="Arial"/>
                <w:noProof/>
                <w:lang w:val="en-GB"/>
              </w:rPr>
              <w:t>8. Conclusion</w:t>
            </w:r>
            <w:r w:rsidR="00ED2B84">
              <w:rPr>
                <w:noProof/>
                <w:webHidden/>
              </w:rPr>
              <w:tab/>
            </w:r>
            <w:r w:rsidR="00ED2B84">
              <w:rPr>
                <w:noProof/>
                <w:webHidden/>
              </w:rPr>
              <w:fldChar w:fldCharType="begin"/>
            </w:r>
            <w:r w:rsidR="00ED2B84">
              <w:rPr>
                <w:noProof/>
                <w:webHidden/>
              </w:rPr>
              <w:instrText xml:space="preserve"> PAGEREF _Toc237033511 \h </w:instrText>
            </w:r>
            <w:r w:rsidR="00ED2B84">
              <w:rPr>
                <w:noProof/>
                <w:webHidden/>
              </w:rPr>
            </w:r>
            <w:r w:rsidR="00ED2B84">
              <w:rPr>
                <w:noProof/>
                <w:webHidden/>
              </w:rPr>
              <w:fldChar w:fldCharType="separate"/>
            </w:r>
            <w:r w:rsidR="00ED2B84">
              <w:rPr>
                <w:noProof/>
                <w:webHidden/>
              </w:rPr>
              <w:t>17</w:t>
            </w:r>
            <w:r w:rsidR="00ED2B84">
              <w:rPr>
                <w:noProof/>
                <w:webHidden/>
              </w:rPr>
              <w:fldChar w:fldCharType="end"/>
            </w:r>
          </w:hyperlink>
        </w:p>
        <w:p w14:paraId="056F8026" w14:textId="684404A2"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12" w:history="1">
            <w:r w:rsidR="00ED2B84" w:rsidRPr="002442F1">
              <w:rPr>
                <w:rStyle w:val="Hyperlink"/>
                <w:rFonts w:ascii="Arial" w:hAnsi="Arial" w:cs="Arial"/>
                <w:noProof/>
                <w:lang w:val="en-GB"/>
              </w:rPr>
              <w:t>9. Reflective Account Using Gibbs' Reflective Cycle</w:t>
            </w:r>
            <w:r w:rsidR="00ED2B84">
              <w:rPr>
                <w:noProof/>
                <w:webHidden/>
              </w:rPr>
              <w:tab/>
            </w:r>
            <w:r w:rsidR="00ED2B84">
              <w:rPr>
                <w:noProof/>
                <w:webHidden/>
              </w:rPr>
              <w:fldChar w:fldCharType="begin"/>
            </w:r>
            <w:r w:rsidR="00ED2B84">
              <w:rPr>
                <w:noProof/>
                <w:webHidden/>
              </w:rPr>
              <w:instrText xml:space="preserve"> PAGEREF _Toc237033512 \h </w:instrText>
            </w:r>
            <w:r w:rsidR="00ED2B84">
              <w:rPr>
                <w:noProof/>
                <w:webHidden/>
              </w:rPr>
            </w:r>
            <w:r w:rsidR="00ED2B84">
              <w:rPr>
                <w:noProof/>
                <w:webHidden/>
              </w:rPr>
              <w:fldChar w:fldCharType="separate"/>
            </w:r>
            <w:r w:rsidR="00ED2B84">
              <w:rPr>
                <w:noProof/>
                <w:webHidden/>
              </w:rPr>
              <w:t>18</w:t>
            </w:r>
            <w:r w:rsidR="00ED2B84">
              <w:rPr>
                <w:noProof/>
                <w:webHidden/>
              </w:rPr>
              <w:fldChar w:fldCharType="end"/>
            </w:r>
          </w:hyperlink>
        </w:p>
        <w:p w14:paraId="2193F0D2" w14:textId="0D20808F"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3" w:history="1">
            <w:r w:rsidR="00ED2B84" w:rsidRPr="002442F1">
              <w:rPr>
                <w:rStyle w:val="Hyperlink"/>
                <w:rFonts w:ascii="Arial" w:hAnsi="Arial" w:cs="Arial"/>
                <w:noProof/>
                <w:lang w:val="en-GB"/>
              </w:rPr>
              <w:t>9.1 Description</w:t>
            </w:r>
            <w:r w:rsidR="00ED2B84">
              <w:rPr>
                <w:noProof/>
                <w:webHidden/>
              </w:rPr>
              <w:tab/>
            </w:r>
            <w:r w:rsidR="00ED2B84">
              <w:rPr>
                <w:noProof/>
                <w:webHidden/>
              </w:rPr>
              <w:fldChar w:fldCharType="begin"/>
            </w:r>
            <w:r w:rsidR="00ED2B84">
              <w:rPr>
                <w:noProof/>
                <w:webHidden/>
              </w:rPr>
              <w:instrText xml:space="preserve"> PAGEREF _Toc237033513 \h </w:instrText>
            </w:r>
            <w:r w:rsidR="00ED2B84">
              <w:rPr>
                <w:noProof/>
                <w:webHidden/>
              </w:rPr>
            </w:r>
            <w:r w:rsidR="00ED2B84">
              <w:rPr>
                <w:noProof/>
                <w:webHidden/>
              </w:rPr>
              <w:fldChar w:fldCharType="separate"/>
            </w:r>
            <w:r w:rsidR="00ED2B84">
              <w:rPr>
                <w:noProof/>
                <w:webHidden/>
              </w:rPr>
              <w:t>18</w:t>
            </w:r>
            <w:r w:rsidR="00ED2B84">
              <w:rPr>
                <w:noProof/>
                <w:webHidden/>
              </w:rPr>
              <w:fldChar w:fldCharType="end"/>
            </w:r>
          </w:hyperlink>
        </w:p>
        <w:p w14:paraId="438A78E9" w14:textId="55A9D60B"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4" w:history="1">
            <w:r w:rsidR="00ED2B84" w:rsidRPr="002442F1">
              <w:rPr>
                <w:rStyle w:val="Hyperlink"/>
                <w:rFonts w:ascii="Arial" w:hAnsi="Arial" w:cs="Arial"/>
                <w:noProof/>
                <w:lang w:val="en-GB"/>
              </w:rPr>
              <w:t>9.2 Feelings</w:t>
            </w:r>
            <w:r w:rsidR="00ED2B84">
              <w:rPr>
                <w:noProof/>
                <w:webHidden/>
              </w:rPr>
              <w:tab/>
            </w:r>
            <w:r w:rsidR="00ED2B84">
              <w:rPr>
                <w:noProof/>
                <w:webHidden/>
              </w:rPr>
              <w:fldChar w:fldCharType="begin"/>
            </w:r>
            <w:r w:rsidR="00ED2B84">
              <w:rPr>
                <w:noProof/>
                <w:webHidden/>
              </w:rPr>
              <w:instrText xml:space="preserve"> PAGEREF _Toc237033514 \h </w:instrText>
            </w:r>
            <w:r w:rsidR="00ED2B84">
              <w:rPr>
                <w:noProof/>
                <w:webHidden/>
              </w:rPr>
            </w:r>
            <w:r w:rsidR="00ED2B84">
              <w:rPr>
                <w:noProof/>
                <w:webHidden/>
              </w:rPr>
              <w:fldChar w:fldCharType="separate"/>
            </w:r>
            <w:r w:rsidR="00ED2B84">
              <w:rPr>
                <w:noProof/>
                <w:webHidden/>
              </w:rPr>
              <w:t>19</w:t>
            </w:r>
            <w:r w:rsidR="00ED2B84">
              <w:rPr>
                <w:noProof/>
                <w:webHidden/>
              </w:rPr>
              <w:fldChar w:fldCharType="end"/>
            </w:r>
          </w:hyperlink>
        </w:p>
        <w:p w14:paraId="324D6D92" w14:textId="669F0108"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5" w:history="1">
            <w:r w:rsidR="00ED2B84" w:rsidRPr="002442F1">
              <w:rPr>
                <w:rStyle w:val="Hyperlink"/>
                <w:rFonts w:ascii="Arial" w:hAnsi="Arial" w:cs="Arial"/>
                <w:noProof/>
                <w:lang w:val="en-GB"/>
              </w:rPr>
              <w:t>9.3 Evaluation</w:t>
            </w:r>
            <w:r w:rsidR="00ED2B84">
              <w:rPr>
                <w:noProof/>
                <w:webHidden/>
              </w:rPr>
              <w:tab/>
            </w:r>
            <w:r w:rsidR="00ED2B84">
              <w:rPr>
                <w:noProof/>
                <w:webHidden/>
              </w:rPr>
              <w:fldChar w:fldCharType="begin"/>
            </w:r>
            <w:r w:rsidR="00ED2B84">
              <w:rPr>
                <w:noProof/>
                <w:webHidden/>
              </w:rPr>
              <w:instrText xml:space="preserve"> PAGEREF _Toc237033515 \h </w:instrText>
            </w:r>
            <w:r w:rsidR="00ED2B84">
              <w:rPr>
                <w:noProof/>
                <w:webHidden/>
              </w:rPr>
            </w:r>
            <w:r w:rsidR="00ED2B84">
              <w:rPr>
                <w:noProof/>
                <w:webHidden/>
              </w:rPr>
              <w:fldChar w:fldCharType="separate"/>
            </w:r>
            <w:r w:rsidR="00ED2B84">
              <w:rPr>
                <w:noProof/>
                <w:webHidden/>
              </w:rPr>
              <w:t>19</w:t>
            </w:r>
            <w:r w:rsidR="00ED2B84">
              <w:rPr>
                <w:noProof/>
                <w:webHidden/>
              </w:rPr>
              <w:fldChar w:fldCharType="end"/>
            </w:r>
          </w:hyperlink>
        </w:p>
        <w:p w14:paraId="5F71353B" w14:textId="3DB9F25D"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6" w:history="1">
            <w:r w:rsidR="00ED2B84" w:rsidRPr="002442F1">
              <w:rPr>
                <w:rStyle w:val="Hyperlink"/>
                <w:rFonts w:ascii="Arial" w:hAnsi="Arial" w:cs="Arial"/>
                <w:noProof/>
                <w:lang w:val="en-GB"/>
              </w:rPr>
              <w:t>9.4 Analysis</w:t>
            </w:r>
            <w:r w:rsidR="00ED2B84">
              <w:rPr>
                <w:noProof/>
                <w:webHidden/>
              </w:rPr>
              <w:tab/>
            </w:r>
            <w:r w:rsidR="00ED2B84">
              <w:rPr>
                <w:noProof/>
                <w:webHidden/>
              </w:rPr>
              <w:fldChar w:fldCharType="begin"/>
            </w:r>
            <w:r w:rsidR="00ED2B84">
              <w:rPr>
                <w:noProof/>
                <w:webHidden/>
              </w:rPr>
              <w:instrText xml:space="preserve"> PAGEREF _Toc237033516 \h </w:instrText>
            </w:r>
            <w:r w:rsidR="00ED2B84">
              <w:rPr>
                <w:noProof/>
                <w:webHidden/>
              </w:rPr>
            </w:r>
            <w:r w:rsidR="00ED2B84">
              <w:rPr>
                <w:noProof/>
                <w:webHidden/>
              </w:rPr>
              <w:fldChar w:fldCharType="separate"/>
            </w:r>
            <w:r w:rsidR="00ED2B84">
              <w:rPr>
                <w:noProof/>
                <w:webHidden/>
              </w:rPr>
              <w:t>20</w:t>
            </w:r>
            <w:r w:rsidR="00ED2B84">
              <w:rPr>
                <w:noProof/>
                <w:webHidden/>
              </w:rPr>
              <w:fldChar w:fldCharType="end"/>
            </w:r>
          </w:hyperlink>
        </w:p>
        <w:p w14:paraId="1514054F" w14:textId="3C58BC09"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7" w:history="1">
            <w:r w:rsidR="00ED2B84" w:rsidRPr="002442F1">
              <w:rPr>
                <w:rStyle w:val="Hyperlink"/>
                <w:rFonts w:ascii="Arial" w:hAnsi="Arial" w:cs="Arial"/>
                <w:noProof/>
                <w:lang w:val="en-GB"/>
              </w:rPr>
              <w:t>9.5 Conclusion</w:t>
            </w:r>
            <w:r w:rsidR="00ED2B84">
              <w:rPr>
                <w:noProof/>
                <w:webHidden/>
              </w:rPr>
              <w:tab/>
            </w:r>
            <w:r w:rsidR="00ED2B84">
              <w:rPr>
                <w:noProof/>
                <w:webHidden/>
              </w:rPr>
              <w:fldChar w:fldCharType="begin"/>
            </w:r>
            <w:r w:rsidR="00ED2B84">
              <w:rPr>
                <w:noProof/>
                <w:webHidden/>
              </w:rPr>
              <w:instrText xml:space="preserve"> PAGEREF _Toc237033517 \h </w:instrText>
            </w:r>
            <w:r w:rsidR="00ED2B84">
              <w:rPr>
                <w:noProof/>
                <w:webHidden/>
              </w:rPr>
            </w:r>
            <w:r w:rsidR="00ED2B84">
              <w:rPr>
                <w:noProof/>
                <w:webHidden/>
              </w:rPr>
              <w:fldChar w:fldCharType="separate"/>
            </w:r>
            <w:r w:rsidR="00ED2B84">
              <w:rPr>
                <w:noProof/>
                <w:webHidden/>
              </w:rPr>
              <w:t>20</w:t>
            </w:r>
            <w:r w:rsidR="00ED2B84">
              <w:rPr>
                <w:noProof/>
                <w:webHidden/>
              </w:rPr>
              <w:fldChar w:fldCharType="end"/>
            </w:r>
          </w:hyperlink>
        </w:p>
        <w:p w14:paraId="3C1C5841" w14:textId="33BBE16A" w:rsidR="00ED2B84" w:rsidRDefault="008579AD">
          <w:pPr>
            <w:pStyle w:val="TOC2"/>
            <w:tabs>
              <w:tab w:val="right" w:leader="dot" w:pos="9016"/>
            </w:tabs>
            <w:rPr>
              <w:rFonts w:asciiTheme="minorHAnsi" w:hAnsiTheme="minorHAnsi"/>
              <w:noProof/>
              <w:kern w:val="2"/>
              <w:szCs w:val="30"/>
              <w:lang w:val="en-IN" w:eastAsia="en-IN" w:bidi="bn-IN"/>
              <w14:ligatures w14:val="standardContextual"/>
            </w:rPr>
          </w:pPr>
          <w:hyperlink w:anchor="_Toc237033518" w:history="1">
            <w:r w:rsidR="00ED2B84" w:rsidRPr="002442F1">
              <w:rPr>
                <w:rStyle w:val="Hyperlink"/>
                <w:rFonts w:ascii="Arial" w:hAnsi="Arial" w:cs="Arial"/>
                <w:noProof/>
                <w:lang w:val="en-GB"/>
              </w:rPr>
              <w:t>9.6 Action Plan</w:t>
            </w:r>
            <w:r w:rsidR="00ED2B84">
              <w:rPr>
                <w:noProof/>
                <w:webHidden/>
              </w:rPr>
              <w:tab/>
            </w:r>
            <w:r w:rsidR="00ED2B84">
              <w:rPr>
                <w:noProof/>
                <w:webHidden/>
              </w:rPr>
              <w:fldChar w:fldCharType="begin"/>
            </w:r>
            <w:r w:rsidR="00ED2B84">
              <w:rPr>
                <w:noProof/>
                <w:webHidden/>
              </w:rPr>
              <w:instrText xml:space="preserve"> PAGEREF _Toc237033518 \h </w:instrText>
            </w:r>
            <w:r w:rsidR="00ED2B84">
              <w:rPr>
                <w:noProof/>
                <w:webHidden/>
              </w:rPr>
            </w:r>
            <w:r w:rsidR="00ED2B84">
              <w:rPr>
                <w:noProof/>
                <w:webHidden/>
              </w:rPr>
              <w:fldChar w:fldCharType="separate"/>
            </w:r>
            <w:r w:rsidR="00ED2B84">
              <w:rPr>
                <w:noProof/>
                <w:webHidden/>
              </w:rPr>
              <w:t>21</w:t>
            </w:r>
            <w:r w:rsidR="00ED2B84">
              <w:rPr>
                <w:noProof/>
                <w:webHidden/>
              </w:rPr>
              <w:fldChar w:fldCharType="end"/>
            </w:r>
          </w:hyperlink>
        </w:p>
        <w:p w14:paraId="26728411" w14:textId="6810BFA9" w:rsidR="00ED2B84" w:rsidRDefault="008579AD">
          <w:pPr>
            <w:pStyle w:val="TOC1"/>
            <w:tabs>
              <w:tab w:val="right" w:leader="dot" w:pos="9016"/>
            </w:tabs>
            <w:rPr>
              <w:rFonts w:asciiTheme="minorHAnsi" w:hAnsiTheme="minorHAnsi"/>
              <w:noProof/>
              <w:kern w:val="2"/>
              <w:szCs w:val="30"/>
              <w:lang w:val="en-IN" w:eastAsia="en-IN" w:bidi="bn-IN"/>
              <w14:ligatures w14:val="standardContextual"/>
            </w:rPr>
          </w:pPr>
          <w:hyperlink w:anchor="_Toc237033519" w:history="1">
            <w:r w:rsidR="00ED2B84" w:rsidRPr="002442F1">
              <w:rPr>
                <w:rStyle w:val="Hyperlink"/>
                <w:rFonts w:ascii="Arial" w:hAnsi="Arial" w:cs="Arial"/>
                <w:noProof/>
                <w:lang w:val="en-GB"/>
              </w:rPr>
              <w:t>References</w:t>
            </w:r>
            <w:r w:rsidR="00ED2B84">
              <w:rPr>
                <w:noProof/>
                <w:webHidden/>
              </w:rPr>
              <w:tab/>
            </w:r>
            <w:r w:rsidR="00ED2B84">
              <w:rPr>
                <w:noProof/>
                <w:webHidden/>
              </w:rPr>
              <w:fldChar w:fldCharType="begin"/>
            </w:r>
            <w:r w:rsidR="00ED2B84">
              <w:rPr>
                <w:noProof/>
                <w:webHidden/>
              </w:rPr>
              <w:instrText xml:space="preserve"> PAGEREF _Toc237033519 \h </w:instrText>
            </w:r>
            <w:r w:rsidR="00ED2B84">
              <w:rPr>
                <w:noProof/>
                <w:webHidden/>
              </w:rPr>
            </w:r>
            <w:r w:rsidR="00ED2B84">
              <w:rPr>
                <w:noProof/>
                <w:webHidden/>
              </w:rPr>
              <w:fldChar w:fldCharType="separate"/>
            </w:r>
            <w:r w:rsidR="00ED2B84">
              <w:rPr>
                <w:noProof/>
                <w:webHidden/>
              </w:rPr>
              <w:t>22</w:t>
            </w:r>
            <w:r w:rsidR="00ED2B84">
              <w:rPr>
                <w:noProof/>
                <w:webHidden/>
              </w:rPr>
              <w:fldChar w:fldCharType="end"/>
            </w:r>
          </w:hyperlink>
        </w:p>
        <w:p w14:paraId="0E8E52B3" w14:textId="12413A79" w:rsidR="00DC6E49" w:rsidRPr="00056B7B" w:rsidRDefault="00DC6E49" w:rsidP="00F05C75">
          <w:pPr>
            <w:spacing w:line="360" w:lineRule="auto"/>
            <w:jc w:val="both"/>
            <w:rPr>
              <w:rFonts w:ascii="Arial" w:hAnsi="Arial" w:cs="Arial"/>
              <w:color w:val="000000" w:themeColor="text1"/>
              <w:szCs w:val="24"/>
              <w:lang w:val="en-GB"/>
            </w:rPr>
          </w:pPr>
          <w:r w:rsidRPr="00056B7B">
            <w:rPr>
              <w:rFonts w:ascii="Arial" w:hAnsi="Arial" w:cs="Arial"/>
              <w:b/>
              <w:bCs/>
              <w:noProof/>
              <w:color w:val="000000" w:themeColor="text1"/>
              <w:szCs w:val="24"/>
              <w:lang w:val="en-GB"/>
            </w:rPr>
            <w:fldChar w:fldCharType="end"/>
          </w:r>
        </w:p>
      </w:sdtContent>
    </w:sdt>
    <w:p w14:paraId="072FF23A"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br w:type="page"/>
      </w:r>
    </w:p>
    <w:p w14:paraId="556C57D6"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3" w:name="_Toc237033494"/>
      <w:r w:rsidRPr="00056B7B">
        <w:rPr>
          <w:rFonts w:ascii="Arial" w:hAnsi="Arial" w:cs="Arial"/>
          <w:szCs w:val="24"/>
          <w:lang w:val="en-GB"/>
        </w:rPr>
        <w:lastRenderedPageBreak/>
        <w:t>1. Introduction</w:t>
      </w:r>
      <w:bookmarkEnd w:id="3"/>
    </w:p>
    <w:p w14:paraId="312CC449" w14:textId="77777777" w:rsidR="00A65DBF"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Toyota Motor Corporation is a company that is located at the crossroad of two very distinc</w:t>
      </w:r>
      <w:bookmarkStart w:id="4" w:name="_GoBack"/>
      <w:bookmarkEnd w:id="4"/>
      <w:r w:rsidRPr="00056B7B">
        <w:rPr>
          <w:rFonts w:ascii="Arial" w:hAnsi="Arial" w:cs="Arial"/>
          <w:color w:val="000000" w:themeColor="text1"/>
          <w:szCs w:val="24"/>
          <w:lang w:val="en-GB"/>
        </w:rPr>
        <w:t xml:space="preserve">t logics of the market: both a traditional market and a high-income market in Japan, and a large and rapidly expanding host market in India. That's a pretty good argument for doing a study on whether or not international marketing should be uniform and based on a single formula or should be localized and based on significantly different conditions. The strategic relevance of Toyota is also evident as it keeps on investing in India and is defending a wide range of domestic Japanese </w:t>
      </w:r>
      <w:proofErr w:type="spellStart"/>
      <w:r w:rsidRPr="00056B7B">
        <w:rPr>
          <w:rFonts w:ascii="Arial" w:hAnsi="Arial" w:cs="Arial"/>
          <w:color w:val="000000" w:themeColor="text1"/>
          <w:szCs w:val="24"/>
          <w:lang w:val="en-GB"/>
        </w:rPr>
        <w:t>lineup</w:t>
      </w:r>
      <w:proofErr w:type="spellEnd"/>
      <w:r w:rsidRPr="00056B7B">
        <w:rPr>
          <w:rFonts w:ascii="Arial" w:hAnsi="Arial" w:cs="Arial"/>
          <w:color w:val="000000" w:themeColor="text1"/>
          <w:szCs w:val="24"/>
          <w:lang w:val="en-GB"/>
        </w:rPr>
        <w:t xml:space="preserve"> (Toyota Motor Corporation, 2025). This means that the company is not applying the same standards to all markets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2026a).</w:t>
      </w:r>
    </w:p>
    <w:p w14:paraId="26FB7C81" w14:textId="77777777" w:rsidR="0071359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report suggests that Toyota is to apply a multi-domestic approach in India and Japan but have a common core brand globally. Localisation, financing and hybrid bridge technologies are commercially significant value sensitive policy driven growth market in India (World Bank, 2026a). The strategic direction is further supported by government policies to promote the development of the automotive sector and the electrification of vehicles (Ministry of Heavy Industries, 2024). Japan is a mature market that has a higher purchasing power level and higher expectation of product quality (World Bank, 2026b). </w:t>
      </w:r>
    </w:p>
    <w:p w14:paraId="08E04BD4" w14:textId="4437AD2D" w:rsidR="00B6419D"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Another reason for Japanese consumers being more concerned with the technical credibility and process reliability is their cultural preferences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The report is then compared between the two markets in the PESTEL and STP analysis, followed by the 7Ps analysis then an evaluation of the ethical issues, recommendations of the strategic actions and a reflection on the research process through Gibbs' Reflective Cycle.</w:t>
      </w:r>
    </w:p>
    <w:p w14:paraId="1E6ADF3E" w14:textId="5E347F4C" w:rsidR="00A80195" w:rsidRPr="00056B7B" w:rsidRDefault="00A80195" w:rsidP="00F05C75">
      <w:pPr>
        <w:spacing w:line="360" w:lineRule="auto"/>
        <w:jc w:val="both"/>
        <w:rPr>
          <w:rFonts w:ascii="Arial" w:hAnsi="Arial" w:cs="Arial"/>
          <w:color w:val="000000" w:themeColor="text1"/>
          <w:szCs w:val="24"/>
          <w:lang w:val="en-GB"/>
        </w:rPr>
      </w:pPr>
    </w:p>
    <w:p w14:paraId="0502FD7B" w14:textId="77777777" w:rsidR="00A80195" w:rsidRPr="00056B7B" w:rsidRDefault="00A80195" w:rsidP="00074840">
      <w:pPr>
        <w:spacing w:line="360" w:lineRule="auto"/>
        <w:jc w:val="center"/>
        <w:rPr>
          <w:rFonts w:ascii="Arial" w:hAnsi="Arial" w:cs="Arial"/>
          <w:color w:val="000000" w:themeColor="text1"/>
          <w:szCs w:val="24"/>
          <w:lang w:val="en-GB"/>
        </w:rPr>
      </w:pPr>
      <w:r w:rsidRPr="00056B7B">
        <w:rPr>
          <w:rFonts w:ascii="Arial" w:hAnsi="Arial" w:cs="Arial"/>
          <w:noProof/>
          <w:color w:val="000000" w:themeColor="text1"/>
          <w:szCs w:val="24"/>
          <w:lang w:val="en-IN" w:eastAsia="en-IN" w:bidi="gu-IN"/>
        </w:rPr>
        <w:lastRenderedPageBreak/>
        <w:drawing>
          <wp:inline distT="0" distB="0" distL="0" distR="0" wp14:anchorId="13EB363F" wp14:editId="418CCA28">
            <wp:extent cx="5852160" cy="32763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gdp.png"/>
                    <pic:cNvPicPr/>
                  </pic:nvPicPr>
                  <pic:blipFill>
                    <a:blip r:embed="rId9"/>
                    <a:stretch>
                      <a:fillRect/>
                    </a:stretch>
                  </pic:blipFill>
                  <pic:spPr>
                    <a:xfrm>
                      <a:off x="0" y="0"/>
                      <a:ext cx="5852160" cy="3276373"/>
                    </a:xfrm>
                    <a:prstGeom prst="rect">
                      <a:avLst/>
                    </a:prstGeom>
                  </pic:spPr>
                </pic:pic>
              </a:graphicData>
            </a:graphic>
          </wp:inline>
        </w:drawing>
      </w:r>
    </w:p>
    <w:p w14:paraId="45EE537B" w14:textId="080F73C9" w:rsidR="00577C95" w:rsidRPr="00056B7B" w:rsidRDefault="00A80195" w:rsidP="00074840">
      <w:pPr>
        <w:spacing w:line="360" w:lineRule="auto"/>
        <w:jc w:val="center"/>
        <w:rPr>
          <w:rFonts w:ascii="Arial" w:hAnsi="Arial" w:cs="Arial"/>
          <w:i/>
          <w:color w:val="000000" w:themeColor="text1"/>
          <w:szCs w:val="24"/>
          <w:lang w:val="en-GB"/>
        </w:rPr>
      </w:pPr>
      <w:r w:rsidRPr="00056B7B">
        <w:rPr>
          <w:rFonts w:ascii="Arial" w:hAnsi="Arial" w:cs="Arial"/>
          <w:i/>
          <w:color w:val="000000" w:themeColor="text1"/>
          <w:szCs w:val="24"/>
          <w:lang w:val="en-GB"/>
        </w:rPr>
        <w:t>Figure 1. GDP per capita comparison.</w:t>
      </w:r>
    </w:p>
    <w:p w14:paraId="5EC314C0" w14:textId="25A855BF" w:rsidR="00A80195" w:rsidRPr="00056B7B" w:rsidRDefault="00A80195" w:rsidP="00074840">
      <w:pPr>
        <w:spacing w:line="360" w:lineRule="auto"/>
        <w:jc w:val="center"/>
        <w:rPr>
          <w:rFonts w:ascii="Arial" w:hAnsi="Arial" w:cs="Arial"/>
          <w:color w:val="000000" w:themeColor="text1"/>
          <w:szCs w:val="24"/>
          <w:lang w:val="en-GB"/>
        </w:rPr>
      </w:pPr>
      <w:r w:rsidRPr="00056B7B">
        <w:rPr>
          <w:rFonts w:ascii="Arial" w:hAnsi="Arial" w:cs="Arial"/>
          <w:i/>
          <w:color w:val="000000" w:themeColor="text1"/>
          <w:szCs w:val="24"/>
          <w:lang w:val="en-GB"/>
        </w:rPr>
        <w:t>Source: India data (World Bank, 2026a); Japan data (World Bank, 2026b).</w:t>
      </w:r>
    </w:p>
    <w:p w14:paraId="7CFFE502"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5" w:name="_Toc237033495"/>
      <w:r w:rsidRPr="00056B7B">
        <w:rPr>
          <w:rFonts w:ascii="Arial" w:hAnsi="Arial" w:cs="Arial"/>
          <w:szCs w:val="24"/>
          <w:lang w:val="en-GB"/>
        </w:rPr>
        <w:t>2. Comparative PESTEL Analysis</w:t>
      </w:r>
      <w:bookmarkEnd w:id="5"/>
    </w:p>
    <w:p w14:paraId="00018713"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6" w:name="_Toc237033496"/>
      <w:r w:rsidRPr="00056B7B">
        <w:rPr>
          <w:rFonts w:ascii="Arial" w:hAnsi="Arial" w:cs="Arial"/>
          <w:szCs w:val="24"/>
          <w:lang w:val="en-GB"/>
        </w:rPr>
        <w:t>2.1 Political and legal context</w:t>
      </w:r>
      <w:bookmarkEnd w:id="6"/>
    </w:p>
    <w:p w14:paraId="669E2DD5" w14:textId="77777777" w:rsidR="00A65DBF"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is faced with different forces driving opposing agendas in the two countries. India is trying to leverage its industrial policy to boost electric mobility and local manufacturing of EVs through PM E-DRIVE and Scheme to Promote Manufacturing of Electric Passenger Cars, 2024 (Ministry of Heavy Industries, 2024). These are projects aimed at investment and expanding the local manufacturing capacity (PM E-DRIVE, 2024). The new vehicle manufacturing plant announced by Toyota in India is thus ideologically and economically aligned with the policy environment as it makes India more self-reliant, creates jobs and boosts localisation efforts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2026a).</w:t>
      </w:r>
    </w:p>
    <w:p w14:paraId="1B05A080" w14:textId="5D512DBA" w:rsidR="00D85BCC"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policy context in Japan is different, as the policy is about the electrification, not attracting first wave manufacturers, through subsidies and charging infrastructure. The adoption of electric vehicles (EVs) is promoted by support provided with METI's charging infrastructure guidance. Clean-energy vehicle subsidies also spur industrial </w:t>
      </w:r>
      <w:r w:rsidRPr="00056B7B">
        <w:rPr>
          <w:rFonts w:ascii="Arial" w:hAnsi="Arial" w:cs="Arial"/>
          <w:color w:val="000000" w:themeColor="text1"/>
          <w:szCs w:val="24"/>
          <w:lang w:val="en-GB"/>
        </w:rPr>
        <w:lastRenderedPageBreak/>
        <w:t>transition in a well-established regulatory framework that has a high standard for both product and process (METI, 2024). India is seen as a place where investments and chain penetration pay off, while Japan is seen as a place where technological development and adherence to well-developed market rules pay off.</w:t>
      </w:r>
    </w:p>
    <w:p w14:paraId="746551BC"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7" w:name="_Toc237033497"/>
      <w:r w:rsidRPr="00056B7B">
        <w:rPr>
          <w:rFonts w:ascii="Arial" w:hAnsi="Arial" w:cs="Arial"/>
          <w:szCs w:val="24"/>
          <w:lang w:val="en-GB"/>
        </w:rPr>
        <w:t>2.2 Economic conditions</w:t>
      </w:r>
      <w:bookmarkEnd w:id="7"/>
    </w:p>
    <w:p w14:paraId="659BF39C" w14:textId="5FBF9957" w:rsidR="00A65DBF"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There is a significant difference between the two markets in terms of economics, so the whole marketing mix is affected. As per the data, the GDP (per capita) of India is significantly lower than that of Japan (World Bank, 2026a). The World Bank data is also </w:t>
      </w:r>
      <w:r w:rsidR="00074840" w:rsidRPr="00056B7B">
        <w:rPr>
          <w:rFonts w:ascii="Arial" w:hAnsi="Arial" w:cs="Arial"/>
          <w:color w:val="000000" w:themeColor="text1"/>
          <w:szCs w:val="24"/>
          <w:lang w:val="en-GB"/>
        </w:rPr>
        <w:t>comparable and</w:t>
      </w:r>
      <w:r w:rsidRPr="00056B7B">
        <w:rPr>
          <w:rFonts w:ascii="Arial" w:hAnsi="Arial" w:cs="Arial"/>
          <w:color w:val="000000" w:themeColor="text1"/>
          <w:szCs w:val="24"/>
          <w:lang w:val="en-GB"/>
        </w:rPr>
        <w:t xml:space="preserve"> shows that Japan has a much greater purchasing power (World Bank, 2026b). This implies that Toyota is not going to be able to make the same spend, finance tolerance or trade up assumptions in both markets. This is where value-led pricing, reduced monthly ownership costs and financing options are critical in India's buying proposition. The premium price in Japan will only be accepted if there are good reasons for it—the advantage of the richer specification in terms of quality, reliability and technology.</w:t>
      </w:r>
    </w:p>
    <w:p w14:paraId="44550C14" w14:textId="77777777" w:rsidR="00577C95" w:rsidRPr="00056B7B" w:rsidRDefault="00A80195" w:rsidP="002E1D2B">
      <w:pPr>
        <w:keepNext/>
        <w:spacing w:line="360" w:lineRule="auto"/>
        <w:jc w:val="center"/>
        <w:rPr>
          <w:rFonts w:ascii="Arial" w:hAnsi="Arial" w:cs="Arial"/>
          <w:color w:val="000000" w:themeColor="text1"/>
          <w:szCs w:val="24"/>
          <w:lang w:val="en-GB"/>
        </w:rPr>
      </w:pPr>
      <w:r w:rsidRPr="00056B7B">
        <w:rPr>
          <w:rFonts w:ascii="Arial" w:hAnsi="Arial" w:cs="Arial"/>
          <w:noProof/>
          <w:color w:val="000000" w:themeColor="text1"/>
          <w:szCs w:val="24"/>
          <w:lang w:val="en-IN" w:eastAsia="en-IN" w:bidi="gu-IN"/>
        </w:rPr>
        <w:drawing>
          <wp:inline distT="0" distB="0" distL="0" distR="0" wp14:anchorId="51342E02" wp14:editId="59D5D585">
            <wp:extent cx="5852160" cy="32763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gdp.png"/>
                    <pic:cNvPicPr/>
                  </pic:nvPicPr>
                  <pic:blipFill>
                    <a:blip r:embed="rId9"/>
                    <a:stretch>
                      <a:fillRect/>
                    </a:stretch>
                  </pic:blipFill>
                  <pic:spPr>
                    <a:xfrm>
                      <a:off x="0" y="0"/>
                      <a:ext cx="5852160" cy="3276373"/>
                    </a:xfrm>
                    <a:prstGeom prst="rect">
                      <a:avLst/>
                    </a:prstGeom>
                  </pic:spPr>
                </pic:pic>
              </a:graphicData>
            </a:graphic>
          </wp:inline>
        </w:drawing>
      </w:r>
    </w:p>
    <w:p w14:paraId="789FCDD5" w14:textId="3AFFFB0A" w:rsidR="00577C95" w:rsidRPr="00056B7B" w:rsidRDefault="00577C95" w:rsidP="002E1D2B">
      <w:pPr>
        <w:pStyle w:val="Caption"/>
        <w:spacing w:before="240" w:after="240" w:line="360" w:lineRule="auto"/>
        <w:jc w:val="center"/>
        <w:rPr>
          <w:rFonts w:ascii="Arial" w:hAnsi="Arial" w:cs="Arial"/>
          <w:color w:val="000000" w:themeColor="text1"/>
          <w:sz w:val="24"/>
          <w:szCs w:val="24"/>
          <w:lang w:val="en-GB"/>
        </w:rPr>
      </w:pPr>
      <w:r w:rsidRPr="00056B7B">
        <w:rPr>
          <w:rFonts w:ascii="Arial" w:hAnsi="Arial" w:cs="Arial"/>
          <w:color w:val="000000" w:themeColor="text1"/>
          <w:sz w:val="24"/>
          <w:szCs w:val="24"/>
          <w:lang w:val="en-GB"/>
        </w:rPr>
        <w:t xml:space="preserve">Figure </w:t>
      </w:r>
      <w:r w:rsidRPr="00056B7B">
        <w:rPr>
          <w:rFonts w:ascii="Arial" w:hAnsi="Arial" w:cs="Arial"/>
          <w:color w:val="000000" w:themeColor="text1"/>
          <w:sz w:val="24"/>
          <w:szCs w:val="24"/>
          <w:lang w:val="en-GB"/>
        </w:rPr>
        <w:fldChar w:fldCharType="begin"/>
      </w:r>
      <w:r w:rsidRPr="00056B7B">
        <w:rPr>
          <w:rFonts w:ascii="Arial" w:hAnsi="Arial" w:cs="Arial"/>
          <w:color w:val="000000" w:themeColor="text1"/>
          <w:sz w:val="24"/>
          <w:szCs w:val="24"/>
          <w:lang w:val="en-GB"/>
        </w:rPr>
        <w:instrText xml:space="preserve"> SEQ Figure \* ARABIC </w:instrText>
      </w:r>
      <w:r w:rsidRPr="00056B7B">
        <w:rPr>
          <w:rFonts w:ascii="Arial" w:hAnsi="Arial" w:cs="Arial"/>
          <w:color w:val="000000" w:themeColor="text1"/>
          <w:sz w:val="24"/>
          <w:szCs w:val="24"/>
          <w:lang w:val="en-GB"/>
        </w:rPr>
        <w:fldChar w:fldCharType="separate"/>
      </w:r>
      <w:r w:rsidRPr="00056B7B">
        <w:rPr>
          <w:rFonts w:ascii="Arial" w:hAnsi="Arial" w:cs="Arial"/>
          <w:noProof/>
          <w:color w:val="000000" w:themeColor="text1"/>
          <w:sz w:val="24"/>
          <w:szCs w:val="24"/>
          <w:lang w:val="en-GB"/>
        </w:rPr>
        <w:t>1</w:t>
      </w:r>
      <w:r w:rsidRPr="00056B7B">
        <w:rPr>
          <w:rFonts w:ascii="Arial" w:hAnsi="Arial" w:cs="Arial"/>
          <w:color w:val="000000" w:themeColor="text1"/>
          <w:sz w:val="24"/>
          <w:szCs w:val="24"/>
          <w:lang w:val="en-GB"/>
        </w:rPr>
        <w:fldChar w:fldCharType="end"/>
      </w:r>
      <w:r w:rsidRPr="00056B7B">
        <w:rPr>
          <w:rFonts w:ascii="Arial" w:hAnsi="Arial" w:cs="Arial"/>
          <w:color w:val="000000" w:themeColor="text1"/>
          <w:sz w:val="24"/>
          <w:szCs w:val="24"/>
          <w:lang w:val="en-GB"/>
        </w:rPr>
        <w:t>: above captures the income gap that underpins Toyota's pricing strategy.</w:t>
      </w:r>
    </w:p>
    <w:p w14:paraId="353B9225" w14:textId="50D0E2F6" w:rsidR="00A80195" w:rsidRPr="00056B7B" w:rsidRDefault="00577C95" w:rsidP="002E1D2B">
      <w:pPr>
        <w:pStyle w:val="Caption"/>
        <w:spacing w:before="240" w:after="240" w:line="360" w:lineRule="auto"/>
        <w:jc w:val="center"/>
        <w:rPr>
          <w:rFonts w:ascii="Arial" w:hAnsi="Arial" w:cs="Arial"/>
          <w:color w:val="000000" w:themeColor="text1"/>
          <w:sz w:val="24"/>
          <w:szCs w:val="24"/>
          <w:lang w:val="en-GB"/>
        </w:rPr>
      </w:pPr>
      <w:r w:rsidRPr="00056B7B">
        <w:rPr>
          <w:rFonts w:ascii="Arial" w:hAnsi="Arial" w:cs="Arial"/>
          <w:color w:val="000000" w:themeColor="text1"/>
          <w:sz w:val="24"/>
          <w:szCs w:val="24"/>
          <w:lang w:val="en-GB"/>
        </w:rPr>
        <w:t>Source: World Bank (2026a); World Bank (2026b).</w:t>
      </w:r>
    </w:p>
    <w:p w14:paraId="5DFE09BA"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8" w:name="_Toc237033498"/>
      <w:r w:rsidRPr="00056B7B">
        <w:rPr>
          <w:rFonts w:ascii="Arial" w:hAnsi="Arial" w:cs="Arial"/>
          <w:szCs w:val="24"/>
          <w:lang w:val="en-GB"/>
        </w:rPr>
        <w:lastRenderedPageBreak/>
        <w:t>2.3 Sociocultural factors</w:t>
      </w:r>
      <w:bookmarkEnd w:id="8"/>
    </w:p>
    <w:p w14:paraId="1DB12071" w14:textId="24EA7ABA" w:rsidR="00A65DBF"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w:t>
      </w:r>
      <w:proofErr w:type="spellStart"/>
      <w:r w:rsidRPr="00056B7B">
        <w:rPr>
          <w:rFonts w:ascii="Arial" w:hAnsi="Arial" w:cs="Arial"/>
          <w:color w:val="000000" w:themeColor="text1"/>
          <w:szCs w:val="24"/>
          <w:lang w:val="en-GB"/>
        </w:rPr>
        <w:t>Hofstede's</w:t>
      </w:r>
      <w:proofErr w:type="spellEnd"/>
      <w:r w:rsidRPr="00056B7B">
        <w:rPr>
          <w:rFonts w:ascii="Arial" w:hAnsi="Arial" w:cs="Arial"/>
          <w:color w:val="000000" w:themeColor="text1"/>
          <w:szCs w:val="24"/>
          <w:lang w:val="en-GB"/>
        </w:rPr>
        <w:t xml:space="preserve"> model implies that different communication styles/signals of ownership are required by India and Japan.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 indicates that India has a relatively </w:t>
      </w:r>
      <w:r w:rsidR="002E1D2B" w:rsidRPr="00056B7B">
        <w:rPr>
          <w:rFonts w:ascii="Arial" w:hAnsi="Arial" w:cs="Arial"/>
          <w:color w:val="000000" w:themeColor="text1"/>
          <w:szCs w:val="24"/>
          <w:lang w:val="en-GB"/>
        </w:rPr>
        <w:t>high-power</w:t>
      </w:r>
      <w:r w:rsidRPr="00056B7B">
        <w:rPr>
          <w:rFonts w:ascii="Arial" w:hAnsi="Arial" w:cs="Arial"/>
          <w:color w:val="000000" w:themeColor="text1"/>
          <w:szCs w:val="24"/>
          <w:lang w:val="en-GB"/>
        </w:rPr>
        <w:t xml:space="preserve"> distance and a relatively low uncertainty avoidance. These attributes facilitate family-centric, authority-based and aspirational communications, particularly from trusted dealers and via social proof (</w:t>
      </w:r>
      <w:proofErr w:type="spellStart"/>
      <w:r w:rsidRPr="00056B7B">
        <w:rPr>
          <w:rFonts w:ascii="Arial" w:hAnsi="Arial" w:cs="Arial"/>
          <w:color w:val="000000" w:themeColor="text1"/>
          <w:szCs w:val="24"/>
          <w:lang w:val="en-GB"/>
        </w:rPr>
        <w:t>Beugelsdijk</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Kostova</w:t>
      </w:r>
      <w:proofErr w:type="spellEnd"/>
      <w:r w:rsidRPr="00056B7B">
        <w:rPr>
          <w:rFonts w:ascii="Arial" w:hAnsi="Arial" w:cs="Arial"/>
          <w:color w:val="000000" w:themeColor="text1"/>
          <w:szCs w:val="24"/>
          <w:lang w:val="en-GB"/>
        </w:rPr>
        <w:t xml:space="preserve"> and Roth, 2017).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reveals that in Japan uncertainty avoidance is higher and their long-term orientation is higher. This implies the consumers will appreciate predictability, engineering precision and detailed information about the product (Yi, 2021).</w:t>
      </w:r>
    </w:p>
    <w:p w14:paraId="4E1DC11A" w14:textId="2F365410" w:rsidR="00EA5A59" w:rsidRPr="00056B7B" w:rsidRDefault="00A65DBF"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must, therefore, not count on the same emotional appeal being effective in all markets. Partly a status and security purchase, a brand message regarding dependable family mobility and resale value is commercially persuasive – in India. For the Japanese consumer, a brand message of craftsmanship, environmental protection and high standards of quality is more believable because they know the brand would not risk their own on quality and consistency. This is the kind of divergence international marketing theory would suggest would call for a local adaptation rather than a pure standardisation (WSU </w:t>
      </w:r>
      <w:proofErr w:type="spellStart"/>
      <w:r w:rsidRPr="00056B7B">
        <w:rPr>
          <w:rFonts w:ascii="Arial" w:hAnsi="Arial" w:cs="Arial"/>
          <w:color w:val="000000" w:themeColor="text1"/>
          <w:szCs w:val="24"/>
          <w:lang w:val="en-GB"/>
        </w:rPr>
        <w:t>Pressbooks</w:t>
      </w:r>
      <w:proofErr w:type="spellEnd"/>
      <w:r w:rsidRPr="00056B7B">
        <w:rPr>
          <w:rFonts w:ascii="Arial" w:hAnsi="Arial" w:cs="Arial"/>
          <w:color w:val="000000" w:themeColor="text1"/>
          <w:szCs w:val="24"/>
          <w:lang w:val="en-GB"/>
        </w:rPr>
        <w:t>, 2019). Today, the need for standardisation and adaptation is also acknowledged in the field of international marketing (</w:t>
      </w:r>
      <w:proofErr w:type="spellStart"/>
      <w:r w:rsidRPr="00056B7B">
        <w:rPr>
          <w:rFonts w:ascii="Arial" w:hAnsi="Arial" w:cs="Arial"/>
          <w:color w:val="000000" w:themeColor="text1"/>
          <w:szCs w:val="24"/>
          <w:lang w:val="en-GB"/>
        </w:rPr>
        <w:t>eCampusOntario</w:t>
      </w:r>
      <w:proofErr w:type="spellEnd"/>
      <w:r w:rsidRPr="00056B7B">
        <w:rPr>
          <w:rFonts w:ascii="Arial" w:hAnsi="Arial" w:cs="Arial"/>
          <w:color w:val="000000" w:themeColor="text1"/>
          <w:szCs w:val="24"/>
          <w:lang w:val="en-GB"/>
        </w:rPr>
        <w:t>, 2022).</w:t>
      </w:r>
    </w:p>
    <w:p w14:paraId="7D9513FE" w14:textId="77777777" w:rsidR="00577C95" w:rsidRPr="00056B7B" w:rsidRDefault="00A80195" w:rsidP="003548A1">
      <w:pPr>
        <w:keepNext/>
        <w:spacing w:line="360" w:lineRule="auto"/>
        <w:jc w:val="center"/>
        <w:rPr>
          <w:rFonts w:ascii="Arial" w:hAnsi="Arial" w:cs="Arial"/>
          <w:color w:val="000000" w:themeColor="text1"/>
          <w:szCs w:val="24"/>
          <w:lang w:val="en-GB"/>
        </w:rPr>
      </w:pPr>
      <w:r w:rsidRPr="00056B7B">
        <w:rPr>
          <w:rFonts w:ascii="Arial" w:hAnsi="Arial" w:cs="Arial"/>
          <w:noProof/>
          <w:color w:val="000000" w:themeColor="text1"/>
          <w:szCs w:val="24"/>
          <w:lang w:val="en-IN" w:eastAsia="en-IN" w:bidi="gu-IN"/>
        </w:rPr>
        <w:lastRenderedPageBreak/>
        <w:drawing>
          <wp:inline distT="0" distB="0" distL="0" distR="0" wp14:anchorId="7B6D4480" wp14:editId="29E9E600">
            <wp:extent cx="5852160" cy="3352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hofstede.png"/>
                    <pic:cNvPicPr/>
                  </pic:nvPicPr>
                  <pic:blipFill>
                    <a:blip r:embed="rId10"/>
                    <a:stretch>
                      <a:fillRect/>
                    </a:stretch>
                  </pic:blipFill>
                  <pic:spPr>
                    <a:xfrm>
                      <a:off x="0" y="0"/>
                      <a:ext cx="5852160" cy="3352080"/>
                    </a:xfrm>
                    <a:prstGeom prst="rect">
                      <a:avLst/>
                    </a:prstGeom>
                  </pic:spPr>
                </pic:pic>
              </a:graphicData>
            </a:graphic>
          </wp:inline>
        </w:drawing>
      </w:r>
    </w:p>
    <w:p w14:paraId="651AFC40" w14:textId="0B362330" w:rsidR="00577C95" w:rsidRPr="00056B7B" w:rsidRDefault="00577C95" w:rsidP="003548A1">
      <w:pPr>
        <w:pStyle w:val="Caption"/>
        <w:spacing w:before="240" w:after="240" w:line="360" w:lineRule="auto"/>
        <w:jc w:val="center"/>
        <w:rPr>
          <w:rFonts w:ascii="Arial" w:hAnsi="Arial" w:cs="Arial"/>
          <w:color w:val="000000" w:themeColor="text1"/>
          <w:sz w:val="24"/>
          <w:szCs w:val="24"/>
          <w:lang w:val="en-GB"/>
        </w:rPr>
      </w:pPr>
      <w:r w:rsidRPr="00056B7B">
        <w:rPr>
          <w:rFonts w:ascii="Arial" w:hAnsi="Arial" w:cs="Arial"/>
          <w:color w:val="000000" w:themeColor="text1"/>
          <w:sz w:val="24"/>
          <w:szCs w:val="24"/>
          <w:lang w:val="en-GB"/>
        </w:rPr>
        <w:t xml:space="preserve">Figure </w:t>
      </w:r>
      <w:r w:rsidRPr="00056B7B">
        <w:rPr>
          <w:rFonts w:ascii="Arial" w:hAnsi="Arial" w:cs="Arial"/>
          <w:color w:val="000000" w:themeColor="text1"/>
          <w:sz w:val="24"/>
          <w:szCs w:val="24"/>
          <w:lang w:val="en-GB"/>
        </w:rPr>
        <w:fldChar w:fldCharType="begin"/>
      </w:r>
      <w:r w:rsidRPr="00056B7B">
        <w:rPr>
          <w:rFonts w:ascii="Arial" w:hAnsi="Arial" w:cs="Arial"/>
          <w:color w:val="000000" w:themeColor="text1"/>
          <w:sz w:val="24"/>
          <w:szCs w:val="24"/>
          <w:lang w:val="en-GB"/>
        </w:rPr>
        <w:instrText xml:space="preserve"> SEQ Figure \* ARABIC </w:instrText>
      </w:r>
      <w:r w:rsidRPr="00056B7B">
        <w:rPr>
          <w:rFonts w:ascii="Arial" w:hAnsi="Arial" w:cs="Arial"/>
          <w:color w:val="000000" w:themeColor="text1"/>
          <w:sz w:val="24"/>
          <w:szCs w:val="24"/>
          <w:lang w:val="en-GB"/>
        </w:rPr>
        <w:fldChar w:fldCharType="separate"/>
      </w:r>
      <w:r w:rsidRPr="00056B7B">
        <w:rPr>
          <w:rFonts w:ascii="Arial" w:hAnsi="Arial" w:cs="Arial"/>
          <w:noProof/>
          <w:color w:val="000000" w:themeColor="text1"/>
          <w:sz w:val="24"/>
          <w:szCs w:val="24"/>
          <w:lang w:val="en-GB"/>
        </w:rPr>
        <w:t>2</w:t>
      </w:r>
      <w:r w:rsidRPr="00056B7B">
        <w:rPr>
          <w:rFonts w:ascii="Arial" w:hAnsi="Arial" w:cs="Arial"/>
          <w:color w:val="000000" w:themeColor="text1"/>
          <w:sz w:val="24"/>
          <w:szCs w:val="24"/>
          <w:lang w:val="en-GB"/>
        </w:rPr>
        <w:fldChar w:fldCharType="end"/>
      </w:r>
      <w:r w:rsidRPr="00056B7B">
        <w:rPr>
          <w:rFonts w:ascii="Arial" w:hAnsi="Arial" w:cs="Arial"/>
          <w:color w:val="000000" w:themeColor="text1"/>
          <w:sz w:val="24"/>
          <w:szCs w:val="24"/>
          <w:lang w:val="en-GB"/>
        </w:rPr>
        <w:t xml:space="preserve">: Selected </w:t>
      </w:r>
      <w:proofErr w:type="spellStart"/>
      <w:r w:rsidRPr="00056B7B">
        <w:rPr>
          <w:rFonts w:ascii="Arial" w:hAnsi="Arial" w:cs="Arial"/>
          <w:color w:val="000000" w:themeColor="text1"/>
          <w:sz w:val="24"/>
          <w:szCs w:val="24"/>
          <w:lang w:val="en-GB"/>
        </w:rPr>
        <w:t>Hofstede</w:t>
      </w:r>
      <w:proofErr w:type="spellEnd"/>
      <w:r w:rsidRPr="00056B7B">
        <w:rPr>
          <w:rFonts w:ascii="Arial" w:hAnsi="Arial" w:cs="Arial"/>
          <w:color w:val="000000" w:themeColor="text1"/>
          <w:sz w:val="24"/>
          <w:szCs w:val="24"/>
          <w:lang w:val="en-GB"/>
        </w:rPr>
        <w:t xml:space="preserve"> cultural dimensions.</w:t>
      </w:r>
    </w:p>
    <w:p w14:paraId="0EC823BB" w14:textId="63058061" w:rsidR="00A80195" w:rsidRPr="00056B7B" w:rsidRDefault="00577C95" w:rsidP="003548A1">
      <w:pPr>
        <w:pStyle w:val="Caption"/>
        <w:spacing w:before="240" w:after="240" w:line="360" w:lineRule="auto"/>
        <w:jc w:val="center"/>
        <w:rPr>
          <w:rFonts w:ascii="Arial" w:hAnsi="Arial" w:cs="Arial"/>
          <w:color w:val="000000" w:themeColor="text1"/>
          <w:sz w:val="24"/>
          <w:szCs w:val="24"/>
          <w:lang w:val="en-GB"/>
        </w:rPr>
      </w:pPr>
      <w:r w:rsidRPr="00056B7B">
        <w:rPr>
          <w:rFonts w:ascii="Arial" w:hAnsi="Arial" w:cs="Arial"/>
          <w:color w:val="000000" w:themeColor="text1"/>
          <w:sz w:val="24"/>
          <w:szCs w:val="24"/>
          <w:lang w:val="en-GB"/>
        </w:rPr>
        <w:t>Source: The Culture Factor (</w:t>
      </w:r>
      <w:proofErr w:type="spellStart"/>
      <w:r w:rsidRPr="00056B7B">
        <w:rPr>
          <w:rFonts w:ascii="Arial" w:hAnsi="Arial" w:cs="Arial"/>
          <w:color w:val="000000" w:themeColor="text1"/>
          <w:sz w:val="24"/>
          <w:szCs w:val="24"/>
          <w:lang w:val="en-GB"/>
        </w:rPr>
        <w:t>n.d.</w:t>
      </w:r>
      <w:proofErr w:type="spellEnd"/>
      <w:r w:rsidRPr="00056B7B">
        <w:rPr>
          <w:rFonts w:ascii="Arial" w:hAnsi="Arial" w:cs="Arial"/>
          <w:color w:val="000000" w:themeColor="text1"/>
          <w:sz w:val="24"/>
          <w:szCs w:val="24"/>
          <w:lang w:val="en-GB"/>
        </w:rPr>
        <w:t xml:space="preserve">); </w:t>
      </w:r>
      <w:proofErr w:type="spellStart"/>
      <w:r w:rsidRPr="00056B7B">
        <w:rPr>
          <w:rFonts w:ascii="Arial" w:hAnsi="Arial" w:cs="Arial"/>
          <w:color w:val="000000" w:themeColor="text1"/>
          <w:sz w:val="24"/>
          <w:szCs w:val="24"/>
          <w:lang w:val="en-GB"/>
        </w:rPr>
        <w:t>Beugelsdijk</w:t>
      </w:r>
      <w:proofErr w:type="spellEnd"/>
      <w:r w:rsidRPr="00056B7B">
        <w:rPr>
          <w:rFonts w:ascii="Arial" w:hAnsi="Arial" w:cs="Arial"/>
          <w:color w:val="000000" w:themeColor="text1"/>
          <w:sz w:val="24"/>
          <w:szCs w:val="24"/>
          <w:lang w:val="en-GB"/>
        </w:rPr>
        <w:t xml:space="preserve">, </w:t>
      </w:r>
      <w:proofErr w:type="spellStart"/>
      <w:r w:rsidRPr="00056B7B">
        <w:rPr>
          <w:rFonts w:ascii="Arial" w:hAnsi="Arial" w:cs="Arial"/>
          <w:color w:val="000000" w:themeColor="text1"/>
          <w:sz w:val="24"/>
          <w:szCs w:val="24"/>
          <w:lang w:val="en-GB"/>
        </w:rPr>
        <w:t>Kostova</w:t>
      </w:r>
      <w:proofErr w:type="spellEnd"/>
      <w:r w:rsidRPr="00056B7B">
        <w:rPr>
          <w:rFonts w:ascii="Arial" w:hAnsi="Arial" w:cs="Arial"/>
          <w:color w:val="000000" w:themeColor="text1"/>
          <w:sz w:val="24"/>
          <w:szCs w:val="24"/>
          <w:lang w:val="en-GB"/>
        </w:rPr>
        <w:t xml:space="preserve"> and Roth (2017).</w:t>
      </w:r>
    </w:p>
    <w:p w14:paraId="00664627"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9" w:name="_Toc237033499"/>
      <w:r w:rsidRPr="00056B7B">
        <w:rPr>
          <w:rFonts w:ascii="Arial" w:hAnsi="Arial" w:cs="Arial"/>
          <w:szCs w:val="24"/>
          <w:lang w:val="en-GB"/>
        </w:rPr>
        <w:t>2.4 Technological and environmental transition</w:t>
      </w:r>
      <w:bookmarkEnd w:id="9"/>
    </w:p>
    <w:p w14:paraId="02278023"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is also moving through two phases of Powertrain Transition. Businesses that are still in the process of developing, charging and EV ecosystem in India make hybrid technology a pragmatic solution as it cuts down on fuel consumption and emissions while not completely relying on infrastructure as a customer (Michael, K. V., </w:t>
      </w:r>
      <w:proofErr w:type="spellStart"/>
      <w:r w:rsidRPr="00056B7B">
        <w:rPr>
          <w:rFonts w:ascii="Arial" w:hAnsi="Arial" w:cs="Arial"/>
          <w:color w:val="000000" w:themeColor="text1"/>
          <w:szCs w:val="24"/>
          <w:lang w:val="en-GB"/>
        </w:rPr>
        <w:t>Hungund</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Fernandes</w:t>
      </w:r>
      <w:proofErr w:type="spellEnd"/>
      <w:r w:rsidRPr="00056B7B">
        <w:rPr>
          <w:rFonts w:ascii="Arial" w:hAnsi="Arial" w:cs="Arial"/>
          <w:color w:val="000000" w:themeColor="text1"/>
          <w:szCs w:val="24"/>
          <w:lang w:val="en-GB"/>
        </w:rPr>
        <w:t>, 2022). Recent studies also suggest hybrid vehicles as a good transition technology in the emerging automotive markets (</w:t>
      </w:r>
      <w:proofErr w:type="spellStart"/>
      <w:r w:rsidRPr="00056B7B">
        <w:rPr>
          <w:rFonts w:ascii="Arial" w:hAnsi="Arial" w:cs="Arial"/>
          <w:color w:val="000000" w:themeColor="text1"/>
          <w:szCs w:val="24"/>
          <w:lang w:val="en-GB"/>
        </w:rPr>
        <w:t>Mukesh</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Narwal</w:t>
      </w:r>
      <w:proofErr w:type="spellEnd"/>
      <w:r w:rsidRPr="00056B7B">
        <w:rPr>
          <w:rFonts w:ascii="Arial" w:hAnsi="Arial" w:cs="Arial"/>
          <w:color w:val="000000" w:themeColor="text1"/>
          <w:szCs w:val="24"/>
          <w:lang w:val="en-GB"/>
        </w:rPr>
        <w:t xml:space="preserve">, 2023). Further, the policy environment is more demanding for Toyota to demonstrate the technical viability and readiness of their low emission portfolio, as Japan is further advanced in electrified mobility. This transition is also backed by the latest research on the Japanese EV roadmap, which is done in collaboration with the Ministry of Economy, </w:t>
      </w:r>
      <w:proofErr w:type="spellStart"/>
      <w:r w:rsidRPr="00056B7B">
        <w:rPr>
          <w:rFonts w:ascii="Arial" w:hAnsi="Arial" w:cs="Arial"/>
          <w:color w:val="000000" w:themeColor="text1"/>
          <w:szCs w:val="24"/>
          <w:lang w:val="en-GB"/>
        </w:rPr>
        <w:t>Labor</w:t>
      </w:r>
      <w:proofErr w:type="spellEnd"/>
      <w:r w:rsidRPr="00056B7B">
        <w:rPr>
          <w:rFonts w:ascii="Arial" w:hAnsi="Arial" w:cs="Arial"/>
          <w:color w:val="000000" w:themeColor="text1"/>
          <w:szCs w:val="24"/>
          <w:lang w:val="en-GB"/>
        </w:rPr>
        <w:t xml:space="preserve"> and Communications in Japan (Regional electric vehicle roadmap and strategy in Japan based on a lifecycle optimization model, 2025).</w:t>
      </w:r>
    </w:p>
    <w:p w14:paraId="516113B3" w14:textId="67E47328" w:rsidR="00A65DBF"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Hybrids continue to remain a strategic focus for Toyota as it is still relevant for the future. It has been found out that about 43% of Toyota's total sales globally up to mid-</w:t>
      </w:r>
      <w:r w:rsidRPr="00056B7B">
        <w:rPr>
          <w:rFonts w:ascii="Arial" w:hAnsi="Arial" w:cs="Arial"/>
          <w:color w:val="000000" w:themeColor="text1"/>
          <w:szCs w:val="24"/>
          <w:lang w:val="en-GB"/>
        </w:rPr>
        <w:lastRenderedPageBreak/>
        <w:t>2025 comprised of hybrid models (Reuters, 2025). This is in line with the idea of transitioning to electric cars instead of making a full transition to EVs. This is critical as it would help Toyota convince India with its idea of mobility at low costs, fuel efficiency, and transition to electric vehicles, while it could focus on electrification in Japan.</w:t>
      </w:r>
    </w:p>
    <w:p w14:paraId="18C35669"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10" w:name="_Toc237033500"/>
      <w:r w:rsidRPr="00056B7B">
        <w:rPr>
          <w:rFonts w:ascii="Arial" w:hAnsi="Arial" w:cs="Arial"/>
          <w:szCs w:val="24"/>
          <w:lang w:val="en-GB"/>
        </w:rPr>
        <w:t>3. STP Analysis</w:t>
      </w:r>
      <w:bookmarkEnd w:id="10"/>
    </w:p>
    <w:p w14:paraId="7D8F209B" w14:textId="51A0C618" w:rsidR="00E54F5F" w:rsidRPr="00056B7B" w:rsidRDefault="00EE11FD" w:rsidP="00F05C75">
      <w:pPr>
        <w:pStyle w:val="Heading2"/>
        <w:spacing w:before="240" w:after="240" w:line="360" w:lineRule="auto"/>
        <w:jc w:val="both"/>
        <w:rPr>
          <w:rFonts w:ascii="Arial" w:hAnsi="Arial" w:cs="Arial"/>
          <w:szCs w:val="24"/>
          <w:lang w:val="en-GB"/>
        </w:rPr>
      </w:pPr>
      <w:bookmarkStart w:id="11" w:name="_Toc237033501"/>
      <w:r w:rsidRPr="00056B7B">
        <w:rPr>
          <w:rFonts w:ascii="Arial" w:hAnsi="Arial" w:cs="Arial"/>
          <w:szCs w:val="24"/>
          <w:lang w:val="en-GB"/>
        </w:rPr>
        <w:t xml:space="preserve">3.1 </w:t>
      </w:r>
      <w:r w:rsidR="00E54F5F" w:rsidRPr="00056B7B">
        <w:rPr>
          <w:rFonts w:ascii="Arial" w:hAnsi="Arial" w:cs="Arial"/>
          <w:szCs w:val="24"/>
          <w:lang w:val="en-GB"/>
        </w:rPr>
        <w:t>Segmentation</w:t>
      </w:r>
      <w:bookmarkEnd w:id="11"/>
    </w:p>
    <w:p w14:paraId="6B9D135D" w14:textId="73F5CE43"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Toyota's segmentation strategy should be significantly different in India vs. Japan. The appealing segments will be middle class urban consumers who are looking to lower running costs of their SUV's without compromising on their aspiration level in terms of look and interior or for those who are more comfortable with the SUV's but worried about the operating cost—the upper </w:t>
      </w:r>
      <w:r w:rsidR="00477EA7" w:rsidRPr="00056B7B">
        <w:rPr>
          <w:rFonts w:ascii="Arial" w:hAnsi="Arial" w:cs="Arial"/>
          <w:color w:val="000000" w:themeColor="text1"/>
          <w:szCs w:val="24"/>
          <w:lang w:val="en-GB"/>
        </w:rPr>
        <w:t>middle-class</w:t>
      </w:r>
      <w:r w:rsidRPr="00056B7B">
        <w:rPr>
          <w:rFonts w:ascii="Arial" w:hAnsi="Arial" w:cs="Arial"/>
          <w:color w:val="000000" w:themeColor="text1"/>
          <w:szCs w:val="24"/>
          <w:lang w:val="en-GB"/>
        </w:rPr>
        <w:t xml:space="preserve"> consumers. Toyota India has a multi-layered presence from the </w:t>
      </w:r>
      <w:proofErr w:type="spellStart"/>
      <w:r w:rsidRPr="00056B7B">
        <w:rPr>
          <w:rFonts w:ascii="Arial" w:hAnsi="Arial" w:cs="Arial"/>
          <w:color w:val="000000" w:themeColor="text1"/>
          <w:szCs w:val="24"/>
          <w:lang w:val="en-GB"/>
        </w:rPr>
        <w:t>Glanza</w:t>
      </w:r>
      <w:proofErr w:type="spellEnd"/>
      <w:r w:rsidRPr="00056B7B">
        <w:rPr>
          <w:rFonts w:ascii="Arial" w:hAnsi="Arial" w:cs="Arial"/>
          <w:color w:val="000000" w:themeColor="text1"/>
          <w:szCs w:val="24"/>
          <w:lang w:val="en-GB"/>
        </w:rPr>
        <w:t xml:space="preserve">, Urban Cruiser </w:t>
      </w:r>
      <w:proofErr w:type="spellStart"/>
      <w:r w:rsidRPr="00056B7B">
        <w:rPr>
          <w:rFonts w:ascii="Arial" w:hAnsi="Arial" w:cs="Arial"/>
          <w:color w:val="000000" w:themeColor="text1"/>
          <w:szCs w:val="24"/>
          <w:lang w:val="en-GB"/>
        </w:rPr>
        <w:t>Taisor</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Innova</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Hycross</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Fortuner</w:t>
      </w:r>
      <w:proofErr w:type="spellEnd"/>
      <w:r w:rsidRPr="00056B7B">
        <w:rPr>
          <w:rFonts w:ascii="Arial" w:hAnsi="Arial" w:cs="Arial"/>
          <w:color w:val="000000" w:themeColor="text1"/>
          <w:szCs w:val="24"/>
          <w:lang w:val="en-GB"/>
        </w:rPr>
        <w:t xml:space="preserve">, Camry, </w:t>
      </w:r>
      <w:proofErr w:type="spellStart"/>
      <w:r w:rsidRPr="00056B7B">
        <w:rPr>
          <w:rFonts w:ascii="Arial" w:hAnsi="Arial" w:cs="Arial"/>
          <w:color w:val="000000" w:themeColor="text1"/>
          <w:szCs w:val="24"/>
          <w:lang w:val="en-GB"/>
        </w:rPr>
        <w:t>Vellfire</w:t>
      </w:r>
      <w:proofErr w:type="spellEnd"/>
      <w:r w:rsidRPr="00056B7B">
        <w:rPr>
          <w:rFonts w:ascii="Arial" w:hAnsi="Arial" w:cs="Arial"/>
          <w:color w:val="000000" w:themeColor="text1"/>
          <w:szCs w:val="24"/>
          <w:lang w:val="en-GB"/>
        </w:rPr>
        <w:t xml:space="preserve"> and Land Cruiser 300 and to cater to the different classes of customers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-a).</w:t>
      </w:r>
    </w:p>
    <w:p w14:paraId="74594E33" w14:textId="03FCD964" w:rsidR="00E54F5F"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Japan has a different segmentation strategy, as Toyota is not looking to enter into new market segments, but remain relevant in existing age and lifestyle, and usage segments. It sells these vehicles both domestically, including models like the Corolla, RAV4, Yaris Cross and Land Cruiser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Another illustration of Toyota's attempt at meeting the mobility needs of different customer groups is its stock of products that are available in Japan, but not in other countries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-b).</w:t>
      </w:r>
    </w:p>
    <w:p w14:paraId="2119FF3A" w14:textId="56D2BC83" w:rsidR="00E54F5F" w:rsidRPr="00056B7B" w:rsidRDefault="00EE11FD" w:rsidP="00F05C75">
      <w:pPr>
        <w:pStyle w:val="Heading2"/>
        <w:spacing w:before="240" w:after="240" w:line="360" w:lineRule="auto"/>
        <w:jc w:val="both"/>
        <w:rPr>
          <w:rFonts w:ascii="Arial" w:hAnsi="Arial" w:cs="Arial"/>
          <w:szCs w:val="24"/>
          <w:lang w:val="en-GB"/>
        </w:rPr>
      </w:pPr>
      <w:bookmarkStart w:id="12" w:name="_Toc237033502"/>
      <w:r w:rsidRPr="00056B7B">
        <w:rPr>
          <w:rFonts w:ascii="Arial" w:hAnsi="Arial" w:cs="Arial"/>
          <w:szCs w:val="24"/>
          <w:lang w:val="en-GB"/>
        </w:rPr>
        <w:t xml:space="preserve">3.2 </w:t>
      </w:r>
      <w:r w:rsidR="00E54F5F" w:rsidRPr="00056B7B">
        <w:rPr>
          <w:rFonts w:ascii="Arial" w:hAnsi="Arial" w:cs="Arial"/>
          <w:szCs w:val="24"/>
          <w:lang w:val="en-GB"/>
        </w:rPr>
        <w:t>Targeting</w:t>
      </w:r>
      <w:bookmarkEnd w:id="12"/>
    </w:p>
    <w:p w14:paraId="45354452" w14:textId="1820B59B"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This would mainly focus on urban Indian families and aspirational middle and upper </w:t>
      </w:r>
      <w:r w:rsidR="00E416FB" w:rsidRPr="00056B7B">
        <w:rPr>
          <w:rFonts w:ascii="Arial" w:hAnsi="Arial" w:cs="Arial"/>
          <w:color w:val="000000" w:themeColor="text1"/>
          <w:szCs w:val="24"/>
          <w:lang w:val="en-GB"/>
        </w:rPr>
        <w:t>middle-class</w:t>
      </w:r>
      <w:r w:rsidRPr="00056B7B">
        <w:rPr>
          <w:rFonts w:ascii="Arial" w:hAnsi="Arial" w:cs="Arial"/>
          <w:color w:val="000000" w:themeColor="text1"/>
          <w:szCs w:val="24"/>
          <w:lang w:val="en-GB"/>
        </w:rPr>
        <w:t xml:space="preserve"> consumers who focus on rapid family mobility, safety, fuel efficiency and reliability of car ownership, Toyota should primarily target them. These attributes can lower the perceived risk of purchase, improve the appeal of Toyota on the part of the customer, who are thinking about the vehicle's purchase risk but also concerned about the value of the purchase in the long-term. This is very significant as financial constraints, which affect the choices of vehicle adoption made by Indian consumers, </w:t>
      </w:r>
      <w:r w:rsidRPr="00056B7B">
        <w:rPr>
          <w:rFonts w:ascii="Arial" w:hAnsi="Arial" w:cs="Arial"/>
          <w:color w:val="000000" w:themeColor="text1"/>
          <w:szCs w:val="24"/>
          <w:lang w:val="en-GB"/>
        </w:rPr>
        <w:lastRenderedPageBreak/>
        <w:t>exist. (Michael et al., 2022) In addition to benefits consumers experience in practice, charging infrastructure and limitation on vehicle performance will play a role in consumer acceptance of emerging mobility technologies, and thus need attention (</w:t>
      </w:r>
      <w:proofErr w:type="spellStart"/>
      <w:r w:rsidRPr="00056B7B">
        <w:rPr>
          <w:rFonts w:ascii="Arial" w:hAnsi="Arial" w:cs="Arial"/>
          <w:color w:val="000000" w:themeColor="text1"/>
          <w:szCs w:val="24"/>
          <w:lang w:val="en-GB"/>
        </w:rPr>
        <w:t>Mukesh</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Narwal</w:t>
      </w:r>
      <w:proofErr w:type="spellEnd"/>
      <w:r w:rsidRPr="00056B7B">
        <w:rPr>
          <w:rFonts w:ascii="Arial" w:hAnsi="Arial" w:cs="Arial"/>
          <w:color w:val="000000" w:themeColor="text1"/>
          <w:szCs w:val="24"/>
          <w:lang w:val="en-GB"/>
        </w:rPr>
        <w:t>, 2023).</w:t>
      </w:r>
    </w:p>
    <w:p w14:paraId="6100FA4C" w14:textId="71BA524F" w:rsidR="00E54F5F"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For Toyota in Japan, the target market strategy should be aimed at the customers who are existing and have various mobility needs. They include those who need dependable "everyday" mobility with their own car, those who prioritize convenience and dependability, as well as those who look for high-level safety and engineering and prestige. The diverse range of cars in Toyota's product portfolio further helps with this differentiation targeting strategy since Toyota can satisfy various customer needs without having price as the key selling factor for its cars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-a).</w:t>
      </w:r>
    </w:p>
    <w:p w14:paraId="06DF7CF6" w14:textId="456D9EC7" w:rsidR="00577C95" w:rsidRPr="0023215D" w:rsidRDefault="00577C95" w:rsidP="0023215D">
      <w:pPr>
        <w:spacing w:line="360" w:lineRule="auto"/>
        <w:jc w:val="center"/>
        <w:rPr>
          <w:rFonts w:ascii="Arial" w:hAnsi="Arial" w:cs="Arial"/>
          <w:color w:val="000000" w:themeColor="text1"/>
          <w:szCs w:val="24"/>
          <w:lang w:val="en-GB"/>
        </w:rPr>
      </w:pPr>
      <w:r w:rsidRPr="00056B7B">
        <w:rPr>
          <w:rFonts w:ascii="Arial" w:hAnsi="Arial" w:cs="Arial"/>
          <w:noProof/>
          <w:color w:val="000000" w:themeColor="text1"/>
          <w:szCs w:val="24"/>
          <w:lang w:val="en-IN" w:eastAsia="en-IN" w:bidi="gu-IN"/>
        </w:rPr>
        <w:drawing>
          <wp:inline distT="0" distB="0" distL="0" distR="0" wp14:anchorId="7ABCEAD7" wp14:editId="05E78A34">
            <wp:extent cx="5731510" cy="3411220"/>
            <wp:effectExtent l="0" t="0" r="2540" b="0"/>
            <wp:docPr id="67863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30604" name=""/>
                    <pic:cNvPicPr/>
                  </pic:nvPicPr>
                  <pic:blipFill>
                    <a:blip r:embed="rId11"/>
                    <a:stretch>
                      <a:fillRect/>
                    </a:stretch>
                  </pic:blipFill>
                  <pic:spPr>
                    <a:xfrm>
                      <a:off x="0" y="0"/>
                      <a:ext cx="5731510" cy="3411220"/>
                    </a:xfrm>
                    <a:prstGeom prst="rect">
                      <a:avLst/>
                    </a:prstGeom>
                  </pic:spPr>
                </pic:pic>
              </a:graphicData>
            </a:graphic>
          </wp:inline>
        </w:drawing>
      </w:r>
      <w:r w:rsidR="00A80195" w:rsidRPr="00056B7B">
        <w:rPr>
          <w:rFonts w:ascii="Arial" w:hAnsi="Arial" w:cs="Arial"/>
          <w:i/>
          <w:color w:val="000000" w:themeColor="text1"/>
          <w:szCs w:val="24"/>
          <w:lang w:val="en-GB"/>
        </w:rPr>
        <w:t>Figure 3. Toyota India portfolio-to-segment logic.</w:t>
      </w:r>
    </w:p>
    <w:p w14:paraId="42C4B1AE" w14:textId="1EADA6AA" w:rsidR="00A80195" w:rsidRPr="00056B7B" w:rsidRDefault="00A80195" w:rsidP="0023215D">
      <w:pPr>
        <w:spacing w:line="360" w:lineRule="auto"/>
        <w:jc w:val="center"/>
        <w:rPr>
          <w:rFonts w:ascii="Arial" w:hAnsi="Arial" w:cs="Arial"/>
          <w:color w:val="000000" w:themeColor="text1"/>
          <w:szCs w:val="24"/>
          <w:lang w:val="en-GB"/>
        </w:rPr>
      </w:pPr>
      <w:r w:rsidRPr="00056B7B">
        <w:rPr>
          <w:rFonts w:ascii="Arial" w:hAnsi="Arial" w:cs="Arial"/>
          <w:i/>
          <w:color w:val="000000" w:themeColor="text1"/>
          <w:szCs w:val="24"/>
          <w:lang w:val="en-GB"/>
        </w:rPr>
        <w:t xml:space="preserve">Source: Author analysis based on Toyota </w:t>
      </w:r>
      <w:proofErr w:type="spellStart"/>
      <w:r w:rsidRPr="00056B7B">
        <w:rPr>
          <w:rFonts w:ascii="Arial" w:hAnsi="Arial" w:cs="Arial"/>
          <w:i/>
          <w:color w:val="000000" w:themeColor="text1"/>
          <w:szCs w:val="24"/>
          <w:lang w:val="en-GB"/>
        </w:rPr>
        <w:t>Kirloskar</w:t>
      </w:r>
      <w:proofErr w:type="spellEnd"/>
      <w:r w:rsidRPr="00056B7B">
        <w:rPr>
          <w:rFonts w:ascii="Arial" w:hAnsi="Arial" w:cs="Arial"/>
          <w:i/>
          <w:color w:val="000000" w:themeColor="text1"/>
          <w:szCs w:val="24"/>
          <w:lang w:val="en-GB"/>
        </w:rPr>
        <w:t xml:space="preserve"> Motor (</w:t>
      </w:r>
      <w:proofErr w:type="spellStart"/>
      <w:r w:rsidRPr="00056B7B">
        <w:rPr>
          <w:rFonts w:ascii="Arial" w:hAnsi="Arial" w:cs="Arial"/>
          <w:i/>
          <w:color w:val="000000" w:themeColor="text1"/>
          <w:szCs w:val="24"/>
          <w:lang w:val="en-GB"/>
        </w:rPr>
        <w:t>n.d.</w:t>
      </w:r>
      <w:proofErr w:type="spellEnd"/>
      <w:r w:rsidRPr="00056B7B">
        <w:rPr>
          <w:rFonts w:ascii="Arial" w:hAnsi="Arial" w:cs="Arial"/>
          <w:i/>
          <w:color w:val="000000" w:themeColor="text1"/>
          <w:szCs w:val="24"/>
          <w:lang w:val="en-GB"/>
        </w:rPr>
        <w:t xml:space="preserve">-a) and Toyota </w:t>
      </w:r>
      <w:proofErr w:type="spellStart"/>
      <w:r w:rsidRPr="00056B7B">
        <w:rPr>
          <w:rFonts w:ascii="Arial" w:hAnsi="Arial" w:cs="Arial"/>
          <w:i/>
          <w:color w:val="000000" w:themeColor="text1"/>
          <w:szCs w:val="24"/>
          <w:lang w:val="en-GB"/>
        </w:rPr>
        <w:t>Kirloskar</w:t>
      </w:r>
      <w:proofErr w:type="spellEnd"/>
      <w:r w:rsidRPr="00056B7B">
        <w:rPr>
          <w:rFonts w:ascii="Arial" w:hAnsi="Arial" w:cs="Arial"/>
          <w:i/>
          <w:color w:val="000000" w:themeColor="text1"/>
          <w:szCs w:val="24"/>
          <w:lang w:val="en-GB"/>
        </w:rPr>
        <w:t xml:space="preserve"> Motor (</w:t>
      </w:r>
      <w:proofErr w:type="spellStart"/>
      <w:r w:rsidRPr="00056B7B">
        <w:rPr>
          <w:rFonts w:ascii="Arial" w:hAnsi="Arial" w:cs="Arial"/>
          <w:i/>
          <w:color w:val="000000" w:themeColor="text1"/>
          <w:szCs w:val="24"/>
          <w:lang w:val="en-GB"/>
        </w:rPr>
        <w:t>n.d.</w:t>
      </w:r>
      <w:proofErr w:type="spellEnd"/>
      <w:r w:rsidRPr="00056B7B">
        <w:rPr>
          <w:rFonts w:ascii="Arial" w:hAnsi="Arial" w:cs="Arial"/>
          <w:i/>
          <w:color w:val="000000" w:themeColor="text1"/>
          <w:szCs w:val="24"/>
          <w:lang w:val="en-GB"/>
        </w:rPr>
        <w:t>-b).</w:t>
      </w:r>
    </w:p>
    <w:p w14:paraId="0CDE3223" w14:textId="46D8F76C" w:rsidR="00E54F5F" w:rsidRPr="00056B7B" w:rsidRDefault="00EE11FD" w:rsidP="00F05C75">
      <w:pPr>
        <w:pStyle w:val="Heading2"/>
        <w:spacing w:before="240" w:after="240" w:line="360" w:lineRule="auto"/>
        <w:jc w:val="both"/>
        <w:rPr>
          <w:rFonts w:ascii="Arial" w:hAnsi="Arial" w:cs="Arial"/>
          <w:szCs w:val="24"/>
          <w:lang w:val="en-GB"/>
        </w:rPr>
      </w:pPr>
      <w:bookmarkStart w:id="13" w:name="_Toc237033503"/>
      <w:r w:rsidRPr="00056B7B">
        <w:rPr>
          <w:rFonts w:ascii="Arial" w:hAnsi="Arial" w:cs="Arial"/>
          <w:szCs w:val="24"/>
          <w:lang w:val="en-GB"/>
        </w:rPr>
        <w:lastRenderedPageBreak/>
        <w:t xml:space="preserve">3.3 </w:t>
      </w:r>
      <w:r w:rsidR="00E54F5F" w:rsidRPr="00056B7B">
        <w:rPr>
          <w:rFonts w:ascii="Arial" w:hAnsi="Arial" w:cs="Arial"/>
          <w:szCs w:val="24"/>
          <w:lang w:val="en-GB"/>
        </w:rPr>
        <w:t>Positioning</w:t>
      </w:r>
      <w:bookmarkEnd w:id="13"/>
    </w:p>
    <w:p w14:paraId="75F2F0D1"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In India, Toyota has to be recognized as a trusted brand which has come to be known for its durability, reliability and its resale value, even if it is a premium brand. It can be located to offer reliable family mobility and fuel efficiency, safety and reduced risk of life-long ownership. In this regard, the wide range of Toyota's presence in India bolsters this assertion – from the reach of its presence in accessible &amp; utility vehicles to that of its premium vehicles: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w:t>
      </w:r>
      <w:proofErr w:type="gramStart"/>
      <w:r w:rsidRPr="00056B7B">
        <w:rPr>
          <w:rFonts w:ascii="Arial" w:hAnsi="Arial" w:cs="Arial"/>
          <w:color w:val="000000" w:themeColor="text1"/>
          <w:szCs w:val="24"/>
          <w:lang w:val="en-GB"/>
        </w:rPr>
        <w:t>a &amp;</w:t>
      </w:r>
      <w:proofErr w:type="gram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-b.</w:t>
      </w:r>
    </w:p>
    <w:p w14:paraId="0FE9BE32" w14:textId="040D6C67" w:rsidR="00E54F5F"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For Toyota to be successful in Japan, the focus must be on engineering (quality, fit and finish), convenience, advanced safety and environmental friendliness, and </w:t>
      </w:r>
      <w:proofErr w:type="gramStart"/>
      <w:r w:rsidRPr="00056B7B">
        <w:rPr>
          <w:rFonts w:ascii="Arial" w:hAnsi="Arial" w:cs="Arial"/>
          <w:color w:val="000000" w:themeColor="text1"/>
          <w:szCs w:val="24"/>
          <w:lang w:val="en-GB"/>
        </w:rPr>
        <w:t>it's</w:t>
      </w:r>
      <w:proofErr w:type="gramEnd"/>
      <w:r w:rsidRPr="00056B7B">
        <w:rPr>
          <w:rFonts w:ascii="Arial" w:hAnsi="Arial" w:cs="Arial"/>
          <w:color w:val="000000" w:themeColor="text1"/>
          <w:szCs w:val="24"/>
          <w:lang w:val="en-GB"/>
        </w:rPr>
        <w:t xml:space="preserve"> emphasis on these areas should not be about the actual price. This will help Toyota to remain relevant in various mobility needs and life stages and to strengthen customer trust in the brand. The difference between STP in Japan and India is the conversion, trust-building and broadening of the potential buying pool is more prominent for the former compared to STP primarily focusing on retention and refinement and lifetime brand management in the latter.</w:t>
      </w:r>
    </w:p>
    <w:p w14:paraId="77568EC1" w14:textId="197114FB" w:rsidR="006E7CB8" w:rsidRPr="00056B7B" w:rsidRDefault="00E54F5F" w:rsidP="0023215D">
      <w:pPr>
        <w:spacing w:line="360" w:lineRule="auto"/>
        <w:jc w:val="center"/>
        <w:rPr>
          <w:rFonts w:ascii="Arial" w:hAnsi="Arial" w:cs="Arial"/>
          <w:i/>
          <w:color w:val="000000" w:themeColor="text1"/>
          <w:szCs w:val="24"/>
          <w:lang w:val="en-GB"/>
        </w:rPr>
      </w:pPr>
      <w:r w:rsidRPr="00056B7B">
        <w:rPr>
          <w:rFonts w:ascii="Arial" w:hAnsi="Arial" w:cs="Arial"/>
          <w:noProof/>
          <w:color w:val="000000" w:themeColor="text1"/>
          <w:szCs w:val="24"/>
          <w:lang w:val="en-IN" w:eastAsia="en-IN" w:bidi="gu-IN"/>
        </w:rPr>
        <w:drawing>
          <wp:inline distT="0" distB="0" distL="0" distR="0" wp14:anchorId="64ABFBEC" wp14:editId="3F7F0F65">
            <wp:extent cx="5731510" cy="3587115"/>
            <wp:effectExtent l="0" t="0" r="2540" b="0"/>
            <wp:docPr id="175805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059204" name=""/>
                    <pic:cNvPicPr/>
                  </pic:nvPicPr>
                  <pic:blipFill>
                    <a:blip r:embed="rId12"/>
                    <a:stretch>
                      <a:fillRect/>
                    </a:stretch>
                  </pic:blipFill>
                  <pic:spPr>
                    <a:xfrm>
                      <a:off x="0" y="0"/>
                      <a:ext cx="5731510" cy="3587115"/>
                    </a:xfrm>
                    <a:prstGeom prst="rect">
                      <a:avLst/>
                    </a:prstGeom>
                  </pic:spPr>
                </pic:pic>
              </a:graphicData>
            </a:graphic>
          </wp:inline>
        </w:drawing>
      </w:r>
      <w:r w:rsidR="00A80195" w:rsidRPr="00056B7B">
        <w:rPr>
          <w:rFonts w:ascii="Arial" w:hAnsi="Arial" w:cs="Arial"/>
          <w:i/>
          <w:color w:val="000000" w:themeColor="text1"/>
          <w:szCs w:val="24"/>
          <w:lang w:val="en-GB"/>
        </w:rPr>
        <w:t>Figure 4. Toyota Japan portfolio-to-segment logic.</w:t>
      </w:r>
    </w:p>
    <w:p w14:paraId="1E6C31CA" w14:textId="5A11C8F0" w:rsidR="00A80195" w:rsidRPr="00056B7B" w:rsidRDefault="00A80195" w:rsidP="0023215D">
      <w:pPr>
        <w:spacing w:line="360" w:lineRule="auto"/>
        <w:jc w:val="center"/>
        <w:rPr>
          <w:rFonts w:ascii="Arial" w:hAnsi="Arial" w:cs="Arial"/>
          <w:color w:val="000000" w:themeColor="text1"/>
          <w:szCs w:val="24"/>
          <w:lang w:val="en-GB"/>
        </w:rPr>
      </w:pPr>
      <w:r w:rsidRPr="00056B7B">
        <w:rPr>
          <w:rFonts w:ascii="Arial" w:hAnsi="Arial" w:cs="Arial"/>
          <w:i/>
          <w:color w:val="000000" w:themeColor="text1"/>
          <w:szCs w:val="24"/>
          <w:lang w:val="en-GB"/>
        </w:rPr>
        <w:lastRenderedPageBreak/>
        <w:t>Source: Author analysis based on Toyota Motor Corporation (</w:t>
      </w:r>
      <w:proofErr w:type="spellStart"/>
      <w:r w:rsidRPr="00056B7B">
        <w:rPr>
          <w:rFonts w:ascii="Arial" w:hAnsi="Arial" w:cs="Arial"/>
          <w:i/>
          <w:color w:val="000000" w:themeColor="text1"/>
          <w:szCs w:val="24"/>
          <w:lang w:val="en-GB"/>
        </w:rPr>
        <w:t>n.d.</w:t>
      </w:r>
      <w:proofErr w:type="spellEnd"/>
      <w:r w:rsidRPr="00056B7B">
        <w:rPr>
          <w:rFonts w:ascii="Arial" w:hAnsi="Arial" w:cs="Arial"/>
          <w:i/>
          <w:color w:val="000000" w:themeColor="text1"/>
          <w:szCs w:val="24"/>
          <w:lang w:val="en-GB"/>
        </w:rPr>
        <w:t>-a) and Toyota Motor Corporation (</w:t>
      </w:r>
      <w:proofErr w:type="spellStart"/>
      <w:r w:rsidRPr="00056B7B">
        <w:rPr>
          <w:rFonts w:ascii="Arial" w:hAnsi="Arial" w:cs="Arial"/>
          <w:i/>
          <w:color w:val="000000" w:themeColor="text1"/>
          <w:szCs w:val="24"/>
          <w:lang w:val="en-GB"/>
        </w:rPr>
        <w:t>n.d.</w:t>
      </w:r>
      <w:proofErr w:type="spellEnd"/>
      <w:r w:rsidRPr="00056B7B">
        <w:rPr>
          <w:rFonts w:ascii="Arial" w:hAnsi="Arial" w:cs="Arial"/>
          <w:i/>
          <w:color w:val="000000" w:themeColor="text1"/>
          <w:szCs w:val="24"/>
          <w:lang w:val="en-GB"/>
        </w:rPr>
        <w:t>-b).</w:t>
      </w:r>
    </w:p>
    <w:p w14:paraId="37BEC87B"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14" w:name="_Toc237033504"/>
      <w:r w:rsidRPr="00056B7B">
        <w:rPr>
          <w:rFonts w:ascii="Arial" w:hAnsi="Arial" w:cs="Arial"/>
          <w:szCs w:val="24"/>
          <w:lang w:val="en-GB"/>
        </w:rPr>
        <w:t>4. International Marketing Mix (7Ps)</w:t>
      </w:r>
      <w:bookmarkEnd w:id="14"/>
    </w:p>
    <w:p w14:paraId="2D1DF612"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15" w:name="_Toc237033505"/>
      <w:r w:rsidRPr="00056B7B">
        <w:rPr>
          <w:rFonts w:ascii="Arial" w:hAnsi="Arial" w:cs="Arial"/>
          <w:szCs w:val="24"/>
          <w:lang w:val="en-GB"/>
        </w:rPr>
        <w:t>4.1 Product and price</w:t>
      </w:r>
      <w:bookmarkEnd w:id="15"/>
    </w:p>
    <w:p w14:paraId="2AFA9BE0" w14:textId="650FC27A"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should unify the essence of its </w:t>
      </w:r>
      <w:r w:rsidR="0023215D" w:rsidRPr="00056B7B">
        <w:rPr>
          <w:rFonts w:ascii="Arial" w:hAnsi="Arial" w:cs="Arial"/>
          <w:color w:val="000000" w:themeColor="text1"/>
          <w:szCs w:val="24"/>
          <w:lang w:val="en-GB"/>
        </w:rPr>
        <w:t>brand and</w:t>
      </w:r>
      <w:r w:rsidRPr="00056B7B">
        <w:rPr>
          <w:rFonts w:ascii="Arial" w:hAnsi="Arial" w:cs="Arial"/>
          <w:color w:val="000000" w:themeColor="text1"/>
          <w:szCs w:val="24"/>
          <w:lang w:val="en-GB"/>
        </w:rPr>
        <w:t xml:space="preserve"> customize product features to local preferences. In India, SUVs, MPVs and hybrids are as prevalent on the road as the conditions, family usage and fuel cost are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The Camry Hybrid page makes an explicit mention of the </w:t>
      </w:r>
      <w:r w:rsidR="0023215D" w:rsidRPr="00056B7B">
        <w:rPr>
          <w:rFonts w:ascii="Arial" w:hAnsi="Arial" w:cs="Arial"/>
          <w:color w:val="000000" w:themeColor="text1"/>
          <w:szCs w:val="24"/>
          <w:lang w:val="en-GB"/>
        </w:rPr>
        <w:t>fifth-generation</w:t>
      </w:r>
      <w:r w:rsidRPr="00056B7B">
        <w:rPr>
          <w:rFonts w:ascii="Arial" w:hAnsi="Arial" w:cs="Arial"/>
          <w:color w:val="000000" w:themeColor="text1"/>
          <w:szCs w:val="24"/>
          <w:lang w:val="en-GB"/>
        </w:rPr>
        <w:t xml:space="preserve"> hybrid technology and powerful efficiencies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-b). In Japan, consumers are more demanding, and expect to see detail in specifications, usability and compactness, as well as a focus on craftsmanship and safety systems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The same attention to product differentiation is evident in Toyota's product offerings in its domestic markets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-b).</w:t>
      </w:r>
    </w:p>
    <w:p w14:paraId="613AA7DF" w14:textId="6B3AB63E" w:rsidR="00863F83"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most evident adaptation lever is price. Availability of entry ladder is required in India which makes car ownership cheaper with the help of auto finance, exchange offers and trim differentiation as the price sensitivity is still relatively high and car ownership is a family decision. It is more easily accepted in Japan where the premium can be seen in the build quality, technology and after-sales reliability. This is in line with the literature that indicates that the price and place elements of the international marketing mix are two of the most adapted elements (Yap and </w:t>
      </w:r>
      <w:proofErr w:type="spellStart"/>
      <w:r w:rsidRPr="00056B7B">
        <w:rPr>
          <w:rFonts w:ascii="Arial" w:hAnsi="Arial" w:cs="Arial"/>
          <w:color w:val="000000" w:themeColor="text1"/>
          <w:szCs w:val="24"/>
          <w:lang w:val="en-GB"/>
        </w:rPr>
        <w:t>Yazdanifard</w:t>
      </w:r>
      <w:proofErr w:type="spellEnd"/>
      <w:r w:rsidRPr="00056B7B">
        <w:rPr>
          <w:rFonts w:ascii="Arial" w:hAnsi="Arial" w:cs="Arial"/>
          <w:color w:val="000000" w:themeColor="text1"/>
          <w:szCs w:val="24"/>
          <w:lang w:val="en-GB"/>
        </w:rPr>
        <w:t>, 2014). However, there is a greater uniformity of brand identity across the global markets (Gaurav, 2008).</w:t>
      </w:r>
    </w:p>
    <w:p w14:paraId="162CCD4D"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16" w:name="_Toc237033506"/>
      <w:r w:rsidRPr="00056B7B">
        <w:rPr>
          <w:rFonts w:ascii="Arial" w:hAnsi="Arial" w:cs="Arial"/>
          <w:szCs w:val="24"/>
          <w:lang w:val="en-GB"/>
        </w:rPr>
        <w:t>4.2 Place, promotion and service design</w:t>
      </w:r>
      <w:bookmarkEnd w:id="16"/>
    </w:p>
    <w:p w14:paraId="17BF5B5C"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This should also be mirrored in distribution, which should take into account local buying behaviour. Toyota India makes dealer search, test drive booking, brochures, price lists (and purchase support through the website), prominent pages on its website, suggesting an </w:t>
      </w:r>
      <w:proofErr w:type="spellStart"/>
      <w:r w:rsidRPr="00056B7B">
        <w:rPr>
          <w:rFonts w:ascii="Arial" w:hAnsi="Arial" w:cs="Arial"/>
          <w:color w:val="000000" w:themeColor="text1"/>
          <w:szCs w:val="24"/>
          <w:lang w:val="en-GB"/>
        </w:rPr>
        <w:t>omnichannel</w:t>
      </w:r>
      <w:proofErr w:type="spellEnd"/>
      <w:r w:rsidRPr="00056B7B">
        <w:rPr>
          <w:rFonts w:ascii="Arial" w:hAnsi="Arial" w:cs="Arial"/>
          <w:color w:val="000000" w:themeColor="text1"/>
          <w:szCs w:val="24"/>
          <w:lang w:val="en-GB"/>
        </w:rPr>
        <w:t xml:space="preserve"> approach of digital + dealer-led approach to conversion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The acquisition process is more information intensive and trust-based in Japan which is better served by a highly organised dealership </w:t>
      </w:r>
      <w:r w:rsidRPr="00056B7B">
        <w:rPr>
          <w:rFonts w:ascii="Arial" w:hAnsi="Arial" w:cs="Arial"/>
          <w:color w:val="000000" w:themeColor="text1"/>
          <w:szCs w:val="24"/>
          <w:lang w:val="en-GB"/>
        </w:rPr>
        <w:lastRenderedPageBreak/>
        <w:t xml:space="preserve">network, supported by digital, than in other markets (Toyota Motor Corporation,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This is also in line with marketing literature which stresses the importance of product distribution matching the characteristics of target markets (Indiana University </w:t>
      </w:r>
      <w:proofErr w:type="spellStart"/>
      <w:r w:rsidRPr="00056B7B">
        <w:rPr>
          <w:rFonts w:ascii="Arial" w:hAnsi="Arial" w:cs="Arial"/>
          <w:color w:val="000000" w:themeColor="text1"/>
          <w:szCs w:val="24"/>
          <w:lang w:val="en-GB"/>
        </w:rPr>
        <w:t>Pressbooks</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w:t>
      </w:r>
    </w:p>
    <w:p w14:paraId="238E7D36" w14:textId="2320A048" w:rsidR="00863F83"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Promotion should be geared towards various emotional motivations. In India, Toyota needs to emphasise on safety, family reliability, fuel efficiency and TCO, as these benefits are being seen in the context of the house. In Japan, promotion has to be more subdued and based on fact, technical quality and sustainable performance and reliability. The wider literature on international advertising indicates that the least flexible part of the marketing mix, when culture is very different is typically the promotional standardisation (Gaurav, 2008). This is especially true if there is a cultural difference between two markets, like India and Japan (</w:t>
      </w:r>
      <w:proofErr w:type="spellStart"/>
      <w:r w:rsidRPr="00056B7B">
        <w:rPr>
          <w:rFonts w:ascii="Arial" w:hAnsi="Arial" w:cs="Arial"/>
          <w:color w:val="000000" w:themeColor="text1"/>
          <w:szCs w:val="24"/>
          <w:lang w:val="en-GB"/>
        </w:rPr>
        <w:t>Dhiman</w:t>
      </w:r>
      <w:proofErr w:type="spellEnd"/>
      <w:r w:rsidRPr="00056B7B">
        <w:rPr>
          <w:rFonts w:ascii="Arial" w:hAnsi="Arial" w:cs="Arial"/>
          <w:color w:val="000000" w:themeColor="text1"/>
          <w:szCs w:val="24"/>
          <w:lang w:val="en-GB"/>
        </w:rPr>
        <w:t xml:space="preserve"> and Singh 2026).</w:t>
      </w:r>
    </w:p>
    <w:p w14:paraId="3C1640F7" w14:textId="77777777" w:rsidR="00A80195" w:rsidRPr="00056B7B" w:rsidRDefault="00A80195" w:rsidP="00F05C75">
      <w:pPr>
        <w:pStyle w:val="Heading2"/>
        <w:spacing w:before="240" w:after="240" w:line="360" w:lineRule="auto"/>
        <w:jc w:val="both"/>
        <w:rPr>
          <w:rFonts w:ascii="Arial" w:hAnsi="Arial" w:cs="Arial"/>
          <w:szCs w:val="24"/>
          <w:lang w:val="en-GB"/>
        </w:rPr>
      </w:pPr>
      <w:bookmarkStart w:id="17" w:name="_Toc237033507"/>
      <w:r w:rsidRPr="00056B7B">
        <w:rPr>
          <w:rFonts w:ascii="Arial" w:hAnsi="Arial" w:cs="Arial"/>
          <w:szCs w:val="24"/>
          <w:lang w:val="en-GB"/>
        </w:rPr>
        <w:t>4.3 People, process and physical evidence</w:t>
      </w:r>
      <w:bookmarkEnd w:id="17"/>
    </w:p>
    <w:p w14:paraId="12CC70D3" w14:textId="3269A6AF"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People, process and physical evidence are particularly significant as there are high levels of involvement in purchasing the vehicle and after-sales experience contributes to brand trust. Sales and service people need to de-complicate the process and </w:t>
      </w:r>
      <w:proofErr w:type="spellStart"/>
      <w:r w:rsidRPr="00056B7B">
        <w:rPr>
          <w:rFonts w:ascii="Arial" w:hAnsi="Arial" w:cs="Arial"/>
          <w:color w:val="000000" w:themeColor="text1"/>
          <w:szCs w:val="24"/>
          <w:lang w:val="en-GB"/>
        </w:rPr>
        <w:t>instill</w:t>
      </w:r>
      <w:proofErr w:type="spellEnd"/>
      <w:r w:rsidRPr="00056B7B">
        <w:rPr>
          <w:rFonts w:ascii="Arial" w:hAnsi="Arial" w:cs="Arial"/>
          <w:color w:val="000000" w:themeColor="text1"/>
          <w:szCs w:val="24"/>
          <w:lang w:val="en-GB"/>
        </w:rPr>
        <w:t xml:space="preserve"> confidence in the </w:t>
      </w:r>
      <w:r w:rsidR="007D1874" w:rsidRPr="00056B7B">
        <w:rPr>
          <w:rFonts w:ascii="Arial" w:hAnsi="Arial" w:cs="Arial"/>
          <w:color w:val="000000" w:themeColor="text1"/>
          <w:szCs w:val="24"/>
          <w:lang w:val="en-GB"/>
        </w:rPr>
        <w:t>first-time</w:t>
      </w:r>
      <w:r w:rsidRPr="00056B7B">
        <w:rPr>
          <w:rFonts w:ascii="Arial" w:hAnsi="Arial" w:cs="Arial"/>
          <w:color w:val="000000" w:themeColor="text1"/>
          <w:szCs w:val="24"/>
          <w:lang w:val="en-GB"/>
        </w:rPr>
        <w:t xml:space="preserve"> buyers of a premium car in India and, therefore it is not just a case of a dealership interaction being an add-on but a part of the value proposition.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argues that process excellence and noticeable quality cues are more important in Japan due to the high sensitivity to predictability and standards by consumers. This is also in line with the cross-cultural study of high uncertainty avoidant culture (Yi, 2021).</w:t>
      </w:r>
    </w:p>
    <w:p w14:paraId="25638717" w14:textId="5A74EEF3"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Furthermore, the production system of Toyota will help this people-process-physical evidence logic as the brand's production system is a marketing asset itself. A disciplined quality control is a key element of Toyota's production-system communication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-c). That's important because the customer is purchasing the car, but more importantly, the promise that owning the car will be low friction and stable (Toyota Motor Corporation, 2025).</w:t>
      </w:r>
    </w:p>
    <w:p w14:paraId="656C3170"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18" w:name="_Toc237033508"/>
      <w:r w:rsidRPr="00056B7B">
        <w:rPr>
          <w:rFonts w:ascii="Arial" w:hAnsi="Arial" w:cs="Arial"/>
          <w:szCs w:val="24"/>
          <w:lang w:val="en-GB"/>
        </w:rPr>
        <w:lastRenderedPageBreak/>
        <w:t>5. Market Entry Strategy in India</w:t>
      </w:r>
      <w:bookmarkEnd w:id="18"/>
    </w:p>
    <w:p w14:paraId="2CB0B58C"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It is best to understand Toyota's market entry strategy in India in the context of a long-term localisation strategy instead of export strategy. The company has been increasing its manufacturing capabilities and supplier base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-c). The new plant, which is currently being planned in Maharashtra, does indicate that Toyota continues to invest in the market, and not just as a sales outlet for a short time in India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2026a). Which suggests a ‘multi-domestic' strategy with a 'global brand' and ‘local production, local sourcing, local product mix'.</w:t>
      </w:r>
    </w:p>
    <w:p w14:paraId="3DF7C67F" w14:textId="75F9C0C8" w:rsidR="00863F83"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It is therefore sensible to continue investing in local assembly and to increase the tier-2 assembly and localisation of powertrains in rural areas to minimise cost and regulatory barriers. This aligns with the objective of the industrial policy for India as the government is clearly looking to increase the manufacturing in India and speed up electrification (Ministry of Heavy Industries, 2024). Toyota can leverage that policy pull by being </w:t>
      </w:r>
      <w:r w:rsidR="00101FA8" w:rsidRPr="00056B7B">
        <w:rPr>
          <w:rFonts w:ascii="Arial" w:hAnsi="Arial" w:cs="Arial"/>
          <w:color w:val="000000" w:themeColor="text1"/>
          <w:szCs w:val="24"/>
          <w:lang w:val="en-GB"/>
        </w:rPr>
        <w:t>locally embedded</w:t>
      </w:r>
      <w:r w:rsidRPr="00056B7B">
        <w:rPr>
          <w:rFonts w:ascii="Arial" w:hAnsi="Arial" w:cs="Arial"/>
          <w:color w:val="000000" w:themeColor="text1"/>
          <w:szCs w:val="24"/>
          <w:lang w:val="en-GB"/>
        </w:rPr>
        <w:t xml:space="preserve"> and not relying on imports (PM E-DRIVE, 2024). It also shields the company from the ups and downs of exchange rates and allows Toyota to be more competitive in terms of affordability and service availability.</w:t>
      </w:r>
    </w:p>
    <w:p w14:paraId="61101E5B" w14:textId="27E25AB5" w:rsidR="00E4563C" w:rsidRPr="00056B7B" w:rsidRDefault="00DA27FD" w:rsidP="00101FA8">
      <w:pPr>
        <w:spacing w:line="360" w:lineRule="auto"/>
        <w:jc w:val="center"/>
        <w:rPr>
          <w:rFonts w:ascii="Arial" w:hAnsi="Arial" w:cs="Arial"/>
          <w:i/>
          <w:color w:val="000000" w:themeColor="text1"/>
          <w:szCs w:val="24"/>
          <w:lang w:val="en-GB"/>
        </w:rPr>
      </w:pPr>
      <w:r w:rsidRPr="00056B7B">
        <w:rPr>
          <w:rFonts w:ascii="Arial" w:hAnsi="Arial" w:cs="Arial"/>
          <w:noProof/>
          <w:color w:val="000000" w:themeColor="text1"/>
          <w:szCs w:val="24"/>
          <w:lang w:val="en-IN" w:eastAsia="en-IN" w:bidi="gu-IN"/>
        </w:rPr>
        <w:drawing>
          <wp:inline distT="0" distB="0" distL="0" distR="0" wp14:anchorId="59BBA11C" wp14:editId="2CD5F9F1">
            <wp:extent cx="5731510" cy="3161030"/>
            <wp:effectExtent l="0" t="0" r="2540" b="1270"/>
            <wp:docPr id="155281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1726" name=""/>
                    <pic:cNvPicPr/>
                  </pic:nvPicPr>
                  <pic:blipFill>
                    <a:blip r:embed="rId13"/>
                    <a:stretch>
                      <a:fillRect/>
                    </a:stretch>
                  </pic:blipFill>
                  <pic:spPr>
                    <a:xfrm>
                      <a:off x="0" y="0"/>
                      <a:ext cx="5731510" cy="3161030"/>
                    </a:xfrm>
                    <a:prstGeom prst="rect">
                      <a:avLst/>
                    </a:prstGeom>
                  </pic:spPr>
                </pic:pic>
              </a:graphicData>
            </a:graphic>
          </wp:inline>
        </w:drawing>
      </w:r>
      <w:r w:rsidR="00A80195" w:rsidRPr="00056B7B">
        <w:rPr>
          <w:rFonts w:ascii="Arial" w:hAnsi="Arial" w:cs="Arial"/>
          <w:i/>
          <w:color w:val="000000" w:themeColor="text1"/>
          <w:szCs w:val="24"/>
          <w:lang w:val="en-GB"/>
        </w:rPr>
        <w:t>Figure 5. India entry strategy: localisation-led logic.</w:t>
      </w:r>
    </w:p>
    <w:p w14:paraId="040A9324" w14:textId="0965B2F1" w:rsidR="00A80195" w:rsidRPr="00056B7B" w:rsidRDefault="00A80195" w:rsidP="00101FA8">
      <w:pPr>
        <w:spacing w:line="360" w:lineRule="auto"/>
        <w:jc w:val="center"/>
        <w:rPr>
          <w:rFonts w:ascii="Arial" w:hAnsi="Arial" w:cs="Arial"/>
          <w:color w:val="000000" w:themeColor="text1"/>
          <w:szCs w:val="24"/>
          <w:lang w:val="en-GB"/>
        </w:rPr>
      </w:pPr>
      <w:r w:rsidRPr="00056B7B">
        <w:rPr>
          <w:rFonts w:ascii="Arial" w:hAnsi="Arial" w:cs="Arial"/>
          <w:i/>
          <w:color w:val="000000" w:themeColor="text1"/>
          <w:szCs w:val="24"/>
          <w:lang w:val="en-GB"/>
        </w:rPr>
        <w:lastRenderedPageBreak/>
        <w:t xml:space="preserve">Source: Author analysis based on Ministry of Heavy Industries (2024), PM E-DRIVE (2024) and Toyota </w:t>
      </w:r>
      <w:proofErr w:type="spellStart"/>
      <w:r w:rsidRPr="00056B7B">
        <w:rPr>
          <w:rFonts w:ascii="Arial" w:hAnsi="Arial" w:cs="Arial"/>
          <w:i/>
          <w:color w:val="000000" w:themeColor="text1"/>
          <w:szCs w:val="24"/>
          <w:lang w:val="en-GB"/>
        </w:rPr>
        <w:t>Kirloskar</w:t>
      </w:r>
      <w:proofErr w:type="spellEnd"/>
      <w:r w:rsidRPr="00056B7B">
        <w:rPr>
          <w:rFonts w:ascii="Arial" w:hAnsi="Arial" w:cs="Arial"/>
          <w:i/>
          <w:color w:val="000000" w:themeColor="text1"/>
          <w:szCs w:val="24"/>
          <w:lang w:val="en-GB"/>
        </w:rPr>
        <w:t xml:space="preserve"> Motor (2026a).</w:t>
      </w:r>
    </w:p>
    <w:p w14:paraId="24BB743E"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19" w:name="_Toc237033509"/>
      <w:r w:rsidRPr="00056B7B">
        <w:rPr>
          <w:rFonts w:ascii="Arial" w:hAnsi="Arial" w:cs="Arial"/>
          <w:szCs w:val="24"/>
          <w:lang w:val="en-GB"/>
        </w:rPr>
        <w:t>6. Ethical Evaluation</w:t>
      </w:r>
      <w:bookmarkEnd w:id="19"/>
    </w:p>
    <w:p w14:paraId="35BDE664"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Another ethical consideration with regards to Toyota's marketing mix in India, is the risk of exaggerating the environmental benefits of hybrid vehicles, if the marketing terms are not clearly communicated. While in use, hybrids emit fewer pollutants than some petrol cars, they are not zero emission vehicles, and green messaging might not be taken as seriously as it is intended by consumers in a policy-sensitive market. Toyota's sustainability pages indicate that they know what people expect them to do to become carbon neutral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2025). Toyota's disclosure in the environment section also shows its overall sustainability efforts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-d). But the ethical level should be greater than just sustainability statements, as consumers are becoming more and more intolerant of unquantifiable sustainability statements (Ruiz-Blanco, Romero and Fernandez-</w:t>
      </w:r>
      <w:proofErr w:type="spellStart"/>
      <w:r w:rsidRPr="00056B7B">
        <w:rPr>
          <w:rFonts w:ascii="Arial" w:hAnsi="Arial" w:cs="Arial"/>
          <w:color w:val="000000" w:themeColor="text1"/>
          <w:szCs w:val="24"/>
          <w:lang w:val="en-GB"/>
        </w:rPr>
        <w:t>Feijoo</w:t>
      </w:r>
      <w:proofErr w:type="spellEnd"/>
      <w:r w:rsidRPr="00056B7B">
        <w:rPr>
          <w:rFonts w:ascii="Arial" w:hAnsi="Arial" w:cs="Arial"/>
          <w:color w:val="000000" w:themeColor="text1"/>
          <w:szCs w:val="24"/>
          <w:lang w:val="en-GB"/>
        </w:rPr>
        <w:t>, 2021).</w:t>
      </w:r>
    </w:p>
    <w:p w14:paraId="46835981" w14:textId="77777777" w:rsidR="006F3172"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Second, ethics involve accessibility. While the pricing strategy of Toyota as a premium car maker in India may be too narrow in helping expand access to mobility that is safe and efficient, it may raise the problem of inequity in mobility access. This is because mobility does not only act as a consumption good but an enabler of participation, as well. Transparency is also another important consideration identified by research to be able to gain consumer trust where the importance of measurable impact and sustainability information is much more relevant than just a mere claim to sustainability (Hossain et al., 2025). </w:t>
      </w:r>
    </w:p>
    <w:p w14:paraId="7FA113DF" w14:textId="18350EBE" w:rsidR="00A80195"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This means that the moral obligation of Toyota in terms of sharing its knowledge on the capabilities and limitations of a hybrid when on the road is imperative (</w:t>
      </w:r>
      <w:proofErr w:type="spellStart"/>
      <w:r w:rsidRPr="00056B7B">
        <w:rPr>
          <w:rFonts w:ascii="Arial" w:hAnsi="Arial" w:cs="Arial"/>
          <w:color w:val="000000" w:themeColor="text1"/>
          <w:szCs w:val="24"/>
          <w:lang w:val="en-GB"/>
        </w:rPr>
        <w:t>Eyasu</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Negash</w:t>
      </w:r>
      <w:proofErr w:type="spellEnd"/>
      <w:r w:rsidRPr="00056B7B">
        <w:rPr>
          <w:rFonts w:ascii="Arial" w:hAnsi="Arial" w:cs="Arial"/>
          <w:color w:val="000000" w:themeColor="text1"/>
          <w:szCs w:val="24"/>
          <w:lang w:val="en-GB"/>
        </w:rPr>
        <w:t>, 2026). Environmental communication, which is a type of communication that is clear and backed by evidence, has also been identified as one of the most crucial elements to retain consumer trust (</w:t>
      </w:r>
      <w:proofErr w:type="spellStart"/>
      <w:r w:rsidRPr="00056B7B">
        <w:rPr>
          <w:rFonts w:ascii="Arial" w:hAnsi="Arial" w:cs="Arial"/>
          <w:color w:val="000000" w:themeColor="text1"/>
          <w:szCs w:val="24"/>
          <w:lang w:val="en-GB"/>
        </w:rPr>
        <w:t>Dreist</w:t>
      </w:r>
      <w:proofErr w:type="spellEnd"/>
      <w:r w:rsidRPr="00056B7B">
        <w:rPr>
          <w:rFonts w:ascii="Arial" w:hAnsi="Arial" w:cs="Arial"/>
          <w:color w:val="000000" w:themeColor="text1"/>
          <w:szCs w:val="24"/>
          <w:lang w:val="en-GB"/>
        </w:rPr>
        <w:t xml:space="preserve"> et al., 2026).</w:t>
      </w:r>
    </w:p>
    <w:p w14:paraId="48E866ED" w14:textId="5B4741D6" w:rsidR="00DA27FD" w:rsidRPr="00056B7B" w:rsidRDefault="00AE54A1" w:rsidP="00764C0A">
      <w:pPr>
        <w:spacing w:line="360" w:lineRule="auto"/>
        <w:jc w:val="center"/>
        <w:rPr>
          <w:rFonts w:ascii="Arial" w:hAnsi="Arial" w:cs="Arial"/>
          <w:i/>
          <w:color w:val="000000" w:themeColor="text1"/>
          <w:szCs w:val="24"/>
          <w:lang w:val="en-GB"/>
        </w:rPr>
      </w:pPr>
      <w:r w:rsidRPr="00056B7B">
        <w:rPr>
          <w:rFonts w:ascii="Arial" w:hAnsi="Arial" w:cs="Arial"/>
          <w:noProof/>
          <w:color w:val="000000" w:themeColor="text1"/>
          <w:szCs w:val="24"/>
          <w:lang w:val="en-IN" w:eastAsia="en-IN" w:bidi="gu-IN"/>
        </w:rPr>
        <w:lastRenderedPageBreak/>
        <w:drawing>
          <wp:inline distT="0" distB="0" distL="0" distR="0" wp14:anchorId="376C94AD" wp14:editId="055A0E9D">
            <wp:extent cx="5731510" cy="3178810"/>
            <wp:effectExtent l="0" t="0" r="2540" b="2540"/>
            <wp:docPr id="63031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15641" name=""/>
                    <pic:cNvPicPr/>
                  </pic:nvPicPr>
                  <pic:blipFill>
                    <a:blip r:embed="rId14"/>
                    <a:stretch>
                      <a:fillRect/>
                    </a:stretch>
                  </pic:blipFill>
                  <pic:spPr>
                    <a:xfrm>
                      <a:off x="0" y="0"/>
                      <a:ext cx="5731510" cy="3178810"/>
                    </a:xfrm>
                    <a:prstGeom prst="rect">
                      <a:avLst/>
                    </a:prstGeom>
                  </pic:spPr>
                </pic:pic>
              </a:graphicData>
            </a:graphic>
          </wp:inline>
        </w:drawing>
      </w:r>
      <w:r w:rsidR="00A80195" w:rsidRPr="00056B7B">
        <w:rPr>
          <w:rFonts w:ascii="Arial" w:hAnsi="Arial" w:cs="Arial"/>
          <w:i/>
          <w:color w:val="000000" w:themeColor="text1"/>
          <w:szCs w:val="24"/>
          <w:lang w:val="en-GB"/>
        </w:rPr>
        <w:t>Figure 6. Ethical governance for hybrid environmental claims.</w:t>
      </w:r>
    </w:p>
    <w:p w14:paraId="2D9A8AFC" w14:textId="5CE499AD" w:rsidR="00A80195" w:rsidRPr="00056B7B" w:rsidRDefault="00A80195" w:rsidP="00764C0A">
      <w:pPr>
        <w:spacing w:line="360" w:lineRule="auto"/>
        <w:jc w:val="center"/>
        <w:rPr>
          <w:rFonts w:ascii="Arial" w:hAnsi="Arial" w:cs="Arial"/>
          <w:color w:val="000000" w:themeColor="text1"/>
          <w:szCs w:val="24"/>
          <w:lang w:val="en-GB"/>
        </w:rPr>
      </w:pPr>
      <w:r w:rsidRPr="00056B7B">
        <w:rPr>
          <w:rFonts w:ascii="Arial" w:hAnsi="Arial" w:cs="Arial"/>
          <w:i/>
          <w:color w:val="000000" w:themeColor="text1"/>
          <w:szCs w:val="24"/>
          <w:lang w:val="en-GB"/>
        </w:rPr>
        <w:t xml:space="preserve">Source: Author analysis based on Toyota </w:t>
      </w:r>
      <w:proofErr w:type="spellStart"/>
      <w:r w:rsidRPr="00056B7B">
        <w:rPr>
          <w:rFonts w:ascii="Arial" w:hAnsi="Arial" w:cs="Arial"/>
          <w:i/>
          <w:color w:val="000000" w:themeColor="text1"/>
          <w:szCs w:val="24"/>
          <w:lang w:val="en-GB"/>
        </w:rPr>
        <w:t>Kirloskar</w:t>
      </w:r>
      <w:proofErr w:type="spellEnd"/>
      <w:r w:rsidRPr="00056B7B">
        <w:rPr>
          <w:rFonts w:ascii="Arial" w:hAnsi="Arial" w:cs="Arial"/>
          <w:i/>
          <w:color w:val="000000" w:themeColor="text1"/>
          <w:szCs w:val="24"/>
          <w:lang w:val="en-GB"/>
        </w:rPr>
        <w:t xml:space="preserve"> Motor (2025), Ruiz-Blanco, Romero and Fernandez-</w:t>
      </w:r>
      <w:proofErr w:type="spellStart"/>
      <w:r w:rsidRPr="00056B7B">
        <w:rPr>
          <w:rFonts w:ascii="Arial" w:hAnsi="Arial" w:cs="Arial"/>
          <w:i/>
          <w:color w:val="000000" w:themeColor="text1"/>
          <w:szCs w:val="24"/>
          <w:lang w:val="en-GB"/>
        </w:rPr>
        <w:t>Feijoo</w:t>
      </w:r>
      <w:proofErr w:type="spellEnd"/>
      <w:r w:rsidRPr="00056B7B">
        <w:rPr>
          <w:rFonts w:ascii="Arial" w:hAnsi="Arial" w:cs="Arial"/>
          <w:i/>
          <w:color w:val="000000" w:themeColor="text1"/>
          <w:szCs w:val="24"/>
          <w:lang w:val="en-GB"/>
        </w:rPr>
        <w:t xml:space="preserve"> (2021), Hossain et al. (2025) and </w:t>
      </w:r>
      <w:proofErr w:type="spellStart"/>
      <w:r w:rsidRPr="00056B7B">
        <w:rPr>
          <w:rFonts w:ascii="Arial" w:hAnsi="Arial" w:cs="Arial"/>
          <w:i/>
          <w:color w:val="000000" w:themeColor="text1"/>
          <w:szCs w:val="24"/>
          <w:lang w:val="en-GB"/>
        </w:rPr>
        <w:t>Eyasu</w:t>
      </w:r>
      <w:proofErr w:type="spellEnd"/>
      <w:r w:rsidRPr="00056B7B">
        <w:rPr>
          <w:rFonts w:ascii="Arial" w:hAnsi="Arial" w:cs="Arial"/>
          <w:i/>
          <w:color w:val="000000" w:themeColor="text1"/>
          <w:szCs w:val="24"/>
          <w:lang w:val="en-GB"/>
        </w:rPr>
        <w:t xml:space="preserve"> and </w:t>
      </w:r>
      <w:proofErr w:type="spellStart"/>
      <w:r w:rsidRPr="00056B7B">
        <w:rPr>
          <w:rFonts w:ascii="Arial" w:hAnsi="Arial" w:cs="Arial"/>
          <w:i/>
          <w:color w:val="000000" w:themeColor="text1"/>
          <w:szCs w:val="24"/>
          <w:lang w:val="en-GB"/>
        </w:rPr>
        <w:t>Negash</w:t>
      </w:r>
      <w:proofErr w:type="spellEnd"/>
      <w:r w:rsidRPr="00056B7B">
        <w:rPr>
          <w:rFonts w:ascii="Arial" w:hAnsi="Arial" w:cs="Arial"/>
          <w:i/>
          <w:color w:val="000000" w:themeColor="text1"/>
          <w:szCs w:val="24"/>
          <w:lang w:val="en-GB"/>
        </w:rPr>
        <w:t xml:space="preserve"> (2026).</w:t>
      </w:r>
    </w:p>
    <w:p w14:paraId="1CD2BC77"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20" w:name="_Toc237033510"/>
      <w:r w:rsidRPr="00056B7B">
        <w:rPr>
          <w:rFonts w:ascii="Arial" w:hAnsi="Arial" w:cs="Arial"/>
          <w:szCs w:val="24"/>
          <w:lang w:val="en-GB"/>
        </w:rPr>
        <w:t>7. Recommendations</w:t>
      </w:r>
      <w:bookmarkEnd w:id="20"/>
    </w:p>
    <w:p w14:paraId="287FE770" w14:textId="77777777"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should increase localisation in India by increasing the assembly of cars locally, developing the local supply base, and increasing local service capabilities as this reduces costs and increases policy alignment (Ministry of Heavy Industries, 2024). It should also be more focused on its hybrid education offering with more consumer-friendly terminology to communicate the value of fuel savings, emissions benefits and fit with infrastructure without sounding like hybrids are zero-emission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2026a). Not cosmetic actions – they make it more affordable, decrease trust gaps and make the brand more recognizable for the consumer who still wants proof before paying a premium (Michael, K. V., </w:t>
      </w:r>
      <w:proofErr w:type="spellStart"/>
      <w:r w:rsidRPr="00056B7B">
        <w:rPr>
          <w:rFonts w:ascii="Arial" w:hAnsi="Arial" w:cs="Arial"/>
          <w:color w:val="000000" w:themeColor="text1"/>
          <w:szCs w:val="24"/>
          <w:lang w:val="en-GB"/>
        </w:rPr>
        <w:t>Hungund</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Fernandes</w:t>
      </w:r>
      <w:proofErr w:type="spellEnd"/>
      <w:r w:rsidRPr="00056B7B">
        <w:rPr>
          <w:rFonts w:ascii="Arial" w:hAnsi="Arial" w:cs="Arial"/>
          <w:color w:val="000000" w:themeColor="text1"/>
          <w:szCs w:val="24"/>
          <w:lang w:val="en-GB"/>
        </w:rPr>
        <w:t>, 2022).</w:t>
      </w:r>
    </w:p>
    <w:p w14:paraId="4DDE6E5B" w14:textId="321B32B5" w:rsidR="004B10E7" w:rsidRPr="00056B7B" w:rsidRDefault="004B10E7"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will need to keep pushing on the craftsmanship, safety and long-term reliability aspects, and simplify the digital buying process for younger and time-challenged buyers in Japan. This would ensure that the core equity of the brand is not compromised in domestic </w:t>
      </w:r>
      <w:r w:rsidR="000C31B2" w:rsidRPr="00056B7B">
        <w:rPr>
          <w:rFonts w:ascii="Arial" w:hAnsi="Arial" w:cs="Arial"/>
          <w:color w:val="000000" w:themeColor="text1"/>
          <w:szCs w:val="24"/>
          <w:lang w:val="en-GB"/>
        </w:rPr>
        <w:t>market,</w:t>
      </w:r>
      <w:r w:rsidRPr="00056B7B">
        <w:rPr>
          <w:rFonts w:ascii="Arial" w:hAnsi="Arial" w:cs="Arial"/>
          <w:color w:val="000000" w:themeColor="text1"/>
          <w:szCs w:val="24"/>
          <w:lang w:val="en-GB"/>
        </w:rPr>
        <w:t xml:space="preserve"> and the buying process will feel more modern. In a </w:t>
      </w:r>
      <w:r w:rsidRPr="00056B7B">
        <w:rPr>
          <w:rFonts w:ascii="Arial" w:hAnsi="Arial" w:cs="Arial"/>
          <w:color w:val="000000" w:themeColor="text1"/>
          <w:szCs w:val="24"/>
          <w:lang w:val="en-GB"/>
        </w:rPr>
        <w:lastRenderedPageBreak/>
        <w:t xml:space="preserve">global context Toyota must have one set of values for both markets, that is, evidence-based environmental claims, realistic, not promotional, powertrain comparisons and service </w:t>
      </w:r>
      <w:r w:rsidR="000C31B2" w:rsidRPr="00056B7B">
        <w:rPr>
          <w:rFonts w:ascii="Arial" w:hAnsi="Arial" w:cs="Arial"/>
          <w:color w:val="000000" w:themeColor="text1"/>
          <w:szCs w:val="24"/>
          <w:lang w:val="en-GB"/>
        </w:rPr>
        <w:t>promise</w:t>
      </w:r>
      <w:r w:rsidRPr="00056B7B">
        <w:rPr>
          <w:rFonts w:ascii="Arial" w:hAnsi="Arial" w:cs="Arial"/>
          <w:color w:val="000000" w:themeColor="text1"/>
          <w:szCs w:val="24"/>
          <w:lang w:val="en-GB"/>
        </w:rPr>
        <w:t>. This is in line with the general findings in the literature on the credibility of green marketing (Hossain et al., 2025). Moreover, it is aligned with the research that emphasizes the need for transparent communication in the environment in order to gain the confidence of consumers (</w:t>
      </w:r>
      <w:proofErr w:type="spellStart"/>
      <w:r w:rsidRPr="00056B7B">
        <w:rPr>
          <w:rFonts w:ascii="Arial" w:hAnsi="Arial" w:cs="Arial"/>
          <w:color w:val="000000" w:themeColor="text1"/>
          <w:szCs w:val="24"/>
          <w:lang w:val="en-GB"/>
        </w:rPr>
        <w:t>Eyasu</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Negash</w:t>
      </w:r>
      <w:proofErr w:type="spellEnd"/>
      <w:r w:rsidRPr="00056B7B">
        <w:rPr>
          <w:rFonts w:ascii="Arial" w:hAnsi="Arial" w:cs="Arial"/>
          <w:color w:val="000000" w:themeColor="text1"/>
          <w:szCs w:val="24"/>
          <w:lang w:val="en-GB"/>
        </w:rPr>
        <w:t xml:space="preserve">, 2026). Further research also shows that it is important to incorporate sustainability claims based on evidence, as this decreases the risk of perceived </w:t>
      </w:r>
      <w:proofErr w:type="spellStart"/>
      <w:r w:rsidRPr="00056B7B">
        <w:rPr>
          <w:rFonts w:ascii="Arial" w:hAnsi="Arial" w:cs="Arial"/>
          <w:color w:val="000000" w:themeColor="text1"/>
          <w:szCs w:val="24"/>
          <w:lang w:val="en-GB"/>
        </w:rPr>
        <w:t>greenwashing</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Dreist</w:t>
      </w:r>
      <w:proofErr w:type="spellEnd"/>
      <w:r w:rsidRPr="00056B7B">
        <w:rPr>
          <w:rFonts w:ascii="Arial" w:hAnsi="Arial" w:cs="Arial"/>
          <w:color w:val="000000" w:themeColor="text1"/>
          <w:szCs w:val="24"/>
          <w:lang w:val="en-GB"/>
        </w:rPr>
        <w:t xml:space="preserve"> et al., 2026).</w:t>
      </w:r>
    </w:p>
    <w:p w14:paraId="6F74E714" w14:textId="67ED4029" w:rsidR="00154EBF"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Another proposal would be that Toyota requires having a stricter performance dashboard for the two nations. The firm needs to track its localization share, hybrid ratio, and the number of dealerships in second and third-tier cities along with customer satisfaction from the first servicing in India. It is also suggested that Toyota keeps an eye on digital leads conversion, repeat purchase intent, service cycle time, and trust in sustainability claims in Japan. A consistent dashboard will allow Toyota to keep the same strategic language, yet at the same time have some common metrics for the variables in question in both markets.</w:t>
      </w:r>
    </w:p>
    <w:p w14:paraId="56C29434"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21" w:name="_Toc237033511"/>
      <w:r w:rsidRPr="00056B7B">
        <w:rPr>
          <w:rFonts w:ascii="Arial" w:hAnsi="Arial" w:cs="Arial"/>
          <w:szCs w:val="24"/>
          <w:lang w:val="en-GB"/>
        </w:rPr>
        <w:t>8. Conclusion</w:t>
      </w:r>
      <w:bookmarkEnd w:id="21"/>
    </w:p>
    <w:p w14:paraId="3C451F38" w14:textId="660B6295" w:rsidR="00B759E0" w:rsidRPr="00056B7B" w:rsidRDefault="00B759E0"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comparison between Toyota's business in India and Japan makes it clear that there cannot be one standard strategy for international marketing. Even though the Toyota </w:t>
      </w:r>
      <w:proofErr w:type="gramStart"/>
      <w:r w:rsidRPr="00056B7B">
        <w:rPr>
          <w:rFonts w:ascii="Arial" w:hAnsi="Arial" w:cs="Arial"/>
          <w:color w:val="000000" w:themeColor="text1"/>
          <w:szCs w:val="24"/>
          <w:lang w:val="en-GB"/>
        </w:rPr>
        <w:t>company</w:t>
      </w:r>
      <w:proofErr w:type="gramEnd"/>
      <w:r w:rsidRPr="00056B7B">
        <w:rPr>
          <w:rFonts w:ascii="Arial" w:hAnsi="Arial" w:cs="Arial"/>
          <w:color w:val="000000" w:themeColor="text1"/>
          <w:szCs w:val="24"/>
          <w:lang w:val="en-GB"/>
        </w:rPr>
        <w:t xml:space="preserve"> enjoys a worldwide brand, the analysis indicates that there are great differences in the economic situation, culture, government, and technology development that need to be considered (World Bank, 2026a). The Indian market is a fast-growing value market in which the factors of affordability, localization, financing and hybrid cars are important in order to capture consumers and to be supported by industrial policy (Ministry of Heavy Industries, 2024). In Japan, the mature market, the purchase decision is more influenced by engineering and product quality and environmental considerations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w:t>
      </w:r>
    </w:p>
    <w:p w14:paraId="765CE23B" w14:textId="3F759D2D" w:rsidR="00B759E0"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However, it should be noted that according to the report, the sustainable competitive advantage of Toyota will also be due to changes in its marketing mix and ethical marketing. Being transparent about information related to hybrid technology, proving the sustainability of its promises and offering customer-oriented services will be </w:t>
      </w:r>
      <w:r w:rsidRPr="00056B7B">
        <w:rPr>
          <w:rFonts w:ascii="Arial" w:hAnsi="Arial" w:cs="Arial"/>
          <w:color w:val="000000" w:themeColor="text1"/>
          <w:szCs w:val="24"/>
          <w:lang w:val="en-GB"/>
        </w:rPr>
        <w:lastRenderedPageBreak/>
        <w:t>essential for Toyota to create more trust among customers of both countries (Toyota Motor Corporation, 2025). In addition, Toyota's investment in local production, suppliers and customer digital interaction will make it possible to adapt to changes in market requirements and keep its good reputation.</w:t>
      </w:r>
    </w:p>
    <w:p w14:paraId="13530352" w14:textId="645FDFF3" w:rsidR="00B759E0" w:rsidRPr="00056B7B" w:rsidRDefault="00B759E0"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In general, the most efficient strategic position of Toyota would include a combination of a consistent global image with flexible approaches to product, pricing, promotion, and distribution based on local market needs. This balance allows the company to be successful without any breach of ethical norms and customer interests. Thus, the combination of global brand consistency and market adaptability makes the best platform for sustainable development and competitiveness of Toyota in both markets (Yap and </w:t>
      </w:r>
      <w:proofErr w:type="spellStart"/>
      <w:r w:rsidRPr="00056B7B">
        <w:rPr>
          <w:rFonts w:ascii="Arial" w:hAnsi="Arial" w:cs="Arial"/>
          <w:color w:val="000000" w:themeColor="text1"/>
          <w:szCs w:val="24"/>
          <w:lang w:val="en-GB"/>
        </w:rPr>
        <w:t>Yazdanifard</w:t>
      </w:r>
      <w:proofErr w:type="spellEnd"/>
      <w:r w:rsidRPr="00056B7B">
        <w:rPr>
          <w:rFonts w:ascii="Arial" w:hAnsi="Arial" w:cs="Arial"/>
          <w:color w:val="000000" w:themeColor="text1"/>
          <w:szCs w:val="24"/>
          <w:lang w:val="en-GB"/>
        </w:rPr>
        <w:t>, 2014).</w:t>
      </w:r>
    </w:p>
    <w:p w14:paraId="01D7DCF5" w14:textId="158785AA" w:rsidR="00DC6E49" w:rsidRPr="00056B7B" w:rsidRDefault="00DC6E49" w:rsidP="00F05C75">
      <w:pPr>
        <w:pStyle w:val="Heading1"/>
        <w:spacing w:before="240" w:after="240" w:line="360" w:lineRule="auto"/>
        <w:jc w:val="both"/>
        <w:rPr>
          <w:rFonts w:ascii="Arial" w:hAnsi="Arial" w:cs="Arial"/>
          <w:szCs w:val="24"/>
          <w:lang w:val="en-GB"/>
        </w:rPr>
      </w:pPr>
      <w:bookmarkStart w:id="22" w:name="_Toc237033512"/>
      <w:r w:rsidRPr="00056B7B">
        <w:rPr>
          <w:rFonts w:ascii="Arial" w:hAnsi="Arial" w:cs="Arial"/>
          <w:szCs w:val="24"/>
          <w:lang w:val="en-GB"/>
        </w:rPr>
        <w:t>9. Reflective Account Using Gibbs' Reflective Cycle</w:t>
      </w:r>
      <w:bookmarkEnd w:id="22"/>
      <w:r w:rsidRPr="00056B7B">
        <w:rPr>
          <w:rFonts w:ascii="Arial" w:hAnsi="Arial" w:cs="Arial"/>
          <w:szCs w:val="24"/>
          <w:lang w:val="en-GB"/>
        </w:rPr>
        <w:t xml:space="preserve"> </w:t>
      </w:r>
    </w:p>
    <w:p w14:paraId="514448EB"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3" w:name="_Toc237033513"/>
      <w:r w:rsidRPr="00056B7B">
        <w:rPr>
          <w:rFonts w:ascii="Arial" w:hAnsi="Arial" w:cs="Arial"/>
          <w:szCs w:val="24"/>
          <w:lang w:val="en-GB"/>
        </w:rPr>
        <w:t>9.1 Description</w:t>
      </w:r>
      <w:bookmarkEnd w:id="23"/>
    </w:p>
    <w:p w14:paraId="3DB06588" w14:textId="67E4FD26" w:rsidR="00F10F7A"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 prepare this report, the researcher had to conduct research in the host markets of Toyota, Japan and India, and critically evaluate the company's international marketing strategy in each market. The assignment had to go beyond merely describing the operations of Toyota, it had to involve applying international marketing theories, comparing macro-environmental factors, segmentation, targeting and positioning strategies, the marketing mix, market entry approaches and ethical considerations. I used Gibbs' Reflective Cycle as a framework for reflecting on my experience as it offers a logical structure for </w:t>
      </w:r>
      <w:r w:rsidR="00F10F7A" w:rsidRPr="00056B7B">
        <w:rPr>
          <w:rFonts w:ascii="Arial" w:hAnsi="Arial" w:cs="Arial"/>
          <w:color w:val="000000" w:themeColor="text1"/>
          <w:szCs w:val="24"/>
          <w:lang w:val="en-GB"/>
        </w:rPr>
        <w:t>analysing</w:t>
      </w:r>
      <w:r w:rsidRPr="00056B7B">
        <w:rPr>
          <w:rFonts w:ascii="Arial" w:hAnsi="Arial" w:cs="Arial"/>
          <w:color w:val="000000" w:themeColor="text1"/>
          <w:szCs w:val="24"/>
          <w:lang w:val="en-GB"/>
        </w:rPr>
        <w:t xml:space="preserve"> events and identifying how to make improvements for the next </w:t>
      </w:r>
      <w:r w:rsidR="00767055" w:rsidRPr="00056B7B">
        <w:rPr>
          <w:rFonts w:ascii="Arial" w:hAnsi="Arial" w:cs="Arial"/>
          <w:color w:val="000000" w:themeColor="text1"/>
          <w:szCs w:val="24"/>
          <w:lang w:val="en-GB"/>
        </w:rPr>
        <w:t>time,</w:t>
      </w:r>
      <w:r w:rsidRPr="00056B7B">
        <w:rPr>
          <w:rFonts w:ascii="Arial" w:hAnsi="Arial" w:cs="Arial"/>
          <w:color w:val="000000" w:themeColor="text1"/>
          <w:szCs w:val="24"/>
          <w:lang w:val="en-GB"/>
        </w:rPr>
        <w:t xml:space="preserve"> I experience them (Gibbs, 1988). </w:t>
      </w:r>
    </w:p>
    <w:p w14:paraId="374BC499" w14:textId="607D303C"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amount of information was a challenge at the start of the research process. Toyota has extensive global and regional reports and government agencies, international organisations and academic researchers provide evidence on international marketing and the automotive industry (Toyota Motor Corporation, 2025).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also provides detailed information of its operations in India, and this makes it essential to be careful in choosing the most relevant evidence for the report (Toyota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 2025).</w:t>
      </w:r>
    </w:p>
    <w:p w14:paraId="0D517B3F"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4" w:name="_Toc237033514"/>
      <w:r w:rsidRPr="00056B7B">
        <w:rPr>
          <w:rFonts w:ascii="Arial" w:hAnsi="Arial" w:cs="Arial"/>
          <w:szCs w:val="24"/>
          <w:lang w:val="en-GB"/>
        </w:rPr>
        <w:lastRenderedPageBreak/>
        <w:t>9.2 Feelings</w:t>
      </w:r>
      <w:bookmarkEnd w:id="24"/>
    </w:p>
    <w:p w14:paraId="47C8F3B9" w14:textId="77777777" w:rsidR="00FF58CF"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At first, I was sure that I could choose Toyota as the organisation is very well known and is present in both Japan and India. But I soon found that a comparative analysis of a developed and an emerging economy was more challenging than I thought. I was afraid if I simply pointed out the difference between the two countries, the report would be descriptive. One difficulty faced was determining which websites were trustworthy enough to be used as sources for postgraduate research, as there were many websites talking about Toyota's international operations in various ways. In order to avoid this, I have deliberately sought to focus on the official Toyota documents; government policy documents; World Bank statistics and peer-reviewed academic literature. </w:t>
      </w:r>
    </w:p>
    <w:p w14:paraId="646AECAA" w14:textId="4BB3B238"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This method helped to build my trust in the validity of the analysis and to use good evidence to support my conclusions. The data used for economic comparisons were from the World Bank (2026a) for India. The World Bank database (World Bank, 2026b) was used to obtain comparable indicators for Japan. The analysis of cultural differences was done in the framework of </w:t>
      </w:r>
      <w:proofErr w:type="spellStart"/>
      <w:r w:rsidRPr="00056B7B">
        <w:rPr>
          <w:rFonts w:ascii="Arial" w:hAnsi="Arial" w:cs="Arial"/>
          <w:color w:val="000000" w:themeColor="text1"/>
          <w:szCs w:val="24"/>
          <w:lang w:val="en-GB"/>
        </w:rPr>
        <w:t>Hofstede</w:t>
      </w:r>
      <w:proofErr w:type="spellEnd"/>
      <w:r w:rsidRPr="00056B7B">
        <w:rPr>
          <w:rFonts w:ascii="Arial" w:hAnsi="Arial" w:cs="Arial"/>
          <w:color w:val="000000" w:themeColor="text1"/>
          <w:szCs w:val="24"/>
          <w:lang w:val="en-GB"/>
        </w:rPr>
        <w:t>, which was obtained from The Culture Factor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w:t>
      </w:r>
    </w:p>
    <w:p w14:paraId="1B831CC4"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5" w:name="_Toc237033515"/>
      <w:r w:rsidRPr="00056B7B">
        <w:rPr>
          <w:rFonts w:ascii="Arial" w:hAnsi="Arial" w:cs="Arial"/>
          <w:szCs w:val="24"/>
          <w:lang w:val="en-GB"/>
        </w:rPr>
        <w:t>9.3 Evaluation</w:t>
      </w:r>
      <w:bookmarkEnd w:id="25"/>
    </w:p>
    <w:p w14:paraId="3C3A4CE3" w14:textId="77777777" w:rsidR="00395F2E"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 think that one of the best parts of the research process was the use of a systematic approach to selecting evidence from academic and professional sources. Official Toyota documents gave much useful information on product portfolios, sustainability programs and strategic priorities, and government documents described the effect of industrial policies on marketing and investment choices made in both nations. By having multiple </w:t>
      </w:r>
      <w:r w:rsidR="00D83F2F" w:rsidRPr="00056B7B">
        <w:rPr>
          <w:rFonts w:ascii="Arial" w:hAnsi="Arial" w:cs="Arial"/>
          <w:color w:val="000000" w:themeColor="text1"/>
          <w:szCs w:val="24"/>
          <w:lang w:val="en-GB"/>
        </w:rPr>
        <w:t>sources,</w:t>
      </w:r>
      <w:r w:rsidRPr="00056B7B">
        <w:rPr>
          <w:rFonts w:ascii="Arial" w:hAnsi="Arial" w:cs="Arial"/>
          <w:color w:val="000000" w:themeColor="text1"/>
          <w:szCs w:val="24"/>
          <w:lang w:val="en-GB"/>
        </w:rPr>
        <w:t xml:space="preserve"> I was able to make a more balanced comparison rather than just one source. However, I did notice one thing. Corporate reports tend to look at organisations and paint a positive picture – the weaknesses and challenges in the organisation are often understated. Without using any company documents, the report would not have been properly evaluated. </w:t>
      </w:r>
    </w:p>
    <w:p w14:paraId="678F7905" w14:textId="2CA47571"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Academic literature was thus of paramount importance to understand the rationale behind the importance of localisation, cultural adaptation and ethical marketing in </w:t>
      </w:r>
      <w:r w:rsidRPr="00056B7B">
        <w:rPr>
          <w:rFonts w:ascii="Arial" w:hAnsi="Arial" w:cs="Arial"/>
          <w:color w:val="000000" w:themeColor="text1"/>
          <w:szCs w:val="24"/>
          <w:lang w:val="en-GB"/>
        </w:rPr>
        <w:lastRenderedPageBreak/>
        <w:t>international marketing success (</w:t>
      </w:r>
      <w:proofErr w:type="spellStart"/>
      <w:r w:rsidRPr="00056B7B">
        <w:rPr>
          <w:rFonts w:ascii="Arial" w:hAnsi="Arial" w:cs="Arial"/>
          <w:color w:val="000000" w:themeColor="text1"/>
          <w:szCs w:val="24"/>
          <w:lang w:val="en-GB"/>
        </w:rPr>
        <w:t>Beugelsdijk</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Kostova</w:t>
      </w:r>
      <w:proofErr w:type="spellEnd"/>
      <w:r w:rsidRPr="00056B7B">
        <w:rPr>
          <w:rFonts w:ascii="Arial" w:hAnsi="Arial" w:cs="Arial"/>
          <w:color w:val="000000" w:themeColor="text1"/>
          <w:szCs w:val="24"/>
          <w:lang w:val="en-GB"/>
        </w:rPr>
        <w:t xml:space="preserve"> and Roth, 2017). The research of the contemporary era also gave more theoretical support in the evaluation of international marketing decisions in the changing global business environments (</w:t>
      </w:r>
      <w:proofErr w:type="spellStart"/>
      <w:r w:rsidRPr="00056B7B">
        <w:rPr>
          <w:rFonts w:ascii="Arial" w:hAnsi="Arial" w:cs="Arial"/>
          <w:color w:val="000000" w:themeColor="text1"/>
          <w:szCs w:val="24"/>
          <w:lang w:val="en-GB"/>
        </w:rPr>
        <w:t>Dhiman</w:t>
      </w:r>
      <w:proofErr w:type="spellEnd"/>
      <w:r w:rsidRPr="00056B7B">
        <w:rPr>
          <w:rFonts w:ascii="Arial" w:hAnsi="Arial" w:cs="Arial"/>
          <w:color w:val="000000" w:themeColor="text1"/>
          <w:szCs w:val="24"/>
          <w:lang w:val="en-GB"/>
        </w:rPr>
        <w:t xml:space="preserve"> and Singh, 2026).</w:t>
      </w:r>
    </w:p>
    <w:p w14:paraId="00E0D496"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6" w:name="_Toc237033516"/>
      <w:r w:rsidRPr="00056B7B">
        <w:rPr>
          <w:rFonts w:ascii="Arial" w:hAnsi="Arial" w:cs="Arial"/>
          <w:szCs w:val="24"/>
          <w:lang w:val="en-GB"/>
        </w:rPr>
        <w:t>9.4 Analysis</w:t>
      </w:r>
      <w:bookmarkEnd w:id="26"/>
    </w:p>
    <w:p w14:paraId="534B0F5E" w14:textId="77777777" w:rsidR="004019C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The most important thing that has been learnt from this assignment is that there is a need for organisations to be consistent across the world but also be responsive to the local market. Though the brand identity of Toyota is same across the globe, the implementation of marketing strategy varies significantly between India and Japan due to the difference in economic development, cultural expectations, government policies and behaviour of the customers. This strengthened my awareness that a standardised product and/or promotion is not enough for effective international marketing. Rather, organisations need to customize strategies and maintain the core values of their brand. This view is supported by literature that suggests that the competitive advantage of the organisation is greater when they position the basic brand uniformly but execute marketing in a different way in various </w:t>
      </w:r>
      <w:r w:rsidR="004019CB" w:rsidRPr="00056B7B">
        <w:rPr>
          <w:rFonts w:ascii="Arial" w:hAnsi="Arial" w:cs="Arial"/>
          <w:color w:val="000000" w:themeColor="text1"/>
          <w:szCs w:val="24"/>
          <w:lang w:val="en-GB"/>
        </w:rPr>
        <w:t>marketplaces</w:t>
      </w:r>
      <w:r w:rsidRPr="00056B7B">
        <w:rPr>
          <w:rFonts w:ascii="Arial" w:hAnsi="Arial" w:cs="Arial"/>
          <w:color w:val="000000" w:themeColor="text1"/>
          <w:szCs w:val="24"/>
          <w:lang w:val="en-GB"/>
        </w:rPr>
        <w:t xml:space="preserve"> (Yap and </w:t>
      </w:r>
      <w:proofErr w:type="spellStart"/>
      <w:r w:rsidRPr="00056B7B">
        <w:rPr>
          <w:rFonts w:ascii="Arial" w:hAnsi="Arial" w:cs="Arial"/>
          <w:color w:val="000000" w:themeColor="text1"/>
          <w:szCs w:val="24"/>
          <w:lang w:val="en-GB"/>
        </w:rPr>
        <w:t>Yazdanifard</w:t>
      </w:r>
      <w:proofErr w:type="spellEnd"/>
      <w:r w:rsidRPr="00056B7B">
        <w:rPr>
          <w:rFonts w:ascii="Arial" w:hAnsi="Arial" w:cs="Arial"/>
          <w:color w:val="000000" w:themeColor="text1"/>
          <w:szCs w:val="24"/>
          <w:lang w:val="en-GB"/>
        </w:rPr>
        <w:t xml:space="preserve"> 2014). </w:t>
      </w:r>
    </w:p>
    <w:p w14:paraId="72CF82EA" w14:textId="29C05A0B"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These theories were applied directly to Toyota, and as a result, I was able to learn how academic theories can be used to explain the real managerial decision that Toyota made, and not just as theories. In addition, studying Toyota's hybrid strategy showed how the ethical, sustainability and consumer expectations are increasingly shaping international marketing decisions (</w:t>
      </w:r>
      <w:proofErr w:type="spellStart"/>
      <w:r w:rsidRPr="00056B7B">
        <w:rPr>
          <w:rFonts w:ascii="Arial" w:hAnsi="Arial" w:cs="Arial"/>
          <w:color w:val="000000" w:themeColor="text1"/>
          <w:szCs w:val="24"/>
          <w:lang w:val="en-GB"/>
        </w:rPr>
        <w:t>eCampusOntario</w:t>
      </w:r>
      <w:proofErr w:type="spellEnd"/>
      <w:r w:rsidRPr="00056B7B">
        <w:rPr>
          <w:rFonts w:ascii="Arial" w:hAnsi="Arial" w:cs="Arial"/>
          <w:color w:val="000000" w:themeColor="text1"/>
          <w:szCs w:val="24"/>
          <w:lang w:val="en-GB"/>
        </w:rPr>
        <w:t>, 2022). It was a good experience to strengthen my skills in applying academic knowledge to the real world of business and gave me increased confidence in evidence-based analysis.</w:t>
      </w:r>
    </w:p>
    <w:p w14:paraId="08F3E5CC"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7" w:name="_Toc237033517"/>
      <w:r w:rsidRPr="00056B7B">
        <w:rPr>
          <w:rFonts w:ascii="Arial" w:hAnsi="Arial" w:cs="Arial"/>
          <w:szCs w:val="24"/>
          <w:lang w:val="en-GB"/>
        </w:rPr>
        <w:t>9.5 Conclusion</w:t>
      </w:r>
      <w:bookmarkEnd w:id="27"/>
    </w:p>
    <w:p w14:paraId="2E71BC6A" w14:textId="77777777"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In general, this report has greatly enhanced my research skills and knowledge of international marketing strategy. I learned that the quality of the work done in my postgraduate studies is more dependent on the choice of evidence that is relevant to the study and how to apply it critically than on the number of references that one can collect. The process also highlighted the need to combine theory and evidence from </w:t>
      </w:r>
      <w:r w:rsidRPr="00056B7B">
        <w:rPr>
          <w:rFonts w:ascii="Arial" w:hAnsi="Arial" w:cs="Arial"/>
          <w:color w:val="000000" w:themeColor="text1"/>
          <w:szCs w:val="24"/>
          <w:lang w:val="en-GB"/>
        </w:rPr>
        <w:lastRenderedPageBreak/>
        <w:t xml:space="preserve">the organisation to draw well-supported, balanced conclusions. Most significantly, I gained a greater sense of being able to differentiate between descriptive writing and analytical evaluation, both of which are important in the creation of high-quality academic reports (WSU </w:t>
      </w:r>
      <w:proofErr w:type="spellStart"/>
      <w:r w:rsidRPr="00056B7B">
        <w:rPr>
          <w:rFonts w:ascii="Arial" w:hAnsi="Arial" w:cs="Arial"/>
          <w:color w:val="000000" w:themeColor="text1"/>
          <w:szCs w:val="24"/>
          <w:lang w:val="en-GB"/>
        </w:rPr>
        <w:t>Pressbooks</w:t>
      </w:r>
      <w:proofErr w:type="spellEnd"/>
      <w:r w:rsidRPr="00056B7B">
        <w:rPr>
          <w:rFonts w:ascii="Arial" w:hAnsi="Arial" w:cs="Arial"/>
          <w:color w:val="000000" w:themeColor="text1"/>
          <w:szCs w:val="24"/>
          <w:lang w:val="en-GB"/>
        </w:rPr>
        <w:t xml:space="preserve">, 2019). I also developed an understanding of the use of segmentation, targeting and positioning to approach strategic decision making in different ways in various international markets (Indiana University </w:t>
      </w:r>
      <w:proofErr w:type="spellStart"/>
      <w:r w:rsidRPr="00056B7B">
        <w:rPr>
          <w:rFonts w:ascii="Arial" w:hAnsi="Arial" w:cs="Arial"/>
          <w:color w:val="000000" w:themeColor="text1"/>
          <w:szCs w:val="24"/>
          <w:lang w:val="en-GB"/>
        </w:rPr>
        <w:t>Pressbooks</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w:t>
      </w:r>
    </w:p>
    <w:p w14:paraId="579AF652" w14:textId="77777777" w:rsidR="00DC6E49" w:rsidRPr="00056B7B" w:rsidRDefault="00DC6E49" w:rsidP="00F05C75">
      <w:pPr>
        <w:pStyle w:val="Heading2"/>
        <w:spacing w:before="240" w:after="240" w:line="360" w:lineRule="auto"/>
        <w:jc w:val="both"/>
        <w:rPr>
          <w:rFonts w:ascii="Arial" w:hAnsi="Arial" w:cs="Arial"/>
          <w:szCs w:val="24"/>
          <w:lang w:val="en-GB"/>
        </w:rPr>
      </w:pPr>
      <w:bookmarkStart w:id="28" w:name="_Toc237033518"/>
      <w:r w:rsidRPr="00056B7B">
        <w:rPr>
          <w:rFonts w:ascii="Arial" w:hAnsi="Arial" w:cs="Arial"/>
          <w:szCs w:val="24"/>
          <w:lang w:val="en-GB"/>
        </w:rPr>
        <w:t>9.6 Action Plan</w:t>
      </w:r>
      <w:bookmarkEnd w:id="28"/>
    </w:p>
    <w:p w14:paraId="0FBBDB5C" w14:textId="33472D89" w:rsidR="00CB44FB" w:rsidRPr="00056B7B" w:rsidRDefault="00CB44FB"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 will be enhancing the research process for future assignments by using a wider variety of independent market research, customer surveys and industry reports as well as the official company publications. This would give a </w:t>
      </w:r>
      <w:r w:rsidR="00E5200A" w:rsidRPr="00056B7B">
        <w:rPr>
          <w:rFonts w:ascii="Arial" w:hAnsi="Arial" w:cs="Arial"/>
          <w:color w:val="000000" w:themeColor="text1"/>
          <w:szCs w:val="24"/>
          <w:lang w:val="en-GB"/>
        </w:rPr>
        <w:t>fairer and more equitable</w:t>
      </w:r>
      <w:r w:rsidRPr="00056B7B">
        <w:rPr>
          <w:rFonts w:ascii="Arial" w:hAnsi="Arial" w:cs="Arial"/>
          <w:color w:val="000000" w:themeColor="text1"/>
          <w:szCs w:val="24"/>
          <w:lang w:val="en-GB"/>
        </w:rPr>
        <w:t xml:space="preserve"> picture of the organisation's performance </w:t>
      </w:r>
      <w:r w:rsidR="00FB48E8" w:rsidRPr="00056B7B">
        <w:rPr>
          <w:rFonts w:ascii="Arial" w:hAnsi="Arial" w:cs="Arial"/>
          <w:color w:val="000000" w:themeColor="text1"/>
          <w:szCs w:val="24"/>
          <w:lang w:val="en-GB"/>
        </w:rPr>
        <w:t>and</w:t>
      </w:r>
      <w:r w:rsidRPr="00056B7B">
        <w:rPr>
          <w:rFonts w:ascii="Arial" w:hAnsi="Arial" w:cs="Arial"/>
          <w:color w:val="000000" w:themeColor="text1"/>
          <w:szCs w:val="24"/>
          <w:lang w:val="en-GB"/>
        </w:rPr>
        <w:t xml:space="preserve"> help to minimize dependence on corporate sources. I will also work on strengthening the link between analysis and recommendations, taking a more clearly defined chain of decision making that puts in place connections between market conditions, their strategic implications, the actions recommended and measurable performance outcomes. Lastly, I will spend more time comparing the academic viewpoints of the competing theories before choosing the most suitable theories for analysis. These skills will enhance my academic work and knowledge and make it more relevant to my future plans in international marketing and strategic management, as well as aiding my future professional development (Michael, K. V., </w:t>
      </w:r>
      <w:proofErr w:type="spellStart"/>
      <w:r w:rsidRPr="00056B7B">
        <w:rPr>
          <w:rFonts w:ascii="Arial" w:hAnsi="Arial" w:cs="Arial"/>
          <w:color w:val="000000" w:themeColor="text1"/>
          <w:szCs w:val="24"/>
          <w:lang w:val="en-GB"/>
        </w:rPr>
        <w:t>Hungund</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Fernandes</w:t>
      </w:r>
      <w:proofErr w:type="spellEnd"/>
      <w:r w:rsidRPr="00056B7B">
        <w:rPr>
          <w:rFonts w:ascii="Arial" w:hAnsi="Arial" w:cs="Arial"/>
          <w:color w:val="000000" w:themeColor="text1"/>
          <w:szCs w:val="24"/>
          <w:lang w:val="en-GB"/>
        </w:rPr>
        <w:t>, 2022).</w:t>
      </w:r>
    </w:p>
    <w:p w14:paraId="7D0AD055" w14:textId="77777777" w:rsidR="00A80195" w:rsidRPr="00056B7B" w:rsidRDefault="00A80195" w:rsidP="00F05C75">
      <w:pPr>
        <w:spacing w:line="360" w:lineRule="auto"/>
        <w:jc w:val="both"/>
        <w:rPr>
          <w:rFonts w:ascii="Arial" w:hAnsi="Arial" w:cs="Arial"/>
          <w:color w:val="000000" w:themeColor="text1"/>
          <w:szCs w:val="24"/>
          <w:lang w:val="en-GB"/>
        </w:rPr>
      </w:pPr>
    </w:p>
    <w:p w14:paraId="4287901B"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br w:type="page"/>
      </w:r>
    </w:p>
    <w:p w14:paraId="57C6FF6D" w14:textId="77777777" w:rsidR="00A80195" w:rsidRPr="00056B7B" w:rsidRDefault="00A80195" w:rsidP="00F05C75">
      <w:pPr>
        <w:pStyle w:val="Heading1"/>
        <w:spacing w:before="240" w:after="240" w:line="360" w:lineRule="auto"/>
        <w:jc w:val="both"/>
        <w:rPr>
          <w:rFonts w:ascii="Arial" w:hAnsi="Arial" w:cs="Arial"/>
          <w:szCs w:val="24"/>
          <w:lang w:val="en-GB"/>
        </w:rPr>
      </w:pPr>
      <w:bookmarkStart w:id="29" w:name="_Toc237033519"/>
      <w:r w:rsidRPr="00056B7B">
        <w:rPr>
          <w:rFonts w:ascii="Arial" w:hAnsi="Arial" w:cs="Arial"/>
          <w:szCs w:val="24"/>
          <w:lang w:val="en-GB"/>
        </w:rPr>
        <w:lastRenderedPageBreak/>
        <w:t>References</w:t>
      </w:r>
      <w:bookmarkEnd w:id="29"/>
    </w:p>
    <w:p w14:paraId="4AD88E2F" w14:textId="34110E04" w:rsidR="00A80195" w:rsidRPr="00056B7B" w:rsidRDefault="00A80195" w:rsidP="00F05C75">
      <w:pPr>
        <w:spacing w:line="360" w:lineRule="auto"/>
        <w:jc w:val="both"/>
        <w:rPr>
          <w:rFonts w:ascii="Arial" w:hAnsi="Arial" w:cs="Arial"/>
          <w:color w:val="000000" w:themeColor="text1"/>
          <w:szCs w:val="24"/>
          <w:lang w:val="en-GB"/>
        </w:rPr>
      </w:pPr>
      <w:proofErr w:type="spellStart"/>
      <w:r w:rsidRPr="00056B7B">
        <w:rPr>
          <w:rFonts w:ascii="Arial" w:hAnsi="Arial" w:cs="Arial"/>
          <w:color w:val="000000" w:themeColor="text1"/>
          <w:szCs w:val="24"/>
          <w:lang w:val="en-GB"/>
        </w:rPr>
        <w:t>Beugelsdijk</w:t>
      </w:r>
      <w:proofErr w:type="spellEnd"/>
      <w:r w:rsidRPr="00056B7B">
        <w:rPr>
          <w:rFonts w:ascii="Arial" w:hAnsi="Arial" w:cs="Arial"/>
          <w:color w:val="000000" w:themeColor="text1"/>
          <w:szCs w:val="24"/>
          <w:lang w:val="en-GB"/>
        </w:rPr>
        <w:t xml:space="preserve">, S., </w:t>
      </w:r>
      <w:proofErr w:type="spellStart"/>
      <w:r w:rsidRPr="00056B7B">
        <w:rPr>
          <w:rFonts w:ascii="Arial" w:hAnsi="Arial" w:cs="Arial"/>
          <w:color w:val="000000" w:themeColor="text1"/>
          <w:szCs w:val="24"/>
          <w:lang w:val="en-GB"/>
        </w:rPr>
        <w:t>Kostova</w:t>
      </w:r>
      <w:proofErr w:type="spellEnd"/>
      <w:r w:rsidRPr="00056B7B">
        <w:rPr>
          <w:rFonts w:ascii="Arial" w:hAnsi="Arial" w:cs="Arial"/>
          <w:color w:val="000000" w:themeColor="text1"/>
          <w:szCs w:val="24"/>
          <w:lang w:val="en-GB"/>
        </w:rPr>
        <w:t xml:space="preserve">, T. and Roth, K., 2017. </w:t>
      </w:r>
      <w:r w:rsidRPr="00056B7B">
        <w:rPr>
          <w:rFonts w:ascii="Arial" w:hAnsi="Arial" w:cs="Arial"/>
          <w:i/>
          <w:iCs/>
          <w:color w:val="000000" w:themeColor="text1"/>
          <w:szCs w:val="24"/>
          <w:lang w:val="en-GB"/>
        </w:rPr>
        <w:t xml:space="preserve">An overview of </w:t>
      </w:r>
      <w:proofErr w:type="spellStart"/>
      <w:r w:rsidRPr="00056B7B">
        <w:rPr>
          <w:rFonts w:ascii="Arial" w:hAnsi="Arial" w:cs="Arial"/>
          <w:i/>
          <w:iCs/>
          <w:color w:val="000000" w:themeColor="text1"/>
          <w:szCs w:val="24"/>
          <w:lang w:val="en-GB"/>
        </w:rPr>
        <w:t>Hofstede</w:t>
      </w:r>
      <w:proofErr w:type="spellEnd"/>
      <w:r w:rsidRPr="00056B7B">
        <w:rPr>
          <w:rFonts w:ascii="Arial" w:hAnsi="Arial" w:cs="Arial"/>
          <w:i/>
          <w:iCs/>
          <w:color w:val="000000" w:themeColor="text1"/>
          <w:szCs w:val="24"/>
          <w:lang w:val="en-GB"/>
        </w:rPr>
        <w:t>-inspired country-level culture research in international business since 2006</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Journal of International Business Studies</w:t>
      </w:r>
      <w:r w:rsidRPr="00056B7B">
        <w:rPr>
          <w:rFonts w:ascii="Arial" w:hAnsi="Arial" w:cs="Arial"/>
          <w:color w:val="000000" w:themeColor="text1"/>
          <w:szCs w:val="24"/>
          <w:lang w:val="en-GB"/>
        </w:rPr>
        <w:t xml:space="preserve">, 48, pp.30–47. Available at: </w:t>
      </w:r>
      <w:hyperlink r:id="rId15" w:tgtFrame="_new" w:history="1">
        <w:r w:rsidRPr="00056B7B">
          <w:rPr>
            <w:rStyle w:val="Hyperlink"/>
            <w:rFonts w:ascii="Arial" w:hAnsi="Arial" w:cs="Arial"/>
            <w:color w:val="000000" w:themeColor="text1"/>
            <w:szCs w:val="24"/>
            <w:lang w:val="en-GB"/>
          </w:rPr>
          <w:t>https://doi.org/10.1057/s41267-016-0038-8</w:t>
        </w:r>
      </w:hyperlink>
      <w:r w:rsidRPr="00056B7B">
        <w:rPr>
          <w:rFonts w:ascii="Arial" w:hAnsi="Arial" w:cs="Arial"/>
          <w:color w:val="000000" w:themeColor="text1"/>
          <w:szCs w:val="24"/>
          <w:lang w:val="en-GB"/>
        </w:rPr>
        <w:t xml:space="preserve"> [Accessed: 6 August 2026].</w:t>
      </w:r>
    </w:p>
    <w:p w14:paraId="70D38254" w14:textId="77777777" w:rsidR="00A80195" w:rsidRPr="00056B7B" w:rsidRDefault="00A80195" w:rsidP="00F05C75">
      <w:pPr>
        <w:spacing w:line="360" w:lineRule="auto"/>
        <w:jc w:val="both"/>
        <w:rPr>
          <w:rFonts w:ascii="Arial" w:hAnsi="Arial" w:cs="Arial"/>
          <w:color w:val="000000" w:themeColor="text1"/>
          <w:szCs w:val="24"/>
          <w:lang w:val="en-GB"/>
        </w:rPr>
      </w:pPr>
      <w:proofErr w:type="spellStart"/>
      <w:r w:rsidRPr="00056B7B">
        <w:rPr>
          <w:rFonts w:ascii="Arial" w:hAnsi="Arial" w:cs="Arial"/>
          <w:color w:val="000000" w:themeColor="text1"/>
          <w:szCs w:val="24"/>
          <w:lang w:val="en-GB"/>
        </w:rPr>
        <w:t>Dreist</w:t>
      </w:r>
      <w:proofErr w:type="spellEnd"/>
      <w:r w:rsidRPr="00056B7B">
        <w:rPr>
          <w:rFonts w:ascii="Arial" w:hAnsi="Arial" w:cs="Arial"/>
          <w:color w:val="000000" w:themeColor="text1"/>
          <w:szCs w:val="24"/>
          <w:lang w:val="en-GB"/>
        </w:rPr>
        <w:t xml:space="preserve">, D., </w:t>
      </w:r>
      <w:proofErr w:type="spellStart"/>
      <w:r w:rsidRPr="00056B7B">
        <w:rPr>
          <w:rFonts w:ascii="Arial" w:hAnsi="Arial" w:cs="Arial"/>
          <w:color w:val="000000" w:themeColor="text1"/>
          <w:szCs w:val="24"/>
          <w:lang w:val="en-GB"/>
        </w:rPr>
        <w:t>Zühlsdorf</w:t>
      </w:r>
      <w:proofErr w:type="spellEnd"/>
      <w:r w:rsidRPr="00056B7B">
        <w:rPr>
          <w:rFonts w:ascii="Arial" w:hAnsi="Arial" w:cs="Arial"/>
          <w:color w:val="000000" w:themeColor="text1"/>
          <w:szCs w:val="24"/>
          <w:lang w:val="en-GB"/>
        </w:rPr>
        <w:t xml:space="preserve">, A., Spiller, A. and </w:t>
      </w:r>
      <w:proofErr w:type="spellStart"/>
      <w:r w:rsidRPr="00056B7B">
        <w:rPr>
          <w:rFonts w:ascii="Arial" w:hAnsi="Arial" w:cs="Arial"/>
          <w:color w:val="000000" w:themeColor="text1"/>
          <w:szCs w:val="24"/>
          <w:lang w:val="en-GB"/>
        </w:rPr>
        <w:t>Kühl</w:t>
      </w:r>
      <w:proofErr w:type="spellEnd"/>
      <w:r w:rsidRPr="00056B7B">
        <w:rPr>
          <w:rFonts w:ascii="Arial" w:hAnsi="Arial" w:cs="Arial"/>
          <w:color w:val="000000" w:themeColor="text1"/>
          <w:szCs w:val="24"/>
          <w:lang w:val="en-GB"/>
        </w:rPr>
        <w:t xml:space="preserve">, S., 2026. </w:t>
      </w:r>
      <w:r w:rsidRPr="00056B7B">
        <w:rPr>
          <w:rFonts w:ascii="Arial" w:hAnsi="Arial" w:cs="Arial"/>
          <w:i/>
          <w:iCs/>
          <w:color w:val="000000" w:themeColor="text1"/>
          <w:szCs w:val="24"/>
          <w:lang w:val="en-GB"/>
        </w:rPr>
        <w:t>When everything looks green: Consumer perceptions of organic label and unregulated sustainability related claims</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Organic Agriculture</w:t>
      </w:r>
      <w:r w:rsidRPr="00056B7B">
        <w:rPr>
          <w:rFonts w:ascii="Arial" w:hAnsi="Arial" w:cs="Arial"/>
          <w:color w:val="000000" w:themeColor="text1"/>
          <w:szCs w:val="24"/>
          <w:lang w:val="en-GB"/>
        </w:rPr>
        <w:t xml:space="preserve">, 16(30). Available at: </w:t>
      </w:r>
      <w:hyperlink r:id="rId16" w:tgtFrame="_new" w:history="1">
        <w:r w:rsidRPr="00056B7B">
          <w:rPr>
            <w:rStyle w:val="Hyperlink"/>
            <w:rFonts w:ascii="Arial" w:hAnsi="Arial" w:cs="Arial"/>
            <w:color w:val="000000" w:themeColor="text1"/>
            <w:szCs w:val="24"/>
            <w:lang w:val="en-GB"/>
          </w:rPr>
          <w:t>https://doi.org/10.1007/s13165-026-00560-w</w:t>
        </w:r>
      </w:hyperlink>
      <w:r w:rsidRPr="00056B7B">
        <w:rPr>
          <w:rFonts w:ascii="Arial" w:hAnsi="Arial" w:cs="Arial"/>
          <w:color w:val="000000" w:themeColor="text1"/>
          <w:szCs w:val="24"/>
          <w:lang w:val="en-GB"/>
        </w:rPr>
        <w:t xml:space="preserve"> [Accessed: 6 August 2026].</w:t>
      </w:r>
    </w:p>
    <w:p w14:paraId="7D3BC7DF" w14:textId="77777777" w:rsidR="00A80195" w:rsidRPr="00056B7B" w:rsidRDefault="00A80195" w:rsidP="00F05C75">
      <w:pPr>
        <w:spacing w:line="360" w:lineRule="auto"/>
        <w:jc w:val="both"/>
        <w:rPr>
          <w:rFonts w:ascii="Arial" w:hAnsi="Arial" w:cs="Arial"/>
          <w:color w:val="000000" w:themeColor="text1"/>
          <w:szCs w:val="24"/>
          <w:lang w:val="en-GB"/>
        </w:rPr>
      </w:pPr>
      <w:proofErr w:type="spellStart"/>
      <w:r w:rsidRPr="00056B7B">
        <w:rPr>
          <w:rFonts w:ascii="Arial" w:hAnsi="Arial" w:cs="Arial"/>
          <w:color w:val="000000" w:themeColor="text1"/>
          <w:szCs w:val="24"/>
          <w:lang w:val="en-GB"/>
        </w:rPr>
        <w:t>Dhiman</w:t>
      </w:r>
      <w:proofErr w:type="spellEnd"/>
      <w:r w:rsidRPr="00056B7B">
        <w:rPr>
          <w:rFonts w:ascii="Arial" w:hAnsi="Arial" w:cs="Arial"/>
          <w:color w:val="000000" w:themeColor="text1"/>
          <w:szCs w:val="24"/>
          <w:lang w:val="en-GB"/>
        </w:rPr>
        <w:t xml:space="preserve">, A. and Singh, T., 2026. </w:t>
      </w:r>
      <w:r w:rsidRPr="00056B7B">
        <w:rPr>
          <w:rFonts w:ascii="Arial" w:hAnsi="Arial" w:cs="Arial"/>
          <w:i/>
          <w:iCs/>
          <w:color w:val="000000" w:themeColor="text1"/>
          <w:szCs w:val="24"/>
          <w:lang w:val="en-GB"/>
        </w:rPr>
        <w:t>Evolution of cross-cultural brand adaptation: A review and future directions</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Communication and Change</w:t>
      </w:r>
      <w:r w:rsidRPr="00056B7B">
        <w:rPr>
          <w:rFonts w:ascii="Arial" w:hAnsi="Arial" w:cs="Arial"/>
          <w:color w:val="000000" w:themeColor="text1"/>
          <w:szCs w:val="24"/>
          <w:lang w:val="en-GB"/>
        </w:rPr>
        <w:t xml:space="preserve">, 2(12). Available at: </w:t>
      </w:r>
      <w:hyperlink r:id="rId17" w:tgtFrame="_new" w:history="1">
        <w:r w:rsidRPr="00056B7B">
          <w:rPr>
            <w:rStyle w:val="Hyperlink"/>
            <w:rFonts w:ascii="Arial" w:hAnsi="Arial" w:cs="Arial"/>
            <w:color w:val="000000" w:themeColor="text1"/>
            <w:szCs w:val="24"/>
            <w:lang w:val="en-GB"/>
          </w:rPr>
          <w:t>https://doi.org/10.1007/s44382-026-00031-6</w:t>
        </w:r>
      </w:hyperlink>
      <w:r w:rsidRPr="00056B7B">
        <w:rPr>
          <w:rFonts w:ascii="Arial" w:hAnsi="Arial" w:cs="Arial"/>
          <w:color w:val="000000" w:themeColor="text1"/>
          <w:szCs w:val="24"/>
          <w:lang w:val="en-GB"/>
        </w:rPr>
        <w:t xml:space="preserve"> [Accessed: 6 August 2026].</w:t>
      </w:r>
    </w:p>
    <w:p w14:paraId="796FC3D9" w14:textId="77777777" w:rsidR="00A80195" w:rsidRPr="00056B7B" w:rsidRDefault="00A80195" w:rsidP="00F05C75">
      <w:pPr>
        <w:spacing w:line="360" w:lineRule="auto"/>
        <w:jc w:val="both"/>
        <w:rPr>
          <w:rFonts w:ascii="Arial" w:hAnsi="Arial" w:cs="Arial"/>
          <w:color w:val="000000" w:themeColor="text1"/>
          <w:szCs w:val="24"/>
          <w:lang w:val="en-GB"/>
        </w:rPr>
      </w:pPr>
      <w:proofErr w:type="spellStart"/>
      <w:proofErr w:type="gramStart"/>
      <w:r w:rsidRPr="00056B7B">
        <w:rPr>
          <w:rFonts w:ascii="Arial" w:hAnsi="Arial" w:cs="Arial"/>
          <w:color w:val="000000" w:themeColor="text1"/>
          <w:szCs w:val="24"/>
          <w:lang w:val="en-GB"/>
        </w:rPr>
        <w:t>eCampusOntario</w:t>
      </w:r>
      <w:proofErr w:type="spellEnd"/>
      <w:proofErr w:type="gramEnd"/>
      <w:r w:rsidRPr="00056B7B">
        <w:rPr>
          <w:rFonts w:ascii="Arial" w:hAnsi="Arial" w:cs="Arial"/>
          <w:color w:val="000000" w:themeColor="text1"/>
          <w:szCs w:val="24"/>
          <w:lang w:val="en-GB"/>
        </w:rPr>
        <w:t xml:space="preserve">, 2022. </w:t>
      </w:r>
      <w:r w:rsidRPr="00056B7B">
        <w:rPr>
          <w:rFonts w:ascii="Arial" w:hAnsi="Arial" w:cs="Arial"/>
          <w:i/>
          <w:iCs/>
          <w:color w:val="000000" w:themeColor="text1"/>
          <w:szCs w:val="24"/>
          <w:lang w:val="en-GB"/>
        </w:rPr>
        <w:t xml:space="preserve">Global Marketing in a Digital World: 11.3 </w:t>
      </w:r>
      <w:proofErr w:type="gramStart"/>
      <w:r w:rsidRPr="00056B7B">
        <w:rPr>
          <w:rFonts w:ascii="Arial" w:hAnsi="Arial" w:cs="Arial"/>
          <w:i/>
          <w:iCs/>
          <w:color w:val="000000" w:themeColor="text1"/>
          <w:szCs w:val="24"/>
          <w:lang w:val="en-GB"/>
        </w:rPr>
        <w:t>The</w:t>
      </w:r>
      <w:proofErr w:type="gramEnd"/>
      <w:r w:rsidRPr="00056B7B">
        <w:rPr>
          <w:rFonts w:ascii="Arial" w:hAnsi="Arial" w:cs="Arial"/>
          <w:i/>
          <w:iCs/>
          <w:color w:val="000000" w:themeColor="text1"/>
          <w:szCs w:val="24"/>
          <w:lang w:val="en-GB"/>
        </w:rPr>
        <w:t xml:space="preserve"> Marketing Mix in Global Marketing</w:t>
      </w:r>
      <w:r w:rsidRPr="00056B7B">
        <w:rPr>
          <w:rFonts w:ascii="Arial" w:hAnsi="Arial" w:cs="Arial"/>
          <w:color w:val="000000" w:themeColor="text1"/>
          <w:szCs w:val="24"/>
          <w:lang w:val="en-GB"/>
        </w:rPr>
        <w:t xml:space="preserve">. Available at: </w:t>
      </w:r>
      <w:hyperlink r:id="rId18" w:tgtFrame="_new" w:history="1">
        <w:r w:rsidRPr="00056B7B">
          <w:rPr>
            <w:rStyle w:val="Hyperlink"/>
            <w:rFonts w:ascii="Arial" w:hAnsi="Arial" w:cs="Arial"/>
            <w:color w:val="000000" w:themeColor="text1"/>
            <w:szCs w:val="24"/>
            <w:lang w:val="en-GB"/>
          </w:rPr>
          <w:t>https://ecampusontario.pressbooks.pub/globalmarketing/chapter/11-3-marketing-mix-global/</w:t>
        </w:r>
      </w:hyperlink>
      <w:r w:rsidRPr="00056B7B">
        <w:rPr>
          <w:rFonts w:ascii="Arial" w:hAnsi="Arial" w:cs="Arial"/>
          <w:color w:val="000000" w:themeColor="text1"/>
          <w:szCs w:val="24"/>
          <w:lang w:val="en-GB"/>
        </w:rPr>
        <w:t xml:space="preserve"> [Accessed: 6 August 2026].</w:t>
      </w:r>
    </w:p>
    <w:p w14:paraId="4FB95630" w14:textId="77777777" w:rsidR="00A80195" w:rsidRPr="00056B7B" w:rsidRDefault="00A80195" w:rsidP="00F05C75">
      <w:pPr>
        <w:spacing w:line="360" w:lineRule="auto"/>
        <w:jc w:val="both"/>
        <w:rPr>
          <w:rFonts w:ascii="Arial" w:hAnsi="Arial" w:cs="Arial"/>
          <w:color w:val="000000" w:themeColor="text1"/>
          <w:szCs w:val="24"/>
          <w:lang w:val="en-GB"/>
        </w:rPr>
      </w:pPr>
      <w:proofErr w:type="spellStart"/>
      <w:r w:rsidRPr="00056B7B">
        <w:rPr>
          <w:rFonts w:ascii="Arial" w:hAnsi="Arial" w:cs="Arial"/>
          <w:color w:val="000000" w:themeColor="text1"/>
          <w:szCs w:val="24"/>
          <w:lang w:val="en-GB"/>
        </w:rPr>
        <w:t>Eyasu</w:t>
      </w:r>
      <w:proofErr w:type="spellEnd"/>
      <w:r w:rsidRPr="00056B7B">
        <w:rPr>
          <w:rFonts w:ascii="Arial" w:hAnsi="Arial" w:cs="Arial"/>
          <w:color w:val="000000" w:themeColor="text1"/>
          <w:szCs w:val="24"/>
          <w:lang w:val="en-GB"/>
        </w:rPr>
        <w:t xml:space="preserve">, A. and </w:t>
      </w:r>
      <w:proofErr w:type="spellStart"/>
      <w:r w:rsidRPr="00056B7B">
        <w:rPr>
          <w:rFonts w:ascii="Arial" w:hAnsi="Arial" w:cs="Arial"/>
          <w:color w:val="000000" w:themeColor="text1"/>
          <w:szCs w:val="24"/>
          <w:lang w:val="en-GB"/>
        </w:rPr>
        <w:t>Negash</w:t>
      </w:r>
      <w:proofErr w:type="spellEnd"/>
      <w:r w:rsidRPr="00056B7B">
        <w:rPr>
          <w:rFonts w:ascii="Arial" w:hAnsi="Arial" w:cs="Arial"/>
          <w:color w:val="000000" w:themeColor="text1"/>
          <w:szCs w:val="24"/>
          <w:lang w:val="en-GB"/>
        </w:rPr>
        <w:t xml:space="preserve">, M., 2026. </w:t>
      </w:r>
      <w:r w:rsidRPr="00056B7B">
        <w:rPr>
          <w:rFonts w:ascii="Arial" w:hAnsi="Arial" w:cs="Arial"/>
          <w:i/>
          <w:iCs/>
          <w:color w:val="000000" w:themeColor="text1"/>
          <w:szCs w:val="24"/>
          <w:lang w:val="en-GB"/>
        </w:rPr>
        <w:t>How and when green marketing works: A systematic review of consumer responses, moderators, and boundary conditions</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Future Business Journal</w:t>
      </w:r>
      <w:r w:rsidRPr="00056B7B">
        <w:rPr>
          <w:rFonts w:ascii="Arial" w:hAnsi="Arial" w:cs="Arial"/>
          <w:color w:val="000000" w:themeColor="text1"/>
          <w:szCs w:val="24"/>
          <w:lang w:val="en-GB"/>
        </w:rPr>
        <w:t xml:space="preserve">, 12(127). Available at: </w:t>
      </w:r>
      <w:hyperlink r:id="rId19" w:tgtFrame="_new" w:history="1">
        <w:r w:rsidRPr="00056B7B">
          <w:rPr>
            <w:rStyle w:val="Hyperlink"/>
            <w:rFonts w:ascii="Arial" w:hAnsi="Arial" w:cs="Arial"/>
            <w:color w:val="000000" w:themeColor="text1"/>
            <w:szCs w:val="24"/>
            <w:lang w:val="en-GB"/>
          </w:rPr>
          <w:t>https://doi.org/10.1186/s43093-026-00839-0</w:t>
        </w:r>
      </w:hyperlink>
      <w:r w:rsidRPr="00056B7B">
        <w:rPr>
          <w:rFonts w:ascii="Arial" w:hAnsi="Arial" w:cs="Arial"/>
          <w:color w:val="000000" w:themeColor="text1"/>
          <w:szCs w:val="24"/>
          <w:lang w:val="en-GB"/>
        </w:rPr>
        <w:t xml:space="preserve"> [Accessed: 6 August 2026].</w:t>
      </w:r>
    </w:p>
    <w:p w14:paraId="142C611B"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Gaurav, K., 2008. </w:t>
      </w:r>
      <w:r w:rsidRPr="00056B7B">
        <w:rPr>
          <w:rFonts w:ascii="Arial" w:hAnsi="Arial" w:cs="Arial"/>
          <w:i/>
          <w:iCs/>
          <w:color w:val="000000" w:themeColor="text1"/>
          <w:szCs w:val="24"/>
          <w:lang w:val="en-GB"/>
        </w:rPr>
        <w:t>International Advertising Strategy: Standardization or Adaptation?</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Indian Journal of Marketing</w:t>
      </w:r>
      <w:r w:rsidRPr="00056B7B">
        <w:rPr>
          <w:rFonts w:ascii="Arial" w:hAnsi="Arial" w:cs="Arial"/>
          <w:color w:val="000000" w:themeColor="text1"/>
          <w:szCs w:val="24"/>
          <w:lang w:val="en-GB"/>
        </w:rPr>
        <w:t xml:space="preserve">, 38(7). Available at: </w:t>
      </w:r>
      <w:hyperlink r:id="rId20" w:tgtFrame="_new" w:history="1">
        <w:r w:rsidRPr="00056B7B">
          <w:rPr>
            <w:rStyle w:val="Hyperlink"/>
            <w:rFonts w:ascii="Arial" w:hAnsi="Arial" w:cs="Arial"/>
            <w:color w:val="000000" w:themeColor="text1"/>
            <w:szCs w:val="24"/>
            <w:lang w:val="en-GB"/>
          </w:rPr>
          <w:t>https://indianjournalofentrepreneurship.com/index.php/ijom/article/view/36836</w:t>
        </w:r>
      </w:hyperlink>
      <w:r w:rsidRPr="00056B7B">
        <w:rPr>
          <w:rFonts w:ascii="Arial" w:hAnsi="Arial" w:cs="Arial"/>
          <w:color w:val="000000" w:themeColor="text1"/>
          <w:szCs w:val="24"/>
          <w:lang w:val="en-GB"/>
        </w:rPr>
        <w:t xml:space="preserve"> [Accessed: 6 August 2026].</w:t>
      </w:r>
    </w:p>
    <w:p w14:paraId="05961158"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Gibbs, G., 1988. </w:t>
      </w:r>
      <w:r w:rsidRPr="00056B7B">
        <w:rPr>
          <w:rFonts w:ascii="Arial" w:hAnsi="Arial" w:cs="Arial"/>
          <w:i/>
          <w:iCs/>
          <w:color w:val="000000" w:themeColor="text1"/>
          <w:szCs w:val="24"/>
          <w:lang w:val="en-GB"/>
        </w:rPr>
        <w:t>Learning by Doing: A Guide to Teaching and Learning Methods</w:t>
      </w:r>
      <w:r w:rsidRPr="00056B7B">
        <w:rPr>
          <w:rFonts w:ascii="Arial" w:hAnsi="Arial" w:cs="Arial"/>
          <w:color w:val="000000" w:themeColor="text1"/>
          <w:szCs w:val="24"/>
          <w:lang w:val="en-GB"/>
        </w:rPr>
        <w:t>. Oxford: Further Education Unit.</w:t>
      </w:r>
    </w:p>
    <w:p w14:paraId="692409D9"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Hossain, M.Z., </w:t>
      </w:r>
      <w:proofErr w:type="spellStart"/>
      <w:r w:rsidRPr="00056B7B">
        <w:rPr>
          <w:rFonts w:ascii="Arial" w:hAnsi="Arial" w:cs="Arial"/>
          <w:color w:val="000000" w:themeColor="text1"/>
          <w:szCs w:val="24"/>
          <w:lang w:val="en-GB"/>
        </w:rPr>
        <w:t>Rashed</w:t>
      </w:r>
      <w:proofErr w:type="spellEnd"/>
      <w:r w:rsidRPr="00056B7B">
        <w:rPr>
          <w:rFonts w:ascii="Arial" w:hAnsi="Arial" w:cs="Arial"/>
          <w:color w:val="000000" w:themeColor="text1"/>
          <w:szCs w:val="24"/>
          <w:lang w:val="en-GB"/>
        </w:rPr>
        <w:t xml:space="preserve">, M.J.R., </w:t>
      </w:r>
      <w:proofErr w:type="spellStart"/>
      <w:r w:rsidRPr="00056B7B">
        <w:rPr>
          <w:rFonts w:ascii="Arial" w:hAnsi="Arial" w:cs="Arial"/>
          <w:color w:val="000000" w:themeColor="text1"/>
          <w:szCs w:val="24"/>
          <w:lang w:val="en-GB"/>
        </w:rPr>
        <w:t>Hredoy</w:t>
      </w:r>
      <w:proofErr w:type="spellEnd"/>
      <w:r w:rsidRPr="00056B7B">
        <w:rPr>
          <w:rFonts w:ascii="Arial" w:hAnsi="Arial" w:cs="Arial"/>
          <w:color w:val="000000" w:themeColor="text1"/>
          <w:szCs w:val="24"/>
          <w:lang w:val="en-GB"/>
        </w:rPr>
        <w:t xml:space="preserve">, A.I. and </w:t>
      </w:r>
      <w:proofErr w:type="spellStart"/>
      <w:r w:rsidRPr="00056B7B">
        <w:rPr>
          <w:rFonts w:ascii="Arial" w:hAnsi="Arial" w:cs="Arial"/>
          <w:color w:val="000000" w:themeColor="text1"/>
          <w:szCs w:val="24"/>
          <w:lang w:val="en-GB"/>
        </w:rPr>
        <w:t>Rafat</w:t>
      </w:r>
      <w:proofErr w:type="spellEnd"/>
      <w:r w:rsidRPr="00056B7B">
        <w:rPr>
          <w:rFonts w:ascii="Arial" w:hAnsi="Arial" w:cs="Arial"/>
          <w:color w:val="000000" w:themeColor="text1"/>
          <w:szCs w:val="24"/>
          <w:lang w:val="en-GB"/>
        </w:rPr>
        <w:t xml:space="preserve">, S.O.G., 2025. </w:t>
      </w:r>
      <w:r w:rsidRPr="00056B7B">
        <w:rPr>
          <w:rFonts w:ascii="Arial" w:hAnsi="Arial" w:cs="Arial"/>
          <w:i/>
          <w:iCs/>
          <w:color w:val="000000" w:themeColor="text1"/>
          <w:szCs w:val="24"/>
          <w:lang w:val="en-GB"/>
        </w:rPr>
        <w:t xml:space="preserve">The Influence of Financial Transparency on Consumer Trust in Green Marketing: Mitigating </w:t>
      </w:r>
      <w:proofErr w:type="spellStart"/>
      <w:r w:rsidRPr="00056B7B">
        <w:rPr>
          <w:rFonts w:ascii="Arial" w:hAnsi="Arial" w:cs="Arial"/>
          <w:i/>
          <w:iCs/>
          <w:color w:val="000000" w:themeColor="text1"/>
          <w:szCs w:val="24"/>
          <w:lang w:val="en-GB"/>
        </w:rPr>
        <w:lastRenderedPageBreak/>
        <w:t>Greenwashing</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i/>
          <w:iCs/>
          <w:color w:val="000000" w:themeColor="text1"/>
          <w:szCs w:val="24"/>
          <w:lang w:val="en-GB"/>
        </w:rPr>
        <w:t>Scientia</w:t>
      </w:r>
      <w:proofErr w:type="spellEnd"/>
      <w:r w:rsidRPr="00056B7B">
        <w:rPr>
          <w:rFonts w:ascii="Arial" w:hAnsi="Arial" w:cs="Arial"/>
          <w:i/>
          <w:iCs/>
          <w:color w:val="000000" w:themeColor="text1"/>
          <w:szCs w:val="24"/>
          <w:lang w:val="en-GB"/>
        </w:rPr>
        <w:t>. Technology, Science and Society</w:t>
      </w:r>
      <w:r w:rsidRPr="00056B7B">
        <w:rPr>
          <w:rFonts w:ascii="Arial" w:hAnsi="Arial" w:cs="Arial"/>
          <w:color w:val="000000" w:themeColor="text1"/>
          <w:szCs w:val="24"/>
          <w:lang w:val="en-GB"/>
        </w:rPr>
        <w:t xml:space="preserve">, 2(11), pp.220–233. Available at: </w:t>
      </w:r>
      <w:hyperlink r:id="rId21" w:tgtFrame="_new" w:history="1">
        <w:r w:rsidRPr="00056B7B">
          <w:rPr>
            <w:rStyle w:val="Hyperlink"/>
            <w:rFonts w:ascii="Arial" w:hAnsi="Arial" w:cs="Arial"/>
            <w:color w:val="000000" w:themeColor="text1"/>
            <w:szCs w:val="24"/>
            <w:lang w:val="en-GB"/>
          </w:rPr>
          <w:t>https://doi.org/10.59324/stss.2025.2(11).17</w:t>
        </w:r>
      </w:hyperlink>
      <w:r w:rsidRPr="00056B7B">
        <w:rPr>
          <w:rFonts w:ascii="Arial" w:hAnsi="Arial" w:cs="Arial"/>
          <w:color w:val="000000" w:themeColor="text1"/>
          <w:szCs w:val="24"/>
          <w:lang w:val="en-GB"/>
        </w:rPr>
        <w:t xml:space="preserve"> [Accessed: 6 August 2026].</w:t>
      </w:r>
    </w:p>
    <w:p w14:paraId="269AC278"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Indiana University </w:t>
      </w:r>
      <w:proofErr w:type="spellStart"/>
      <w:r w:rsidRPr="00056B7B">
        <w:rPr>
          <w:rFonts w:ascii="Arial" w:hAnsi="Arial" w:cs="Arial"/>
          <w:color w:val="000000" w:themeColor="text1"/>
          <w:szCs w:val="24"/>
          <w:lang w:val="en-GB"/>
        </w:rPr>
        <w:t>Pressbooks</w:t>
      </w:r>
      <w:proofErr w:type="spell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5.1 The Why and How of the STP Process – Marketing</w:t>
      </w:r>
      <w:r w:rsidRPr="00056B7B">
        <w:rPr>
          <w:rFonts w:ascii="Arial" w:hAnsi="Arial" w:cs="Arial"/>
          <w:color w:val="000000" w:themeColor="text1"/>
          <w:szCs w:val="24"/>
          <w:lang w:val="en-GB"/>
        </w:rPr>
        <w:t xml:space="preserve">. Available at: </w:t>
      </w:r>
      <w:hyperlink r:id="rId22" w:tgtFrame="_new" w:history="1">
        <w:r w:rsidRPr="00056B7B">
          <w:rPr>
            <w:rStyle w:val="Hyperlink"/>
            <w:rFonts w:ascii="Arial" w:hAnsi="Arial" w:cs="Arial"/>
            <w:color w:val="000000" w:themeColor="text1"/>
            <w:szCs w:val="24"/>
            <w:lang w:val="en-GB"/>
          </w:rPr>
          <w:t>https://iu.pressbooks.pub/mktgwip/chapter/chapter-5-segmentation-targeting-and-positioning/</w:t>
        </w:r>
      </w:hyperlink>
      <w:r w:rsidRPr="00056B7B">
        <w:rPr>
          <w:rFonts w:ascii="Arial" w:hAnsi="Arial" w:cs="Arial"/>
          <w:color w:val="000000" w:themeColor="text1"/>
          <w:szCs w:val="24"/>
          <w:lang w:val="en-GB"/>
        </w:rPr>
        <w:t xml:space="preserve"> [Accessed: 6 August 2026].</w:t>
      </w:r>
    </w:p>
    <w:p w14:paraId="1A233A02"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Michael, L.K., K V, S., </w:t>
      </w:r>
      <w:proofErr w:type="spellStart"/>
      <w:r w:rsidRPr="00056B7B">
        <w:rPr>
          <w:rFonts w:ascii="Arial" w:hAnsi="Arial" w:cs="Arial"/>
          <w:color w:val="000000" w:themeColor="text1"/>
          <w:szCs w:val="24"/>
          <w:lang w:val="en-GB"/>
        </w:rPr>
        <w:t>Hungund</w:t>
      </w:r>
      <w:proofErr w:type="spellEnd"/>
      <w:r w:rsidRPr="00056B7B">
        <w:rPr>
          <w:rFonts w:ascii="Arial" w:hAnsi="Arial" w:cs="Arial"/>
          <w:color w:val="000000" w:themeColor="text1"/>
          <w:szCs w:val="24"/>
          <w:lang w:val="en-GB"/>
        </w:rPr>
        <w:t xml:space="preserve">, S.S. and </w:t>
      </w:r>
      <w:proofErr w:type="spellStart"/>
      <w:r w:rsidRPr="00056B7B">
        <w:rPr>
          <w:rFonts w:ascii="Arial" w:hAnsi="Arial" w:cs="Arial"/>
          <w:color w:val="000000" w:themeColor="text1"/>
          <w:szCs w:val="24"/>
          <w:lang w:val="en-GB"/>
        </w:rPr>
        <w:t>Fernandes</w:t>
      </w:r>
      <w:proofErr w:type="spellEnd"/>
      <w:r w:rsidRPr="00056B7B">
        <w:rPr>
          <w:rFonts w:ascii="Arial" w:hAnsi="Arial" w:cs="Arial"/>
          <w:color w:val="000000" w:themeColor="text1"/>
          <w:szCs w:val="24"/>
          <w:lang w:val="en-GB"/>
        </w:rPr>
        <w:t xml:space="preserve">, M., 2022. </w:t>
      </w:r>
      <w:r w:rsidRPr="00056B7B">
        <w:rPr>
          <w:rFonts w:ascii="Arial" w:hAnsi="Arial" w:cs="Arial"/>
          <w:i/>
          <w:iCs/>
          <w:color w:val="000000" w:themeColor="text1"/>
          <w:szCs w:val="24"/>
          <w:lang w:val="en-GB"/>
        </w:rPr>
        <w:t>Factors influencing adoption of electric vehicles – A case in India</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Cogent Engineering</w:t>
      </w:r>
      <w:r w:rsidRPr="00056B7B">
        <w:rPr>
          <w:rFonts w:ascii="Arial" w:hAnsi="Arial" w:cs="Arial"/>
          <w:color w:val="000000" w:themeColor="text1"/>
          <w:szCs w:val="24"/>
          <w:lang w:val="en-GB"/>
        </w:rPr>
        <w:t xml:space="preserve">. Available at: </w:t>
      </w:r>
      <w:hyperlink r:id="rId23" w:tgtFrame="_new" w:history="1">
        <w:r w:rsidRPr="00056B7B">
          <w:rPr>
            <w:rStyle w:val="Hyperlink"/>
            <w:rFonts w:ascii="Arial" w:hAnsi="Arial" w:cs="Arial"/>
            <w:color w:val="000000" w:themeColor="text1"/>
            <w:szCs w:val="24"/>
            <w:lang w:val="en-GB"/>
          </w:rPr>
          <w:t>https://impressions.manipal.edu/open-access-archive/4955/</w:t>
        </w:r>
      </w:hyperlink>
      <w:r w:rsidRPr="00056B7B">
        <w:rPr>
          <w:rFonts w:ascii="Arial" w:hAnsi="Arial" w:cs="Arial"/>
          <w:color w:val="000000" w:themeColor="text1"/>
          <w:szCs w:val="24"/>
          <w:lang w:val="en-GB"/>
        </w:rPr>
        <w:t xml:space="preserve"> [Accessed: 6 August 2026].</w:t>
      </w:r>
    </w:p>
    <w:p w14:paraId="54750BFB" w14:textId="7DC909D8"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Ministry of Economy, Trade and Industry (METI)</w:t>
      </w:r>
      <w:proofErr w:type="gramStart"/>
      <w:r w:rsidR="00E3022C">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2023. </w:t>
      </w:r>
      <w:r w:rsidRPr="00056B7B">
        <w:rPr>
          <w:rFonts w:ascii="Arial" w:hAnsi="Arial" w:cs="Arial"/>
          <w:i/>
          <w:iCs/>
          <w:color w:val="000000" w:themeColor="text1"/>
          <w:szCs w:val="24"/>
          <w:lang w:val="en-GB"/>
        </w:rPr>
        <w:t>Guidelines for Promoting the Development of EV Charging Infrastructure</w:t>
      </w:r>
      <w:r w:rsidRPr="00056B7B">
        <w:rPr>
          <w:rFonts w:ascii="Arial" w:hAnsi="Arial" w:cs="Arial"/>
          <w:color w:val="000000" w:themeColor="text1"/>
          <w:szCs w:val="24"/>
          <w:lang w:val="en-GB"/>
        </w:rPr>
        <w:t xml:space="preserve">. Available at: </w:t>
      </w:r>
      <w:hyperlink r:id="rId24" w:tgtFrame="_new" w:history="1">
        <w:r w:rsidRPr="00056B7B">
          <w:rPr>
            <w:rStyle w:val="Hyperlink"/>
            <w:rFonts w:ascii="Arial" w:hAnsi="Arial" w:cs="Arial"/>
            <w:color w:val="000000" w:themeColor="text1"/>
            <w:szCs w:val="24"/>
            <w:lang w:val="en-GB"/>
          </w:rPr>
          <w:t>https://www.meti.go.jp/english/press/2023/1018_002.html</w:t>
        </w:r>
      </w:hyperlink>
      <w:r w:rsidRPr="00056B7B">
        <w:rPr>
          <w:rFonts w:ascii="Arial" w:hAnsi="Arial" w:cs="Arial"/>
          <w:color w:val="000000" w:themeColor="text1"/>
          <w:szCs w:val="24"/>
          <w:lang w:val="en-GB"/>
        </w:rPr>
        <w:t xml:space="preserve"> [Accessed: 6 August 2026].</w:t>
      </w:r>
    </w:p>
    <w:p w14:paraId="2959914C" w14:textId="248B9A89"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Ministry of Economy, Trade and Industry (METI)</w:t>
      </w:r>
      <w:proofErr w:type="gramStart"/>
      <w:r w:rsidR="00E3022C">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2024. </w:t>
      </w:r>
      <w:r w:rsidRPr="00056B7B">
        <w:rPr>
          <w:rFonts w:ascii="Arial" w:hAnsi="Arial" w:cs="Arial"/>
          <w:i/>
          <w:iCs/>
          <w:color w:val="000000" w:themeColor="text1"/>
          <w:szCs w:val="24"/>
          <w:lang w:val="en-GB"/>
        </w:rPr>
        <w:t>Subsidies Upgraded for the Purchase of Clean Energy Vehicles</w:t>
      </w:r>
      <w:r w:rsidRPr="00056B7B">
        <w:rPr>
          <w:rFonts w:ascii="Arial" w:hAnsi="Arial" w:cs="Arial"/>
          <w:color w:val="000000" w:themeColor="text1"/>
          <w:szCs w:val="24"/>
          <w:lang w:val="en-GB"/>
        </w:rPr>
        <w:t xml:space="preserve">. Available at: </w:t>
      </w:r>
      <w:hyperlink r:id="rId25" w:tgtFrame="_new" w:history="1">
        <w:r w:rsidRPr="00056B7B">
          <w:rPr>
            <w:rStyle w:val="Hyperlink"/>
            <w:rFonts w:ascii="Arial" w:hAnsi="Arial" w:cs="Arial"/>
            <w:color w:val="000000" w:themeColor="text1"/>
            <w:szCs w:val="24"/>
            <w:lang w:val="en-GB"/>
          </w:rPr>
          <w:t>https://www.enecho.meti.go.jp/en/category/special/article/detail_199.html</w:t>
        </w:r>
      </w:hyperlink>
      <w:r w:rsidRPr="00056B7B">
        <w:rPr>
          <w:rFonts w:ascii="Arial" w:hAnsi="Arial" w:cs="Arial"/>
          <w:color w:val="000000" w:themeColor="text1"/>
          <w:szCs w:val="24"/>
          <w:lang w:val="en-GB"/>
        </w:rPr>
        <w:t xml:space="preserve"> [Accessed: 6 August 2026].</w:t>
      </w:r>
    </w:p>
    <w:p w14:paraId="6C27E6C6" w14:textId="1AB435F1"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Ministry of Heavy </w:t>
      </w:r>
      <w:proofErr w:type="gramStart"/>
      <w:r w:rsidRPr="00056B7B">
        <w:rPr>
          <w:rFonts w:ascii="Arial" w:hAnsi="Arial" w:cs="Arial"/>
          <w:color w:val="000000" w:themeColor="text1"/>
          <w:szCs w:val="24"/>
          <w:lang w:val="en-GB"/>
        </w:rPr>
        <w:t>Industries</w:t>
      </w:r>
      <w:r w:rsidR="00E3022C">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2024. </w:t>
      </w:r>
      <w:r w:rsidRPr="00056B7B">
        <w:rPr>
          <w:rFonts w:ascii="Arial" w:hAnsi="Arial" w:cs="Arial"/>
          <w:i/>
          <w:iCs/>
          <w:color w:val="000000" w:themeColor="text1"/>
          <w:szCs w:val="24"/>
          <w:lang w:val="en-GB"/>
        </w:rPr>
        <w:t>Scheme to Promote Manufacturing of Electric Passenger Cars in India (SPMEPCI)</w:t>
      </w:r>
      <w:r w:rsidRPr="00056B7B">
        <w:rPr>
          <w:rFonts w:ascii="Arial" w:hAnsi="Arial" w:cs="Arial"/>
          <w:color w:val="000000" w:themeColor="text1"/>
          <w:szCs w:val="24"/>
          <w:lang w:val="en-GB"/>
        </w:rPr>
        <w:t xml:space="preserve">. Available at: </w:t>
      </w:r>
      <w:hyperlink r:id="rId26" w:tgtFrame="_new" w:history="1">
        <w:r w:rsidRPr="00056B7B">
          <w:rPr>
            <w:rStyle w:val="Hyperlink"/>
            <w:rFonts w:ascii="Arial" w:hAnsi="Arial" w:cs="Arial"/>
            <w:color w:val="000000" w:themeColor="text1"/>
            <w:szCs w:val="24"/>
            <w:lang w:val="en-GB"/>
          </w:rPr>
          <w:t>https://heavyindustries.gov.in/en/scheme-promote-manufacturing-electric-passenger-cars-india-0</w:t>
        </w:r>
      </w:hyperlink>
      <w:r w:rsidRPr="00056B7B">
        <w:rPr>
          <w:rFonts w:ascii="Arial" w:hAnsi="Arial" w:cs="Arial"/>
          <w:color w:val="000000" w:themeColor="text1"/>
          <w:szCs w:val="24"/>
          <w:lang w:val="en-GB"/>
        </w:rPr>
        <w:t xml:space="preserve"> [Accessed: 6 August 2026].</w:t>
      </w:r>
    </w:p>
    <w:p w14:paraId="51CD35C9" w14:textId="77777777" w:rsidR="00A80195" w:rsidRPr="00056B7B" w:rsidRDefault="00A80195" w:rsidP="00F05C75">
      <w:pPr>
        <w:spacing w:line="360" w:lineRule="auto"/>
        <w:jc w:val="both"/>
        <w:rPr>
          <w:rFonts w:ascii="Arial" w:hAnsi="Arial" w:cs="Arial"/>
          <w:color w:val="000000" w:themeColor="text1"/>
          <w:szCs w:val="24"/>
          <w:lang w:val="en-GB"/>
        </w:rPr>
      </w:pPr>
      <w:proofErr w:type="spellStart"/>
      <w:r w:rsidRPr="00056B7B">
        <w:rPr>
          <w:rFonts w:ascii="Arial" w:hAnsi="Arial" w:cs="Arial"/>
          <w:color w:val="000000" w:themeColor="text1"/>
          <w:szCs w:val="24"/>
          <w:lang w:val="en-GB"/>
        </w:rPr>
        <w:t>Mukesh</w:t>
      </w:r>
      <w:proofErr w:type="spellEnd"/>
      <w:r w:rsidRPr="00056B7B">
        <w:rPr>
          <w:rFonts w:ascii="Arial" w:hAnsi="Arial" w:cs="Arial"/>
          <w:color w:val="000000" w:themeColor="text1"/>
          <w:szCs w:val="24"/>
          <w:lang w:val="en-GB"/>
        </w:rPr>
        <w:t xml:space="preserve"> and </w:t>
      </w:r>
      <w:proofErr w:type="spellStart"/>
      <w:r w:rsidRPr="00056B7B">
        <w:rPr>
          <w:rFonts w:ascii="Arial" w:hAnsi="Arial" w:cs="Arial"/>
          <w:color w:val="000000" w:themeColor="text1"/>
          <w:szCs w:val="24"/>
          <w:lang w:val="en-GB"/>
        </w:rPr>
        <w:t>Narwal</w:t>
      </w:r>
      <w:proofErr w:type="spellEnd"/>
      <w:r w:rsidRPr="00056B7B">
        <w:rPr>
          <w:rFonts w:ascii="Arial" w:hAnsi="Arial" w:cs="Arial"/>
          <w:color w:val="000000" w:themeColor="text1"/>
          <w:szCs w:val="24"/>
          <w:lang w:val="en-GB"/>
        </w:rPr>
        <w:t xml:space="preserve">, M., 2023. </w:t>
      </w:r>
      <w:r w:rsidRPr="00056B7B">
        <w:rPr>
          <w:rFonts w:ascii="Arial" w:hAnsi="Arial" w:cs="Arial"/>
          <w:i/>
          <w:iCs/>
          <w:color w:val="000000" w:themeColor="text1"/>
          <w:szCs w:val="24"/>
          <w:lang w:val="en-GB"/>
        </w:rPr>
        <w:t>Predicting consumer purchase intention on electric cars in India: Mediating role of attitude</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Business Strategy &amp; Development</w:t>
      </w:r>
      <w:r w:rsidRPr="00056B7B">
        <w:rPr>
          <w:rFonts w:ascii="Arial" w:hAnsi="Arial" w:cs="Arial"/>
          <w:color w:val="000000" w:themeColor="text1"/>
          <w:szCs w:val="24"/>
          <w:lang w:val="en-GB"/>
        </w:rPr>
        <w:t xml:space="preserve">, 6(4), pp.942–956. Available at: </w:t>
      </w:r>
      <w:hyperlink r:id="rId27" w:tgtFrame="_new" w:history="1">
        <w:r w:rsidRPr="00056B7B">
          <w:rPr>
            <w:rStyle w:val="Hyperlink"/>
            <w:rFonts w:ascii="Arial" w:hAnsi="Arial" w:cs="Arial"/>
            <w:color w:val="000000" w:themeColor="text1"/>
            <w:szCs w:val="24"/>
            <w:lang w:val="en-GB"/>
          </w:rPr>
          <w:t>https://doi.org/10.1002/bsd2.289</w:t>
        </w:r>
      </w:hyperlink>
      <w:r w:rsidRPr="00056B7B">
        <w:rPr>
          <w:rFonts w:ascii="Arial" w:hAnsi="Arial" w:cs="Arial"/>
          <w:color w:val="000000" w:themeColor="text1"/>
          <w:szCs w:val="24"/>
          <w:lang w:val="en-GB"/>
        </w:rPr>
        <w:t xml:space="preserve"> [Accessed: 6 August 2026].</w:t>
      </w:r>
    </w:p>
    <w:p w14:paraId="48954399" w14:textId="0E860C8F"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PM E-DRIVE</w:t>
      </w:r>
      <w:r w:rsidR="00E3022C">
        <w:rPr>
          <w:rFonts w:ascii="Arial" w:hAnsi="Arial" w:cs="Arial"/>
          <w:color w:val="000000" w:themeColor="text1"/>
          <w:szCs w:val="24"/>
          <w:lang w:val="en-GB"/>
        </w:rPr>
        <w:t>.</w:t>
      </w:r>
      <w:r w:rsidRPr="00056B7B">
        <w:rPr>
          <w:rFonts w:ascii="Arial" w:hAnsi="Arial" w:cs="Arial"/>
          <w:color w:val="000000" w:themeColor="text1"/>
          <w:szCs w:val="24"/>
          <w:lang w:val="en-GB"/>
        </w:rPr>
        <w:t xml:space="preserve">, 2024. </w:t>
      </w:r>
      <w:r w:rsidRPr="00056B7B">
        <w:rPr>
          <w:rFonts w:ascii="Arial" w:hAnsi="Arial" w:cs="Arial"/>
          <w:i/>
          <w:iCs/>
          <w:color w:val="000000" w:themeColor="text1"/>
          <w:szCs w:val="24"/>
          <w:lang w:val="en-GB"/>
        </w:rPr>
        <w:t>Home</w:t>
      </w:r>
      <w:r w:rsidRPr="00056B7B">
        <w:rPr>
          <w:rFonts w:ascii="Arial" w:hAnsi="Arial" w:cs="Arial"/>
          <w:color w:val="000000" w:themeColor="text1"/>
          <w:szCs w:val="24"/>
          <w:lang w:val="en-GB"/>
        </w:rPr>
        <w:t xml:space="preserve">. Available at: </w:t>
      </w:r>
      <w:hyperlink r:id="rId28" w:tgtFrame="_new" w:history="1">
        <w:r w:rsidRPr="00056B7B">
          <w:rPr>
            <w:rStyle w:val="Hyperlink"/>
            <w:rFonts w:ascii="Arial" w:hAnsi="Arial" w:cs="Arial"/>
            <w:color w:val="000000" w:themeColor="text1"/>
            <w:szCs w:val="24"/>
            <w:lang w:val="en-GB"/>
          </w:rPr>
          <w:t>https://pmedrive.heavyindustries.gov.in/</w:t>
        </w:r>
      </w:hyperlink>
      <w:r w:rsidRPr="00056B7B">
        <w:rPr>
          <w:rFonts w:ascii="Arial" w:hAnsi="Arial" w:cs="Arial"/>
          <w:color w:val="000000" w:themeColor="text1"/>
          <w:szCs w:val="24"/>
          <w:lang w:val="en-GB"/>
        </w:rPr>
        <w:t xml:space="preserve"> [Accessed: 6 August 2026].</w:t>
      </w:r>
    </w:p>
    <w:p w14:paraId="214F2DC9" w14:textId="52A489CB"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i/>
          <w:iCs/>
          <w:color w:val="000000" w:themeColor="text1"/>
          <w:szCs w:val="24"/>
          <w:lang w:val="en-GB"/>
        </w:rPr>
        <w:t xml:space="preserve">Regional electric vehicle roadmap and strategy in Japan based on a lifecycle optimization </w:t>
      </w:r>
      <w:proofErr w:type="gramStart"/>
      <w:r w:rsidRPr="00056B7B">
        <w:rPr>
          <w:rFonts w:ascii="Arial" w:hAnsi="Arial" w:cs="Arial"/>
          <w:i/>
          <w:iCs/>
          <w:color w:val="000000" w:themeColor="text1"/>
          <w:szCs w:val="24"/>
          <w:lang w:val="en-GB"/>
        </w:rPr>
        <w:t>model</w:t>
      </w:r>
      <w:r w:rsidR="00392659">
        <w:rPr>
          <w:rFonts w:ascii="Arial" w:hAnsi="Arial" w:cs="Arial"/>
          <w:i/>
          <w:iCs/>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2025. </w:t>
      </w:r>
      <w:r w:rsidRPr="00056B7B">
        <w:rPr>
          <w:rFonts w:ascii="Arial" w:hAnsi="Arial" w:cs="Arial"/>
          <w:i/>
          <w:iCs/>
          <w:color w:val="000000" w:themeColor="text1"/>
          <w:szCs w:val="24"/>
          <w:lang w:val="en-GB"/>
        </w:rPr>
        <w:t>Resources, Conservation and Recycling</w:t>
      </w:r>
      <w:r w:rsidRPr="00056B7B">
        <w:rPr>
          <w:rFonts w:ascii="Arial" w:hAnsi="Arial" w:cs="Arial"/>
          <w:color w:val="000000" w:themeColor="text1"/>
          <w:szCs w:val="24"/>
          <w:lang w:val="en-GB"/>
        </w:rPr>
        <w:t xml:space="preserve">, 222, 108437. </w:t>
      </w:r>
      <w:r w:rsidRPr="00056B7B">
        <w:rPr>
          <w:rFonts w:ascii="Arial" w:hAnsi="Arial" w:cs="Arial"/>
          <w:color w:val="000000" w:themeColor="text1"/>
          <w:szCs w:val="24"/>
          <w:lang w:val="en-GB"/>
        </w:rPr>
        <w:lastRenderedPageBreak/>
        <w:t xml:space="preserve">Available at: </w:t>
      </w:r>
      <w:hyperlink r:id="rId29" w:tgtFrame="_new" w:history="1">
        <w:r w:rsidRPr="00056B7B">
          <w:rPr>
            <w:rStyle w:val="Hyperlink"/>
            <w:rFonts w:ascii="Arial" w:hAnsi="Arial" w:cs="Arial"/>
            <w:color w:val="000000" w:themeColor="text1"/>
            <w:szCs w:val="24"/>
            <w:lang w:val="en-GB"/>
          </w:rPr>
          <w:t>https://doi.org/10.1016/j.resconrec.2025.108437</w:t>
        </w:r>
      </w:hyperlink>
      <w:r w:rsidRPr="00056B7B">
        <w:rPr>
          <w:rFonts w:ascii="Arial" w:hAnsi="Arial" w:cs="Arial"/>
          <w:color w:val="000000" w:themeColor="text1"/>
          <w:szCs w:val="24"/>
          <w:lang w:val="en-GB"/>
        </w:rPr>
        <w:t xml:space="preserve"> [Accessed: 6 August 2026].</w:t>
      </w:r>
    </w:p>
    <w:p w14:paraId="759C2C64" w14:textId="0D4706EB" w:rsidR="00A80195" w:rsidRPr="00056B7B" w:rsidRDefault="00A80195" w:rsidP="00F05C75">
      <w:pPr>
        <w:spacing w:line="360" w:lineRule="auto"/>
        <w:jc w:val="both"/>
        <w:rPr>
          <w:rFonts w:ascii="Arial" w:hAnsi="Arial" w:cs="Arial"/>
          <w:color w:val="000000" w:themeColor="text1"/>
          <w:szCs w:val="24"/>
          <w:lang w:val="en-GB"/>
        </w:rPr>
      </w:pPr>
      <w:proofErr w:type="gramStart"/>
      <w:r w:rsidRPr="00056B7B">
        <w:rPr>
          <w:rFonts w:ascii="Arial" w:hAnsi="Arial" w:cs="Arial"/>
          <w:color w:val="000000" w:themeColor="text1"/>
          <w:szCs w:val="24"/>
          <w:lang w:val="en-GB"/>
        </w:rPr>
        <w:t>Reuters</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2025. </w:t>
      </w:r>
      <w:r w:rsidRPr="00056B7B">
        <w:rPr>
          <w:rFonts w:ascii="Arial" w:hAnsi="Arial" w:cs="Arial"/>
          <w:i/>
          <w:iCs/>
          <w:color w:val="000000" w:themeColor="text1"/>
          <w:szCs w:val="24"/>
          <w:lang w:val="en-GB"/>
        </w:rPr>
        <w:t>Toyota global output, sales hit record highs in January–June</w:t>
      </w:r>
      <w:r w:rsidRPr="00056B7B">
        <w:rPr>
          <w:rFonts w:ascii="Arial" w:hAnsi="Arial" w:cs="Arial"/>
          <w:color w:val="000000" w:themeColor="text1"/>
          <w:szCs w:val="24"/>
          <w:lang w:val="en-GB"/>
        </w:rPr>
        <w:t xml:space="preserve">. Available at: </w:t>
      </w:r>
      <w:hyperlink r:id="rId30" w:tgtFrame="_new" w:history="1">
        <w:r w:rsidRPr="00056B7B">
          <w:rPr>
            <w:rStyle w:val="Hyperlink"/>
            <w:rFonts w:ascii="Arial" w:hAnsi="Arial" w:cs="Arial"/>
            <w:color w:val="000000" w:themeColor="text1"/>
            <w:szCs w:val="24"/>
            <w:lang w:val="en-GB"/>
          </w:rPr>
          <w:t>https://www.reuters.com/business/autos-transportation/toyota-global-output-sales-hit-record-highs-january-june-2025-07-30/</w:t>
        </w:r>
      </w:hyperlink>
      <w:r w:rsidRPr="00056B7B">
        <w:rPr>
          <w:rFonts w:ascii="Arial" w:hAnsi="Arial" w:cs="Arial"/>
          <w:color w:val="000000" w:themeColor="text1"/>
          <w:szCs w:val="24"/>
          <w:lang w:val="en-GB"/>
        </w:rPr>
        <w:t xml:space="preserve"> [Accessed: 6 August 2026].</w:t>
      </w:r>
    </w:p>
    <w:p w14:paraId="035FF743"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Ruiz-Blanco, S., Romero, S. and Fernandez-</w:t>
      </w:r>
      <w:proofErr w:type="spellStart"/>
      <w:r w:rsidRPr="00056B7B">
        <w:rPr>
          <w:rFonts w:ascii="Arial" w:hAnsi="Arial" w:cs="Arial"/>
          <w:color w:val="000000" w:themeColor="text1"/>
          <w:szCs w:val="24"/>
          <w:lang w:val="en-GB"/>
        </w:rPr>
        <w:t>Feijoo</w:t>
      </w:r>
      <w:proofErr w:type="spellEnd"/>
      <w:r w:rsidRPr="00056B7B">
        <w:rPr>
          <w:rFonts w:ascii="Arial" w:hAnsi="Arial" w:cs="Arial"/>
          <w:color w:val="000000" w:themeColor="text1"/>
          <w:szCs w:val="24"/>
          <w:lang w:val="en-GB"/>
        </w:rPr>
        <w:t xml:space="preserve">, B., 2021. </w:t>
      </w:r>
      <w:r w:rsidRPr="00056B7B">
        <w:rPr>
          <w:rFonts w:ascii="Arial" w:hAnsi="Arial" w:cs="Arial"/>
          <w:i/>
          <w:iCs/>
          <w:color w:val="000000" w:themeColor="text1"/>
          <w:szCs w:val="24"/>
          <w:lang w:val="en-GB"/>
        </w:rPr>
        <w:t xml:space="preserve">Green, blue or black, but washing – What company characteristics determine </w:t>
      </w:r>
      <w:proofErr w:type="spellStart"/>
      <w:r w:rsidRPr="00056B7B">
        <w:rPr>
          <w:rFonts w:ascii="Arial" w:hAnsi="Arial" w:cs="Arial"/>
          <w:i/>
          <w:iCs/>
          <w:color w:val="000000" w:themeColor="text1"/>
          <w:szCs w:val="24"/>
          <w:lang w:val="en-GB"/>
        </w:rPr>
        <w:t>greenwashing</w:t>
      </w:r>
      <w:proofErr w:type="spellEnd"/>
      <w:r w:rsidRPr="00056B7B">
        <w:rPr>
          <w:rFonts w:ascii="Arial" w:hAnsi="Arial" w:cs="Arial"/>
          <w:i/>
          <w:iCs/>
          <w:color w:val="000000" w:themeColor="text1"/>
          <w:szCs w:val="24"/>
          <w:lang w:val="en-GB"/>
        </w:rPr>
        <w:t>?</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Environment, Development and Sustainability</w:t>
      </w:r>
      <w:r w:rsidRPr="00056B7B">
        <w:rPr>
          <w:rFonts w:ascii="Arial" w:hAnsi="Arial" w:cs="Arial"/>
          <w:color w:val="000000" w:themeColor="text1"/>
          <w:szCs w:val="24"/>
          <w:lang w:val="en-GB"/>
        </w:rPr>
        <w:t xml:space="preserve">, 24, pp.4024–4045. Available at: </w:t>
      </w:r>
      <w:hyperlink r:id="rId31" w:tgtFrame="_new" w:history="1">
        <w:r w:rsidRPr="00056B7B">
          <w:rPr>
            <w:rStyle w:val="Hyperlink"/>
            <w:rFonts w:ascii="Arial" w:hAnsi="Arial" w:cs="Arial"/>
            <w:color w:val="000000" w:themeColor="text1"/>
            <w:szCs w:val="24"/>
            <w:lang w:val="en-GB"/>
          </w:rPr>
          <w:t>https://doi.org/10.1007/s10668-021-01602-x</w:t>
        </w:r>
      </w:hyperlink>
      <w:r w:rsidRPr="00056B7B">
        <w:rPr>
          <w:rFonts w:ascii="Arial" w:hAnsi="Arial" w:cs="Arial"/>
          <w:color w:val="000000" w:themeColor="text1"/>
          <w:szCs w:val="24"/>
          <w:lang w:val="en-GB"/>
        </w:rPr>
        <w:t xml:space="preserve"> [Accessed: 6 August 2026].</w:t>
      </w:r>
    </w:p>
    <w:p w14:paraId="139D6D6E" w14:textId="78E1147F"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The Culture Factor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Country comparison tool</w:t>
      </w:r>
      <w:r w:rsidRPr="00056B7B">
        <w:rPr>
          <w:rFonts w:ascii="Arial" w:hAnsi="Arial" w:cs="Arial"/>
          <w:color w:val="000000" w:themeColor="text1"/>
          <w:szCs w:val="24"/>
          <w:lang w:val="en-GB"/>
        </w:rPr>
        <w:t xml:space="preserve">. Available at: </w:t>
      </w:r>
      <w:hyperlink r:id="rId32" w:tgtFrame="_new" w:history="1">
        <w:r w:rsidRPr="00056B7B">
          <w:rPr>
            <w:rStyle w:val="Hyperlink"/>
            <w:rFonts w:ascii="Arial" w:hAnsi="Arial" w:cs="Arial"/>
            <w:color w:val="000000" w:themeColor="text1"/>
            <w:szCs w:val="24"/>
            <w:lang w:val="en-GB"/>
          </w:rPr>
          <w:t>https://www.theculturefactor.com/country-comparison-tool</w:t>
        </w:r>
      </w:hyperlink>
      <w:r w:rsidRPr="00056B7B">
        <w:rPr>
          <w:rFonts w:ascii="Arial" w:hAnsi="Arial" w:cs="Arial"/>
          <w:color w:val="000000" w:themeColor="text1"/>
          <w:szCs w:val="24"/>
          <w:lang w:val="en-GB"/>
        </w:rPr>
        <w:t xml:space="preserve"> [Accessed: 6 August 2026].</w:t>
      </w:r>
    </w:p>
    <w:p w14:paraId="197BCF42" w14:textId="6DDC5601"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2025. </w:t>
      </w:r>
      <w:r w:rsidRPr="00056B7B">
        <w:rPr>
          <w:rFonts w:ascii="Arial" w:hAnsi="Arial" w:cs="Arial"/>
          <w:i/>
          <w:iCs/>
          <w:color w:val="000000" w:themeColor="text1"/>
          <w:szCs w:val="24"/>
          <w:lang w:val="en-GB"/>
        </w:rPr>
        <w:t xml:space="preserve">Toyota </w:t>
      </w:r>
      <w:proofErr w:type="spellStart"/>
      <w:r w:rsidRPr="00056B7B">
        <w:rPr>
          <w:rFonts w:ascii="Arial" w:hAnsi="Arial" w:cs="Arial"/>
          <w:i/>
          <w:iCs/>
          <w:color w:val="000000" w:themeColor="text1"/>
          <w:szCs w:val="24"/>
          <w:lang w:val="en-GB"/>
        </w:rPr>
        <w:t>Kirloskar</w:t>
      </w:r>
      <w:proofErr w:type="spellEnd"/>
      <w:r w:rsidRPr="00056B7B">
        <w:rPr>
          <w:rFonts w:ascii="Arial" w:hAnsi="Arial" w:cs="Arial"/>
          <w:i/>
          <w:iCs/>
          <w:color w:val="000000" w:themeColor="text1"/>
          <w:szCs w:val="24"/>
          <w:lang w:val="en-GB"/>
        </w:rPr>
        <w:t xml:space="preserve"> Motor Sustainability Report 2025</w:t>
      </w:r>
      <w:r w:rsidRPr="00056B7B">
        <w:rPr>
          <w:rFonts w:ascii="Arial" w:hAnsi="Arial" w:cs="Arial"/>
          <w:color w:val="000000" w:themeColor="text1"/>
          <w:szCs w:val="24"/>
          <w:lang w:val="en-GB"/>
        </w:rPr>
        <w:t xml:space="preserve">. Available at: </w:t>
      </w:r>
      <w:hyperlink r:id="rId33" w:tgtFrame="_new" w:history="1">
        <w:r w:rsidRPr="00056B7B">
          <w:rPr>
            <w:rStyle w:val="Hyperlink"/>
            <w:rFonts w:ascii="Arial" w:hAnsi="Arial" w:cs="Arial"/>
            <w:color w:val="000000" w:themeColor="text1"/>
            <w:szCs w:val="24"/>
            <w:lang w:val="en-GB"/>
          </w:rPr>
          <w:t>https://www.toyotabharat.com/documents/toyota-in-india/environment/tkm-sustainability-report-2025.pdf</w:t>
        </w:r>
      </w:hyperlink>
      <w:r w:rsidRPr="00056B7B">
        <w:rPr>
          <w:rFonts w:ascii="Arial" w:hAnsi="Arial" w:cs="Arial"/>
          <w:color w:val="000000" w:themeColor="text1"/>
          <w:szCs w:val="24"/>
          <w:lang w:val="en-GB"/>
        </w:rPr>
        <w:t xml:space="preserve"> [Accessed: 6 August 2026].</w:t>
      </w:r>
    </w:p>
    <w:p w14:paraId="3DCAD697" w14:textId="38DC4698"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2026a. </w:t>
      </w:r>
      <w:r w:rsidRPr="00056B7B">
        <w:rPr>
          <w:rFonts w:ascii="Arial" w:hAnsi="Arial" w:cs="Arial"/>
          <w:i/>
          <w:iCs/>
          <w:color w:val="000000" w:themeColor="text1"/>
          <w:szCs w:val="24"/>
          <w:lang w:val="en-GB"/>
        </w:rPr>
        <w:t>Toyota to Build a New Vehicle Manufacturing Plant in India</w:t>
      </w:r>
      <w:r w:rsidRPr="00056B7B">
        <w:rPr>
          <w:rFonts w:ascii="Arial" w:hAnsi="Arial" w:cs="Arial"/>
          <w:color w:val="000000" w:themeColor="text1"/>
          <w:szCs w:val="24"/>
          <w:lang w:val="en-GB"/>
        </w:rPr>
        <w:t xml:space="preserve">. Available at: </w:t>
      </w:r>
      <w:hyperlink r:id="rId34" w:tgtFrame="_new" w:history="1">
        <w:r w:rsidRPr="00056B7B">
          <w:rPr>
            <w:rStyle w:val="Hyperlink"/>
            <w:rFonts w:ascii="Arial" w:hAnsi="Arial" w:cs="Arial"/>
            <w:color w:val="000000" w:themeColor="text1"/>
            <w:szCs w:val="24"/>
            <w:lang w:val="en-GB"/>
          </w:rPr>
          <w:t>https://www.toyotabharat.com/news/2026/toyota-to-build-a-new-vehicle-manufacturing-plant-in-india.html</w:t>
        </w:r>
      </w:hyperlink>
      <w:r w:rsidRPr="00056B7B">
        <w:rPr>
          <w:rFonts w:ascii="Arial" w:hAnsi="Arial" w:cs="Arial"/>
          <w:color w:val="000000" w:themeColor="text1"/>
          <w:szCs w:val="24"/>
          <w:lang w:val="en-GB"/>
        </w:rPr>
        <w:t xml:space="preserve"> [Accessed: 6 August 2026].</w:t>
      </w:r>
    </w:p>
    <w:p w14:paraId="299740DD" w14:textId="758D1426"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w:t>
      </w:r>
      <w:r w:rsidRPr="00056B7B">
        <w:rPr>
          <w:rFonts w:ascii="Arial" w:hAnsi="Arial" w:cs="Arial"/>
          <w:i/>
          <w:iCs/>
          <w:color w:val="000000" w:themeColor="text1"/>
          <w:szCs w:val="24"/>
          <w:lang w:val="en-GB"/>
        </w:rPr>
        <w:t>Toyota India Official Website</w:t>
      </w:r>
      <w:r w:rsidRPr="00056B7B">
        <w:rPr>
          <w:rFonts w:ascii="Arial" w:hAnsi="Arial" w:cs="Arial"/>
          <w:color w:val="000000" w:themeColor="text1"/>
          <w:szCs w:val="24"/>
          <w:lang w:val="en-GB"/>
        </w:rPr>
        <w:t xml:space="preserve">. Available at: </w:t>
      </w:r>
      <w:hyperlink r:id="rId35" w:tgtFrame="_new" w:history="1">
        <w:r w:rsidRPr="00056B7B">
          <w:rPr>
            <w:rStyle w:val="Hyperlink"/>
            <w:rFonts w:ascii="Arial" w:hAnsi="Arial" w:cs="Arial"/>
            <w:color w:val="000000" w:themeColor="text1"/>
            <w:szCs w:val="24"/>
            <w:lang w:val="en-GB"/>
          </w:rPr>
          <w:t>https://www.toyotabharat.com/</w:t>
        </w:r>
      </w:hyperlink>
      <w:r w:rsidRPr="00056B7B">
        <w:rPr>
          <w:rFonts w:ascii="Arial" w:hAnsi="Arial" w:cs="Arial"/>
          <w:color w:val="000000" w:themeColor="text1"/>
          <w:szCs w:val="24"/>
          <w:lang w:val="en-GB"/>
        </w:rPr>
        <w:t xml:space="preserve"> [Accessed: 6 August 2026].</w:t>
      </w:r>
    </w:p>
    <w:p w14:paraId="2AA0283E" w14:textId="404AFB54"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-b. </w:t>
      </w:r>
      <w:r w:rsidRPr="00056B7B">
        <w:rPr>
          <w:rFonts w:ascii="Arial" w:hAnsi="Arial" w:cs="Arial"/>
          <w:i/>
          <w:iCs/>
          <w:color w:val="000000" w:themeColor="text1"/>
          <w:szCs w:val="24"/>
          <w:lang w:val="en-GB"/>
        </w:rPr>
        <w:t>The New Elegant Camry Hybrid</w:t>
      </w:r>
      <w:r w:rsidRPr="00056B7B">
        <w:rPr>
          <w:rFonts w:ascii="Arial" w:hAnsi="Arial" w:cs="Arial"/>
          <w:color w:val="000000" w:themeColor="text1"/>
          <w:szCs w:val="24"/>
          <w:lang w:val="en-GB"/>
        </w:rPr>
        <w:t xml:space="preserve">. Available at: </w:t>
      </w:r>
      <w:hyperlink r:id="rId36" w:tgtFrame="_new" w:history="1">
        <w:r w:rsidRPr="00056B7B">
          <w:rPr>
            <w:rStyle w:val="Hyperlink"/>
            <w:rFonts w:ascii="Arial" w:hAnsi="Arial" w:cs="Arial"/>
            <w:color w:val="000000" w:themeColor="text1"/>
            <w:szCs w:val="24"/>
            <w:lang w:val="en-GB"/>
          </w:rPr>
          <w:t>https://www.toyotabharat.com/showroom/camry/</w:t>
        </w:r>
      </w:hyperlink>
      <w:r w:rsidRPr="00056B7B">
        <w:rPr>
          <w:rFonts w:ascii="Arial" w:hAnsi="Arial" w:cs="Arial"/>
          <w:color w:val="000000" w:themeColor="text1"/>
          <w:szCs w:val="24"/>
          <w:lang w:val="en-GB"/>
        </w:rPr>
        <w:t xml:space="preserve"> [Accessed: 6 August 2026].</w:t>
      </w:r>
    </w:p>
    <w:p w14:paraId="5D3490B6" w14:textId="1798935E"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-c. </w:t>
      </w:r>
      <w:r w:rsidRPr="00056B7B">
        <w:rPr>
          <w:rFonts w:ascii="Arial" w:hAnsi="Arial" w:cs="Arial"/>
          <w:i/>
          <w:iCs/>
          <w:color w:val="000000" w:themeColor="text1"/>
          <w:szCs w:val="24"/>
          <w:lang w:val="en-GB"/>
        </w:rPr>
        <w:t>Production System</w:t>
      </w:r>
      <w:r w:rsidRPr="00056B7B">
        <w:rPr>
          <w:rFonts w:ascii="Arial" w:hAnsi="Arial" w:cs="Arial"/>
          <w:color w:val="000000" w:themeColor="text1"/>
          <w:szCs w:val="24"/>
          <w:lang w:val="en-GB"/>
        </w:rPr>
        <w:t xml:space="preserve">. Available at: </w:t>
      </w:r>
      <w:hyperlink r:id="rId37" w:tgtFrame="_new" w:history="1">
        <w:r w:rsidRPr="00056B7B">
          <w:rPr>
            <w:rStyle w:val="Hyperlink"/>
            <w:rFonts w:ascii="Arial" w:hAnsi="Arial" w:cs="Arial"/>
            <w:color w:val="000000" w:themeColor="text1"/>
            <w:szCs w:val="24"/>
            <w:lang w:val="en-GB"/>
          </w:rPr>
          <w:t>https://www.toyotabharat.com/toyota-in-india/production-system/</w:t>
        </w:r>
      </w:hyperlink>
      <w:r w:rsidRPr="00056B7B">
        <w:rPr>
          <w:rFonts w:ascii="Arial" w:hAnsi="Arial" w:cs="Arial"/>
          <w:color w:val="000000" w:themeColor="text1"/>
          <w:szCs w:val="24"/>
          <w:lang w:val="en-GB"/>
        </w:rPr>
        <w:t xml:space="preserve"> [Accessed: 6 August 2026].</w:t>
      </w:r>
    </w:p>
    <w:p w14:paraId="44A08D2E" w14:textId="535A4C6C"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w:t>
      </w:r>
      <w:proofErr w:type="spellStart"/>
      <w:r w:rsidRPr="00056B7B">
        <w:rPr>
          <w:rFonts w:ascii="Arial" w:hAnsi="Arial" w:cs="Arial"/>
          <w:color w:val="000000" w:themeColor="text1"/>
          <w:szCs w:val="24"/>
          <w:lang w:val="en-GB"/>
        </w:rPr>
        <w:t>Kirloskar</w:t>
      </w:r>
      <w:proofErr w:type="spellEnd"/>
      <w:r w:rsidRPr="00056B7B">
        <w:rPr>
          <w:rFonts w:ascii="Arial" w:hAnsi="Arial" w:cs="Arial"/>
          <w:color w:val="000000" w:themeColor="text1"/>
          <w:szCs w:val="24"/>
          <w:lang w:val="en-GB"/>
        </w:rPr>
        <w:t xml:space="preserve"> Motor</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-d. </w:t>
      </w:r>
      <w:r w:rsidRPr="00056B7B">
        <w:rPr>
          <w:rFonts w:ascii="Arial" w:hAnsi="Arial" w:cs="Arial"/>
          <w:i/>
          <w:iCs/>
          <w:color w:val="000000" w:themeColor="text1"/>
          <w:szCs w:val="24"/>
          <w:lang w:val="en-GB"/>
        </w:rPr>
        <w:t>Environment</w:t>
      </w:r>
      <w:r w:rsidRPr="00056B7B">
        <w:rPr>
          <w:rFonts w:ascii="Arial" w:hAnsi="Arial" w:cs="Arial"/>
          <w:color w:val="000000" w:themeColor="text1"/>
          <w:szCs w:val="24"/>
          <w:lang w:val="en-GB"/>
        </w:rPr>
        <w:t xml:space="preserve">. Available at: </w:t>
      </w:r>
      <w:hyperlink r:id="rId38" w:tgtFrame="_new" w:history="1">
        <w:r w:rsidRPr="00056B7B">
          <w:rPr>
            <w:rStyle w:val="Hyperlink"/>
            <w:rFonts w:ascii="Arial" w:hAnsi="Arial" w:cs="Arial"/>
            <w:color w:val="000000" w:themeColor="text1"/>
            <w:szCs w:val="24"/>
            <w:lang w:val="en-GB"/>
          </w:rPr>
          <w:t>https://www.toyotabharat.com/toyota-in-india/environment/</w:t>
        </w:r>
      </w:hyperlink>
      <w:r w:rsidRPr="00056B7B">
        <w:rPr>
          <w:rFonts w:ascii="Arial" w:hAnsi="Arial" w:cs="Arial"/>
          <w:color w:val="000000" w:themeColor="text1"/>
          <w:szCs w:val="24"/>
          <w:lang w:val="en-GB"/>
        </w:rPr>
        <w:t xml:space="preserve"> [Accessed: 6 August 2026].</w:t>
      </w:r>
    </w:p>
    <w:p w14:paraId="5E54E93D" w14:textId="4A32ABD1"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lastRenderedPageBreak/>
        <w:t xml:space="preserve">Toyota Motor </w:t>
      </w:r>
      <w:proofErr w:type="gramStart"/>
      <w:r w:rsidRPr="00056B7B">
        <w:rPr>
          <w:rFonts w:ascii="Arial" w:hAnsi="Arial" w:cs="Arial"/>
          <w:color w:val="000000" w:themeColor="text1"/>
          <w:szCs w:val="24"/>
          <w:lang w:val="en-GB"/>
        </w:rPr>
        <w:t>Corporation</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2025. </w:t>
      </w:r>
      <w:r w:rsidRPr="00056B7B">
        <w:rPr>
          <w:rFonts w:ascii="Arial" w:hAnsi="Arial" w:cs="Arial"/>
          <w:i/>
          <w:iCs/>
          <w:color w:val="000000" w:themeColor="text1"/>
          <w:szCs w:val="24"/>
          <w:lang w:val="en-GB"/>
        </w:rPr>
        <w:t>Integrated Report 2025</w:t>
      </w:r>
      <w:r w:rsidRPr="00056B7B">
        <w:rPr>
          <w:rFonts w:ascii="Arial" w:hAnsi="Arial" w:cs="Arial"/>
          <w:color w:val="000000" w:themeColor="text1"/>
          <w:szCs w:val="24"/>
          <w:lang w:val="en-GB"/>
        </w:rPr>
        <w:t xml:space="preserve">. Available at: </w:t>
      </w:r>
      <w:hyperlink r:id="rId39" w:tgtFrame="_new" w:history="1">
        <w:r w:rsidRPr="00056B7B">
          <w:rPr>
            <w:rStyle w:val="Hyperlink"/>
            <w:rFonts w:ascii="Arial" w:hAnsi="Arial" w:cs="Arial"/>
            <w:color w:val="000000" w:themeColor="text1"/>
            <w:szCs w:val="24"/>
            <w:lang w:val="en-GB"/>
          </w:rPr>
          <w:t>https://www.toyota-global.com/investors/ir_library/annual/</w:t>
        </w:r>
      </w:hyperlink>
      <w:r w:rsidRPr="00056B7B">
        <w:rPr>
          <w:rFonts w:ascii="Arial" w:hAnsi="Arial" w:cs="Arial"/>
          <w:color w:val="000000" w:themeColor="text1"/>
          <w:szCs w:val="24"/>
          <w:lang w:val="en-GB"/>
        </w:rPr>
        <w:t xml:space="preserve"> [Accessed: 6 August 2026].</w:t>
      </w:r>
    </w:p>
    <w:p w14:paraId="7A84A698" w14:textId="14F64FF0"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Motor </w:t>
      </w:r>
      <w:proofErr w:type="gramStart"/>
      <w:r w:rsidRPr="00056B7B">
        <w:rPr>
          <w:rFonts w:ascii="Arial" w:hAnsi="Arial" w:cs="Arial"/>
          <w:color w:val="000000" w:themeColor="text1"/>
          <w:szCs w:val="24"/>
          <w:lang w:val="en-GB"/>
        </w:rPr>
        <w:t>Corporation</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-a. </w:t>
      </w:r>
      <w:r w:rsidRPr="00056B7B">
        <w:rPr>
          <w:rFonts w:ascii="Arial" w:hAnsi="Arial" w:cs="Arial"/>
          <w:i/>
          <w:iCs/>
          <w:color w:val="000000" w:themeColor="text1"/>
          <w:szCs w:val="24"/>
          <w:lang w:val="en-GB"/>
        </w:rPr>
        <w:t>Toyota Japan Official Website</w:t>
      </w:r>
      <w:r w:rsidRPr="00056B7B">
        <w:rPr>
          <w:rFonts w:ascii="Arial" w:hAnsi="Arial" w:cs="Arial"/>
          <w:color w:val="000000" w:themeColor="text1"/>
          <w:szCs w:val="24"/>
          <w:lang w:val="en-GB"/>
        </w:rPr>
        <w:t xml:space="preserve">. Available at: </w:t>
      </w:r>
      <w:hyperlink r:id="rId40" w:tgtFrame="_new" w:history="1">
        <w:r w:rsidRPr="00056B7B">
          <w:rPr>
            <w:rStyle w:val="Hyperlink"/>
            <w:rFonts w:ascii="Arial" w:hAnsi="Arial" w:cs="Arial"/>
            <w:color w:val="000000" w:themeColor="text1"/>
            <w:szCs w:val="24"/>
            <w:lang w:val="en-GB"/>
          </w:rPr>
          <w:t>https://toyota.jp/index.html</w:t>
        </w:r>
      </w:hyperlink>
      <w:r w:rsidRPr="00056B7B">
        <w:rPr>
          <w:rFonts w:ascii="Arial" w:hAnsi="Arial" w:cs="Arial"/>
          <w:color w:val="000000" w:themeColor="text1"/>
          <w:szCs w:val="24"/>
          <w:lang w:val="en-GB"/>
        </w:rPr>
        <w:t xml:space="preserve"> [Accessed: 6 August 2026].</w:t>
      </w:r>
    </w:p>
    <w:p w14:paraId="4DF80277" w14:textId="486569F4"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Toyota Motor </w:t>
      </w:r>
      <w:proofErr w:type="gramStart"/>
      <w:r w:rsidRPr="00056B7B">
        <w:rPr>
          <w:rFonts w:ascii="Arial" w:hAnsi="Arial" w:cs="Arial"/>
          <w:color w:val="000000" w:themeColor="text1"/>
          <w:szCs w:val="24"/>
          <w:lang w:val="en-GB"/>
        </w:rPr>
        <w:t>Corporation</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w:t>
      </w:r>
      <w:proofErr w:type="spellStart"/>
      <w:r w:rsidRPr="00056B7B">
        <w:rPr>
          <w:rFonts w:ascii="Arial" w:hAnsi="Arial" w:cs="Arial"/>
          <w:color w:val="000000" w:themeColor="text1"/>
          <w:szCs w:val="24"/>
          <w:lang w:val="en-GB"/>
        </w:rPr>
        <w:t>n.d.</w:t>
      </w:r>
      <w:proofErr w:type="spellEnd"/>
      <w:r w:rsidRPr="00056B7B">
        <w:rPr>
          <w:rFonts w:ascii="Arial" w:hAnsi="Arial" w:cs="Arial"/>
          <w:color w:val="000000" w:themeColor="text1"/>
          <w:szCs w:val="24"/>
          <w:lang w:val="en-GB"/>
        </w:rPr>
        <w:t xml:space="preserve">-b. </w:t>
      </w:r>
      <w:r w:rsidRPr="00056B7B">
        <w:rPr>
          <w:rFonts w:ascii="Arial" w:hAnsi="Arial" w:cs="Arial"/>
          <w:i/>
          <w:iCs/>
          <w:color w:val="000000" w:themeColor="text1"/>
          <w:szCs w:val="24"/>
          <w:lang w:val="en-GB"/>
        </w:rPr>
        <w:t>Toyota Japan SUV Line-up</w:t>
      </w:r>
      <w:r w:rsidRPr="00056B7B">
        <w:rPr>
          <w:rFonts w:ascii="Arial" w:hAnsi="Arial" w:cs="Arial"/>
          <w:color w:val="000000" w:themeColor="text1"/>
          <w:szCs w:val="24"/>
          <w:lang w:val="en-GB"/>
        </w:rPr>
        <w:t xml:space="preserve">. Available at: </w:t>
      </w:r>
      <w:hyperlink r:id="rId41" w:tgtFrame="_new" w:history="1">
        <w:r w:rsidRPr="00056B7B">
          <w:rPr>
            <w:rStyle w:val="Hyperlink"/>
            <w:rFonts w:ascii="Arial" w:hAnsi="Arial" w:cs="Arial"/>
            <w:color w:val="000000" w:themeColor="text1"/>
            <w:szCs w:val="24"/>
            <w:lang w:val="en-GB"/>
          </w:rPr>
          <w:t>https://toyota.jp/news/suv/index.html</w:t>
        </w:r>
      </w:hyperlink>
      <w:r w:rsidRPr="00056B7B">
        <w:rPr>
          <w:rFonts w:ascii="Arial" w:hAnsi="Arial" w:cs="Arial"/>
          <w:color w:val="000000" w:themeColor="text1"/>
          <w:szCs w:val="24"/>
          <w:lang w:val="en-GB"/>
        </w:rPr>
        <w:t xml:space="preserve"> [Accessed: 6 August 2026].</w:t>
      </w:r>
    </w:p>
    <w:p w14:paraId="3E8362C7" w14:textId="759E7F38"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WSU </w:t>
      </w:r>
      <w:proofErr w:type="spellStart"/>
      <w:proofErr w:type="gramStart"/>
      <w:r w:rsidRPr="00056B7B">
        <w:rPr>
          <w:rFonts w:ascii="Arial" w:hAnsi="Arial" w:cs="Arial"/>
          <w:color w:val="000000" w:themeColor="text1"/>
          <w:szCs w:val="24"/>
          <w:lang w:val="en-GB"/>
        </w:rPr>
        <w:t>Pressbooks</w:t>
      </w:r>
      <w:proofErr w:type="spellEnd"/>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2019. </w:t>
      </w:r>
      <w:r w:rsidRPr="00056B7B">
        <w:rPr>
          <w:rFonts w:ascii="Arial" w:hAnsi="Arial" w:cs="Arial"/>
          <w:i/>
          <w:iCs/>
          <w:color w:val="000000" w:themeColor="text1"/>
          <w:szCs w:val="24"/>
          <w:lang w:val="en-GB"/>
        </w:rPr>
        <w:t>Chapter 1: Introduction to International Marketing</w:t>
      </w:r>
      <w:r w:rsidRPr="00056B7B">
        <w:rPr>
          <w:rFonts w:ascii="Arial" w:hAnsi="Arial" w:cs="Arial"/>
          <w:color w:val="000000" w:themeColor="text1"/>
          <w:szCs w:val="24"/>
          <w:lang w:val="en-GB"/>
        </w:rPr>
        <w:t xml:space="preserve">. Available at: </w:t>
      </w:r>
      <w:hyperlink r:id="rId42" w:tgtFrame="_new" w:history="1">
        <w:r w:rsidRPr="00056B7B">
          <w:rPr>
            <w:rStyle w:val="Hyperlink"/>
            <w:rFonts w:ascii="Arial" w:hAnsi="Arial" w:cs="Arial"/>
            <w:color w:val="000000" w:themeColor="text1"/>
            <w:szCs w:val="24"/>
            <w:lang w:val="en-GB"/>
          </w:rPr>
          <w:t>https://wsu.pressbooks.pub/cpim/chapter/chapter-1-introduction-to-international-marketing/</w:t>
        </w:r>
      </w:hyperlink>
      <w:r w:rsidRPr="00056B7B">
        <w:rPr>
          <w:rFonts w:ascii="Arial" w:hAnsi="Arial" w:cs="Arial"/>
          <w:color w:val="000000" w:themeColor="text1"/>
          <w:szCs w:val="24"/>
          <w:lang w:val="en-GB"/>
        </w:rPr>
        <w:t xml:space="preserve"> [Accessed: 6 August 2026].</w:t>
      </w:r>
    </w:p>
    <w:p w14:paraId="51713413" w14:textId="5C836F6B"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World </w:t>
      </w:r>
      <w:proofErr w:type="gramStart"/>
      <w:r w:rsidRPr="00056B7B">
        <w:rPr>
          <w:rFonts w:ascii="Arial" w:hAnsi="Arial" w:cs="Arial"/>
          <w:color w:val="000000" w:themeColor="text1"/>
          <w:szCs w:val="24"/>
          <w:lang w:val="en-GB"/>
        </w:rPr>
        <w:t>Bank</w:t>
      </w:r>
      <w:r w:rsidR="00392659">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2026a. </w:t>
      </w:r>
      <w:r w:rsidRPr="00056B7B">
        <w:rPr>
          <w:rFonts w:ascii="Arial" w:hAnsi="Arial" w:cs="Arial"/>
          <w:i/>
          <w:iCs/>
          <w:color w:val="000000" w:themeColor="text1"/>
          <w:szCs w:val="24"/>
          <w:lang w:val="en-GB"/>
        </w:rPr>
        <w:t>India Data</w:t>
      </w:r>
      <w:r w:rsidRPr="00056B7B">
        <w:rPr>
          <w:rFonts w:ascii="Arial" w:hAnsi="Arial" w:cs="Arial"/>
          <w:color w:val="000000" w:themeColor="text1"/>
          <w:szCs w:val="24"/>
          <w:lang w:val="en-GB"/>
        </w:rPr>
        <w:t xml:space="preserve">. Available at: </w:t>
      </w:r>
      <w:hyperlink r:id="rId43" w:tgtFrame="_new" w:history="1">
        <w:r w:rsidRPr="00056B7B">
          <w:rPr>
            <w:rStyle w:val="Hyperlink"/>
            <w:rFonts w:ascii="Arial" w:hAnsi="Arial" w:cs="Arial"/>
            <w:color w:val="000000" w:themeColor="text1"/>
            <w:szCs w:val="24"/>
            <w:lang w:val="en-GB"/>
          </w:rPr>
          <w:t>https://data.worldbank.org/country/india</w:t>
        </w:r>
      </w:hyperlink>
      <w:r w:rsidRPr="00056B7B">
        <w:rPr>
          <w:rFonts w:ascii="Arial" w:hAnsi="Arial" w:cs="Arial"/>
          <w:color w:val="000000" w:themeColor="text1"/>
          <w:szCs w:val="24"/>
          <w:lang w:val="en-GB"/>
        </w:rPr>
        <w:t xml:space="preserve"> [Accessed: 6 August 2026].</w:t>
      </w:r>
    </w:p>
    <w:p w14:paraId="7EE79730" w14:textId="15165630"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World </w:t>
      </w:r>
      <w:proofErr w:type="gramStart"/>
      <w:r w:rsidRPr="00056B7B">
        <w:rPr>
          <w:rFonts w:ascii="Arial" w:hAnsi="Arial" w:cs="Arial"/>
          <w:color w:val="000000" w:themeColor="text1"/>
          <w:szCs w:val="24"/>
          <w:lang w:val="en-GB"/>
        </w:rPr>
        <w:t>Bank</w:t>
      </w:r>
      <w:r w:rsidR="005C04FD">
        <w:rPr>
          <w:rFonts w:ascii="Arial" w:hAnsi="Arial" w:cs="Arial"/>
          <w:color w:val="000000" w:themeColor="text1"/>
          <w:szCs w:val="24"/>
          <w:lang w:val="en-GB"/>
        </w:rPr>
        <w:t>.</w:t>
      </w:r>
      <w:r w:rsidRPr="00056B7B">
        <w:rPr>
          <w:rFonts w:ascii="Arial" w:hAnsi="Arial" w:cs="Arial"/>
          <w:color w:val="000000" w:themeColor="text1"/>
          <w:szCs w:val="24"/>
          <w:lang w:val="en-GB"/>
        </w:rPr>
        <w:t>,</w:t>
      </w:r>
      <w:proofErr w:type="gramEnd"/>
      <w:r w:rsidRPr="00056B7B">
        <w:rPr>
          <w:rFonts w:ascii="Arial" w:hAnsi="Arial" w:cs="Arial"/>
          <w:color w:val="000000" w:themeColor="text1"/>
          <w:szCs w:val="24"/>
          <w:lang w:val="en-GB"/>
        </w:rPr>
        <w:t xml:space="preserve"> 2026b. </w:t>
      </w:r>
      <w:r w:rsidRPr="00056B7B">
        <w:rPr>
          <w:rFonts w:ascii="Arial" w:hAnsi="Arial" w:cs="Arial"/>
          <w:i/>
          <w:iCs/>
          <w:color w:val="000000" w:themeColor="text1"/>
          <w:szCs w:val="24"/>
          <w:lang w:val="en-GB"/>
        </w:rPr>
        <w:t>Japan Data</w:t>
      </w:r>
      <w:r w:rsidRPr="00056B7B">
        <w:rPr>
          <w:rFonts w:ascii="Arial" w:hAnsi="Arial" w:cs="Arial"/>
          <w:color w:val="000000" w:themeColor="text1"/>
          <w:szCs w:val="24"/>
          <w:lang w:val="en-GB"/>
        </w:rPr>
        <w:t xml:space="preserve">. Available at: </w:t>
      </w:r>
      <w:hyperlink r:id="rId44" w:tgtFrame="_new" w:history="1">
        <w:r w:rsidRPr="00056B7B">
          <w:rPr>
            <w:rStyle w:val="Hyperlink"/>
            <w:rFonts w:ascii="Arial" w:hAnsi="Arial" w:cs="Arial"/>
            <w:color w:val="000000" w:themeColor="text1"/>
            <w:szCs w:val="24"/>
            <w:lang w:val="en-GB"/>
          </w:rPr>
          <w:t>https://data.worldbank.org/country/japan</w:t>
        </w:r>
      </w:hyperlink>
      <w:r w:rsidRPr="00056B7B">
        <w:rPr>
          <w:rFonts w:ascii="Arial" w:hAnsi="Arial" w:cs="Arial"/>
          <w:color w:val="000000" w:themeColor="text1"/>
          <w:szCs w:val="24"/>
          <w:lang w:val="en-GB"/>
        </w:rPr>
        <w:t xml:space="preserve"> [Accessed: 6 August 2026].</w:t>
      </w:r>
    </w:p>
    <w:p w14:paraId="15A007EC"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Yap, S.P.W. and </w:t>
      </w:r>
      <w:proofErr w:type="spellStart"/>
      <w:r w:rsidRPr="00056B7B">
        <w:rPr>
          <w:rFonts w:ascii="Arial" w:hAnsi="Arial" w:cs="Arial"/>
          <w:color w:val="000000" w:themeColor="text1"/>
          <w:szCs w:val="24"/>
          <w:lang w:val="en-GB"/>
        </w:rPr>
        <w:t>Yazdanifard</w:t>
      </w:r>
      <w:proofErr w:type="spellEnd"/>
      <w:r w:rsidRPr="00056B7B">
        <w:rPr>
          <w:rFonts w:ascii="Arial" w:hAnsi="Arial" w:cs="Arial"/>
          <w:color w:val="000000" w:themeColor="text1"/>
          <w:szCs w:val="24"/>
          <w:lang w:val="en-GB"/>
        </w:rPr>
        <w:t xml:space="preserve">, R., 2014. </w:t>
      </w:r>
      <w:r w:rsidRPr="00056B7B">
        <w:rPr>
          <w:rFonts w:ascii="Arial" w:hAnsi="Arial" w:cs="Arial"/>
          <w:i/>
          <w:iCs/>
          <w:color w:val="000000" w:themeColor="text1"/>
          <w:szCs w:val="24"/>
          <w:lang w:val="en-GB"/>
        </w:rPr>
        <w:t>Comparison on the Impact of Standardization and Adaptation on International Marketing</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Journal of Research in Marketing</w:t>
      </w:r>
      <w:r w:rsidRPr="00056B7B">
        <w:rPr>
          <w:rFonts w:ascii="Arial" w:hAnsi="Arial" w:cs="Arial"/>
          <w:color w:val="000000" w:themeColor="text1"/>
          <w:szCs w:val="24"/>
          <w:lang w:val="en-GB"/>
        </w:rPr>
        <w:t xml:space="preserve">, 3(1). Available at: </w:t>
      </w:r>
      <w:hyperlink r:id="rId45" w:tgtFrame="_new" w:history="1">
        <w:r w:rsidRPr="00056B7B">
          <w:rPr>
            <w:rStyle w:val="Hyperlink"/>
            <w:rFonts w:ascii="Arial" w:hAnsi="Arial" w:cs="Arial"/>
            <w:color w:val="000000" w:themeColor="text1"/>
            <w:szCs w:val="24"/>
            <w:lang w:val="en-GB"/>
          </w:rPr>
          <w:t>https://doi.org/10.17722/jorm.v3i1.652</w:t>
        </w:r>
      </w:hyperlink>
      <w:r w:rsidRPr="00056B7B">
        <w:rPr>
          <w:rFonts w:ascii="Arial" w:hAnsi="Arial" w:cs="Arial"/>
          <w:color w:val="000000" w:themeColor="text1"/>
          <w:szCs w:val="24"/>
          <w:lang w:val="en-GB"/>
        </w:rPr>
        <w:t xml:space="preserve"> [Accessed: 6 August 2026].</w:t>
      </w:r>
    </w:p>
    <w:p w14:paraId="375CA966" w14:textId="77777777" w:rsidR="00A80195" w:rsidRPr="00056B7B" w:rsidRDefault="00A80195" w:rsidP="00F05C75">
      <w:pPr>
        <w:spacing w:line="360" w:lineRule="auto"/>
        <w:jc w:val="both"/>
        <w:rPr>
          <w:rFonts w:ascii="Arial" w:hAnsi="Arial" w:cs="Arial"/>
          <w:color w:val="000000" w:themeColor="text1"/>
          <w:szCs w:val="24"/>
          <w:lang w:val="en-GB"/>
        </w:rPr>
      </w:pPr>
      <w:r w:rsidRPr="00056B7B">
        <w:rPr>
          <w:rFonts w:ascii="Arial" w:hAnsi="Arial" w:cs="Arial"/>
          <w:color w:val="000000" w:themeColor="text1"/>
          <w:szCs w:val="24"/>
          <w:lang w:val="en-GB"/>
        </w:rPr>
        <w:t xml:space="preserve">Yi, J.-S., 2021. </w:t>
      </w:r>
      <w:r w:rsidRPr="00056B7B">
        <w:rPr>
          <w:rFonts w:ascii="Arial" w:hAnsi="Arial" w:cs="Arial"/>
          <w:i/>
          <w:iCs/>
          <w:color w:val="000000" w:themeColor="text1"/>
          <w:szCs w:val="24"/>
          <w:lang w:val="en-GB"/>
        </w:rPr>
        <w:t xml:space="preserve">Revisiting </w:t>
      </w:r>
      <w:proofErr w:type="spellStart"/>
      <w:r w:rsidRPr="00056B7B">
        <w:rPr>
          <w:rFonts w:ascii="Arial" w:hAnsi="Arial" w:cs="Arial"/>
          <w:i/>
          <w:iCs/>
          <w:color w:val="000000" w:themeColor="text1"/>
          <w:szCs w:val="24"/>
          <w:lang w:val="en-GB"/>
        </w:rPr>
        <w:t>Hofstede’s</w:t>
      </w:r>
      <w:proofErr w:type="spellEnd"/>
      <w:r w:rsidRPr="00056B7B">
        <w:rPr>
          <w:rFonts w:ascii="Arial" w:hAnsi="Arial" w:cs="Arial"/>
          <w:i/>
          <w:iCs/>
          <w:color w:val="000000" w:themeColor="text1"/>
          <w:szCs w:val="24"/>
          <w:lang w:val="en-GB"/>
        </w:rPr>
        <w:t xml:space="preserve"> Uncertainty-Avoidance Dimension: A Cross-Cultural Comparison of Organizational Employees in Four Countries</w:t>
      </w:r>
      <w:r w:rsidRPr="00056B7B">
        <w:rPr>
          <w:rFonts w:ascii="Arial" w:hAnsi="Arial" w:cs="Arial"/>
          <w:color w:val="000000" w:themeColor="text1"/>
          <w:szCs w:val="24"/>
          <w:lang w:val="en-GB"/>
        </w:rPr>
        <w:t xml:space="preserve">. </w:t>
      </w:r>
      <w:r w:rsidRPr="00056B7B">
        <w:rPr>
          <w:rFonts w:ascii="Arial" w:hAnsi="Arial" w:cs="Arial"/>
          <w:i/>
          <w:iCs/>
          <w:color w:val="000000" w:themeColor="text1"/>
          <w:szCs w:val="24"/>
          <w:lang w:val="en-GB"/>
        </w:rPr>
        <w:t>Journal of Intercultural Communication</w:t>
      </w:r>
      <w:r w:rsidRPr="00056B7B">
        <w:rPr>
          <w:rFonts w:ascii="Arial" w:hAnsi="Arial" w:cs="Arial"/>
          <w:color w:val="000000" w:themeColor="text1"/>
          <w:szCs w:val="24"/>
          <w:lang w:val="en-GB"/>
        </w:rPr>
        <w:t xml:space="preserve">, 21(1). Available at: </w:t>
      </w:r>
      <w:hyperlink r:id="rId46" w:tgtFrame="_new" w:history="1">
        <w:r w:rsidRPr="00056B7B">
          <w:rPr>
            <w:rStyle w:val="Hyperlink"/>
            <w:rFonts w:ascii="Arial" w:hAnsi="Arial" w:cs="Arial"/>
            <w:color w:val="000000" w:themeColor="text1"/>
            <w:szCs w:val="24"/>
            <w:lang w:val="en-GB"/>
          </w:rPr>
          <w:t>https://doi.org/10.36923/jicc.v21i1.5</w:t>
        </w:r>
      </w:hyperlink>
      <w:r w:rsidRPr="00056B7B">
        <w:rPr>
          <w:rFonts w:ascii="Arial" w:hAnsi="Arial" w:cs="Arial"/>
          <w:color w:val="000000" w:themeColor="text1"/>
          <w:szCs w:val="24"/>
          <w:lang w:val="en-GB"/>
        </w:rPr>
        <w:t xml:space="preserve"> [Accessed: 6 August 2026].</w:t>
      </w:r>
    </w:p>
    <w:p w14:paraId="29B27247" w14:textId="43E49ABD" w:rsidR="00A80195" w:rsidRPr="00056B7B" w:rsidRDefault="00A80195" w:rsidP="00F05C75">
      <w:pPr>
        <w:spacing w:line="360" w:lineRule="auto"/>
        <w:jc w:val="both"/>
        <w:rPr>
          <w:rFonts w:ascii="Arial" w:eastAsiaTheme="majorEastAsia" w:hAnsi="Arial" w:cs="Arial"/>
          <w:b/>
          <w:color w:val="000000" w:themeColor="text1"/>
          <w:kern w:val="2"/>
          <w:szCs w:val="24"/>
          <w:lang w:val="en-GB"/>
          <w14:ligatures w14:val="standardContextual"/>
        </w:rPr>
      </w:pPr>
    </w:p>
    <w:sectPr w:rsidR="00A80195" w:rsidRPr="00056B7B" w:rsidSect="001A6B26">
      <w:footerReference w:type="default" r:id="rId47"/>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C7652C" w14:textId="77777777" w:rsidR="008579AD" w:rsidRDefault="008579AD" w:rsidP="001A6B26">
      <w:pPr>
        <w:spacing w:after="0" w:line="240" w:lineRule="auto"/>
      </w:pPr>
      <w:r>
        <w:separator/>
      </w:r>
    </w:p>
  </w:endnote>
  <w:endnote w:type="continuationSeparator" w:id="0">
    <w:p w14:paraId="0CE23627" w14:textId="77777777" w:rsidR="008579AD" w:rsidRDefault="008579AD" w:rsidP="001A6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62766485"/>
      <w:docPartObj>
        <w:docPartGallery w:val="Page Numbers (Bottom of Page)"/>
        <w:docPartUnique/>
      </w:docPartObj>
    </w:sdtPr>
    <w:sdtEndPr>
      <w:rPr>
        <w:noProof/>
      </w:rPr>
    </w:sdtEndPr>
    <w:sdtContent>
      <w:p w14:paraId="1DDA8899" w14:textId="03D448BB" w:rsidR="001A6B26" w:rsidRDefault="001A6B26">
        <w:pPr>
          <w:pStyle w:val="Footer"/>
          <w:jc w:val="right"/>
        </w:pPr>
        <w:r>
          <w:fldChar w:fldCharType="begin"/>
        </w:r>
        <w:r>
          <w:instrText xml:space="preserve"> PAGE   \* MERGEFORMAT </w:instrText>
        </w:r>
        <w:r>
          <w:fldChar w:fldCharType="separate"/>
        </w:r>
        <w:r w:rsidR="0044302A">
          <w:rPr>
            <w:noProof/>
          </w:rPr>
          <w:t>21</w:t>
        </w:r>
        <w:r>
          <w:rPr>
            <w:noProof/>
          </w:rPr>
          <w:fldChar w:fldCharType="end"/>
        </w:r>
      </w:p>
    </w:sdtContent>
  </w:sdt>
  <w:p w14:paraId="2111B106" w14:textId="77777777" w:rsidR="001A6B26" w:rsidRDefault="001A6B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BB4BBC" w14:textId="77777777" w:rsidR="008579AD" w:rsidRDefault="008579AD" w:rsidP="001A6B26">
      <w:pPr>
        <w:spacing w:after="0" w:line="240" w:lineRule="auto"/>
      </w:pPr>
      <w:r>
        <w:separator/>
      </w:r>
    </w:p>
  </w:footnote>
  <w:footnote w:type="continuationSeparator" w:id="0">
    <w:p w14:paraId="42D7268F" w14:textId="77777777" w:rsidR="008579AD" w:rsidRDefault="008579AD" w:rsidP="001A6B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A8A753D"/>
    <w:multiLevelType w:val="hybridMultilevel"/>
    <w:tmpl w:val="FE22FF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1C7"/>
    <w:rsid w:val="000225DB"/>
    <w:rsid w:val="00043FAB"/>
    <w:rsid w:val="00056B7B"/>
    <w:rsid w:val="0006615B"/>
    <w:rsid w:val="00074840"/>
    <w:rsid w:val="00096AB7"/>
    <w:rsid w:val="000B495A"/>
    <w:rsid w:val="000C31B2"/>
    <w:rsid w:val="000E398C"/>
    <w:rsid w:val="00101FA8"/>
    <w:rsid w:val="00154EBF"/>
    <w:rsid w:val="001A6B26"/>
    <w:rsid w:val="001B5690"/>
    <w:rsid w:val="001C49C4"/>
    <w:rsid w:val="001F64F2"/>
    <w:rsid w:val="00213060"/>
    <w:rsid w:val="00216B3B"/>
    <w:rsid w:val="0023215D"/>
    <w:rsid w:val="00233D72"/>
    <w:rsid w:val="002349F7"/>
    <w:rsid w:val="00264189"/>
    <w:rsid w:val="002E1D2B"/>
    <w:rsid w:val="00325A7D"/>
    <w:rsid w:val="003548A1"/>
    <w:rsid w:val="00364FBB"/>
    <w:rsid w:val="003865DC"/>
    <w:rsid w:val="00392659"/>
    <w:rsid w:val="00395F2E"/>
    <w:rsid w:val="003B2C59"/>
    <w:rsid w:val="004019CB"/>
    <w:rsid w:val="00411149"/>
    <w:rsid w:val="0043087D"/>
    <w:rsid w:val="0044302A"/>
    <w:rsid w:val="00477EA7"/>
    <w:rsid w:val="004B10E7"/>
    <w:rsid w:val="004C66E2"/>
    <w:rsid w:val="00577C95"/>
    <w:rsid w:val="005C04FD"/>
    <w:rsid w:val="005C2CC7"/>
    <w:rsid w:val="005D5D53"/>
    <w:rsid w:val="00612E7E"/>
    <w:rsid w:val="00684F49"/>
    <w:rsid w:val="006E0FBC"/>
    <w:rsid w:val="006E7CB8"/>
    <w:rsid w:val="006F3172"/>
    <w:rsid w:val="0071359B"/>
    <w:rsid w:val="00761CF3"/>
    <w:rsid w:val="00764C0A"/>
    <w:rsid w:val="00767055"/>
    <w:rsid w:val="007C204F"/>
    <w:rsid w:val="007C73EB"/>
    <w:rsid w:val="007D1297"/>
    <w:rsid w:val="007D1874"/>
    <w:rsid w:val="008361A8"/>
    <w:rsid w:val="008439DE"/>
    <w:rsid w:val="00844E0E"/>
    <w:rsid w:val="00855093"/>
    <w:rsid w:val="008579AD"/>
    <w:rsid w:val="00863F83"/>
    <w:rsid w:val="00881BCF"/>
    <w:rsid w:val="008A7A9E"/>
    <w:rsid w:val="008E70A1"/>
    <w:rsid w:val="00915A2E"/>
    <w:rsid w:val="00935878"/>
    <w:rsid w:val="00944A01"/>
    <w:rsid w:val="0097079B"/>
    <w:rsid w:val="009A1EBD"/>
    <w:rsid w:val="009F4BB9"/>
    <w:rsid w:val="00A44919"/>
    <w:rsid w:val="00A53194"/>
    <w:rsid w:val="00A57D8A"/>
    <w:rsid w:val="00A65DBF"/>
    <w:rsid w:val="00A661C7"/>
    <w:rsid w:val="00A80195"/>
    <w:rsid w:val="00AE54A1"/>
    <w:rsid w:val="00B33DC4"/>
    <w:rsid w:val="00B6419D"/>
    <w:rsid w:val="00B65160"/>
    <w:rsid w:val="00B73383"/>
    <w:rsid w:val="00B759E0"/>
    <w:rsid w:val="00B81F4A"/>
    <w:rsid w:val="00B90FA7"/>
    <w:rsid w:val="00BB6BAD"/>
    <w:rsid w:val="00C06781"/>
    <w:rsid w:val="00C3007D"/>
    <w:rsid w:val="00CB44FB"/>
    <w:rsid w:val="00CB6AB8"/>
    <w:rsid w:val="00D83F2F"/>
    <w:rsid w:val="00D85BCC"/>
    <w:rsid w:val="00DA27FD"/>
    <w:rsid w:val="00DC6E49"/>
    <w:rsid w:val="00DF593C"/>
    <w:rsid w:val="00E3022C"/>
    <w:rsid w:val="00E352FC"/>
    <w:rsid w:val="00E416FB"/>
    <w:rsid w:val="00E44B98"/>
    <w:rsid w:val="00E4563C"/>
    <w:rsid w:val="00E461B2"/>
    <w:rsid w:val="00E5200A"/>
    <w:rsid w:val="00E54B72"/>
    <w:rsid w:val="00E54F5F"/>
    <w:rsid w:val="00EA5A59"/>
    <w:rsid w:val="00ED2B84"/>
    <w:rsid w:val="00EE11FD"/>
    <w:rsid w:val="00F05C75"/>
    <w:rsid w:val="00F10F7A"/>
    <w:rsid w:val="00F13F98"/>
    <w:rsid w:val="00F24E11"/>
    <w:rsid w:val="00F62B97"/>
    <w:rsid w:val="00FB2565"/>
    <w:rsid w:val="00FB48E8"/>
    <w:rsid w:val="00FF58C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9F8E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195"/>
    <w:pPr>
      <w:spacing w:before="240" w:after="240" w:line="480" w:lineRule="auto"/>
    </w:pPr>
    <w:rPr>
      <w:rFonts w:ascii="Times New Roman" w:eastAsiaTheme="minorEastAsia" w:hAnsi="Times New Roman"/>
      <w:kern w:val="0"/>
      <w:szCs w:val="22"/>
      <w:lang w:val="en-US"/>
      <w14:ligatures w14:val="none"/>
    </w:rPr>
  </w:style>
  <w:style w:type="paragraph" w:styleId="Heading1">
    <w:name w:val="heading 1"/>
    <w:basedOn w:val="Normal"/>
    <w:next w:val="Normal"/>
    <w:link w:val="Heading1Char"/>
    <w:uiPriority w:val="9"/>
    <w:qFormat/>
    <w:rsid w:val="00F62B9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F62B9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A661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1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1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1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1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1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1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B97"/>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F62B97"/>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A661C7"/>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661C7"/>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661C7"/>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661C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61C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661C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61C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661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1C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61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1C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61C7"/>
    <w:pPr>
      <w:spacing w:before="160"/>
      <w:jc w:val="center"/>
    </w:pPr>
    <w:rPr>
      <w:i/>
      <w:iCs/>
      <w:color w:val="404040" w:themeColor="text1" w:themeTint="BF"/>
    </w:rPr>
  </w:style>
  <w:style w:type="character" w:customStyle="1" w:styleId="QuoteChar">
    <w:name w:val="Quote Char"/>
    <w:basedOn w:val="DefaultParagraphFont"/>
    <w:link w:val="Quote"/>
    <w:uiPriority w:val="29"/>
    <w:rsid w:val="00A661C7"/>
    <w:rPr>
      <w:i/>
      <w:iCs/>
      <w:color w:val="404040" w:themeColor="text1" w:themeTint="BF"/>
      <w:lang w:val="en-GB"/>
    </w:rPr>
  </w:style>
  <w:style w:type="paragraph" w:styleId="ListParagraph">
    <w:name w:val="List Paragraph"/>
    <w:basedOn w:val="Normal"/>
    <w:uiPriority w:val="34"/>
    <w:qFormat/>
    <w:rsid w:val="00A661C7"/>
    <w:pPr>
      <w:ind w:left="720"/>
      <w:contextualSpacing/>
    </w:pPr>
  </w:style>
  <w:style w:type="character" w:styleId="IntenseEmphasis">
    <w:name w:val="Intense Emphasis"/>
    <w:basedOn w:val="DefaultParagraphFont"/>
    <w:uiPriority w:val="21"/>
    <w:qFormat/>
    <w:rsid w:val="00A661C7"/>
    <w:rPr>
      <w:i/>
      <w:iCs/>
      <w:color w:val="0F4761" w:themeColor="accent1" w:themeShade="BF"/>
    </w:rPr>
  </w:style>
  <w:style w:type="paragraph" w:styleId="IntenseQuote">
    <w:name w:val="Intense Quote"/>
    <w:basedOn w:val="Normal"/>
    <w:next w:val="Normal"/>
    <w:link w:val="IntenseQuoteChar"/>
    <w:uiPriority w:val="30"/>
    <w:qFormat/>
    <w:rsid w:val="00A661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1C7"/>
    <w:rPr>
      <w:i/>
      <w:iCs/>
      <w:color w:val="0F4761" w:themeColor="accent1" w:themeShade="BF"/>
      <w:lang w:val="en-GB"/>
    </w:rPr>
  </w:style>
  <w:style w:type="character" w:styleId="IntenseReference">
    <w:name w:val="Intense Reference"/>
    <w:basedOn w:val="DefaultParagraphFont"/>
    <w:uiPriority w:val="32"/>
    <w:qFormat/>
    <w:rsid w:val="00A661C7"/>
    <w:rPr>
      <w:b/>
      <w:bCs/>
      <w:smallCaps/>
      <w:color w:val="0F4761" w:themeColor="accent1" w:themeShade="BF"/>
      <w:spacing w:val="5"/>
    </w:rPr>
  </w:style>
  <w:style w:type="paragraph" w:styleId="Header">
    <w:name w:val="header"/>
    <w:basedOn w:val="Normal"/>
    <w:link w:val="HeaderChar"/>
    <w:uiPriority w:val="99"/>
    <w:unhideWhenUsed/>
    <w:rsid w:val="001A6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B26"/>
    <w:rPr>
      <w:lang w:val="en-GB"/>
    </w:rPr>
  </w:style>
  <w:style w:type="paragraph" w:styleId="Footer">
    <w:name w:val="footer"/>
    <w:basedOn w:val="Normal"/>
    <w:link w:val="FooterChar"/>
    <w:uiPriority w:val="99"/>
    <w:unhideWhenUsed/>
    <w:rsid w:val="001A6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B26"/>
    <w:rPr>
      <w:lang w:val="en-GB"/>
    </w:rPr>
  </w:style>
  <w:style w:type="character" w:styleId="Hyperlink">
    <w:name w:val="Hyperlink"/>
    <w:basedOn w:val="DefaultParagraphFont"/>
    <w:uiPriority w:val="99"/>
    <w:unhideWhenUsed/>
    <w:rsid w:val="00915A2E"/>
    <w:rPr>
      <w:color w:val="467886" w:themeColor="hyperlink"/>
      <w:u w:val="single"/>
    </w:rPr>
  </w:style>
  <w:style w:type="character" w:customStyle="1" w:styleId="UnresolvedMention">
    <w:name w:val="Unresolved Mention"/>
    <w:basedOn w:val="DefaultParagraphFont"/>
    <w:uiPriority w:val="99"/>
    <w:semiHidden/>
    <w:unhideWhenUsed/>
    <w:rsid w:val="00915A2E"/>
    <w:rPr>
      <w:color w:val="605E5C"/>
      <w:shd w:val="clear" w:color="auto" w:fill="E1DFDD"/>
    </w:rPr>
  </w:style>
  <w:style w:type="table" w:styleId="TableGrid">
    <w:name w:val="Table Grid"/>
    <w:basedOn w:val="TableNormal"/>
    <w:uiPriority w:val="39"/>
    <w:rsid w:val="001B569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C6E49"/>
    <w:pPr>
      <w:spacing w:before="240" w:after="0" w:line="259" w:lineRule="auto"/>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DC6E49"/>
    <w:pPr>
      <w:spacing w:after="100"/>
    </w:pPr>
  </w:style>
  <w:style w:type="paragraph" w:styleId="TOC2">
    <w:name w:val="toc 2"/>
    <w:basedOn w:val="Normal"/>
    <w:next w:val="Normal"/>
    <w:autoRedefine/>
    <w:uiPriority w:val="39"/>
    <w:unhideWhenUsed/>
    <w:rsid w:val="00DC6E49"/>
    <w:pPr>
      <w:spacing w:after="100"/>
      <w:ind w:left="240"/>
    </w:pPr>
  </w:style>
  <w:style w:type="paragraph" w:styleId="Caption">
    <w:name w:val="caption"/>
    <w:basedOn w:val="Normal"/>
    <w:next w:val="Normal"/>
    <w:uiPriority w:val="35"/>
    <w:unhideWhenUsed/>
    <w:qFormat/>
    <w:rsid w:val="00577C95"/>
    <w:pPr>
      <w:spacing w:before="0"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campusontario.pressbooks.pub/globalmarketing/chapter/11-3-marketing-mix-global/" TargetMode="External"/><Relationship Id="rId26" Type="http://schemas.openxmlformats.org/officeDocument/2006/relationships/hyperlink" Target="https://heavyindustries.gov.in/en/scheme-promote-manufacturing-electric-passenger-cars-india-0" TargetMode="External"/><Relationship Id="rId39" Type="http://schemas.openxmlformats.org/officeDocument/2006/relationships/hyperlink" Target="https://www.toyota-global.com/investors/ir_library/annual/" TargetMode="External"/><Relationship Id="rId21" Type="http://schemas.openxmlformats.org/officeDocument/2006/relationships/hyperlink" Target="https://doi.org/10.59324/stss.2025.2(11).17" TargetMode="External"/><Relationship Id="rId34" Type="http://schemas.openxmlformats.org/officeDocument/2006/relationships/hyperlink" Target="https://www.toyotabharat.com/news/2026/toyota-to-build-a-new-vehicle-manufacturing-plant-in-india.html" TargetMode="External"/><Relationship Id="rId42" Type="http://schemas.openxmlformats.org/officeDocument/2006/relationships/hyperlink" Target="https://wsu.pressbooks.pub/cpim/chapter/chapter-1-introduction-to-international-marketing/"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3165-026-00560-w" TargetMode="External"/><Relationship Id="rId29" Type="http://schemas.openxmlformats.org/officeDocument/2006/relationships/hyperlink" Target="https://doi.org/10.1016/j.resconrec.2025.108437" TargetMode="External"/><Relationship Id="rId11" Type="http://schemas.openxmlformats.org/officeDocument/2006/relationships/image" Target="media/image4.png"/><Relationship Id="rId24" Type="http://schemas.openxmlformats.org/officeDocument/2006/relationships/hyperlink" Target="https://www.meti.go.jp/english/press/2023/1018_002.html" TargetMode="External"/><Relationship Id="rId32" Type="http://schemas.openxmlformats.org/officeDocument/2006/relationships/hyperlink" Target="https://www.theculturefactor.com/country-comparison-tool" TargetMode="External"/><Relationship Id="rId37" Type="http://schemas.openxmlformats.org/officeDocument/2006/relationships/hyperlink" Target="https://www.toyotabharat.com/toyota-in-india/production-system/" TargetMode="External"/><Relationship Id="rId40" Type="http://schemas.openxmlformats.org/officeDocument/2006/relationships/hyperlink" Target="https://toyota.jp/index.html" TargetMode="External"/><Relationship Id="rId45" Type="http://schemas.openxmlformats.org/officeDocument/2006/relationships/hyperlink" Target="https://doi.org/10.17722/jorm.v3i1.652" TargetMode="External"/><Relationship Id="rId5" Type="http://schemas.openxmlformats.org/officeDocument/2006/relationships/webSettings" Target="webSettings.xml"/><Relationship Id="rId15" Type="http://schemas.openxmlformats.org/officeDocument/2006/relationships/hyperlink" Target="https://doi.org/10.1057/s41267-016-0038-8" TargetMode="External"/><Relationship Id="rId23" Type="http://schemas.openxmlformats.org/officeDocument/2006/relationships/hyperlink" Target="https://impressions.manipal.edu/open-access-archive/4955/" TargetMode="External"/><Relationship Id="rId28" Type="http://schemas.openxmlformats.org/officeDocument/2006/relationships/hyperlink" Target="https://pmedrive.heavyindustries.gov.in/" TargetMode="External"/><Relationship Id="rId36" Type="http://schemas.openxmlformats.org/officeDocument/2006/relationships/hyperlink" Target="https://www.toyotabharat.com/showroom/camry/"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86/s43093-026-00839-0" TargetMode="External"/><Relationship Id="rId31" Type="http://schemas.openxmlformats.org/officeDocument/2006/relationships/hyperlink" Target="https://doi.org/10.1007/s10668-021-01602-x" TargetMode="External"/><Relationship Id="rId44" Type="http://schemas.openxmlformats.org/officeDocument/2006/relationships/hyperlink" Target="https://data.worldbank.org/country/jap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u.pressbooks.pub/mktgwip/chapter/chapter-5-segmentation-targeting-and-positioning/" TargetMode="External"/><Relationship Id="rId27" Type="http://schemas.openxmlformats.org/officeDocument/2006/relationships/hyperlink" Target="https://doi.org/10.1002/bsd2.289" TargetMode="External"/><Relationship Id="rId30" Type="http://schemas.openxmlformats.org/officeDocument/2006/relationships/hyperlink" Target="https://www.reuters.com/business/autos-transportation/toyota-global-output-sales-hit-record-highs-january-june-2025-07-30/" TargetMode="External"/><Relationship Id="rId35" Type="http://schemas.openxmlformats.org/officeDocument/2006/relationships/hyperlink" Target="https://www.toyotabharat.com/" TargetMode="External"/><Relationship Id="rId43" Type="http://schemas.openxmlformats.org/officeDocument/2006/relationships/hyperlink" Target="https://data.worldbank.org/country/india"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s44382-026-00031-6" TargetMode="External"/><Relationship Id="rId25" Type="http://schemas.openxmlformats.org/officeDocument/2006/relationships/hyperlink" Target="https://www.enecho.meti.go.jp/en/category/special/article/detail_199.html" TargetMode="External"/><Relationship Id="rId33" Type="http://schemas.openxmlformats.org/officeDocument/2006/relationships/hyperlink" Target="https://www.toyotabharat.com/documents/toyota-in-india/environment/tkm-sustainability-report-2025.pdf" TargetMode="External"/><Relationship Id="rId38" Type="http://schemas.openxmlformats.org/officeDocument/2006/relationships/hyperlink" Target="https://www.toyotabharat.com/toyota-in-india/environment/" TargetMode="External"/><Relationship Id="rId46" Type="http://schemas.openxmlformats.org/officeDocument/2006/relationships/hyperlink" Target="https://doi.org/10.36923/jicc.v21i1.5" TargetMode="External"/><Relationship Id="rId20" Type="http://schemas.openxmlformats.org/officeDocument/2006/relationships/hyperlink" Target="https://indianjournalofentrepreneurship.com/index.php/ijom/article/view/36836" TargetMode="External"/><Relationship Id="rId41" Type="http://schemas.openxmlformats.org/officeDocument/2006/relationships/hyperlink" Target="https://toyota.jp/news/suv/index.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D8AA3-D49E-4F04-9F44-52A746B3A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6489</Words>
  <Characters>36988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Dharmik</dc:creator>
  <cp:keywords/>
  <dc:description/>
  <cp:lastModifiedBy/>
  <cp:revision>1</cp:revision>
  <dcterms:created xsi:type="dcterms:W3CDTF">2026-08-11T10:46:00Z</dcterms:created>
  <dcterms:modified xsi:type="dcterms:W3CDTF">2026-08-12T09:22:00Z</dcterms:modified>
</cp:coreProperties>
</file>