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8708CE" w14:textId="18883DC7" w:rsidR="008B5EEC" w:rsidRPr="00257A1F" w:rsidRDefault="00257A1F" w:rsidP="00257A1F">
      <w:pPr>
        <w:pStyle w:val="Heading2"/>
        <w:spacing w:line="120" w:lineRule="auto"/>
        <w:jc w:val="center"/>
      </w:pPr>
      <w:r w:rsidRPr="00257A1F">
        <w:t>Brett Beauchamp</w:t>
      </w:r>
    </w:p>
    <w:p w14:paraId="27E224A2" w14:textId="3624B0CD" w:rsidR="00257A1F" w:rsidRDefault="00257A1F" w:rsidP="00257A1F">
      <w:pPr>
        <w:pStyle w:val="Heading2"/>
        <w:spacing w:line="120" w:lineRule="auto"/>
        <w:jc w:val="center"/>
      </w:pPr>
      <w:r w:rsidRPr="00257A1F">
        <w:t>Detailed account of Alexander and Talestris</w:t>
      </w:r>
    </w:p>
    <w:p w14:paraId="5A4229B4" w14:textId="25A9626C" w:rsidR="00257A1F" w:rsidRDefault="00257A1F" w:rsidP="00257A1F">
      <w:r>
        <w:tab/>
        <w:t xml:space="preserve">Alexander and Talestris, both of mighty fame, </w:t>
      </w:r>
      <w:proofErr w:type="gramStart"/>
      <w:r>
        <w:t>are spoken</w:t>
      </w:r>
      <w:proofErr w:type="gramEnd"/>
      <w:r>
        <w:t xml:space="preserve"> of myth and legend during their encounter. Multiple writers have altering perspectives on the event; </w:t>
      </w:r>
      <w:proofErr w:type="gramStart"/>
      <w:r>
        <w:t>some</w:t>
      </w:r>
      <w:proofErr w:type="gramEnd"/>
      <w:r>
        <w:t xml:space="preserve"> believe that Talestris had malice intentions and others with lust. History of the Amazonians explain that they are savages and live in a society alienated by governing laws that </w:t>
      </w:r>
      <w:proofErr w:type="gramStart"/>
      <w:r>
        <w:t>many</w:t>
      </w:r>
      <w:proofErr w:type="gramEnd"/>
      <w:r>
        <w:t xml:space="preserve"> kingdoms follow. According to Quintus Curtius Rufus 6.5.32-2 she stayed 13 days near Alexander’s camp, during this </w:t>
      </w:r>
      <w:r w:rsidR="00477390">
        <w:t>fortnight</w:t>
      </w:r>
      <w:r>
        <w:t xml:space="preserve"> it </w:t>
      </w:r>
      <w:proofErr w:type="gramStart"/>
      <w:r>
        <w:t>is argued</w:t>
      </w:r>
      <w:proofErr w:type="gramEnd"/>
      <w:r>
        <w:t xml:space="preserve"> </w:t>
      </w:r>
      <w:r w:rsidR="00477390">
        <w:t xml:space="preserve">how this </w:t>
      </w:r>
      <w:proofErr w:type="gramStart"/>
      <w:r w:rsidR="00477390">
        <w:t>was spent</w:t>
      </w:r>
      <w:proofErr w:type="gramEnd"/>
      <w:r w:rsidR="00477390">
        <w:t xml:space="preserve">. </w:t>
      </w:r>
    </w:p>
    <w:p w14:paraId="000ACFEF" w14:textId="77777777" w:rsidR="00477390" w:rsidRDefault="00477390" w:rsidP="00257A1F"/>
    <w:p w14:paraId="23215C57" w14:textId="7844E906" w:rsidR="00477390" w:rsidRDefault="00477390" w:rsidP="00257A1F">
      <w:r>
        <w:tab/>
        <w:t xml:space="preserve">Alexander’s triumphs were widely known, and he wanted to continue this reign, pushing his forces further east. With his fame he thought himself a God. Conquering vacant and inhabited cities, he </w:t>
      </w:r>
      <w:proofErr w:type="gramStart"/>
      <w:r>
        <w:t>truly wanted</w:t>
      </w:r>
      <w:proofErr w:type="gramEnd"/>
      <w:r>
        <w:t xml:space="preserve"> to be a king of kings, as said in his introductions on letters shown in the Historia de Preliis. Many cities he conquered he either plundered or received tribute (luxuries</w:t>
      </w:r>
      <w:sdt>
        <w:sdtPr>
          <w:id w:val="1720775421"/>
          <w:citation/>
        </w:sdtPr>
        <w:sdtContent>
          <w:r w:rsidR="00D4549F">
            <w:fldChar w:fldCharType="begin"/>
          </w:r>
          <w:r w:rsidR="00CC5AA4">
            <w:instrText xml:space="preserve">CITATION Mar19 \l 4105 </w:instrText>
          </w:r>
          <w:r w:rsidR="00D4549F">
            <w:fldChar w:fldCharType="separate"/>
          </w:r>
          <w:r w:rsidR="00CC5AA4">
            <w:rPr>
              <w:noProof/>
            </w:rPr>
            <w:t xml:space="preserve"> </w:t>
          </w:r>
          <w:r w:rsidR="00CC5AA4" w:rsidRPr="00CC5AA4">
            <w:rPr>
              <w:noProof/>
            </w:rPr>
            <w:t>(Mark, 2019)</w:t>
          </w:r>
          <w:r w:rsidR="00D4549F">
            <w:fldChar w:fldCharType="end"/>
          </w:r>
        </w:sdtContent>
      </w:sdt>
      <w:r w:rsidR="00D4549F">
        <w:t xml:space="preserve">, this leads me to believe that is what he wanted from the Amazonians, in parallel to the Historia de Preliis. </w:t>
      </w:r>
    </w:p>
    <w:p w14:paraId="3867BB56" w14:textId="09C490CC" w:rsidR="00D4549F" w:rsidRDefault="00D4549F" w:rsidP="00257A1F">
      <w:r>
        <w:tab/>
        <w:t>In text, Talestris visited Alexander and not the other way around. Before sending word to his camp I would not believe she brought enough offerings for Alexander, unless you believe her messenger was returning home between each letter for Talestris to provide “</w:t>
      </w:r>
      <w:r w:rsidR="00B84512">
        <w:t xml:space="preserve">10 Colts and 10 white horses” (Historia de Preliis, pp.78). From explanation Talestris believed she was, and her people, of higher value and had her own purpose in mind for the encounter; that is why it would be hard to believe she sent tribute. </w:t>
      </w:r>
    </w:p>
    <w:p w14:paraId="221CF1E1" w14:textId="2FECBF66" w:rsidR="00B84512" w:rsidRDefault="00B84512" w:rsidP="00257A1F">
      <w:r>
        <w:tab/>
        <w:t>Talestris had heard word of Alexanders’ movements and had an escort by her side camping near Alexanders’ army. The first letter sent must have caught him off guard, but with the opportunity he would ask for tribute as king of kings (Historia de Preliis, pp.</w:t>
      </w:r>
      <w:r w:rsidR="00625D39">
        <w:t>77</w:t>
      </w:r>
      <w:r>
        <w:t>)</w:t>
      </w:r>
      <w:r w:rsidR="00687E1D">
        <w:t xml:space="preserve">. Talestris must have been nearby </w:t>
      </w:r>
      <w:r w:rsidR="00FA428B">
        <w:t>for</w:t>
      </w:r>
      <w:r w:rsidR="00687E1D">
        <w:t xml:space="preserve"> her messenger to deliver the letters between them, and Talestris out of assumed respect sent a letter to Alexander asking for a meeting. Talestris </w:t>
      </w:r>
      <w:proofErr w:type="gramStart"/>
      <w:r w:rsidR="00687E1D">
        <w:t>is said</w:t>
      </w:r>
      <w:proofErr w:type="gramEnd"/>
      <w:r w:rsidR="00687E1D">
        <w:t xml:space="preserve"> to have </w:t>
      </w:r>
      <w:proofErr w:type="gramStart"/>
      <w:r w:rsidR="00687E1D">
        <w:t>been accompanied</w:t>
      </w:r>
      <w:proofErr w:type="gramEnd"/>
      <w:r w:rsidR="00687E1D">
        <w:t xml:space="preserve"> by </w:t>
      </w:r>
      <w:proofErr w:type="gramStart"/>
      <w:r w:rsidR="00687E1D">
        <w:t>300</w:t>
      </w:r>
      <w:proofErr w:type="gramEnd"/>
      <w:r w:rsidR="00687E1D">
        <w:t xml:space="preserve"> Amazonians but boldly descends from her horse to approach Alexander’s tent alone. This action shows her status and power, which might be a sole reason she gained an audience with the king because in explanation in Walter of Chatillon, the Amazonian women </w:t>
      </w:r>
      <w:proofErr w:type="gramStart"/>
      <w:r w:rsidR="00687E1D">
        <w:t>were dressed</w:t>
      </w:r>
      <w:proofErr w:type="gramEnd"/>
      <w:r w:rsidR="00687E1D">
        <w:t xml:space="preserve"> very provocatively and soldiers before modern era </w:t>
      </w:r>
      <w:proofErr w:type="gramStart"/>
      <w:r w:rsidR="00687E1D">
        <w:t>were believed</w:t>
      </w:r>
      <w:proofErr w:type="gramEnd"/>
      <w:r w:rsidR="00687E1D">
        <w:t xml:space="preserve"> to succumb to bodily desires. </w:t>
      </w:r>
      <w:r w:rsidR="00FA428B">
        <w:t>Talestris</w:t>
      </w:r>
      <w:r w:rsidR="00687E1D">
        <w:t xml:space="preserve"> intentions however </w:t>
      </w:r>
      <w:proofErr w:type="gramStart"/>
      <w:r w:rsidR="00687E1D">
        <w:t>is debated</w:t>
      </w:r>
      <w:proofErr w:type="gramEnd"/>
      <w:r w:rsidR="00B0747F">
        <w:t xml:space="preserve">, </w:t>
      </w:r>
      <w:r w:rsidR="00FA428B">
        <w:t>but</w:t>
      </w:r>
      <w:r w:rsidR="00B0747F">
        <w:t xml:space="preserve"> for her to have heard word of Alexanders’ great victories, then to have travelled great distance to meet him it only makes sense that the explanation in Walter of Chatillon and Quintus Curtius Rufus stand, she wanted an offspring with the man sent down from the gods. Amazonian women mate with their menfolk once a year during the </w:t>
      </w:r>
      <w:r w:rsidR="00B0747F">
        <w:lastRenderedPageBreak/>
        <w:t>festival of Jupiter (Historia de Prel</w:t>
      </w:r>
      <w:r w:rsidR="00CC5AA4">
        <w:t>i</w:t>
      </w:r>
      <w:r w:rsidR="00B0747F">
        <w:t xml:space="preserve">is, pp.78), so it is not against her people to seek men with intention of impregnation. Status such as Alexanders is only fitting for a woman like Talestris, but as spoken in Chatillon (1177. </w:t>
      </w:r>
      <w:r w:rsidR="00542ECB">
        <w:t xml:space="preserve">142) Talestris was “Marvelled” or disappointed in Alexander’s stature. Believing that a person with the gifts given to them by their respective Gods must be Beautiful and of large physique. Quintus Curtius Rufus writes that Talestris then stayed 13 days and got what she sought, but it </w:t>
      </w:r>
      <w:proofErr w:type="gramStart"/>
      <w:r w:rsidR="00542ECB">
        <w:t>is never written</w:t>
      </w:r>
      <w:proofErr w:type="gramEnd"/>
      <w:r w:rsidR="00542ECB">
        <w:t xml:space="preserve"> again Alexander’s question of child. Given this, Talestris must not have returned home with her womb filled, but rather unsuccessful. In Walter of Chatillon (142) the question </w:t>
      </w:r>
      <w:proofErr w:type="gramStart"/>
      <w:r w:rsidR="00542ECB">
        <w:t>is raised</w:t>
      </w:r>
      <w:proofErr w:type="gramEnd"/>
      <w:r w:rsidR="00542ECB">
        <w:t xml:space="preserve"> that Talestris is concerned that after bearing the child of Alexanders’ he would likely claim heir, so most likely she took the gift of 13 days in camp and returned, as written on page 143. </w:t>
      </w:r>
    </w:p>
    <w:p w14:paraId="18A70196" w14:textId="1049F582" w:rsidR="00542ECB" w:rsidRDefault="00542ECB" w:rsidP="00257A1F">
      <w:r>
        <w:tab/>
        <w:t xml:space="preserve">The encounter between two myths and legends can </w:t>
      </w:r>
      <w:proofErr w:type="gramStart"/>
      <w:r>
        <w:t>be diluted</w:t>
      </w:r>
      <w:proofErr w:type="gramEnd"/>
      <w:r>
        <w:t xml:space="preserve"> down to just that, Myth and Legend. </w:t>
      </w:r>
      <w:r w:rsidR="00CC5AA4">
        <w:t xml:space="preserve">Encounters </w:t>
      </w:r>
      <w:proofErr w:type="gramStart"/>
      <w:r w:rsidR="00CC5AA4">
        <w:t>are debated</w:t>
      </w:r>
      <w:proofErr w:type="gramEnd"/>
      <w:r w:rsidR="00CC5AA4">
        <w:t xml:space="preserve"> between, but it is likely it never happened and </w:t>
      </w:r>
      <w:proofErr w:type="gramStart"/>
      <w:r w:rsidR="00CC5AA4">
        <w:t>was only recorded</w:t>
      </w:r>
      <w:proofErr w:type="gramEnd"/>
      <w:r w:rsidR="00CC5AA4">
        <w:t xml:space="preserve"> to show the glory Alexander wished to have. Publicity </w:t>
      </w:r>
      <w:proofErr w:type="gramStart"/>
      <w:r w:rsidR="00CC5AA4">
        <w:t>was often far fetched</w:t>
      </w:r>
      <w:proofErr w:type="gramEnd"/>
      <w:r w:rsidR="00CC5AA4">
        <w:t xml:space="preserve"> so the common folk could put their trust in the king. Personally, I like the letters between Alexander and Talestris as reported in Historia de Preliis, showing both of their status and power, not bowing down to one another but rather acting as if it were a game resulting in Alexander wanting to converse face to face with the Queen and all her people. Differences between the three sources Ruth had provided were intriguing, with every one of them having parts that I believed were closest to the truth. </w:t>
      </w:r>
    </w:p>
    <w:p w14:paraId="30F91151" w14:textId="4A211F58" w:rsidR="00CC5AA4" w:rsidRDefault="00CC5AA4" w:rsidP="00257A1F"/>
    <w:sdt>
      <w:sdtPr>
        <w:id w:val="-1790346274"/>
        <w:docPartObj>
          <w:docPartGallery w:val="Bibliographies"/>
          <w:docPartUnique/>
        </w:docPartObj>
      </w:sdtPr>
      <w:sdtEndPr>
        <w:rPr>
          <w:rFonts w:asciiTheme="minorHAnsi" w:eastAsiaTheme="minorHAnsi" w:hAnsiTheme="minorHAnsi" w:cstheme="minorBidi"/>
          <w:color w:val="auto"/>
          <w:sz w:val="24"/>
          <w:szCs w:val="24"/>
        </w:rPr>
      </w:sdtEndPr>
      <w:sdtContent>
        <w:p w14:paraId="0218297F" w14:textId="661EE788" w:rsidR="00477899" w:rsidRDefault="00477899">
          <w:pPr>
            <w:pStyle w:val="Heading1"/>
          </w:pPr>
          <w:r>
            <w:t>References</w:t>
          </w:r>
        </w:p>
        <w:sdt>
          <w:sdtPr>
            <w:id w:val="-573587230"/>
            <w:bibliography/>
          </w:sdtPr>
          <w:sdtContent>
            <w:p w14:paraId="44B60BBB" w14:textId="77777777" w:rsidR="00477899" w:rsidRDefault="00477899" w:rsidP="00477899">
              <w:pPr>
                <w:pStyle w:val="Bibliography"/>
                <w:rPr>
                  <w:i/>
                  <w:iCs/>
                  <w:noProof/>
                </w:rPr>
              </w:pPr>
              <w:r>
                <w:fldChar w:fldCharType="begin"/>
              </w:r>
              <w:r>
                <w:instrText xml:space="preserve"> BIBLIOGRAPHY </w:instrText>
              </w:r>
              <w:r>
                <w:fldChar w:fldCharType="separate"/>
              </w:r>
              <w:r>
                <w:rPr>
                  <w:noProof/>
                </w:rPr>
                <w:t xml:space="preserve">Mark, J. J., 2019. alexander the great &amp; the burning of persepolis. </w:t>
              </w:r>
              <w:r>
                <w:rPr>
                  <w:i/>
                  <w:iCs/>
                  <w:noProof/>
                </w:rPr>
                <w:t>world history encyclopedia.</w:t>
              </w:r>
            </w:p>
            <w:p w14:paraId="48D4ABC6" w14:textId="77777777" w:rsidR="00477899" w:rsidRPr="00477899" w:rsidRDefault="00477899" w:rsidP="00477899">
              <w:r w:rsidRPr="00477899">
                <w:t xml:space="preserve">Quintus, </w:t>
              </w:r>
              <w:proofErr w:type="gramStart"/>
              <w:r w:rsidRPr="00477899">
                <w:t>C.</w:t>
              </w:r>
              <w:proofErr w:type="gramEnd"/>
              <w:r w:rsidRPr="00477899">
                <w:t xml:space="preserve"> and Rolfe, J.C. (1946) </w:t>
              </w:r>
              <w:r w:rsidRPr="00477899">
                <w:rPr>
                  <w:i/>
                  <w:iCs/>
                </w:rPr>
                <w:t>History of Alexander. Volume II</w:t>
              </w:r>
              <w:r w:rsidRPr="00477899">
                <w:t>. Cambridge: Harvard University Press.</w:t>
              </w:r>
            </w:p>
            <w:p w14:paraId="2FB0B39A" w14:textId="51658B19" w:rsidR="00477899" w:rsidRDefault="00477899" w:rsidP="00477899">
              <w:r>
                <w:t xml:space="preserve">Walter of Chatillon. (2012) </w:t>
              </w:r>
              <w:r>
                <w:rPr>
                  <w:i/>
                  <w:iCs/>
                </w:rPr>
                <w:t xml:space="preserve">The Alexandreis of Walter of Chatillon: A twelfth-Century Epic. </w:t>
              </w:r>
              <w:r>
                <w:t xml:space="preserve">[e-book] Washington, D.C.: Catholic University of American Press. Available through: ProQuest </w:t>
              </w:r>
              <w:r w:rsidR="00FA428B">
                <w:t>E-book</w:t>
              </w:r>
              <w:r>
                <w:t xml:space="preserve"> Central, https://ebookcentral.proquest.com/lib/trinity/reader.action?docID=4322291</w:t>
              </w:r>
            </w:p>
            <w:p w14:paraId="48F82D36" w14:textId="3690B81D" w:rsidR="00FA428B" w:rsidRDefault="00FA428B" w:rsidP="00477899">
              <w:r>
                <w:t xml:space="preserve">Leo. (960 AD) </w:t>
              </w:r>
              <w:r>
                <w:rPr>
                  <w:i/>
                  <w:iCs/>
                </w:rPr>
                <w:t xml:space="preserve">Historia de Preliis. </w:t>
              </w:r>
              <w:r>
                <w:t xml:space="preserve">Viewed on </w:t>
              </w:r>
              <w:hyperlink r:id="rId7" w:history="1">
                <w:r w:rsidRPr="00FA428B">
                  <w:rPr>
                    <w:rStyle w:val="Hyperlink"/>
                  </w:rPr>
                  <w:t>Historia de preliis 77-9.pdf</w:t>
                </w:r>
              </w:hyperlink>
            </w:p>
            <w:p w14:paraId="5C891CC0" w14:textId="77777777" w:rsidR="00FA428B" w:rsidRPr="00FA428B" w:rsidRDefault="00FA428B" w:rsidP="00477899"/>
            <w:p w14:paraId="73FCAEEC" w14:textId="283721F8" w:rsidR="00477899" w:rsidRDefault="00477899" w:rsidP="00477899">
              <w:r>
                <w:rPr>
                  <w:b/>
                  <w:bCs/>
                  <w:noProof/>
                </w:rPr>
                <w:fldChar w:fldCharType="end"/>
              </w:r>
            </w:p>
          </w:sdtContent>
        </w:sdt>
      </w:sdtContent>
    </w:sdt>
    <w:p w14:paraId="5A068C5B" w14:textId="50896DD9" w:rsidR="00257A1F" w:rsidRPr="00257A1F" w:rsidRDefault="00257A1F" w:rsidP="00257A1F"/>
    <w:sectPr w:rsidR="00257A1F" w:rsidRPr="00257A1F">
      <w:head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0D0A0A" w14:textId="77777777" w:rsidR="0002025B" w:rsidRDefault="0002025B" w:rsidP="00257A1F">
      <w:pPr>
        <w:spacing w:after="0" w:line="240" w:lineRule="auto"/>
      </w:pPr>
      <w:r>
        <w:separator/>
      </w:r>
    </w:p>
  </w:endnote>
  <w:endnote w:type="continuationSeparator" w:id="0">
    <w:p w14:paraId="6DA22F3B" w14:textId="77777777" w:rsidR="0002025B" w:rsidRDefault="0002025B" w:rsidP="00257A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00E9AD" w14:textId="77777777" w:rsidR="0002025B" w:rsidRDefault="0002025B" w:rsidP="00257A1F">
      <w:pPr>
        <w:spacing w:after="0" w:line="240" w:lineRule="auto"/>
      </w:pPr>
      <w:r>
        <w:separator/>
      </w:r>
    </w:p>
  </w:footnote>
  <w:footnote w:type="continuationSeparator" w:id="0">
    <w:p w14:paraId="4B667542" w14:textId="77777777" w:rsidR="0002025B" w:rsidRDefault="0002025B" w:rsidP="00257A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A9EDD3" w14:textId="6B770021" w:rsidR="00257A1F" w:rsidRDefault="00257A1F">
    <w:pPr>
      <w:pStyle w:val="Header"/>
    </w:pPr>
    <w:r>
      <w:rPr>
        <w:noProof/>
      </w:rPr>
      <mc:AlternateContent>
        <mc:Choice Requires="wps">
          <w:drawing>
            <wp:anchor distT="0" distB="0" distL="118745" distR="118745" simplePos="0" relativeHeight="251659264" behindDoc="1" locked="0" layoutInCell="1" allowOverlap="0" wp14:anchorId="4F4CE407" wp14:editId="53D4CC10">
              <wp:simplePos x="0" y="0"/>
              <wp:positionH relativeFrom="margin">
                <wp:align>center</wp:align>
              </wp:positionH>
              <mc:AlternateContent>
                <mc:Choice Requires="wp14">
                  <wp:positionV relativeFrom="page">
                    <wp14:pctPosVOffset>4500</wp14:pctPosVOffset>
                  </wp:positionV>
                </mc:Choice>
                <mc:Fallback>
                  <wp:positionV relativeFrom="page">
                    <wp:posOffset>452120</wp:posOffset>
                  </wp:positionV>
                </mc:Fallback>
              </mc:AlternateContent>
              <wp:extent cx="5950039" cy="270457"/>
              <wp:effectExtent l="0" t="0" r="0" b="7620"/>
              <wp:wrapSquare wrapText="bothSides"/>
              <wp:docPr id="197" name="Rectangle 200"/>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4184887E" w14:textId="1E38999A" w:rsidR="00257A1F" w:rsidRDefault="00257A1F">
                              <w:pPr>
                                <w:pStyle w:val="Header"/>
                                <w:tabs>
                                  <w:tab w:val="clear" w:pos="4680"/>
                                  <w:tab w:val="clear" w:pos="9360"/>
                                </w:tabs>
                                <w:jc w:val="center"/>
                                <w:rPr>
                                  <w:caps/>
                                  <w:color w:val="FFFFFF" w:themeColor="background1"/>
                                </w:rPr>
                              </w:pPr>
                              <w:r>
                                <w:rPr>
                                  <w:caps/>
                                  <w:color w:val="FFFFFF" w:themeColor="background1"/>
                                </w:rPr>
                                <w:t>Assesment 1 - Sources</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4F4CE407" id="Rectangle 200" o:spid="_x0000_s1026"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" o:allowoverlap="f" fillcolor="#156082 [3204]" stroked="f" strokeweight="1.5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4184887E" w14:textId="1E38999A" w:rsidR="00257A1F" w:rsidRDefault="00257A1F">
                        <w:pPr>
                          <w:pStyle w:val="Header"/>
                          <w:tabs>
                            <w:tab w:val="clear" w:pos="4680"/>
                            <w:tab w:val="clear" w:pos="9360"/>
                          </w:tabs>
                          <w:jc w:val="center"/>
                          <w:rPr>
                            <w:caps/>
                            <w:color w:val="FFFFFF" w:themeColor="background1"/>
                          </w:rPr>
                        </w:pPr>
                        <w:r>
                          <w:rPr>
                            <w:caps/>
                            <w:color w:val="FFFFFF" w:themeColor="background1"/>
                          </w:rPr>
                          <w:t>Assesment 1 - Sources</w:t>
                        </w:r>
                      </w:p>
                    </w:sdtContent>
                  </w:sdt>
                </w:txbxContent>
              </v:textbox>
              <w10:wrap type="square" anchorx="margin" anchory="page"/>
            </v:rect>
          </w:pict>
        </mc:Fallback>
      </mc:AlternateConten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7A1F"/>
    <w:rsid w:val="0002025B"/>
    <w:rsid w:val="00257A1F"/>
    <w:rsid w:val="00477390"/>
    <w:rsid w:val="00477899"/>
    <w:rsid w:val="00542ECB"/>
    <w:rsid w:val="00625D39"/>
    <w:rsid w:val="00687E1D"/>
    <w:rsid w:val="008B5EEC"/>
    <w:rsid w:val="00B0747F"/>
    <w:rsid w:val="00B84512"/>
    <w:rsid w:val="00CC5AA4"/>
    <w:rsid w:val="00D4549F"/>
    <w:rsid w:val="00DA340C"/>
    <w:rsid w:val="00DB3FF5"/>
    <w:rsid w:val="00F66F05"/>
    <w:rsid w:val="00FA428B"/>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480F29"/>
  <w15:chartTrackingRefBased/>
  <w15:docId w15:val="{30578247-127C-418D-B54D-62E18377F2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CA"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7A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57A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57A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57A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57A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57A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57A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57A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57A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7A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57A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57A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57A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57A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57A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57A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57A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57A1F"/>
    <w:rPr>
      <w:rFonts w:eastAsiaTheme="majorEastAsia" w:cstheme="majorBidi"/>
      <w:color w:val="272727" w:themeColor="text1" w:themeTint="D8"/>
    </w:rPr>
  </w:style>
  <w:style w:type="paragraph" w:styleId="Title">
    <w:name w:val="Title"/>
    <w:basedOn w:val="Normal"/>
    <w:next w:val="Normal"/>
    <w:link w:val="TitleChar"/>
    <w:uiPriority w:val="10"/>
    <w:qFormat/>
    <w:rsid w:val="00257A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57A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57A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57A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57A1F"/>
    <w:pPr>
      <w:spacing w:before="160"/>
      <w:jc w:val="center"/>
    </w:pPr>
    <w:rPr>
      <w:i/>
      <w:iCs/>
      <w:color w:val="404040" w:themeColor="text1" w:themeTint="BF"/>
    </w:rPr>
  </w:style>
  <w:style w:type="character" w:customStyle="1" w:styleId="QuoteChar">
    <w:name w:val="Quote Char"/>
    <w:basedOn w:val="DefaultParagraphFont"/>
    <w:link w:val="Quote"/>
    <w:uiPriority w:val="29"/>
    <w:rsid w:val="00257A1F"/>
    <w:rPr>
      <w:i/>
      <w:iCs/>
      <w:color w:val="404040" w:themeColor="text1" w:themeTint="BF"/>
    </w:rPr>
  </w:style>
  <w:style w:type="paragraph" w:styleId="ListParagraph">
    <w:name w:val="List Paragraph"/>
    <w:basedOn w:val="Normal"/>
    <w:uiPriority w:val="34"/>
    <w:qFormat/>
    <w:rsid w:val="00257A1F"/>
    <w:pPr>
      <w:ind w:left="720"/>
      <w:contextualSpacing/>
    </w:pPr>
  </w:style>
  <w:style w:type="character" w:styleId="IntenseEmphasis">
    <w:name w:val="Intense Emphasis"/>
    <w:basedOn w:val="DefaultParagraphFont"/>
    <w:uiPriority w:val="21"/>
    <w:qFormat/>
    <w:rsid w:val="00257A1F"/>
    <w:rPr>
      <w:i/>
      <w:iCs/>
      <w:color w:val="0F4761" w:themeColor="accent1" w:themeShade="BF"/>
    </w:rPr>
  </w:style>
  <w:style w:type="paragraph" w:styleId="IntenseQuote">
    <w:name w:val="Intense Quote"/>
    <w:basedOn w:val="Normal"/>
    <w:next w:val="Normal"/>
    <w:link w:val="IntenseQuoteChar"/>
    <w:uiPriority w:val="30"/>
    <w:qFormat/>
    <w:rsid w:val="00257A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57A1F"/>
    <w:rPr>
      <w:i/>
      <w:iCs/>
      <w:color w:val="0F4761" w:themeColor="accent1" w:themeShade="BF"/>
    </w:rPr>
  </w:style>
  <w:style w:type="character" w:styleId="IntenseReference">
    <w:name w:val="Intense Reference"/>
    <w:basedOn w:val="DefaultParagraphFont"/>
    <w:uiPriority w:val="32"/>
    <w:qFormat/>
    <w:rsid w:val="00257A1F"/>
    <w:rPr>
      <w:b/>
      <w:bCs/>
      <w:smallCaps/>
      <w:color w:val="0F4761" w:themeColor="accent1" w:themeShade="BF"/>
      <w:spacing w:val="5"/>
    </w:rPr>
  </w:style>
  <w:style w:type="paragraph" w:styleId="Header">
    <w:name w:val="header"/>
    <w:basedOn w:val="Normal"/>
    <w:link w:val="HeaderChar"/>
    <w:uiPriority w:val="99"/>
    <w:unhideWhenUsed/>
    <w:rsid w:val="00257A1F"/>
    <w:pPr>
      <w:tabs>
        <w:tab w:val="center" w:pos="4680"/>
        <w:tab w:val="right" w:pos="9360"/>
      </w:tabs>
      <w:spacing w:after="0" w:line="240" w:lineRule="auto"/>
    </w:pPr>
  </w:style>
  <w:style w:type="character" w:customStyle="1" w:styleId="HeaderChar">
    <w:name w:val="Header Char"/>
    <w:basedOn w:val="DefaultParagraphFont"/>
    <w:link w:val="Header"/>
    <w:uiPriority w:val="99"/>
    <w:rsid w:val="00257A1F"/>
  </w:style>
  <w:style w:type="paragraph" w:styleId="Footer">
    <w:name w:val="footer"/>
    <w:basedOn w:val="Normal"/>
    <w:link w:val="FooterChar"/>
    <w:uiPriority w:val="99"/>
    <w:unhideWhenUsed/>
    <w:rsid w:val="00257A1F"/>
    <w:pPr>
      <w:tabs>
        <w:tab w:val="center" w:pos="4680"/>
        <w:tab w:val="right" w:pos="9360"/>
      </w:tabs>
      <w:spacing w:after="0" w:line="240" w:lineRule="auto"/>
    </w:pPr>
  </w:style>
  <w:style w:type="character" w:customStyle="1" w:styleId="FooterChar">
    <w:name w:val="Footer Char"/>
    <w:basedOn w:val="DefaultParagraphFont"/>
    <w:link w:val="Footer"/>
    <w:uiPriority w:val="99"/>
    <w:rsid w:val="00257A1F"/>
  </w:style>
  <w:style w:type="paragraph" w:styleId="FootnoteText">
    <w:name w:val="footnote text"/>
    <w:basedOn w:val="Normal"/>
    <w:link w:val="FootnoteTextChar"/>
    <w:uiPriority w:val="99"/>
    <w:semiHidden/>
    <w:unhideWhenUsed/>
    <w:rsid w:val="00B0747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0747F"/>
    <w:rPr>
      <w:sz w:val="20"/>
      <w:szCs w:val="20"/>
    </w:rPr>
  </w:style>
  <w:style w:type="character" w:styleId="FootnoteReference">
    <w:name w:val="footnote reference"/>
    <w:basedOn w:val="DefaultParagraphFont"/>
    <w:uiPriority w:val="99"/>
    <w:semiHidden/>
    <w:unhideWhenUsed/>
    <w:rsid w:val="00B0747F"/>
    <w:rPr>
      <w:vertAlign w:val="superscript"/>
    </w:rPr>
  </w:style>
  <w:style w:type="paragraph" w:styleId="EndnoteText">
    <w:name w:val="endnote text"/>
    <w:basedOn w:val="Normal"/>
    <w:link w:val="EndnoteTextChar"/>
    <w:uiPriority w:val="99"/>
    <w:semiHidden/>
    <w:unhideWhenUsed/>
    <w:rsid w:val="00CC5AA4"/>
    <w:pPr>
      <w:spacing w:after="0" w:line="240" w:lineRule="auto"/>
    </w:pPr>
    <w:rPr>
      <w:sz w:val="20"/>
      <w:szCs w:val="20"/>
    </w:rPr>
  </w:style>
  <w:style w:type="character" w:customStyle="1" w:styleId="EndnoteTextChar">
    <w:name w:val="Endnote Text Char"/>
    <w:basedOn w:val="DefaultParagraphFont"/>
    <w:link w:val="EndnoteText"/>
    <w:uiPriority w:val="99"/>
    <w:semiHidden/>
    <w:rsid w:val="00CC5AA4"/>
    <w:rPr>
      <w:sz w:val="20"/>
      <w:szCs w:val="20"/>
    </w:rPr>
  </w:style>
  <w:style w:type="character" w:styleId="EndnoteReference">
    <w:name w:val="endnote reference"/>
    <w:basedOn w:val="DefaultParagraphFont"/>
    <w:uiPriority w:val="99"/>
    <w:semiHidden/>
    <w:unhideWhenUsed/>
    <w:rsid w:val="00CC5AA4"/>
    <w:rPr>
      <w:vertAlign w:val="superscript"/>
    </w:rPr>
  </w:style>
  <w:style w:type="paragraph" w:styleId="Bibliography">
    <w:name w:val="Bibliography"/>
    <w:basedOn w:val="Normal"/>
    <w:next w:val="Normal"/>
    <w:uiPriority w:val="37"/>
    <w:unhideWhenUsed/>
    <w:rsid w:val="00477899"/>
  </w:style>
  <w:style w:type="character" w:styleId="Hyperlink">
    <w:name w:val="Hyperlink"/>
    <w:basedOn w:val="DefaultParagraphFont"/>
    <w:uiPriority w:val="99"/>
    <w:unhideWhenUsed/>
    <w:rsid w:val="00FA428B"/>
    <w:rPr>
      <w:color w:val="467886" w:themeColor="hyperlink"/>
      <w:u w:val="single"/>
    </w:rPr>
  </w:style>
  <w:style w:type="character" w:styleId="UnresolvedMention">
    <w:name w:val="Unresolved Mention"/>
    <w:basedOn w:val="DefaultParagraphFont"/>
    <w:uiPriority w:val="99"/>
    <w:semiHidden/>
    <w:unhideWhenUsed/>
    <w:rsid w:val="00FA428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088069">
      <w:bodyDiv w:val="1"/>
      <w:marLeft w:val="0"/>
      <w:marRight w:val="0"/>
      <w:marTop w:val="0"/>
      <w:marBottom w:val="0"/>
      <w:divBdr>
        <w:top w:val="none" w:sz="0" w:space="0" w:color="auto"/>
        <w:left w:val="none" w:sz="0" w:space="0" w:color="auto"/>
        <w:bottom w:val="none" w:sz="0" w:space="0" w:color="auto"/>
        <w:right w:val="none" w:sz="0" w:space="0" w:color="auto"/>
      </w:divBdr>
    </w:div>
    <w:div w:id="136801098">
      <w:bodyDiv w:val="1"/>
      <w:marLeft w:val="0"/>
      <w:marRight w:val="0"/>
      <w:marTop w:val="0"/>
      <w:marBottom w:val="0"/>
      <w:divBdr>
        <w:top w:val="none" w:sz="0" w:space="0" w:color="auto"/>
        <w:left w:val="none" w:sz="0" w:space="0" w:color="auto"/>
        <w:bottom w:val="none" w:sz="0" w:space="0" w:color="auto"/>
        <w:right w:val="none" w:sz="0" w:space="0" w:color="auto"/>
      </w:divBdr>
    </w:div>
    <w:div w:id="643856955">
      <w:bodyDiv w:val="1"/>
      <w:marLeft w:val="0"/>
      <w:marRight w:val="0"/>
      <w:marTop w:val="0"/>
      <w:marBottom w:val="0"/>
      <w:divBdr>
        <w:top w:val="none" w:sz="0" w:space="0" w:color="auto"/>
        <w:left w:val="none" w:sz="0" w:space="0" w:color="auto"/>
        <w:bottom w:val="none" w:sz="0" w:space="0" w:color="auto"/>
        <w:right w:val="none" w:sz="0" w:space="0" w:color="auto"/>
      </w:divBdr>
    </w:div>
    <w:div w:id="777994436">
      <w:bodyDiv w:val="1"/>
      <w:marLeft w:val="0"/>
      <w:marRight w:val="0"/>
      <w:marTop w:val="0"/>
      <w:marBottom w:val="0"/>
      <w:divBdr>
        <w:top w:val="none" w:sz="0" w:space="0" w:color="auto"/>
        <w:left w:val="none" w:sz="0" w:space="0" w:color="auto"/>
        <w:bottom w:val="none" w:sz="0" w:space="0" w:color="auto"/>
        <w:right w:val="none" w:sz="0" w:space="0" w:color="auto"/>
      </w:divBdr>
    </w:div>
    <w:div w:id="1110777647">
      <w:bodyDiv w:val="1"/>
      <w:marLeft w:val="0"/>
      <w:marRight w:val="0"/>
      <w:marTop w:val="0"/>
      <w:marBottom w:val="0"/>
      <w:divBdr>
        <w:top w:val="none" w:sz="0" w:space="0" w:color="auto"/>
        <w:left w:val="none" w:sz="0" w:space="0" w:color="auto"/>
        <w:bottom w:val="none" w:sz="0" w:space="0" w:color="auto"/>
        <w:right w:val="none" w:sz="0" w:space="0" w:color="auto"/>
      </w:divBdr>
    </w:div>
    <w:div w:id="1584727648">
      <w:bodyDiv w:val="1"/>
      <w:marLeft w:val="0"/>
      <w:marRight w:val="0"/>
      <w:marTop w:val="0"/>
      <w:marBottom w:val="0"/>
      <w:divBdr>
        <w:top w:val="none" w:sz="0" w:space="0" w:color="auto"/>
        <w:left w:val="none" w:sz="0" w:space="0" w:color="auto"/>
        <w:bottom w:val="none" w:sz="0" w:space="0" w:color="auto"/>
        <w:right w:val="none" w:sz="0" w:space="0" w:color="auto"/>
      </w:divBdr>
    </w:div>
    <w:div w:id="20725380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moodle.uwtsd.ac.uk/pluginfile.php/330219/mod_resource/content/1/Historia%20de%20preliis%2077-9.pd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Mar19</b:Tag>
    <b:SourceType>JournalArticle</b:SourceType>
    <b:Guid>{B217D5CD-E6CE-4C57-92FC-240A7DE5723D}</b:Guid>
    <b:Title>alexander the great &amp; the burning of persepolis</b:Title>
    <b:Year>2019</b:Year>
    <b:Author>
      <b:Author>
        <b:NameList>
          <b:Person>
            <b:Last>Mark</b:Last>
            <b:First>Joshua</b:First>
            <b:Middle>J.</b:Middle>
          </b:Person>
        </b:NameList>
      </b:Author>
    </b:Author>
    <b:JournalName>world history encyclopedia</b:JournalName>
    <b:YearAccessed>2026</b:YearAccessed>
    <b:MonthAccessed>February</b:MonthAccessed>
    <b:DayAccessed>1</b:DayAccessed>
    <b:URL>https://www.worldhistory.org/article/214/alexander-the-great--the-burning-of-persepolis/</b:URL>
    <b:RefOrder>1</b:RefOrder>
  </b:Source>
</b:Sources>
</file>

<file path=customXml/itemProps1.xml><?xml version="1.0" encoding="utf-8"?>
<ds:datastoreItem xmlns:ds="http://schemas.openxmlformats.org/officeDocument/2006/customXml" ds:itemID="{1A377F86-8ACB-4074-96AC-4865DC7F2F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TotalTime>
  <Pages>3</Pages>
  <Words>778</Words>
  <Characters>4441</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Assesment 1 - Sources</dc:title>
  <dc:subject/>
  <dc:creator>brett beauchamp</dc:creator>
  <cp:keywords/>
  <dc:description/>
  <cp:lastModifiedBy>brett beauchamp</cp:lastModifiedBy>
  <cp:revision>1</cp:revision>
  <dcterms:created xsi:type="dcterms:W3CDTF">2026-02-01T17:40:00Z</dcterms:created>
  <dcterms:modified xsi:type="dcterms:W3CDTF">2026-02-01T19:53:00Z</dcterms:modified>
</cp:coreProperties>
</file>