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DB09E0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3FD0D4D5" wp14:editId="4981C9F8">
            <wp:extent cx="5731510" cy="2550160"/>
            <wp:effectExtent l="0" t="0" r="0" b="2540"/>
            <wp:docPr id="638942447" name="Picture 638942447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6D36E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</w:p>
    <w:p w14:paraId="24BA02DF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</w:p>
    <w:p w14:paraId="0F0CEBAC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32DF9BA" wp14:editId="65D204BF">
                <wp:simplePos x="0" y="0"/>
                <wp:positionH relativeFrom="page">
                  <wp:posOffset>6985</wp:posOffset>
                </wp:positionH>
                <wp:positionV relativeFrom="page">
                  <wp:posOffset>3345815</wp:posOffset>
                </wp:positionV>
                <wp:extent cx="6115795" cy="3647413"/>
                <wp:effectExtent l="0" t="0" r="5715" b="0"/>
                <wp:wrapNone/>
                <wp:docPr id="459" name="Group 459" title="Title and subtitle with crop mark graphic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15795" cy="3647413"/>
                          <a:chOff x="0" y="-245845"/>
                          <a:chExt cx="6115065" cy="3647413"/>
                        </a:xfrm>
                      </wpg:grpSpPr>
                      <wpg:grpSp>
                        <wpg:cNvPr id="460" name="Group 460" title="Crop mark graphic"/>
                        <wpg:cNvGrpSpPr/>
                        <wpg:grpSpPr>
                          <a:xfrm>
                            <a:off x="0" y="0"/>
                            <a:ext cx="2642616" cy="3401568"/>
                            <a:chOff x="0" y="0"/>
                            <a:chExt cx="2642616" cy="3401568"/>
                          </a:xfrm>
                        </wpg:grpSpPr>
                        <wps:wsp>
                          <wps:cNvPr id="461" name="Freeform 461"/>
                          <wps:cNvSpPr>
                            <a:spLocks/>
                          </wps:cNvSpPr>
                          <wps:spPr bwMode="auto">
                            <a:xfrm>
                              <a:off x="504825" y="504825"/>
                              <a:ext cx="2133600" cy="2867025"/>
                            </a:xfrm>
                            <a:custGeom>
                              <a:avLst/>
                              <a:gdLst>
                                <a:gd name="T0" fmla="*/ 168 w 1344"/>
                                <a:gd name="T1" fmla="*/ 1806 h 1806"/>
                                <a:gd name="T2" fmla="*/ 0 w 1344"/>
                                <a:gd name="T3" fmla="*/ 1806 h 1806"/>
                                <a:gd name="T4" fmla="*/ 0 w 1344"/>
                                <a:gd name="T5" fmla="*/ 0 h 1806"/>
                                <a:gd name="T6" fmla="*/ 1344 w 1344"/>
                                <a:gd name="T7" fmla="*/ 0 h 1806"/>
                                <a:gd name="T8" fmla="*/ 1344 w 1344"/>
                                <a:gd name="T9" fmla="*/ 165 h 1806"/>
                                <a:gd name="T10" fmla="*/ 168 w 1344"/>
                                <a:gd name="T11" fmla="*/ 165 h 1806"/>
                                <a:gd name="T12" fmla="*/ 168 w 1344"/>
                                <a:gd name="T13" fmla="*/ 1806 h 180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</a:cxnLst>
                              <a:rect l="0" t="0" r="r" b="b"/>
                              <a:pathLst>
                                <a:path w="1344" h="1806">
                                  <a:moveTo>
                                    <a:pt x="168" y="1806"/>
                                  </a:moveTo>
                                  <a:lnTo>
                                    <a:pt x="0" y="1806"/>
                                  </a:lnTo>
                                  <a:lnTo>
                                    <a:pt x="0" y="0"/>
                                  </a:lnTo>
                                  <a:lnTo>
                                    <a:pt x="1344" y="0"/>
                                  </a:lnTo>
                                  <a:lnTo>
                                    <a:pt x="1344" y="165"/>
                                  </a:lnTo>
                                  <a:lnTo>
                                    <a:pt x="168" y="165"/>
                                  </a:lnTo>
                                  <a:lnTo>
                                    <a:pt x="168" y="180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62" name="Rectangle 462"/>
                          <wps:cNvSpPr/>
                          <wps:spPr>
                            <a:xfrm>
                              <a:off x="0" y="0"/>
                              <a:ext cx="2642616" cy="340156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463" name="Text Box 463" title="Title and subtitle"/>
                        <wps:cNvSpPr txBox="1"/>
                        <wps:spPr>
                          <a:xfrm>
                            <a:off x="504840" y="-245845"/>
                            <a:ext cx="5610225" cy="156320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69E6A1B" w14:textId="77777777" w:rsidR="00735C68" w:rsidRDefault="00735C68" w:rsidP="00735C68">
                              <w:pPr>
                                <w:pStyle w:val="NoSpacing"/>
                                <w:spacing w:after="240" w:line="216" w:lineRule="auto"/>
                                <w:rPr>
                                  <w:rFonts w:asciiTheme="majorHAnsi" w:hAnsiTheme="majorHAnsi"/>
                                  <w:color w:val="0E2841" w:themeColor="text2"/>
                                  <w:spacing w:val="10"/>
                                  <w:sz w:val="36"/>
                                  <w:szCs w:val="36"/>
                                </w:rPr>
                              </w:pPr>
                            </w:p>
                            <w:sdt>
                              <w:sdtPr>
                                <w:rPr>
                                  <w:rFonts w:asciiTheme="majorHAnsi" w:hAnsiTheme="majorHAnsi"/>
                                  <w:caps/>
                                  <w:color w:val="0E2841" w:themeColor="text2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917322602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p w14:paraId="365972AA" w14:textId="77777777" w:rsidR="00735C68" w:rsidRPr="001C633E" w:rsidRDefault="00735C68" w:rsidP="00735C68">
                                  <w:pPr>
                                    <w:pStyle w:val="NoSpacing"/>
                                    <w:spacing w:line="216" w:lineRule="auto"/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56"/>
                                      <w:szCs w:val="56"/>
                                    </w:rPr>
                                  </w:pPr>
                                  <w:r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56"/>
                                      <w:szCs w:val="56"/>
                                    </w:rPr>
                                    <w:t xml:space="preserve">     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32DF9BA" id="Group 459" o:spid="_x0000_s1026" alt="Title: Title and subtitle with crop mark graphic" style="position:absolute;left:0;text-align:left;margin-left:.55pt;margin-top:263.45pt;width:481.55pt;height:287.2pt;z-index:251659264;mso-position-horizontal-relative:page;mso-position-vertical-relative:page;mso-width-relative:margin;mso-height-relative:margin" coordorigin=",-2458" coordsize="61150,3647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">
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<v:path arrowok="t" o:connecttype="custom" o:connectlocs="266700,2867025;0,2867025;0,0;2133600,0;2133600,261938;266700,261938;266700,2867025" o:connectangles="0,0,0,0,0,0,0"/>
                  </v:shape>
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63" o:spid="_x0000_s1030" type="#_x0000_t202" style="position:absolute;left:5048;top:-2458;width:56102;height:15631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<v:textbox inset="36pt,36pt,0,0">
                    <w:txbxContent>
                      <w:p w14:paraId="769E6A1B" w14:textId="77777777" w:rsidR="00735C68" w:rsidRDefault="00735C68" w:rsidP="00735C68">
                        <w:pPr>
                          <w:pStyle w:val="NoSpacing"/>
                          <w:spacing w:after="240" w:line="216" w:lineRule="auto"/>
                          <w:rPr>
                            <w:rFonts w:asciiTheme="majorHAnsi" w:hAnsiTheme="majorHAnsi"/>
                            <w:color w:val="0E2841" w:themeColor="text2"/>
                            <w:spacing w:val="10"/>
                            <w:sz w:val="36"/>
                            <w:szCs w:val="36"/>
                          </w:rPr>
                        </w:pPr>
                      </w:p>
                      <w:sdt>
                        <w:sdtPr>
                          <w:rPr>
                            <w:rFonts w:asciiTheme="majorHAnsi" w:hAnsiTheme="majorHAnsi"/>
                            <w:caps/>
                            <w:color w:val="0E2841" w:themeColor="text2"/>
                            <w:sz w:val="56"/>
                            <w:szCs w:val="56"/>
                          </w:rPr>
                          <w:alias w:val="Title"/>
                          <w:tag w:val=""/>
                          <w:id w:val="-917322602"/>
                          <w:showingPlcHdr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15:appearance w15:val="hidden"/>
                          <w:text/>
                        </w:sdtPr>
                        <w:sdtContent>
                          <w:p w14:paraId="365972AA" w14:textId="77777777" w:rsidR="00735C68" w:rsidRPr="001C633E" w:rsidRDefault="00735C68" w:rsidP="00735C68">
                            <w:pPr>
                              <w:pStyle w:val="NoSpacing"/>
                              <w:spacing w:line="216" w:lineRule="auto"/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56"/>
                                <w:szCs w:val="56"/>
                              </w:rPr>
                              <w:t xml:space="preserve">     </w:t>
                            </w:r>
                          </w:p>
                        </w:sdtContent>
                      </w:sdt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7DB9E3F9" w14:textId="77777777" w:rsidR="00735C68" w:rsidRPr="006E71A8" w:rsidRDefault="00735C68" w:rsidP="00735C68">
      <w:pPr>
        <w:rPr>
          <w:b/>
          <w:bCs/>
          <w:sz w:val="40"/>
          <w:szCs w:val="40"/>
        </w:rPr>
      </w:pPr>
      <w:r w:rsidRPr="006E71A8">
        <w:rPr>
          <w:b/>
          <w:bCs/>
          <w:sz w:val="40"/>
          <w:szCs w:val="40"/>
        </w:rPr>
        <w:t>COVER PAGE</w:t>
      </w:r>
    </w:p>
    <w:p w14:paraId="5F6BB407" w14:textId="77777777" w:rsidR="00735C68" w:rsidRPr="00AD0C5E" w:rsidRDefault="00735C68" w:rsidP="00735C68">
      <w:pPr>
        <w:jc w:val="center"/>
        <w:rPr>
          <w:b/>
          <w:bCs/>
          <w:sz w:val="32"/>
          <w:szCs w:val="32"/>
        </w:rPr>
      </w:pPr>
    </w:p>
    <w:p w14:paraId="77F79F83" w14:textId="587DDDA0" w:rsidR="00735C68" w:rsidRDefault="00735C68" w:rsidP="00735C68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Empowering the Older Person – Component 2 </w:t>
      </w:r>
    </w:p>
    <w:p w14:paraId="3BE59615" w14:textId="321558AC" w:rsidR="00735C68" w:rsidRDefault="00735C68" w:rsidP="00735C6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BMPH602</w:t>
      </w:r>
      <w:r>
        <w:rPr>
          <w:b/>
          <w:bCs/>
          <w:sz w:val="28"/>
          <w:szCs w:val="28"/>
        </w:rPr>
        <w:t>7</w:t>
      </w:r>
    </w:p>
    <w:p w14:paraId="71BB7EAA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</w:p>
    <w:p w14:paraId="40F73432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</w:p>
    <w:p w14:paraId="669A467E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Name: </w:t>
      </w:r>
      <w:proofErr w:type="spellStart"/>
      <w:r>
        <w:rPr>
          <w:b/>
          <w:bCs/>
          <w:sz w:val="28"/>
          <w:szCs w:val="28"/>
        </w:rPr>
        <w:t>Hassana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Allaiouti</w:t>
      </w:r>
      <w:proofErr w:type="spellEnd"/>
    </w:p>
    <w:p w14:paraId="478F31EE" w14:textId="3280B331" w:rsidR="00735C68" w:rsidRDefault="00735C68" w:rsidP="00735C6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Number: 2323005</w:t>
      </w:r>
    </w:p>
    <w:p w14:paraId="0E672529" w14:textId="77777777" w:rsidR="00735C68" w:rsidRDefault="00735C68" w:rsidP="00735C68">
      <w:pPr>
        <w:jc w:val="center"/>
        <w:rPr>
          <w:b/>
          <w:bCs/>
          <w:sz w:val="28"/>
          <w:szCs w:val="28"/>
        </w:rPr>
      </w:pPr>
    </w:p>
    <w:p w14:paraId="24A00C02" w14:textId="508750A2" w:rsidR="00735C68" w:rsidRDefault="00735C68" w:rsidP="00735C6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Lecturer Name: </w:t>
      </w:r>
      <w:proofErr w:type="spellStart"/>
      <w:r>
        <w:rPr>
          <w:b/>
          <w:bCs/>
          <w:sz w:val="28"/>
          <w:szCs w:val="28"/>
        </w:rPr>
        <w:t>Parese</w:t>
      </w:r>
      <w:proofErr w:type="spellEnd"/>
      <w:r>
        <w:rPr>
          <w:b/>
          <w:bCs/>
          <w:sz w:val="28"/>
          <w:szCs w:val="28"/>
        </w:rPr>
        <w:t xml:space="preserve"> Ahmed</w:t>
      </w:r>
    </w:p>
    <w:p w14:paraId="722D4777" w14:textId="453099F5" w:rsidR="00735C68" w:rsidRDefault="00735C68" w:rsidP="00735C6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Kennedy </w:t>
      </w:r>
      <w:proofErr w:type="spellStart"/>
      <w:r>
        <w:rPr>
          <w:b/>
          <w:bCs/>
          <w:sz w:val="28"/>
          <w:szCs w:val="28"/>
        </w:rPr>
        <w:t>Obohwemu</w:t>
      </w:r>
      <w:proofErr w:type="spellEnd"/>
    </w:p>
    <w:p w14:paraId="748F15F5" w14:textId="6CDE982C" w:rsidR="00735C68" w:rsidRDefault="00735C68" w:rsidP="00735C68">
      <w:pPr>
        <w:jc w:val="center"/>
      </w:pPr>
      <w:r>
        <w:rPr>
          <w:b/>
          <w:bCs/>
          <w:sz w:val="28"/>
          <w:szCs w:val="28"/>
        </w:rPr>
        <w:t xml:space="preserve">Robert </w:t>
      </w:r>
      <w:proofErr w:type="spellStart"/>
      <w:r>
        <w:rPr>
          <w:b/>
          <w:bCs/>
          <w:sz w:val="28"/>
          <w:szCs w:val="28"/>
        </w:rPr>
        <w:t>Nartowski</w:t>
      </w:r>
      <w:proofErr w:type="spellEnd"/>
    </w:p>
    <w:p w14:paraId="4A8989D1" w14:textId="50898E11" w:rsidR="00344E23" w:rsidRPr="00735C68" w:rsidRDefault="00735C68">
      <w:r>
        <w:br w:type="page"/>
      </w:r>
    </w:p>
    <w:p w14:paraId="47D94A71" w14:textId="74931B41" w:rsidR="007A3FE1" w:rsidRPr="001C11FC" w:rsidRDefault="007A3FE1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lastRenderedPageBreak/>
        <w:t xml:space="preserve">Age UK (2022) </w:t>
      </w:r>
      <w:r w:rsidRPr="001C11FC">
        <w:rPr>
          <w:rFonts w:ascii="Arial" w:hAnsi="Arial" w:cs="Arial"/>
          <w:i/>
          <w:iCs/>
        </w:rPr>
        <w:t>Digital inclusion</w:t>
      </w:r>
      <w:r w:rsidRPr="001C11FC">
        <w:rPr>
          <w:rFonts w:ascii="Arial" w:hAnsi="Arial" w:cs="Arial"/>
        </w:rPr>
        <w:t xml:space="preserve">. Available at: </w:t>
      </w:r>
      <w:hyperlink r:id="rId6" w:tgtFrame="_new" w:history="1">
        <w:r w:rsidRPr="001C11FC">
          <w:rPr>
            <w:rStyle w:val="Hyperlink"/>
            <w:rFonts w:ascii="Arial" w:hAnsi="Arial" w:cs="Arial"/>
          </w:rPr>
          <w:t>https://www.ageuk.org.uk</w:t>
        </w:r>
      </w:hyperlink>
    </w:p>
    <w:p w14:paraId="75B2FF1A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Barlow, J., Singh, D., Bayer, S. and Curry, R. (2007) ‘A systematic review of the benefits of home telecare for frail elderly people and those with long-term conditions’, </w:t>
      </w:r>
      <w:r w:rsidRPr="001C11FC">
        <w:rPr>
          <w:rFonts w:ascii="Arial" w:hAnsi="Arial" w:cs="Arial"/>
          <w:i/>
          <w:iCs/>
        </w:rPr>
        <w:t>Journal of Telemedicine and Telecare</w:t>
      </w:r>
      <w:r w:rsidRPr="001C11FC">
        <w:rPr>
          <w:rFonts w:ascii="Arial" w:hAnsi="Arial" w:cs="Arial"/>
        </w:rPr>
        <w:t>, 13(4), pp. 172–179.</w:t>
      </w:r>
    </w:p>
    <w:p w14:paraId="6EF17012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proofErr w:type="spellStart"/>
      <w:r w:rsidRPr="001C11FC">
        <w:rPr>
          <w:rFonts w:ascii="Arial" w:hAnsi="Arial" w:cs="Arial"/>
        </w:rPr>
        <w:t>Bashshur</w:t>
      </w:r>
      <w:proofErr w:type="spellEnd"/>
      <w:r w:rsidRPr="001C11FC">
        <w:rPr>
          <w:rFonts w:ascii="Arial" w:hAnsi="Arial" w:cs="Arial"/>
        </w:rPr>
        <w:t xml:space="preserve">, R.L., Shannon, G.W., Krupinski, E.A. and Grigsby, J. (2016) ‘The empirical foundations of telemedicine interventions in primary care’, </w:t>
      </w:r>
      <w:r w:rsidRPr="001C11FC">
        <w:rPr>
          <w:rFonts w:ascii="Arial" w:hAnsi="Arial" w:cs="Arial"/>
          <w:i/>
          <w:iCs/>
        </w:rPr>
        <w:t>Telemedicine and e-Health</w:t>
      </w:r>
      <w:r w:rsidRPr="001C11FC">
        <w:rPr>
          <w:rFonts w:ascii="Arial" w:hAnsi="Arial" w:cs="Arial"/>
        </w:rPr>
        <w:t>, 22(5), pp. 342–375.</w:t>
      </w:r>
    </w:p>
    <w:p w14:paraId="3F654479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Cimperman, M., </w:t>
      </w:r>
      <w:proofErr w:type="spellStart"/>
      <w:r w:rsidRPr="001C11FC">
        <w:rPr>
          <w:rFonts w:ascii="Arial" w:hAnsi="Arial" w:cs="Arial"/>
        </w:rPr>
        <w:t>Brenčič</w:t>
      </w:r>
      <w:proofErr w:type="spellEnd"/>
      <w:r w:rsidRPr="001C11FC">
        <w:rPr>
          <w:rFonts w:ascii="Arial" w:hAnsi="Arial" w:cs="Arial"/>
        </w:rPr>
        <w:t xml:space="preserve">, M.M., </w:t>
      </w:r>
      <w:proofErr w:type="spellStart"/>
      <w:r w:rsidRPr="001C11FC">
        <w:rPr>
          <w:rFonts w:ascii="Arial" w:hAnsi="Arial" w:cs="Arial"/>
        </w:rPr>
        <w:t>Trkman</w:t>
      </w:r>
      <w:proofErr w:type="spellEnd"/>
      <w:r w:rsidRPr="001C11FC">
        <w:rPr>
          <w:rFonts w:ascii="Arial" w:hAnsi="Arial" w:cs="Arial"/>
        </w:rPr>
        <w:t xml:space="preserve">, P. and Stanonik, M.D.L. (2013) ‘Older adults’ perceptions of home telehealth services’, </w:t>
      </w:r>
      <w:r w:rsidRPr="001C11FC">
        <w:rPr>
          <w:rFonts w:ascii="Arial" w:hAnsi="Arial" w:cs="Arial"/>
          <w:i/>
          <w:iCs/>
        </w:rPr>
        <w:t>Telemedicine and e-Health</w:t>
      </w:r>
      <w:r w:rsidRPr="001C11FC">
        <w:rPr>
          <w:rFonts w:ascii="Arial" w:hAnsi="Arial" w:cs="Arial"/>
        </w:rPr>
        <w:t>, 19(10), pp. 786–790.</w:t>
      </w:r>
    </w:p>
    <w:p w14:paraId="1E0B111F" w14:textId="77777777" w:rsidR="002C7476" w:rsidRPr="001C11FC" w:rsidRDefault="002C7476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Department of Health and Social Care (2022) </w:t>
      </w:r>
      <w:r w:rsidRPr="001C11FC">
        <w:rPr>
          <w:rFonts w:ascii="Arial" w:hAnsi="Arial" w:cs="Arial"/>
          <w:i/>
          <w:iCs/>
        </w:rPr>
        <w:t>Data saves lives: reshaping health and social care with data</w:t>
      </w:r>
      <w:r w:rsidRPr="001C11FC">
        <w:rPr>
          <w:rFonts w:ascii="Arial" w:hAnsi="Arial" w:cs="Arial"/>
        </w:rPr>
        <w:t xml:space="preserve">. London: HM Government. Available at: </w:t>
      </w:r>
      <w:hyperlink r:id="rId7" w:tgtFrame="_new" w:history="1">
        <w:r w:rsidRPr="001C11FC">
          <w:rPr>
            <w:rStyle w:val="Hyperlink"/>
            <w:rFonts w:ascii="Arial" w:hAnsi="Arial" w:cs="Arial"/>
          </w:rPr>
          <w:t>https://www.gov.uk/government/publications/data-saves-lives-reshaping-health-and-social-care-with-data</w:t>
        </w:r>
      </w:hyperlink>
    </w:p>
    <w:p w14:paraId="50FB1E18" w14:textId="46E6C472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Eberly, L.A., </w:t>
      </w:r>
      <w:proofErr w:type="spellStart"/>
      <w:r w:rsidRPr="001C11FC">
        <w:rPr>
          <w:rFonts w:ascii="Arial" w:hAnsi="Arial" w:cs="Arial"/>
        </w:rPr>
        <w:t>Khatana</w:t>
      </w:r>
      <w:proofErr w:type="spellEnd"/>
      <w:r w:rsidRPr="001C11FC">
        <w:rPr>
          <w:rFonts w:ascii="Arial" w:hAnsi="Arial" w:cs="Arial"/>
        </w:rPr>
        <w:t xml:space="preserve">, S.A.M., Nathan, A.S., Snider, C., Julien, H.M., </w:t>
      </w:r>
      <w:proofErr w:type="spellStart"/>
      <w:r w:rsidRPr="001C11FC">
        <w:rPr>
          <w:rFonts w:ascii="Arial" w:hAnsi="Arial" w:cs="Arial"/>
        </w:rPr>
        <w:t>Deleener</w:t>
      </w:r>
      <w:proofErr w:type="spellEnd"/>
      <w:r w:rsidRPr="001C11FC">
        <w:rPr>
          <w:rFonts w:ascii="Arial" w:hAnsi="Arial" w:cs="Arial"/>
        </w:rPr>
        <w:t xml:space="preserve">, M.E., </w:t>
      </w:r>
      <w:proofErr w:type="spellStart"/>
      <w:r w:rsidRPr="001C11FC">
        <w:rPr>
          <w:rFonts w:ascii="Arial" w:hAnsi="Arial" w:cs="Arial"/>
        </w:rPr>
        <w:t>Adusumalli</w:t>
      </w:r>
      <w:proofErr w:type="spellEnd"/>
      <w:r w:rsidRPr="001C11FC">
        <w:rPr>
          <w:rFonts w:ascii="Arial" w:hAnsi="Arial" w:cs="Arial"/>
        </w:rPr>
        <w:t xml:space="preserve">, S. (2020) ‘Telemedicine outpatient cardiovascular care during the COVID-19 pandemic’, </w:t>
      </w:r>
      <w:r w:rsidRPr="001C11FC">
        <w:rPr>
          <w:rFonts w:ascii="Arial" w:hAnsi="Arial" w:cs="Arial"/>
          <w:i/>
          <w:iCs/>
        </w:rPr>
        <w:t>Circulation</w:t>
      </w:r>
      <w:r w:rsidRPr="001C11FC">
        <w:rPr>
          <w:rFonts w:ascii="Arial" w:hAnsi="Arial" w:cs="Arial"/>
        </w:rPr>
        <w:t>, 142(5), pp. 510–512.</w:t>
      </w:r>
    </w:p>
    <w:p w14:paraId="4CBE7149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Flodgren, G., </w:t>
      </w:r>
      <w:proofErr w:type="spellStart"/>
      <w:r w:rsidRPr="001C11FC">
        <w:rPr>
          <w:rFonts w:ascii="Arial" w:hAnsi="Arial" w:cs="Arial"/>
        </w:rPr>
        <w:t>Rachas</w:t>
      </w:r>
      <w:proofErr w:type="spellEnd"/>
      <w:r w:rsidRPr="001C11FC">
        <w:rPr>
          <w:rFonts w:ascii="Arial" w:hAnsi="Arial" w:cs="Arial"/>
        </w:rPr>
        <w:t xml:space="preserve">, A., Farmer, A.J., Inzitari, M. and Shepperd, S. (2015) ‘Interactive telemedicine: effects on professional practice and health care outcomes’, </w:t>
      </w:r>
      <w:r w:rsidRPr="001C11FC">
        <w:rPr>
          <w:rFonts w:ascii="Arial" w:hAnsi="Arial" w:cs="Arial"/>
          <w:i/>
          <w:iCs/>
        </w:rPr>
        <w:t>Cochrane Database of Systematic Reviews</w:t>
      </w:r>
      <w:r w:rsidRPr="001C11FC">
        <w:rPr>
          <w:rFonts w:ascii="Arial" w:hAnsi="Arial" w:cs="Arial"/>
        </w:rPr>
        <w:t>, (9), CD002098.</w:t>
      </w:r>
    </w:p>
    <w:p w14:paraId="35431CCC" w14:textId="6AB48D88" w:rsidR="002C7476" w:rsidRPr="001C11FC" w:rsidRDefault="002C7476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General Medical Council (2021) </w:t>
      </w:r>
      <w:r w:rsidRPr="001C11FC">
        <w:rPr>
          <w:rFonts w:ascii="Arial" w:hAnsi="Arial" w:cs="Arial"/>
          <w:i/>
          <w:iCs/>
        </w:rPr>
        <w:t>Good practice in prescribing and managing medicines and devices</w:t>
      </w:r>
      <w:r w:rsidRPr="001C11FC">
        <w:rPr>
          <w:rFonts w:ascii="Arial" w:hAnsi="Arial" w:cs="Arial"/>
        </w:rPr>
        <w:t xml:space="preserve">. London: GMC. Available at: </w:t>
      </w:r>
      <w:hyperlink r:id="rId8" w:tgtFrame="_new" w:history="1">
        <w:r w:rsidRPr="001C11FC">
          <w:rPr>
            <w:rStyle w:val="Hyperlink"/>
            <w:rFonts w:ascii="Arial" w:hAnsi="Arial" w:cs="Arial"/>
          </w:rPr>
          <w:t>https://www.gmc-uk.org/ethical-guidance/ethical-guidance-for-doctors/good-practice-in-prescribing-and-managing-medicines-and-devices</w:t>
        </w:r>
      </w:hyperlink>
    </w:p>
    <w:p w14:paraId="231F2812" w14:textId="17265978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Greenhalgh, T., </w:t>
      </w:r>
      <w:proofErr w:type="spellStart"/>
      <w:r w:rsidRPr="001C11FC">
        <w:rPr>
          <w:rFonts w:ascii="Arial" w:hAnsi="Arial" w:cs="Arial"/>
        </w:rPr>
        <w:t>Wherton</w:t>
      </w:r>
      <w:proofErr w:type="spellEnd"/>
      <w:r w:rsidRPr="001C11FC">
        <w:rPr>
          <w:rFonts w:ascii="Arial" w:hAnsi="Arial" w:cs="Arial"/>
        </w:rPr>
        <w:t xml:space="preserve">, J., Shaw, S. and Morrison, C. (2020) ‘Video consultations for COVID-19’, </w:t>
      </w:r>
      <w:r w:rsidRPr="001C11FC">
        <w:rPr>
          <w:rFonts w:ascii="Arial" w:hAnsi="Arial" w:cs="Arial"/>
          <w:i/>
          <w:iCs/>
        </w:rPr>
        <w:t>BMJ</w:t>
      </w:r>
      <w:r w:rsidRPr="001C11FC">
        <w:rPr>
          <w:rFonts w:ascii="Arial" w:hAnsi="Arial" w:cs="Arial"/>
        </w:rPr>
        <w:t>, 368, m998.</w:t>
      </w:r>
    </w:p>
    <w:p w14:paraId="7D51114D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Inglis, S.C., Clark, R.A., McAlister, F.A., Stewart, S., Cleland, J.G.F. (2015) ‘Structured telephone support or telemonitoring programmes for patients with chronic heart failure’, </w:t>
      </w:r>
      <w:r w:rsidRPr="001C11FC">
        <w:rPr>
          <w:rFonts w:ascii="Arial" w:hAnsi="Arial" w:cs="Arial"/>
          <w:i/>
          <w:iCs/>
        </w:rPr>
        <w:t>Cochrane Database of Systematic Reviews</w:t>
      </w:r>
      <w:r w:rsidRPr="001C11FC">
        <w:rPr>
          <w:rFonts w:ascii="Arial" w:hAnsi="Arial" w:cs="Arial"/>
        </w:rPr>
        <w:t>, (10), CD007228.</w:t>
      </w:r>
    </w:p>
    <w:p w14:paraId="7367CE7F" w14:textId="77777777" w:rsidR="001C11FC" w:rsidRPr="001C11FC" w:rsidRDefault="001C11FC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Kitsiou, S., Paré, G. and Jaana, M. (2017) ‘Effects of home telemonitoring interventions on patients with chronic heart failure’, </w:t>
      </w:r>
      <w:r w:rsidRPr="001C11FC">
        <w:rPr>
          <w:rFonts w:ascii="Arial" w:hAnsi="Arial" w:cs="Arial"/>
          <w:i/>
          <w:iCs/>
        </w:rPr>
        <w:t>Journal of Medical Internet Research</w:t>
      </w:r>
      <w:r w:rsidRPr="001C11FC">
        <w:rPr>
          <w:rFonts w:ascii="Arial" w:hAnsi="Arial" w:cs="Arial"/>
        </w:rPr>
        <w:t>, 17(3), e63.</w:t>
      </w:r>
    </w:p>
    <w:p w14:paraId="2A11C437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Kruse, C.S., Karem, P., Shifflett, K., Vegi, L., Ravi, K. and Brooks, M. (2017) ‘Evaluating barriers to adopting telemedicine worldwide: a systematic review’, </w:t>
      </w:r>
      <w:r w:rsidRPr="001C11FC">
        <w:rPr>
          <w:rFonts w:ascii="Arial" w:hAnsi="Arial" w:cs="Arial"/>
          <w:i/>
          <w:iCs/>
        </w:rPr>
        <w:t>Journal of Telemedicine and Telecare</w:t>
      </w:r>
      <w:r w:rsidRPr="001C11FC">
        <w:rPr>
          <w:rFonts w:ascii="Arial" w:hAnsi="Arial" w:cs="Arial"/>
        </w:rPr>
        <w:t>, 24(1), pp. 4–12.</w:t>
      </w:r>
    </w:p>
    <w:p w14:paraId="16B24F1A" w14:textId="34D23525" w:rsidR="002C7476" w:rsidRPr="001C11FC" w:rsidRDefault="002C7476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lastRenderedPageBreak/>
        <w:t xml:space="preserve">Lee, C. and Coughlin, J.F. (2015) ‘PERSPECTIVE: Older adults’ adoption of technology: an integrated approach to identifying determinants and barriers’, </w:t>
      </w:r>
      <w:r w:rsidRPr="001C11FC">
        <w:rPr>
          <w:rFonts w:ascii="Arial" w:hAnsi="Arial" w:cs="Arial"/>
          <w:i/>
          <w:iCs/>
        </w:rPr>
        <w:t>Journal of Product Innovation Management</w:t>
      </w:r>
      <w:r w:rsidRPr="001C11FC">
        <w:rPr>
          <w:rFonts w:ascii="Arial" w:hAnsi="Arial" w:cs="Arial"/>
        </w:rPr>
        <w:t xml:space="preserve">, 32(5), pp. 747–759. </w:t>
      </w:r>
      <w:hyperlink r:id="rId9" w:history="1">
        <w:r w:rsidRPr="001C11FC">
          <w:rPr>
            <w:rStyle w:val="Hyperlink"/>
            <w:rFonts w:ascii="Arial" w:hAnsi="Arial" w:cs="Arial"/>
          </w:rPr>
          <w:t>https://doi.org/10.1111/jpim.12176</w:t>
        </w:r>
      </w:hyperlink>
    </w:p>
    <w:p w14:paraId="00A440DE" w14:textId="77777777" w:rsidR="002C7476" w:rsidRPr="001C11FC" w:rsidRDefault="002C7476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McDonnell, M.E., </w:t>
      </w:r>
      <w:proofErr w:type="spellStart"/>
      <w:r w:rsidRPr="001C11FC">
        <w:rPr>
          <w:rFonts w:ascii="Arial" w:hAnsi="Arial" w:cs="Arial"/>
        </w:rPr>
        <w:t>Udeh</w:t>
      </w:r>
      <w:proofErr w:type="spellEnd"/>
      <w:r w:rsidRPr="001C11FC">
        <w:rPr>
          <w:rFonts w:ascii="Arial" w:hAnsi="Arial" w:cs="Arial"/>
        </w:rPr>
        <w:t xml:space="preserve">, B.L., Bryant, K.M. et al. (2021) ‘Telehealth use in chronic disease management during the COVID-19 pandemic: a systematic review’, </w:t>
      </w:r>
      <w:r w:rsidRPr="001C11FC">
        <w:rPr>
          <w:rFonts w:ascii="Arial" w:hAnsi="Arial" w:cs="Arial"/>
          <w:i/>
          <w:iCs/>
        </w:rPr>
        <w:t>Journal of Telemedicine and Telecare</w:t>
      </w:r>
      <w:r w:rsidRPr="001C11FC">
        <w:rPr>
          <w:rFonts w:ascii="Arial" w:hAnsi="Arial" w:cs="Arial"/>
        </w:rPr>
        <w:t>, 27(7), pp. 403–412.</w:t>
      </w:r>
    </w:p>
    <w:p w14:paraId="7C02C69F" w14:textId="496AD34C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National Health Service (2023) </w:t>
      </w:r>
      <w:r w:rsidRPr="001C11FC">
        <w:rPr>
          <w:rFonts w:ascii="Arial" w:hAnsi="Arial" w:cs="Arial"/>
          <w:i/>
          <w:iCs/>
        </w:rPr>
        <w:t>The NHS Long Term Plan</w:t>
      </w:r>
      <w:r w:rsidRPr="001C11FC">
        <w:rPr>
          <w:rFonts w:ascii="Arial" w:hAnsi="Arial" w:cs="Arial"/>
        </w:rPr>
        <w:t>. London: NHS England.</w:t>
      </w:r>
    </w:p>
    <w:p w14:paraId="118AC351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National Institute for Health and Care Excellence (2020) </w:t>
      </w:r>
      <w:r w:rsidRPr="001C11FC">
        <w:rPr>
          <w:rFonts w:ascii="Arial" w:hAnsi="Arial" w:cs="Arial"/>
          <w:i/>
          <w:iCs/>
        </w:rPr>
        <w:t>COVID-19 rapid guideline: managing chronic conditions in community settings</w:t>
      </w:r>
      <w:r w:rsidRPr="001C11FC">
        <w:rPr>
          <w:rFonts w:ascii="Arial" w:hAnsi="Arial" w:cs="Arial"/>
        </w:rPr>
        <w:t>. London: NICE.</w:t>
      </w:r>
    </w:p>
    <w:p w14:paraId="2E1A2B88" w14:textId="77777777" w:rsidR="001C11FC" w:rsidRPr="001C11FC" w:rsidRDefault="001C11FC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NHS England (2023) </w:t>
      </w:r>
      <w:r w:rsidRPr="001C11FC">
        <w:rPr>
          <w:rFonts w:ascii="Arial" w:hAnsi="Arial" w:cs="Arial"/>
          <w:i/>
          <w:iCs/>
        </w:rPr>
        <w:t>Digital transformation</w:t>
      </w:r>
      <w:r w:rsidRPr="001C11FC">
        <w:rPr>
          <w:rFonts w:ascii="Arial" w:hAnsi="Arial" w:cs="Arial"/>
        </w:rPr>
        <w:t xml:space="preserve">. Available at: </w:t>
      </w:r>
      <w:hyperlink r:id="rId10" w:tgtFrame="_new" w:history="1">
        <w:r w:rsidRPr="001C11FC">
          <w:rPr>
            <w:rStyle w:val="Hyperlink"/>
            <w:rFonts w:ascii="Arial" w:hAnsi="Arial" w:cs="Arial"/>
          </w:rPr>
          <w:t>https://www.england.nhs.uk/digitaltechnology/</w:t>
        </w:r>
      </w:hyperlink>
    </w:p>
    <w:p w14:paraId="0E7B3FC5" w14:textId="77777777" w:rsidR="002C7476" w:rsidRPr="001C11FC" w:rsidRDefault="002C7476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Office for National Statistics (2024) </w:t>
      </w:r>
      <w:r w:rsidRPr="001C11FC">
        <w:rPr>
          <w:rFonts w:ascii="Arial" w:hAnsi="Arial" w:cs="Arial"/>
          <w:i/>
          <w:iCs/>
        </w:rPr>
        <w:t>Ageing</w:t>
      </w:r>
      <w:r w:rsidRPr="001C11FC">
        <w:rPr>
          <w:rFonts w:ascii="Arial" w:hAnsi="Arial" w:cs="Arial"/>
        </w:rPr>
        <w:t xml:space="preserve">. Available at: </w:t>
      </w:r>
      <w:hyperlink r:id="rId11" w:tgtFrame="_new" w:history="1">
        <w:r w:rsidRPr="001C11FC">
          <w:rPr>
            <w:rStyle w:val="Hyperlink"/>
            <w:rFonts w:ascii="Arial" w:hAnsi="Arial" w:cs="Arial"/>
          </w:rPr>
          <w:t>https://www.ons.gov.uk/peoplepopulationandcommunity/birthsdeathsandmarriages/ageing</w:t>
        </w:r>
      </w:hyperlink>
    </w:p>
    <w:p w14:paraId="583984B5" w14:textId="4D3F3FB1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Peek, S.T.M., </w:t>
      </w:r>
      <w:proofErr w:type="spellStart"/>
      <w:r w:rsidRPr="001C11FC">
        <w:rPr>
          <w:rFonts w:ascii="Arial" w:hAnsi="Arial" w:cs="Arial"/>
        </w:rPr>
        <w:t>Wouters</w:t>
      </w:r>
      <w:proofErr w:type="spellEnd"/>
      <w:r w:rsidRPr="001C11FC">
        <w:rPr>
          <w:rFonts w:ascii="Arial" w:hAnsi="Arial" w:cs="Arial"/>
        </w:rPr>
        <w:t xml:space="preserve">, E.J.M., van Hoof, J., </w:t>
      </w:r>
      <w:proofErr w:type="spellStart"/>
      <w:r w:rsidRPr="001C11FC">
        <w:rPr>
          <w:rFonts w:ascii="Arial" w:hAnsi="Arial" w:cs="Arial"/>
        </w:rPr>
        <w:t>Luijkx</w:t>
      </w:r>
      <w:proofErr w:type="spellEnd"/>
      <w:r w:rsidRPr="001C11FC">
        <w:rPr>
          <w:rFonts w:ascii="Arial" w:hAnsi="Arial" w:cs="Arial"/>
        </w:rPr>
        <w:t xml:space="preserve">, K.G., </w:t>
      </w:r>
      <w:proofErr w:type="spellStart"/>
      <w:r w:rsidRPr="001C11FC">
        <w:rPr>
          <w:rFonts w:ascii="Arial" w:hAnsi="Arial" w:cs="Arial"/>
        </w:rPr>
        <w:t>Boeije</w:t>
      </w:r>
      <w:proofErr w:type="spellEnd"/>
      <w:r w:rsidRPr="001C11FC">
        <w:rPr>
          <w:rFonts w:ascii="Arial" w:hAnsi="Arial" w:cs="Arial"/>
        </w:rPr>
        <w:t xml:space="preserve">, H.R. and </w:t>
      </w:r>
      <w:proofErr w:type="spellStart"/>
      <w:r w:rsidRPr="001C11FC">
        <w:rPr>
          <w:rFonts w:ascii="Arial" w:hAnsi="Arial" w:cs="Arial"/>
        </w:rPr>
        <w:t>Vrijhoef</w:t>
      </w:r>
      <w:proofErr w:type="spellEnd"/>
      <w:r w:rsidRPr="001C11FC">
        <w:rPr>
          <w:rFonts w:ascii="Arial" w:hAnsi="Arial" w:cs="Arial"/>
        </w:rPr>
        <w:t xml:space="preserve">, H.J.M. (2016) ‘Factors influencing acceptance of technology for ageing in place’, </w:t>
      </w:r>
      <w:r w:rsidRPr="001C11FC">
        <w:rPr>
          <w:rFonts w:ascii="Arial" w:hAnsi="Arial" w:cs="Arial"/>
          <w:i/>
          <w:iCs/>
        </w:rPr>
        <w:t>International Journal of Medical Informatics</w:t>
      </w:r>
      <w:r w:rsidRPr="001C11FC">
        <w:rPr>
          <w:rFonts w:ascii="Arial" w:hAnsi="Arial" w:cs="Arial"/>
        </w:rPr>
        <w:t>, 83(4), pp. 235–248.</w:t>
      </w:r>
    </w:p>
    <w:p w14:paraId="3390709A" w14:textId="3A2C894C" w:rsidR="00AF7CCD" w:rsidRPr="001C11FC" w:rsidRDefault="00AF7CCD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Satariano, W.A., Scharlach, A.E. and Lindeman, D. (2014) ‘Aging, place, and technology: toward improving access and wellness in older populations’, </w:t>
      </w:r>
      <w:r w:rsidRPr="001C11FC">
        <w:rPr>
          <w:rFonts w:ascii="Arial" w:hAnsi="Arial" w:cs="Arial"/>
          <w:i/>
          <w:iCs/>
        </w:rPr>
        <w:t>The Gerontologist</w:t>
      </w:r>
      <w:r w:rsidRPr="001C11FC">
        <w:rPr>
          <w:rFonts w:ascii="Arial" w:hAnsi="Arial" w:cs="Arial"/>
        </w:rPr>
        <w:t>, 54(1), pp. 140–145. https://doi.org/10.1093/geront/gnt081</w:t>
      </w:r>
    </w:p>
    <w:p w14:paraId="23A27F32" w14:textId="77777777" w:rsidR="00C94B48" w:rsidRPr="001C11FC" w:rsidRDefault="00C94B48" w:rsidP="001C11FC">
      <w:pPr>
        <w:spacing w:line="360" w:lineRule="auto"/>
        <w:rPr>
          <w:rFonts w:ascii="Arial" w:hAnsi="Arial" w:cs="Arial"/>
        </w:rPr>
      </w:pPr>
      <w:proofErr w:type="spellStart"/>
      <w:r w:rsidRPr="001C11FC">
        <w:rPr>
          <w:rFonts w:ascii="Arial" w:hAnsi="Arial" w:cs="Arial"/>
        </w:rPr>
        <w:t>Snoswell</w:t>
      </w:r>
      <w:proofErr w:type="spellEnd"/>
      <w:r w:rsidRPr="001C11FC">
        <w:rPr>
          <w:rFonts w:ascii="Arial" w:hAnsi="Arial" w:cs="Arial"/>
        </w:rPr>
        <w:t xml:space="preserve">, C.L., Taylor, M.L., Comans, T.A., Smith, A.C., Gray, L.C. and Caffery, L.J. (2020) ‘Determining if telehealth can reduce health system costs’, </w:t>
      </w:r>
      <w:r w:rsidRPr="001C11FC">
        <w:rPr>
          <w:rFonts w:ascii="Arial" w:hAnsi="Arial" w:cs="Arial"/>
          <w:i/>
          <w:iCs/>
        </w:rPr>
        <w:t>Journal of Telemedicine and Telecare</w:t>
      </w:r>
      <w:r w:rsidRPr="001C11FC">
        <w:rPr>
          <w:rFonts w:ascii="Arial" w:hAnsi="Arial" w:cs="Arial"/>
        </w:rPr>
        <w:t>, 26(3), pp. 149–156.</w:t>
      </w:r>
    </w:p>
    <w:p w14:paraId="20ECAD74" w14:textId="77777777" w:rsidR="001C11FC" w:rsidRPr="001C11FC" w:rsidRDefault="001C11FC" w:rsidP="001C11FC">
      <w:pPr>
        <w:spacing w:line="360" w:lineRule="auto"/>
        <w:rPr>
          <w:rFonts w:ascii="Arial" w:hAnsi="Arial" w:cs="Arial"/>
        </w:rPr>
      </w:pPr>
      <w:proofErr w:type="spellStart"/>
      <w:r w:rsidRPr="001C11FC">
        <w:rPr>
          <w:rFonts w:ascii="Arial" w:hAnsi="Arial" w:cs="Arial"/>
        </w:rPr>
        <w:t>Tchero</w:t>
      </w:r>
      <w:proofErr w:type="spellEnd"/>
      <w:r w:rsidRPr="001C11FC">
        <w:rPr>
          <w:rFonts w:ascii="Arial" w:hAnsi="Arial" w:cs="Arial"/>
        </w:rPr>
        <w:t xml:space="preserve">, H., Kangambega, P., </w:t>
      </w:r>
      <w:proofErr w:type="spellStart"/>
      <w:r w:rsidRPr="001C11FC">
        <w:rPr>
          <w:rFonts w:ascii="Arial" w:hAnsi="Arial" w:cs="Arial"/>
        </w:rPr>
        <w:t>Briatte</w:t>
      </w:r>
      <w:proofErr w:type="spellEnd"/>
      <w:r w:rsidRPr="001C11FC">
        <w:rPr>
          <w:rFonts w:ascii="Arial" w:hAnsi="Arial" w:cs="Arial"/>
        </w:rPr>
        <w:t>, C., Brunet-</w:t>
      </w:r>
      <w:proofErr w:type="spellStart"/>
      <w:r w:rsidRPr="001C11FC">
        <w:rPr>
          <w:rFonts w:ascii="Arial" w:hAnsi="Arial" w:cs="Arial"/>
        </w:rPr>
        <w:t>Houdard</w:t>
      </w:r>
      <w:proofErr w:type="spellEnd"/>
      <w:r w:rsidRPr="001C11FC">
        <w:rPr>
          <w:rFonts w:ascii="Arial" w:hAnsi="Arial" w:cs="Arial"/>
        </w:rPr>
        <w:t xml:space="preserve">, S., </w:t>
      </w:r>
      <w:proofErr w:type="spellStart"/>
      <w:r w:rsidRPr="001C11FC">
        <w:rPr>
          <w:rFonts w:ascii="Arial" w:hAnsi="Arial" w:cs="Arial"/>
        </w:rPr>
        <w:t>Retali</w:t>
      </w:r>
      <w:proofErr w:type="spellEnd"/>
      <w:r w:rsidRPr="001C11FC">
        <w:rPr>
          <w:rFonts w:ascii="Arial" w:hAnsi="Arial" w:cs="Arial"/>
        </w:rPr>
        <w:t xml:space="preserve">, G.-R. and Rusch, E. (2019) ‘Clinical effectiveness of telemedicine in diabetes mellitus: a meta-analysis of 42 randomized controlled trials’, </w:t>
      </w:r>
      <w:r w:rsidRPr="001C11FC">
        <w:rPr>
          <w:rFonts w:ascii="Arial" w:hAnsi="Arial" w:cs="Arial"/>
          <w:i/>
          <w:iCs/>
        </w:rPr>
        <w:t>Telemedicine and e-Health</w:t>
      </w:r>
      <w:r w:rsidRPr="001C11FC">
        <w:rPr>
          <w:rFonts w:ascii="Arial" w:hAnsi="Arial" w:cs="Arial"/>
        </w:rPr>
        <w:t xml:space="preserve">, 25(7), pp. 569–583. </w:t>
      </w:r>
      <w:hyperlink r:id="rId12" w:history="1">
        <w:r w:rsidRPr="001C11FC">
          <w:rPr>
            <w:rStyle w:val="Hyperlink"/>
            <w:rFonts w:ascii="Arial" w:hAnsi="Arial" w:cs="Arial"/>
          </w:rPr>
          <w:t>https://doi.org/10.1089/tmj.2018.0128</w:t>
        </w:r>
      </w:hyperlink>
    </w:p>
    <w:p w14:paraId="613A8C6C" w14:textId="77777777" w:rsidR="00192D98" w:rsidRPr="001C11FC" w:rsidRDefault="00192D9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The King’s Fund (2022) </w:t>
      </w:r>
      <w:r w:rsidRPr="001C11FC">
        <w:rPr>
          <w:rFonts w:ascii="Arial" w:hAnsi="Arial" w:cs="Arial"/>
          <w:i/>
          <w:iCs/>
        </w:rPr>
        <w:t>Shaping the future of digital health and care in the NHS</w:t>
      </w:r>
      <w:r w:rsidRPr="001C11FC">
        <w:rPr>
          <w:rFonts w:ascii="Arial" w:hAnsi="Arial" w:cs="Arial"/>
        </w:rPr>
        <w:t xml:space="preserve">. Available at: </w:t>
      </w:r>
      <w:hyperlink r:id="rId13" w:tgtFrame="_new" w:history="1">
        <w:r w:rsidRPr="001C11FC">
          <w:rPr>
            <w:rStyle w:val="Hyperlink"/>
            <w:rFonts w:ascii="Arial" w:hAnsi="Arial" w:cs="Arial"/>
          </w:rPr>
          <w:t>https://www.kingsfund.org.uk/insight-and-analysis</w:t>
        </w:r>
      </w:hyperlink>
    </w:p>
    <w:p w14:paraId="68DC3870" w14:textId="61B52927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t xml:space="preserve">Totten, A.M., Womack, D.M., Eden, K.B., McDonagh, M.S., Griffin, J.C. et al. (2016) </w:t>
      </w:r>
      <w:r w:rsidRPr="001C11FC">
        <w:rPr>
          <w:rFonts w:ascii="Arial" w:hAnsi="Arial" w:cs="Arial"/>
          <w:i/>
          <w:iCs/>
        </w:rPr>
        <w:t>Telehealth: Mapping the evidence for patient outcomes from systematic reviews</w:t>
      </w:r>
      <w:r w:rsidRPr="001C11FC">
        <w:rPr>
          <w:rFonts w:ascii="Arial" w:hAnsi="Arial" w:cs="Arial"/>
        </w:rPr>
        <w:t>. Rockville, MD: Agency for Healthcare Research and Quality.</w:t>
      </w:r>
    </w:p>
    <w:p w14:paraId="636DFE0C" w14:textId="43DFCA09" w:rsidR="00C94B48" w:rsidRPr="001C11FC" w:rsidRDefault="00C94B48" w:rsidP="001C11FC">
      <w:pPr>
        <w:spacing w:line="360" w:lineRule="auto"/>
        <w:rPr>
          <w:rFonts w:ascii="Arial" w:hAnsi="Arial" w:cs="Arial"/>
        </w:rPr>
      </w:pPr>
      <w:r w:rsidRPr="001C11FC">
        <w:rPr>
          <w:rFonts w:ascii="Arial" w:hAnsi="Arial" w:cs="Arial"/>
        </w:rPr>
        <w:lastRenderedPageBreak/>
        <w:t xml:space="preserve">World Health Organization (2021) </w:t>
      </w:r>
      <w:r w:rsidRPr="001C11FC">
        <w:rPr>
          <w:rFonts w:ascii="Arial" w:hAnsi="Arial" w:cs="Arial"/>
          <w:i/>
          <w:iCs/>
        </w:rPr>
        <w:t>Global strategy on digital health 2020–202</w:t>
      </w:r>
      <w:r w:rsidR="00CF3AD1" w:rsidRPr="001C11FC">
        <w:rPr>
          <w:rFonts w:ascii="Arial" w:hAnsi="Arial" w:cs="Arial"/>
          <w:i/>
          <w:iCs/>
        </w:rPr>
        <w:t>7</w:t>
      </w:r>
      <w:r w:rsidRPr="001C11FC">
        <w:rPr>
          <w:rFonts w:ascii="Arial" w:hAnsi="Arial" w:cs="Arial"/>
        </w:rPr>
        <w:t>. Geneva: WHO.</w:t>
      </w:r>
    </w:p>
    <w:p w14:paraId="538C4781" w14:textId="77777777" w:rsidR="00AA09AD" w:rsidRDefault="00AA09AD"/>
    <w:p w14:paraId="6BE22245" w14:textId="77777777" w:rsidR="00AA09AD" w:rsidRPr="0088661B" w:rsidRDefault="00AA09AD"/>
    <w:sectPr w:rsidR="00AA09AD" w:rsidRPr="008866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64026"/>
    <w:multiLevelType w:val="multilevel"/>
    <w:tmpl w:val="41F0E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8E4B55"/>
    <w:multiLevelType w:val="multilevel"/>
    <w:tmpl w:val="5DAE4D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C36225"/>
    <w:multiLevelType w:val="multilevel"/>
    <w:tmpl w:val="E9E6C5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6D6E7B"/>
    <w:multiLevelType w:val="multilevel"/>
    <w:tmpl w:val="780E1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FB366BC"/>
    <w:multiLevelType w:val="multilevel"/>
    <w:tmpl w:val="34CA73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CF6324"/>
    <w:multiLevelType w:val="multilevel"/>
    <w:tmpl w:val="3998D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98B1AD9"/>
    <w:multiLevelType w:val="multilevel"/>
    <w:tmpl w:val="62F6DC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342EC"/>
    <w:multiLevelType w:val="multilevel"/>
    <w:tmpl w:val="256E6D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3871863"/>
    <w:multiLevelType w:val="multilevel"/>
    <w:tmpl w:val="A70CF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976489A"/>
    <w:multiLevelType w:val="multilevel"/>
    <w:tmpl w:val="E3D86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98914B4"/>
    <w:multiLevelType w:val="multilevel"/>
    <w:tmpl w:val="E8849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A096490"/>
    <w:multiLevelType w:val="multilevel"/>
    <w:tmpl w:val="6354F9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ADD105B"/>
    <w:multiLevelType w:val="multilevel"/>
    <w:tmpl w:val="4EE28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1E02B8"/>
    <w:multiLevelType w:val="multilevel"/>
    <w:tmpl w:val="EE749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3450C9F"/>
    <w:multiLevelType w:val="multilevel"/>
    <w:tmpl w:val="DBEED9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61573D3"/>
    <w:multiLevelType w:val="multilevel"/>
    <w:tmpl w:val="7324C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61D35B4"/>
    <w:multiLevelType w:val="multilevel"/>
    <w:tmpl w:val="DE249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7C25EA8"/>
    <w:multiLevelType w:val="multilevel"/>
    <w:tmpl w:val="46C0C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7DC3C90"/>
    <w:multiLevelType w:val="multilevel"/>
    <w:tmpl w:val="2CDAFF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8CB1183"/>
    <w:multiLevelType w:val="multilevel"/>
    <w:tmpl w:val="2780A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96400AD"/>
    <w:multiLevelType w:val="multilevel"/>
    <w:tmpl w:val="3E883E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9790821"/>
    <w:multiLevelType w:val="multilevel"/>
    <w:tmpl w:val="F86AA2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DC03223"/>
    <w:multiLevelType w:val="multilevel"/>
    <w:tmpl w:val="31945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3E783D8F"/>
    <w:multiLevelType w:val="multilevel"/>
    <w:tmpl w:val="8F0C3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45D6015"/>
    <w:multiLevelType w:val="multilevel"/>
    <w:tmpl w:val="9BE080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7FA03DC"/>
    <w:multiLevelType w:val="multilevel"/>
    <w:tmpl w:val="5CA48C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B9441C9"/>
    <w:multiLevelType w:val="multilevel"/>
    <w:tmpl w:val="098CA8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ED03982"/>
    <w:multiLevelType w:val="multilevel"/>
    <w:tmpl w:val="FA901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0C301BE"/>
    <w:multiLevelType w:val="multilevel"/>
    <w:tmpl w:val="0CC402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38732B0"/>
    <w:multiLevelType w:val="multilevel"/>
    <w:tmpl w:val="735AE5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84A6897"/>
    <w:multiLevelType w:val="multilevel"/>
    <w:tmpl w:val="6D223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96F5136"/>
    <w:multiLevelType w:val="multilevel"/>
    <w:tmpl w:val="871CD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97062E6"/>
    <w:multiLevelType w:val="multilevel"/>
    <w:tmpl w:val="D85AA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A8C6475"/>
    <w:multiLevelType w:val="multilevel"/>
    <w:tmpl w:val="759A2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E801B14"/>
    <w:multiLevelType w:val="multilevel"/>
    <w:tmpl w:val="1D1E7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14B3D96"/>
    <w:multiLevelType w:val="multilevel"/>
    <w:tmpl w:val="AF7A5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1FB2086"/>
    <w:multiLevelType w:val="multilevel"/>
    <w:tmpl w:val="D4E4B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1FD6128"/>
    <w:multiLevelType w:val="multilevel"/>
    <w:tmpl w:val="2A404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3627778"/>
    <w:multiLevelType w:val="multilevel"/>
    <w:tmpl w:val="FB14C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6727612"/>
    <w:multiLevelType w:val="multilevel"/>
    <w:tmpl w:val="ACF85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97D3FEC"/>
    <w:multiLevelType w:val="multilevel"/>
    <w:tmpl w:val="ECF64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6CE72FCB"/>
    <w:multiLevelType w:val="multilevel"/>
    <w:tmpl w:val="5EF42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6D4948A7"/>
    <w:multiLevelType w:val="multilevel"/>
    <w:tmpl w:val="E3FCE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4455D7F"/>
    <w:multiLevelType w:val="multilevel"/>
    <w:tmpl w:val="56B496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44F441B"/>
    <w:multiLevelType w:val="multilevel"/>
    <w:tmpl w:val="267A8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6417F9A"/>
    <w:multiLevelType w:val="multilevel"/>
    <w:tmpl w:val="FF3AD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88B3060"/>
    <w:multiLevelType w:val="multilevel"/>
    <w:tmpl w:val="01C08B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1752008">
    <w:abstractNumId w:val="30"/>
  </w:num>
  <w:num w:numId="2" w16cid:durableId="77676862">
    <w:abstractNumId w:val="25"/>
  </w:num>
  <w:num w:numId="3" w16cid:durableId="369840662">
    <w:abstractNumId w:val="8"/>
  </w:num>
  <w:num w:numId="4" w16cid:durableId="1472166358">
    <w:abstractNumId w:val="33"/>
  </w:num>
  <w:num w:numId="5" w16cid:durableId="501551977">
    <w:abstractNumId w:val="39"/>
  </w:num>
  <w:num w:numId="6" w16cid:durableId="1420518345">
    <w:abstractNumId w:val="27"/>
  </w:num>
  <w:num w:numId="7" w16cid:durableId="177278790">
    <w:abstractNumId w:val="44"/>
  </w:num>
  <w:num w:numId="8" w16cid:durableId="1087727457">
    <w:abstractNumId w:val="10"/>
  </w:num>
  <w:num w:numId="9" w16cid:durableId="82845202">
    <w:abstractNumId w:val="29"/>
  </w:num>
  <w:num w:numId="10" w16cid:durableId="53896853">
    <w:abstractNumId w:val="34"/>
  </w:num>
  <w:num w:numId="11" w16cid:durableId="538973460">
    <w:abstractNumId w:val="23"/>
  </w:num>
  <w:num w:numId="12" w16cid:durableId="1556552446">
    <w:abstractNumId w:val="28"/>
  </w:num>
  <w:num w:numId="13" w16cid:durableId="1826240494">
    <w:abstractNumId w:val="18"/>
  </w:num>
  <w:num w:numId="14" w16cid:durableId="990870321">
    <w:abstractNumId w:val="31"/>
  </w:num>
  <w:num w:numId="15" w16cid:durableId="678655163">
    <w:abstractNumId w:val="38"/>
  </w:num>
  <w:num w:numId="16" w16cid:durableId="930285567">
    <w:abstractNumId w:val="2"/>
  </w:num>
  <w:num w:numId="17" w16cid:durableId="136074847">
    <w:abstractNumId w:val="40"/>
  </w:num>
  <w:num w:numId="18" w16cid:durableId="892346661">
    <w:abstractNumId w:val="26"/>
  </w:num>
  <w:num w:numId="19" w16cid:durableId="555359523">
    <w:abstractNumId w:val="16"/>
  </w:num>
  <w:num w:numId="20" w16cid:durableId="1868563299">
    <w:abstractNumId w:val="1"/>
  </w:num>
  <w:num w:numId="21" w16cid:durableId="756750599">
    <w:abstractNumId w:val="13"/>
  </w:num>
  <w:num w:numId="22" w16cid:durableId="1241867258">
    <w:abstractNumId w:val="19"/>
  </w:num>
  <w:num w:numId="23" w16cid:durableId="1413430384">
    <w:abstractNumId w:val="11"/>
  </w:num>
  <w:num w:numId="24" w16cid:durableId="1435176723">
    <w:abstractNumId w:val="37"/>
  </w:num>
  <w:num w:numId="25" w16cid:durableId="319773633">
    <w:abstractNumId w:val="46"/>
  </w:num>
  <w:num w:numId="26" w16cid:durableId="479271142">
    <w:abstractNumId w:val="20"/>
  </w:num>
  <w:num w:numId="27" w16cid:durableId="1009337132">
    <w:abstractNumId w:val="35"/>
  </w:num>
  <w:num w:numId="28" w16cid:durableId="997077382">
    <w:abstractNumId w:val="24"/>
  </w:num>
  <w:num w:numId="29" w16cid:durableId="1684286821">
    <w:abstractNumId w:val="4"/>
  </w:num>
  <w:num w:numId="30" w16cid:durableId="574556981">
    <w:abstractNumId w:val="14"/>
  </w:num>
  <w:num w:numId="31" w16cid:durableId="107285691">
    <w:abstractNumId w:val="5"/>
  </w:num>
  <w:num w:numId="32" w16cid:durableId="1067728351">
    <w:abstractNumId w:val="7"/>
  </w:num>
  <w:num w:numId="33" w16cid:durableId="1024356490">
    <w:abstractNumId w:val="22"/>
  </w:num>
  <w:num w:numId="34" w16cid:durableId="978997140">
    <w:abstractNumId w:val="21"/>
  </w:num>
  <w:num w:numId="35" w16cid:durableId="1647931972">
    <w:abstractNumId w:val="9"/>
  </w:num>
  <w:num w:numId="36" w16cid:durableId="1051001786">
    <w:abstractNumId w:val="36"/>
  </w:num>
  <w:num w:numId="37" w16cid:durableId="645817139">
    <w:abstractNumId w:val="12"/>
  </w:num>
  <w:num w:numId="38" w16cid:durableId="1975984712">
    <w:abstractNumId w:val="42"/>
  </w:num>
  <w:num w:numId="39" w16cid:durableId="1269502746">
    <w:abstractNumId w:val="32"/>
  </w:num>
  <w:num w:numId="40" w16cid:durableId="626930278">
    <w:abstractNumId w:val="43"/>
  </w:num>
  <w:num w:numId="41" w16cid:durableId="1242836404">
    <w:abstractNumId w:val="17"/>
  </w:num>
  <w:num w:numId="42" w16cid:durableId="1766074587">
    <w:abstractNumId w:val="41"/>
  </w:num>
  <w:num w:numId="43" w16cid:durableId="852494525">
    <w:abstractNumId w:val="6"/>
  </w:num>
  <w:num w:numId="44" w16cid:durableId="585453873">
    <w:abstractNumId w:val="45"/>
  </w:num>
  <w:num w:numId="45" w16cid:durableId="1626422856">
    <w:abstractNumId w:val="0"/>
  </w:num>
  <w:num w:numId="46" w16cid:durableId="617611394">
    <w:abstractNumId w:val="3"/>
  </w:num>
  <w:num w:numId="47" w16cid:durableId="201498955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8A3"/>
    <w:rsid w:val="00004DAC"/>
    <w:rsid w:val="00192D98"/>
    <w:rsid w:val="001C11FC"/>
    <w:rsid w:val="001E49AB"/>
    <w:rsid w:val="002C7476"/>
    <w:rsid w:val="00344E23"/>
    <w:rsid w:val="003B44B6"/>
    <w:rsid w:val="00466CF7"/>
    <w:rsid w:val="00581D91"/>
    <w:rsid w:val="006F68A3"/>
    <w:rsid w:val="00735C68"/>
    <w:rsid w:val="00782ABC"/>
    <w:rsid w:val="007A3FE1"/>
    <w:rsid w:val="0088661B"/>
    <w:rsid w:val="00AA09AD"/>
    <w:rsid w:val="00AF7CCD"/>
    <w:rsid w:val="00B66CA8"/>
    <w:rsid w:val="00C94B48"/>
    <w:rsid w:val="00CA5298"/>
    <w:rsid w:val="00CF3AD1"/>
    <w:rsid w:val="00D17D7B"/>
    <w:rsid w:val="00FE2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F0C9B"/>
  <w15:chartTrackingRefBased/>
  <w15:docId w15:val="{56B510F4-7978-400B-8EC5-DC44752F5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68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68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68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68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68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68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68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68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68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68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68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68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68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68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68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68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68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68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68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68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68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68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68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68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68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68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68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68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68A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C74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7476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35C68"/>
    <w:pPr>
      <w:spacing w:after="0" w:line="240" w:lineRule="auto"/>
    </w:pPr>
    <w:rPr>
      <w:rFonts w:eastAsiaTheme="minorEastAsia"/>
      <w:kern w:val="0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35C68"/>
    <w:rPr>
      <w:rFonts w:eastAsiaTheme="minorEastAsia"/>
      <w:kern w:val="0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mc-uk.org/ethical-guidance/ethical-guidance-for-doctors/good-practice-in-prescribing-and-managing-medicines-and-devices" TargetMode="External"/><Relationship Id="rId13" Type="http://schemas.openxmlformats.org/officeDocument/2006/relationships/hyperlink" Target="https://www.kingsfund.org.uk/insight-and-analysi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data-saves-lives-reshaping-health-and-social-care-with-data?utm_source=chatgpt.com" TargetMode="External"/><Relationship Id="rId12" Type="http://schemas.openxmlformats.org/officeDocument/2006/relationships/hyperlink" Target="https://doi.org/10.1089/tmj.2018.012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geuk.org.uk" TargetMode="External"/><Relationship Id="rId11" Type="http://schemas.openxmlformats.org/officeDocument/2006/relationships/hyperlink" Target="https://www.ons.gov.uk/peoplepopulationandcommunity/birthsdeathsandmarriages/ageing?utm_source=chatgpt.com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england.nhs.uk/digitaltechnology/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jpim.1217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845</Words>
  <Characters>4823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Dounia Allaiouti</dc:creator>
  <cp:keywords/>
  <dc:description/>
  <cp:lastModifiedBy>Rayan Benmaach</cp:lastModifiedBy>
  <cp:revision>2</cp:revision>
  <dcterms:created xsi:type="dcterms:W3CDTF">2026-07-09T11:51:00Z</dcterms:created>
  <dcterms:modified xsi:type="dcterms:W3CDTF">2026-07-09T11:51:00Z</dcterms:modified>
</cp:coreProperties>
</file>