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comments+xml" PartName="/word/comment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65" w:line="360" w:lineRule="auto"/>
        <w:rPr>
          <w:rFonts w:ascii="Calibri" w:cs="Calibri" w:eastAsia="Calibri" w:hAnsi="Calibri"/>
          <w:sz w:val="40"/>
          <w:szCs w:val="40"/>
        </w:rPr>
      </w:pPr>
      <w:r w:rsidDel="00000000" w:rsidR="00000000" w:rsidRPr="00000000">
        <w:rPr>
          <w:rFonts w:ascii="Calibri" w:cs="Calibri" w:eastAsia="Calibri" w:hAnsi="Calibri"/>
          <w:b w:val="1"/>
        </w:rPr>
        <w:drawing>
          <wp:inline distB="0" distT="0" distL="0" distR="0">
            <wp:extent cx="2209800" cy="742950"/>
            <wp:effectExtent b="0" l="0" r="0" t="0"/>
            <wp:docPr descr="Description: :::::::Desktop:In progress desktop:TRINITY SAINT DAVID:logo:TSD_logo2010.jpg" id="1" name="image1.jpg"/>
            <a:graphic>
              <a:graphicData uri="http://schemas.openxmlformats.org/drawingml/2006/picture">
                <pic:pic>
                  <pic:nvPicPr>
                    <pic:cNvPr descr="Description: :::::::Desktop:In progress desktop:TRINITY SAINT DAVID:logo:TSD_logo2010.jpg" id="0" name="image1.jpg"/>
                    <pic:cNvPicPr preferRelativeResize="0"/>
                  </pic:nvPicPr>
                  <pic:blipFill>
                    <a:blip r:embed="rId7"/>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Calibri" w:cs="Calibri" w:eastAsia="Calibri" w:hAnsi="Calibri"/>
          <w:sz w:val="40"/>
          <w:szCs w:val="40"/>
        </w:rPr>
      </w:pPr>
      <w:r w:rsidDel="00000000" w:rsidR="00000000" w:rsidRPr="00000000">
        <w:rPr>
          <w:rFonts w:ascii="Calibri" w:cs="Calibri" w:eastAsia="Calibri" w:hAnsi="Calibri"/>
          <w:sz w:val="40"/>
          <w:szCs w:val="40"/>
          <w:rtl w:val="0"/>
        </w:rPr>
        <w:t xml:space="preserve">Skills for the Workplace</w:t>
        <w:br w:type="textWrapping"/>
        <w:t xml:space="preserve">Module Assignment Submission </w:t>
        <w:br w:type="textWrapping"/>
      </w:r>
    </w:p>
    <w:tbl>
      <w:tblPr>
        <w:tblStyle w:val="Table1"/>
        <w:tblW w:w="9493.0" w:type="dxa"/>
        <w:jc w:val="left"/>
        <w:tblInd w:w="-11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Student Name:</w:t>
            </w:r>
          </w:p>
        </w:tc>
        <w:tc>
          <w:tcPr/>
          <w:p w:rsidR="00000000" w:rsidDel="00000000" w:rsidP="00000000" w:rsidRDefault="00000000" w:rsidRPr="00000000" w14:paraId="00000004">
            <w:pPr>
              <w:spacing w:after="120" w:before="120" w:line="360" w:lineRule="auto"/>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James Lewis</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Student Number:</w:t>
            </w:r>
          </w:p>
        </w:tc>
        <w:tc>
          <w:tcPr/>
          <w:p w:rsidR="00000000" w:rsidDel="00000000" w:rsidP="00000000" w:rsidRDefault="00000000" w:rsidRPr="00000000" w14:paraId="00000006">
            <w:pPr>
              <w:spacing w:after="120" w:before="120" w:line="360" w:lineRule="auto"/>
              <w:rPr>
                <w:sz w:val="28"/>
                <w:szCs w:val="28"/>
              </w:rPr>
            </w:pPr>
            <w:r w:rsidDel="00000000" w:rsidR="00000000" w:rsidRPr="00000000">
              <w:rPr>
                <w:color w:val="000a0f"/>
                <w:sz w:val="28"/>
                <w:szCs w:val="28"/>
                <w:rtl w:val="0"/>
              </w:rPr>
              <w:t xml:space="preserve">2019456</w:t>
            </w: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Module No:</w:t>
            </w:r>
          </w:p>
        </w:tc>
        <w:tc>
          <w:tcPr/>
          <w:p w:rsidR="00000000" w:rsidDel="00000000" w:rsidP="00000000" w:rsidRDefault="00000000" w:rsidRPr="00000000" w14:paraId="00000008">
            <w:pPr>
              <w:spacing w:after="120" w:before="120" w:line="360" w:lineRule="auto"/>
              <w:rPr>
                <w:rFonts w:ascii="Calibri" w:cs="Calibri" w:eastAsia="Calibri" w:hAnsi="Calibri"/>
                <w:sz w:val="28"/>
                <w:szCs w:val="28"/>
              </w:rPr>
            </w:pPr>
            <w:r w:rsidDel="00000000" w:rsidR="00000000" w:rsidRPr="00000000">
              <w:rPr>
                <w:sz w:val="28"/>
                <w:szCs w:val="28"/>
                <w:rtl w:val="0"/>
              </w:rPr>
              <w:t xml:space="preserve">BMSK6005 </w:t>
            </w:r>
            <w:r w:rsidDel="00000000" w:rsidR="00000000" w:rsidRPr="00000000">
              <w:rPr>
                <w:rtl w:val="0"/>
              </w:rPr>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Module Title:</w:t>
            </w:r>
          </w:p>
        </w:tc>
        <w:tc>
          <w:tcPr/>
          <w:p w:rsidR="00000000" w:rsidDel="00000000" w:rsidP="00000000" w:rsidRDefault="00000000" w:rsidRPr="00000000" w14:paraId="0000000A">
            <w:pPr>
              <w:spacing w:after="100" w:lineRule="auto"/>
              <w:rPr>
                <w:rFonts w:ascii="Calibri" w:cs="Calibri" w:eastAsia="Calibri" w:hAnsi="Calibri"/>
                <w:sz w:val="28"/>
                <w:szCs w:val="28"/>
              </w:rPr>
            </w:pPr>
            <w:r w:rsidDel="00000000" w:rsidR="00000000" w:rsidRPr="00000000">
              <w:rPr>
                <w:sz w:val="28"/>
                <w:szCs w:val="28"/>
                <w:rtl w:val="0"/>
              </w:rPr>
              <w:t xml:space="preserve">BMSK6005 - Coaching &amp; Mentoring Skills for the Workplace</w:t>
            </w:r>
            <w:r w:rsidDel="00000000" w:rsidR="00000000" w:rsidRPr="00000000">
              <w:rPr>
                <w:rtl w:val="0"/>
              </w:rPr>
            </w:r>
          </w:p>
        </w:tc>
      </w:tr>
    </w:tbl>
    <w:p w:rsidR="00000000" w:rsidDel="00000000" w:rsidP="00000000" w:rsidRDefault="00000000" w:rsidRPr="00000000" w14:paraId="0000000B">
      <w:pPr>
        <w:spacing w:after="120" w:before="120" w:line="360" w:lineRule="auto"/>
        <w:rPr>
          <w:rFonts w:ascii="Calibri" w:cs="Calibri" w:eastAsia="Calibri" w:hAnsi="Calibri"/>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Attention is drawn to the plagiarism and unfair practice policies of both the University and of ILM.</w:t>
      </w:r>
    </w:p>
    <w:p w:rsidR="00000000" w:rsidDel="00000000" w:rsidP="00000000" w:rsidRDefault="00000000" w:rsidRPr="00000000" w14:paraId="0000000F">
      <w:pPr>
        <w:spacing w:after="160" w:line="259" w:lineRule="auto"/>
        <w:rPr>
          <w:rFonts w:ascii="Calibri" w:cs="Calibri" w:eastAsia="Calibri" w:hAnsi="Calibri"/>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spacing w:before="240" w:line="259" w:lineRule="auto"/>
        <w:rPr>
          <w:rFonts w:ascii="Calibri" w:cs="Calibri" w:eastAsia="Calibri" w:hAnsi="Calibri"/>
          <w:color w:val="2e75b5"/>
          <w:sz w:val="32"/>
          <w:szCs w:val="32"/>
        </w:rPr>
      </w:pPr>
      <w:r w:rsidDel="00000000" w:rsidR="00000000" w:rsidRPr="00000000">
        <w:rPr>
          <w:rtl w:val="0"/>
        </w:rPr>
      </w:r>
    </w:p>
    <w:p w:rsidR="00000000" w:rsidDel="00000000" w:rsidP="00000000" w:rsidRDefault="00000000" w:rsidRPr="00000000" w14:paraId="00000011">
      <w:pPr>
        <w:keepNext w:val="1"/>
        <w:keepLines w:val="1"/>
        <w:spacing w:before="240" w:line="259" w:lineRule="auto"/>
        <w:rPr>
          <w:rFonts w:ascii="Roboto" w:cs="Roboto" w:eastAsia="Roboto" w:hAnsi="Roboto"/>
          <w:color w:val="2e75b5"/>
          <w:sz w:val="24"/>
          <w:szCs w:val="24"/>
        </w:rPr>
      </w:pPr>
      <w:r w:rsidDel="00000000" w:rsidR="00000000" w:rsidRPr="00000000">
        <w:rPr>
          <w:rFonts w:ascii="Calibri" w:cs="Calibri" w:eastAsia="Calibri" w:hAnsi="Calibri"/>
          <w:color w:val="2e75b5"/>
          <w:sz w:val="32"/>
          <w:szCs w:val="32"/>
          <w:rtl w:val="0"/>
        </w:rPr>
        <w:t xml:space="preserve">Table of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2">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6ncgcoptm2u6">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seci model use this model when referring to mentoring</w:t>
              <w:tab/>
              <w:t xml:space="preserve">2</w:t>
            </w:r>
          </w:hyperlink>
          <w:r w:rsidDel="00000000" w:rsidR="00000000" w:rsidRPr="00000000">
            <w:rPr>
              <w:rtl w:val="0"/>
            </w:rPr>
          </w:r>
        </w:p>
        <w:p w:rsidR="00000000" w:rsidDel="00000000" w:rsidP="00000000" w:rsidRDefault="00000000" w:rsidRPr="00000000" w14:paraId="00000013">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waegjt81oqsw">
            <w:r w:rsidDel="00000000" w:rsidR="00000000" w:rsidRPr="00000000">
              <w:rPr>
                <w:rFonts w:ascii="Roboto" w:cs="Roboto" w:eastAsia="Roboto" w:hAnsi="Roboto"/>
                <w:b w:val="1"/>
                <w:i w:val="0"/>
                <w:smallCaps w:val="0"/>
                <w:strike w:val="0"/>
                <w:color w:val="343541"/>
                <w:sz w:val="24"/>
                <w:szCs w:val="24"/>
                <w:u w:val="none"/>
                <w:shd w:fill="auto" w:val="clear"/>
                <w:vertAlign w:val="baseline"/>
                <w:rtl w:val="0"/>
              </w:rPr>
              <w:t xml:space="preserve">Introduction</w:t>
              <w:tab/>
              <w:t xml:space="preserve">2</w:t>
            </w:r>
          </w:hyperlink>
          <w:r w:rsidDel="00000000" w:rsidR="00000000" w:rsidRPr="00000000">
            <w:rPr>
              <w:rtl w:val="0"/>
            </w:rPr>
          </w:r>
        </w:p>
        <w:p w:rsidR="00000000" w:rsidDel="00000000" w:rsidP="00000000" w:rsidRDefault="00000000" w:rsidRPr="00000000" w14:paraId="00000014">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xqx5msn0krnh">
            <w:r w:rsidDel="00000000" w:rsidR="00000000" w:rsidRPr="00000000">
              <w:rPr>
                <w:rFonts w:ascii="Roboto" w:cs="Roboto" w:eastAsia="Roboto" w:hAnsi="Roboto"/>
                <w:b w:val="1"/>
                <w:i w:val="0"/>
                <w:smallCaps w:val="0"/>
                <w:strike w:val="0"/>
                <w:color w:val="343541"/>
                <w:sz w:val="24"/>
                <w:szCs w:val="24"/>
                <w:u w:val="none"/>
                <w:shd w:fill="auto" w:val="clear"/>
                <w:vertAlign w:val="baseline"/>
                <w:rtl w:val="0"/>
              </w:rPr>
              <w:t xml:space="preserve">1.0 Explain the similarities and differences of coaching and mentoring within an organisational context.</w:t>
              <w:tab/>
              <w:t xml:space="preserve">3</w:t>
            </w:r>
          </w:hyperlink>
          <w:r w:rsidDel="00000000" w:rsidR="00000000" w:rsidRPr="00000000">
            <w:rPr>
              <w:rtl w:val="0"/>
            </w:rPr>
          </w:r>
        </w:p>
        <w:p w:rsidR="00000000" w:rsidDel="00000000" w:rsidP="00000000" w:rsidRDefault="00000000" w:rsidRPr="00000000" w14:paraId="00000015">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8wod951jj5us">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2.0 Critically explore the knowledge, skills, attitude and behaviours needed by an effective workplace coach or mentor</w:t>
              <w:tab/>
              <w:t xml:space="preserve">13</w:t>
            </w:r>
          </w:hyperlink>
          <w:r w:rsidDel="00000000" w:rsidR="00000000" w:rsidRPr="00000000">
            <w:rPr>
              <w:rtl w:val="0"/>
            </w:rPr>
          </w:r>
        </w:p>
        <w:p w:rsidR="00000000" w:rsidDel="00000000" w:rsidP="00000000" w:rsidRDefault="00000000" w:rsidRPr="00000000" w14:paraId="00000016">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g02bvk6wu95z">
            <w:r w:rsidDel="00000000" w:rsidR="00000000" w:rsidRPr="00000000">
              <w:rPr>
                <w:rFonts w:ascii="Roboto" w:cs="Roboto" w:eastAsia="Roboto" w:hAnsi="Roboto"/>
                <w:b w:val="1"/>
                <w:i w:val="0"/>
                <w:smallCaps w:val="0"/>
                <w:strike w:val="0"/>
                <w:color w:val="000000"/>
                <w:sz w:val="24"/>
                <w:szCs w:val="24"/>
                <w:u w:val="none"/>
                <w:shd w:fill="auto" w:val="clear"/>
                <w:vertAlign w:val="baseline"/>
                <w:rtl w:val="0"/>
              </w:rPr>
              <w:t xml:space="preserve">3.0 Critically assess a model or process that should be followed when formally coaching or mentoring</w:t>
              <w:tab/>
              <w:t xml:space="preserve">14</w:t>
            </w:r>
          </w:hyperlink>
          <w:r w:rsidDel="00000000" w:rsidR="00000000" w:rsidRPr="00000000">
            <w:rPr>
              <w:rtl w:val="0"/>
            </w:rPr>
          </w:r>
        </w:p>
        <w:p w:rsidR="00000000" w:rsidDel="00000000" w:rsidP="00000000" w:rsidRDefault="00000000" w:rsidRPr="00000000" w14:paraId="00000017">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20kjeqw2xa21">
            <w:r w:rsidDel="00000000" w:rsidR="00000000" w:rsidRPr="00000000">
              <w:rPr>
                <w:rFonts w:ascii="Roboto" w:cs="Roboto" w:eastAsia="Roboto" w:hAnsi="Roboto"/>
                <w:b w:val="1"/>
                <w:i w:val="0"/>
                <w:smallCaps w:val="0"/>
                <w:strike w:val="0"/>
                <w:color w:val="343541"/>
                <w:sz w:val="24"/>
                <w:szCs w:val="24"/>
                <w:u w:val="none"/>
                <w:shd w:fill="auto" w:val="clear"/>
                <w:vertAlign w:val="baseline"/>
                <w:rtl w:val="0"/>
              </w:rPr>
              <w:t xml:space="preserve">References</w:t>
              <w:tab/>
              <w:t xml:space="preserve">16</w:t>
            </w:r>
          </w:hyperlink>
          <w:r w:rsidDel="00000000" w:rsidR="00000000" w:rsidRPr="00000000">
            <w:rPr>
              <w:rtl w:val="0"/>
            </w:rPr>
          </w:r>
        </w:p>
        <w:p w:rsidR="00000000" w:rsidDel="00000000" w:rsidP="00000000" w:rsidRDefault="00000000" w:rsidRPr="00000000" w14:paraId="00000018">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otsgpxbo15bq">
            <w:r w:rsidDel="00000000" w:rsidR="00000000" w:rsidRPr="00000000">
              <w:rPr>
                <w:rFonts w:ascii="Roboto" w:cs="Roboto" w:eastAsia="Roboto" w:hAnsi="Roboto"/>
                <w:b w:val="1"/>
                <w:i w:val="0"/>
                <w:smallCaps w:val="0"/>
                <w:strike w:val="0"/>
                <w:color w:val="343541"/>
                <w:sz w:val="24"/>
                <w:szCs w:val="24"/>
                <w:u w:val="none"/>
                <w:shd w:fill="auto" w:val="clear"/>
                <w:vertAlign w:val="baseline"/>
                <w:rtl w:val="0"/>
              </w:rPr>
              <w:t xml:space="preserve">Appendix</w:t>
              <w:tab/>
              <w:t xml:space="preserve">17</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9">
      <w:pPr>
        <w:keepNext w:val="1"/>
        <w:keepLines w:val="1"/>
        <w:spacing w:before="240" w:line="259" w:lineRule="auto"/>
        <w:rPr>
          <w:rFonts w:ascii="Roboto" w:cs="Roboto" w:eastAsia="Roboto" w:hAnsi="Roboto"/>
          <w:color w:val="2e75b5"/>
          <w:sz w:val="24"/>
          <w:szCs w:val="24"/>
        </w:rPr>
      </w:pPr>
      <w:r w:rsidDel="00000000" w:rsidR="00000000" w:rsidRPr="00000000">
        <w:rPr>
          <w:rtl w:val="0"/>
        </w:rPr>
      </w:r>
    </w:p>
    <w:p w:rsidR="00000000" w:rsidDel="00000000" w:rsidP="00000000" w:rsidRDefault="00000000" w:rsidRPr="00000000" w14:paraId="0000001A">
      <w:pPr>
        <w:pStyle w:val="Heading2"/>
        <w:spacing w:after="0" w:before="40" w:line="259" w:lineRule="auto"/>
        <w:rPr>
          <w:rFonts w:ascii="Roboto" w:cs="Roboto" w:eastAsia="Roboto" w:hAnsi="Roboto"/>
          <w:color w:val="343541"/>
          <w:sz w:val="24"/>
          <w:szCs w:val="24"/>
        </w:rPr>
      </w:pPr>
      <w:bookmarkStart w:colFirst="0" w:colLast="0" w:name="_zcuawk1opr63" w:id="0"/>
      <w:bookmarkEnd w:id="0"/>
      <w:r w:rsidDel="00000000" w:rsidR="00000000" w:rsidRPr="00000000">
        <w:rPr>
          <w:rtl w:val="0"/>
        </w:rPr>
      </w:r>
    </w:p>
    <w:p w:rsidR="00000000" w:rsidDel="00000000" w:rsidP="00000000" w:rsidRDefault="00000000" w:rsidRPr="00000000" w14:paraId="0000001B">
      <w:pPr>
        <w:pStyle w:val="Heading2"/>
        <w:spacing w:after="0" w:before="40" w:line="259" w:lineRule="auto"/>
        <w:rPr>
          <w:rFonts w:ascii="Roboto" w:cs="Roboto" w:eastAsia="Roboto" w:hAnsi="Roboto"/>
          <w:color w:val="343541"/>
          <w:sz w:val="24"/>
          <w:szCs w:val="24"/>
        </w:rPr>
      </w:pPr>
      <w:bookmarkStart w:colFirst="0" w:colLast="0" w:name="_622rr5ccl82b" w:id="1"/>
      <w:bookmarkEnd w:id="1"/>
      <w:r w:rsidDel="00000000" w:rsidR="00000000" w:rsidRPr="00000000">
        <w:rPr>
          <w:rtl w:val="0"/>
        </w:rPr>
      </w:r>
    </w:p>
    <w:p w:rsidR="00000000" w:rsidDel="00000000" w:rsidP="00000000" w:rsidRDefault="00000000" w:rsidRPr="00000000" w14:paraId="0000001C">
      <w:pPr>
        <w:pStyle w:val="Heading2"/>
        <w:spacing w:after="0" w:before="40" w:line="259" w:lineRule="auto"/>
        <w:rPr>
          <w:rFonts w:ascii="Roboto" w:cs="Roboto" w:eastAsia="Roboto" w:hAnsi="Roboto"/>
          <w:b w:val="1"/>
          <w:color w:val="343541"/>
          <w:sz w:val="24"/>
          <w:szCs w:val="24"/>
          <w:u w:val="single"/>
        </w:rPr>
      </w:pPr>
      <w:bookmarkStart w:colFirst="0" w:colLast="0" w:name="_waegjt81oqsw" w:id="2"/>
      <w:bookmarkEnd w:id="2"/>
      <w:r w:rsidDel="00000000" w:rsidR="00000000" w:rsidRPr="00000000">
        <w:rPr>
          <w:rFonts w:ascii="Roboto" w:cs="Roboto" w:eastAsia="Roboto" w:hAnsi="Roboto"/>
          <w:b w:val="1"/>
          <w:color w:val="343541"/>
          <w:sz w:val="24"/>
          <w:szCs w:val="24"/>
          <w:u w:val="single"/>
          <w:rtl w:val="0"/>
        </w:rPr>
        <w:t xml:space="preserve">Introduction</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commentRangeStart w:id="0"/>
      <w:r w:rsidDel="00000000" w:rsidR="00000000" w:rsidRPr="00000000">
        <w:rPr>
          <w:rtl w:val="0"/>
        </w:rPr>
        <w:t xml:space="preserve">The importance of coaching and mentoring in the organisational context cannot be overstated. As organisations strive to develop and retain their employees, coaching and mentoring have become increasingly popular methods to facilitate employee growth and development. However, coaching and mentoring are distinct approaches that differ in their focus and approach. This paper will explore the similarities and differences between coaching and mentoring in the organisational context. By understanding the similarities and differences between these two approaches, we can better understand their unique contributions to employee development. Additionally, we will critically explore the knowledge, skills, attitudes, and behaviours that are needed for an effective workplace coach or mentor. </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These competencies are essential for coaches and mentors to be able to facilitate growth and development in their coachees/mentees. Moreover, the paper will critically assess a model or process that should be followed when formally coaching or mentoring in the workplace. This assessment is important as it helps organisations to develop and implement effective coaching and mentoring programs that are tailored to the specific needs of their employees. Overall, this paper aims to provide a comprehensive overview of coaching and mentoring as developmental interventions in the workplace. It is hoped that the insights provided in this paper will help organisations to better understand the unique contributions of coaching and mentoring and to effectively develop and support their employees through these programs.</w:t>
      </w:r>
      <w:commentRangeEnd w:id="0"/>
      <w:r w:rsidDel="00000000" w:rsidR="00000000" w:rsidRPr="00000000">
        <w:commentReference w:id="0"/>
      </w:r>
      <w:r w:rsidDel="00000000" w:rsidR="00000000" w:rsidRPr="00000000">
        <w:rPr>
          <w:rtl w:val="0"/>
        </w:rPr>
      </w:r>
    </w:p>
    <w:p w:rsidR="00000000" w:rsidDel="00000000" w:rsidP="00000000" w:rsidRDefault="00000000" w:rsidRPr="00000000" w14:paraId="00000021">
      <w:pPr>
        <w:pStyle w:val="Heading2"/>
        <w:spacing w:after="0" w:before="40" w:line="259" w:lineRule="auto"/>
        <w:rPr>
          <w:rFonts w:ascii="Roboto" w:cs="Roboto" w:eastAsia="Roboto" w:hAnsi="Roboto"/>
          <w:b w:val="1"/>
          <w:color w:val="343541"/>
          <w:sz w:val="24"/>
          <w:szCs w:val="24"/>
        </w:rPr>
      </w:pPr>
      <w:bookmarkStart w:colFirst="0" w:colLast="0" w:name="_8alxdbu0br28" w:id="3"/>
      <w:bookmarkEnd w:id="3"/>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pStyle w:val="Heading2"/>
        <w:spacing w:after="0" w:before="40" w:line="259" w:lineRule="auto"/>
        <w:rPr>
          <w:rFonts w:ascii="Roboto" w:cs="Roboto" w:eastAsia="Roboto" w:hAnsi="Roboto"/>
          <w:b w:val="1"/>
          <w:color w:val="343541"/>
          <w:sz w:val="24"/>
          <w:szCs w:val="24"/>
          <w:u w:val="single"/>
        </w:rPr>
      </w:pPr>
      <w:bookmarkStart w:colFirst="0" w:colLast="0" w:name="_xqx5msn0krnh" w:id="4"/>
      <w:bookmarkEnd w:id="4"/>
      <w:commentRangeStart w:id="1"/>
      <w:r w:rsidDel="00000000" w:rsidR="00000000" w:rsidRPr="00000000">
        <w:rPr>
          <w:rFonts w:ascii="Roboto" w:cs="Roboto" w:eastAsia="Roboto" w:hAnsi="Roboto"/>
          <w:b w:val="1"/>
          <w:color w:val="343541"/>
          <w:sz w:val="24"/>
          <w:szCs w:val="24"/>
          <w:u w:val="single"/>
          <w:rtl w:val="0"/>
        </w:rPr>
        <w:t xml:space="preserve">1.0 Explain the similarities and differences of coaching and mentoring within an organisational context.</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Coaching and mentoring are two forms of development interventions that are commonly used in organisational settings to help employees improve their performance and achieve their career goals, both coaching and mentoring are valuable approaches for personal and professional development within an organisational context. According to Hawkins (2017), coaching and mentoring are crucial elements in effective leadership development strategies. They create a secure environment for individuals to assess their own performance, obtain fresh insights and perspectives, and cultivate the competencies and knowledge necessary to accomplish their objectives.</w:t>
      </w:r>
      <w:r w:rsidDel="00000000" w:rsidR="00000000" w:rsidRPr="00000000">
        <w:rPr>
          <w:rtl w:val="0"/>
        </w:rPr>
        <w:t xml:space="preserve"> </w:t>
      </w:r>
      <w:r w:rsidDel="00000000" w:rsidR="00000000" w:rsidRPr="00000000">
        <w:rPr>
          <w:rtl w:val="0"/>
        </w:rPr>
        <w:t xml:space="preserve">By instilling a coaching and mentoring culture within an organisation, leaders can inspire their employees to take charge of their professional growth and tap into their full potential.</w:t>
      </w: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To achieve their objectives of promoting personal and professional development, both coaching and mentoring demand certain essential skills and behaviours from the coach or mentor. These include effective communication, active listening, and feedback. Rogers (1995) emphasises the importance of effective communication in coaching and mentoring, asserting that it is not just a matter of following prescribed procedures, but involves exhibiting an attitude that demonstrates genuine concern for the other person's value, actively listening to them, and showing care for them. These components provide the foundation of these approaches and enable the establishment of a relationship based on trust and mutual respect between the coach/mentor and the coachee/mentee.Whitmore (2009) emphasises the importance of effective communication, active listening, and feedback as fundamental skills and behaviours essential for the success of coaching and mentoring initiatives. Whitemore argued that coaching is not about teaching, but unlocking a person's potential to maximise their own performance through asking questions, listening, and giving feedback. Developing these competencies is crucial in establishing a relationship of trust and respect between the coach/mentor and the coachee/mentee, creating a supportive and personalised learning environment that fosters personal and professional growth.</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color w:val="ff0000"/>
        </w:rPr>
      </w:pPr>
      <w:r w:rsidDel="00000000" w:rsidR="00000000" w:rsidRPr="00000000">
        <w:rPr>
          <w:rtl w:val="0"/>
        </w:rPr>
        <w:t xml:space="preserve">The establishment of a one-on-one relationship between a more experienced individual and a less experienced individual is a fundamental similarity between coaching and mentoring, both of which are frequently utilised in organisational settings to enhance professional and personal development. According to Hudson (1999), the relationship between the coach or mentor and the coachee or mentee is a crucial determinant of the success of coaching or mentoring interventions. This link serves as a vital component of both approaches, offering an avenue for the exchange of ideas, feedback, and knowledge, as well as facilitating the development of trust and respect between the individuals involved.</w:t>
      </w:r>
      <w:commentRangeEnd w:id="1"/>
      <w:r w:rsidDel="00000000" w:rsidR="00000000" w:rsidRPr="00000000">
        <w:commentReference w:id="1"/>
      </w:r>
      <w:r w:rsidDel="00000000" w:rsidR="00000000" w:rsidRPr="00000000">
        <w:rPr>
          <w:rtl w:val="0"/>
        </w:rPr>
        <w:t xml:space="preserve"> </w:t>
      </w:r>
      <w:commentRangeStart w:id="2"/>
      <w:r w:rsidDel="00000000" w:rsidR="00000000" w:rsidRPr="00000000">
        <w:rPr>
          <w:rtl w:val="0"/>
        </w:rPr>
        <w:t xml:space="preserve">Kram (1985) emphasises the importance of establishing a trusting and respectful relationship between mentors and mentees in order to achieve success in mentoring initiatives. For Kram, mentoring is not just about transmitting knowledge and skills; it involves creating a relationship based on mutual respect, trust, and openness. This relationship requires honest and candid feedback, active listening, and a willingness to learn from each other. Kram argues that without such a relationship, mentoring initiatives may not achieve their intended objectives. Creating such an environment allows the coachee/mentee to feel at ease in sharing their experiences and challenges with the mentor/coach, enabling the provision of more targeted and personalised support. Moreover, this relationship permits the mentor/coach to gain a better understanding of the coachee/mentee's professional and personal goals, facilitating the provision of guidance and support that is aligned with these objectives. In sum, developing a trusting and respectful relationship is an essential aspect of successful coaching and mentoring initiatives, as it creates a safe and supportive environment for the coachee/mentee to learn and grow.</w:t>
      </w:r>
      <w:r w:rsidDel="00000000" w:rsidR="00000000" w:rsidRPr="00000000">
        <w:rPr>
          <w:rtl w:val="0"/>
        </w:rPr>
        <w:t xml:space="preserve">In conclusion, while coaching and mentoring differ in many ways, including their objectives and approach, they share a significant similarity in their reliance on a one-on-one relationship between a more experienced individual and a less experienced individual. This connection serves as a critical component of both approaches, creating an environment that supports personalised learning, growth, and development.</w:t>
      </w: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Both coaching and mentoring aim to facilitate employee growth and development, but they differ in their approach and focus. Coaching is geared towards improving specific skills or behaviours, even though they may not possess direct experience in the employee's field or organisation. while mentoring is typically facilitated by a more experienced colleague or supervisor within the organisation who has a deep understanding of the employee's work and organisational context. Through mentoring, the mentee develops the skills and knowledge needed to advance their career within the organisation. </w:t>
      </w:r>
      <w:r w:rsidDel="00000000" w:rsidR="00000000" w:rsidRPr="00000000">
        <w:rPr>
          <w:rtl w:val="0"/>
        </w:rPr>
        <w:t xml:space="preserve">The American Psychological Association (APA) defines mentoring as "a professional relationship in which an experienced person (the mentor) assists another (the mentee) in developing specific skills and knowledge that will enhance the less-experienced person's professional and personal growth."</w:t>
      </w: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Organisations need to understand these differences to determine the most suitable approach for their employees' unique needs and objectives. Investing in effective coaching and mentoring can contribute to the development of a skilled and motivated workforce, resulting in improved job performance and higher job satisfaction.</w:t>
      </w:r>
      <w:r w:rsidDel="00000000" w:rsidR="00000000" w:rsidRPr="00000000">
        <w:rPr>
          <w:rtl w:val="0"/>
        </w:rPr>
        <w:t xml:space="preserve"> </w:t>
      </w:r>
      <w:r w:rsidDel="00000000" w:rsidR="00000000" w:rsidRPr="00000000">
        <w:rPr>
          <w:rtl w:val="0"/>
        </w:rPr>
        <w:t xml:space="preserve">The difference in the provider's background has a significant impact on the nature of the coaching and mentoring interventions. In coaching, the coach may bring a fresh perspective and objective insights that may not be available to someone familiar with the coachee's work and organisation. This outside perspective can be particularly valuable in situations where the coachee is facing a challenge that requires creative problem-solving. The International Coach Federation (ICF) defines coaching as "partnering with clients in a thought-provoking and creative process that inspires them to maximise their personal and professional potential." This definition emphasises the coach's role as a collaborator who empowers clients to explore and reach their goals by asking thought-provoking questions, encouraging creative thinking, and providing support. Coaching is generally geared towards short-term performance improvement.</w:t>
      </w: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 By contrast, in mentoring, the mentor's expertise and experience in the mentee’s specific field or organisation can be invaluable in providing practical guidance and support.  According to the European Mentoring and Coaching Council (EMCC), mentoring is defined as "a learning relationship that involves the exchange of skills, knowledge, and expertise between a mentor and mentee through developmental conversations, experience sharing, and role modelling." The mentor-mentee relationship may cover a wide range of contexts, and it is a mutually beneficial, two-way partnership that emphasises learning from differences. Mentoring is typically focused on developing the mentee's knowledge and expertise in a specific domain, often with a focus on career advancement. In an organisational setting, coaching and mentoring serve distinct purposes.</w:t>
      </w: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Coaching and mentoring are two distinct approaches used to support employee growth and development. While they share some similarities, such as the goal of improving performance, they differ in their levels of directionality.</w:t>
      </w:r>
      <w:r w:rsidDel="00000000" w:rsidR="00000000" w:rsidRPr="00000000">
        <w:rPr>
          <w:rtl w:val="0"/>
        </w:rPr>
        <w:t xml:space="preserve"> Whitmore (2009) maintained that coaching and mentoring in an organisational context have notable distinctions. Coaching primarily aims to help individuals unleash their potential and attain their objectives, while mentoring aims to offer guidance and support based on the mentor's personal experience and expertise. </w:t>
      </w:r>
      <w:r w:rsidDel="00000000" w:rsidR="00000000" w:rsidRPr="00000000">
        <w:rPr>
          <w:rtl w:val="0"/>
        </w:rPr>
        <w:t xml:space="preserve">Mentoring typically involves a more experienced person sharing their expertise and experience with a less experienced individual. As Kram (1985) notes, the mentor often takes a more directive approach, offering specific advice and guidance to the mentee. This approach can be especially beneficial when the mentee lacks knowledge or experience in a particular area, and the mentor is an expert in that field.</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In a study conducted by Deloitte, a global consulting firm, mentoring was used as a tool to improve the workforce of a Fortune 500 company (Deloitte, 2016). The mentoring program was designed to help the company's high-potential employees develop the skills and knowledge they needed to advance in their careers.The program paired these high-potential employees with senior leaders within the company who had the experience and expertise to guide and advise them. The mentors provided regular feedback, shared their knowledge and experiences, and helped their mentees navigate the complexities of the company and the industry.The program had a significant impact on the workforce, with mentees reporting improvements in their confidence, decision-making, and leadership abilities. They also reported higher levels of engagement and job satisfaction. The program also had a positive impact on the company's bottom line, with increased employee retention and productivity.In conclusion, the mentoring program implemented by Deloitte was an effective tool for improving the workforce of a Fortune 500 company. The program provided high-potential employees with the guidance and support they needed to develop their skills and advance in their careers, resulting in increased engagement, job satisfaction, and productivity. </w:t>
      </w: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In contrast, coaching is typically more facilitative, with the coach helping the coachee identify and develop their own solutions. This approach is particularly useful when the coachee has some experience or knowledge in the area of focus, but needs guidance in developing specific skills or behaviours. Scalewise (n.d.) conducted a case study which exemplified this approach through their collaboration with Zendesk, a worldwide customer service software company employing over 4,000 individuals.They faced challenges with its account executives achieving sales targets and managing their workload and stress levels in its fast-paced and competitive sales environment. To address this, the coaching company worked in close collaboration with Zendesk to provide coaching services to its account executives. The coaching program included one-on-one coaching sessions and group training sessions aimed at developing skills such as effective communication, time management, and stress management.The coaching program proved to be effective in helping account executives overcome their challenges and develop the necessary skills and strategies to succeed in their roles. The coaches worked with account executives to identify and address specific challenges and to develop personalised strategies for improving sales performance. The program also provided ongoing learning and development tools and resources, including assessments, goal-setting tools, and feedback mechanisms.</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As a result of the coaching program, account executives reported improvements in confidence, motivation, workload and stress management, and sales performance. The coaching program also had a positive impact on the company's bottom line, with increased revenue growth and customer satisfaction. The program contributed to a culture of continuous learning and development within the organisation, which has helped to attract and retain top talent.</w:t>
      </w:r>
      <w:commentRangeEnd w:id="2"/>
      <w:r w:rsidDel="00000000" w:rsidR="00000000" w:rsidRPr="00000000">
        <w:commentReference w:id="2"/>
      </w:r>
      <w:r w:rsidDel="00000000" w:rsidR="00000000" w:rsidRPr="00000000">
        <w:rPr>
          <w:rtl w:val="0"/>
        </w:rPr>
        <w:t xml:space="preserve"> </w:t>
      </w:r>
      <w:commentRangeStart w:id="3"/>
      <w:r w:rsidDel="00000000" w:rsidR="00000000" w:rsidRPr="00000000">
        <w:rPr>
          <w:rtl w:val="0"/>
        </w:rPr>
        <w:t xml:space="preserve">To summarise</w:t>
      </w:r>
      <w:r w:rsidDel="00000000" w:rsidR="00000000" w:rsidRPr="00000000">
        <w:rPr>
          <w:rtl w:val="0"/>
        </w:rPr>
        <w:t xml:space="preserve">, the coaching program was an effective strategy that helped Zendesk's account executives overcome their challenges and develop the skills and strategies needed to be successful in their roles, leading to improved performance and well-being. Additionally, the program contributed to the organisation's overall success, as evidenced by increased revenue growth and customer satisfaction.</w:t>
      </w: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rFonts w:ascii="Roboto" w:cs="Roboto" w:eastAsia="Roboto" w:hAnsi="Roboto"/>
          <w:color w:val="980000"/>
          <w:sz w:val="24"/>
          <w:szCs w:val="24"/>
        </w:rPr>
      </w:pPr>
      <w:r w:rsidDel="00000000" w:rsidR="00000000" w:rsidRPr="00000000">
        <w:rPr>
          <w:rtl w:val="0"/>
        </w:rPr>
        <w:t xml:space="preserve">In conclusion</w:t>
      </w:r>
      <w:r w:rsidDel="00000000" w:rsidR="00000000" w:rsidRPr="00000000">
        <w:rPr>
          <w:rtl w:val="0"/>
        </w:rPr>
        <w:t xml:space="preserve">, coaching and mentoring are both highly valuable approaches for fostering personal and professional development in an organisational context. Although these approaches share some similarities, including a focus on enhancing skills and knowledge, they differ in terms of their structure, goals, and typical providers. Coaching is a collaborative process in which a professional coach partners with a coachee to optimise their potential, whereas mentoring is a purposeful relationship between a mentor and a mentee, in which the mentor provides guidance and support to promote the mentee's growth. Both coaching and mentoring can contribute to improving job performance, enhancing career development, and promoting the overall growth and well-being of individuals within the organisation. Ultimately, choosing the most appropriate approach depends on the individual's needs and goals, the nature of the organisational context, and the availability of appropriate resources.</w:t>
      </w:r>
      <w:commentRangeEnd w:id="3"/>
      <w:r w:rsidDel="00000000" w:rsidR="00000000" w:rsidRPr="00000000">
        <w:commentReference w:id="3"/>
      </w:r>
      <w:r w:rsidDel="00000000" w:rsidR="00000000" w:rsidRPr="00000000">
        <w:rPr>
          <w:rtl w:val="0"/>
        </w:rPr>
      </w:r>
    </w:p>
    <w:p w:rsidR="00000000" w:rsidDel="00000000" w:rsidP="00000000" w:rsidRDefault="00000000" w:rsidRPr="00000000" w14:paraId="0000003B">
      <w:pPr>
        <w:spacing w:after="160" w:line="276" w:lineRule="auto"/>
        <w:rPr>
          <w:rFonts w:ascii="Roboto" w:cs="Roboto" w:eastAsia="Roboto" w:hAnsi="Roboto"/>
          <w:color w:val="980000"/>
          <w:sz w:val="24"/>
          <w:szCs w:val="24"/>
        </w:rPr>
      </w:pPr>
      <w:r w:rsidDel="00000000" w:rsidR="00000000" w:rsidRPr="00000000">
        <w:rPr>
          <w:rtl w:val="0"/>
        </w:rPr>
      </w:r>
    </w:p>
    <w:p w:rsidR="00000000" w:rsidDel="00000000" w:rsidP="00000000" w:rsidRDefault="00000000" w:rsidRPr="00000000" w14:paraId="0000003C">
      <w:pPr>
        <w:spacing w:after="160" w:line="276" w:lineRule="auto"/>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3D">
      <w:pPr>
        <w:pStyle w:val="Heading2"/>
        <w:spacing w:after="0" w:before="40" w:line="259" w:lineRule="auto"/>
        <w:rPr>
          <w:rFonts w:ascii="Roboto" w:cs="Roboto" w:eastAsia="Roboto" w:hAnsi="Roboto"/>
          <w:b w:val="1"/>
          <w:sz w:val="24"/>
          <w:szCs w:val="24"/>
          <w:u w:val="single"/>
        </w:rPr>
      </w:pPr>
      <w:bookmarkStart w:colFirst="0" w:colLast="0" w:name="_8wod951jj5us" w:id="5"/>
      <w:bookmarkEnd w:id="5"/>
      <w:r w:rsidDel="00000000" w:rsidR="00000000" w:rsidRPr="00000000">
        <w:rPr>
          <w:rFonts w:ascii="Roboto" w:cs="Roboto" w:eastAsia="Roboto" w:hAnsi="Roboto"/>
          <w:b w:val="1"/>
          <w:sz w:val="24"/>
          <w:szCs w:val="24"/>
          <w:u w:val="single"/>
          <w:rtl w:val="0"/>
        </w:rPr>
        <w:t xml:space="preserve">2.0 Critically explore the knowledge, skills, attitude and behaviours needed by an effective workplace coach or mentor</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t xml:space="preserve">An effective workplace coach needs a diverse range of knowledge, skills, attitudes and behaviours to support the growth and development of individuals and teams in the workplace, Whitworth (1998) asserted that coaching is about evoking, educting, that which is within a person waiting to be discovered and developed. To be effective, coaches must possess a comprehensive understanding of the coaching process, including its various stages, such as goal-setting, action planning, and evaluation. Familiarity with coaching models and frameworks, like GROW, CLEAR, and SMART, is also crucial to guide the coaching process effectively, </w:t>
      </w:r>
      <w:r w:rsidDel="00000000" w:rsidR="00000000" w:rsidRPr="00000000">
        <w:rPr>
          <w:rtl w:val="0"/>
        </w:rPr>
        <w:t xml:space="preserve">"Coaches need to understand the general principles of coaching and be able to apply them flexibly and creatively according to the needs and wishes of the client." (Cox, E., Bachkirova, T., &amp; Clutterbuck, D. 2014).</w:t>
      </w:r>
      <w:r w:rsidDel="00000000" w:rsidR="00000000" w:rsidRPr="00000000">
        <w:rPr>
          <w:rtl w:val="0"/>
        </w:rPr>
        <w:t xml:space="preserve"> Furthermore, coaches must be familiar with the organisational context in which coaching is taking place. This includes knowledge of the organisational culture, structures, and dynamics that may impact the coaching process, as well as relevant policies, procedures, and legal frameworks related to workplace coaching.</w:t>
      </w: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t xml:space="preserve"> Effective workplace coaches need more than just expertise in their specific industry or field. They also require a deep understanding of human behaviour, communication, and motivation. The Institute for Employment Studies (2013) suggests that coachees prioritise industry experience in their coaches as a crucial factor in coaching effectiveness. This implies that a coach's ability to earn the coachee's respect is vital to effective coaching. However, there are also proponents of the "clean coaching" model that argue that coaches only need expertise in coaching to facilitate progress for their coachees. The Oxford Review, (2018) states that the clean coaching model posits that coaches without subject expertise or knowledge can provide unbiased direction in coaching by helping coachees structure their thoughts and think about things from different perspectives. Overall, while industry experience is important to coachees, it may not be the only factor in determining the effectiveness of a coach..</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t xml:space="preserve">The application of Transactional Analysis (TA) can serve as a valuable means for coaches to acquire a comprehensive understanding of their coachee. TA is a psychological theory that coaches can use to examine and comprehend how individuals interact, communicate, and behave in diverse circumstances. Eric Berne, a psychiatrist, established this personality and communication theory. According to Berne (1972), TA is a social psychology and communication-enhancement approach that aims to empower individuals to attain autonomy, spontaneity, and intimacy in their relationships with themselves and others by analysing the transactions that occur between them. During these transactions, individuals interact through three ego states - Parent, Adult, and Child - that represent different modes of thinking, feeling, and behaving. Please refer to the appendix section for a schematic representation of a fundamental transactional analysis approach applied in the adult-child relationship. By utilising TA, coaches can gain insight into the diverse ego states that individuals may exhibit in different situations. These ego states include Parent, Adult, and Child, and through comprehension of these ego states, individuals can improve their communication, settle conflicts, and establish healthy relationships.</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t xml:space="preserve">A workplace example of this is, a coach who is trained in TA may notice that a client frequently operates from a Child ego state when dealing with authority figures, leading to ineffective communication and conflict. The coach can then work with the client to develop their Adult ego state, which represents a more rational and logical way of thinking and behaving. Through this process, the client can learn to communicate more effectively with authority figures and avoid unnecessary conflict. In summary, TA can be a valuable tool for coaches, enabling them to view human behaviour and motivation through a lens that emphasises communication, interaction, and ego states. With this knowledge, coaches can help their clients to identify patterns in their behaviour and communication, and to make positive changes that can lead to personal and professional growth.</w:t>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t xml:space="preserve">An effective coach must have excellent communication and active listening skills. They should be able to communicate effectively with coachees, establish rapport, and build trust.  As emphasised by Gallwey (1999), Effective coaching is simply good communication, deliberate attention and a genuine desire to see the client succeed. According to Clutterbuck and Megginson (2006), effective coaches are skilled at using a range of communication techniques, including questioning, paraphrasing, summarising, and providing feedback. They are also able to adapt their communication style to suit the coachee's preferences and learning style. A coach who can gain an understanding of their own communication style and the communication styles of others can help them tailor their communication approach to the needs of the individual or team they are working with, enabling them to build stronger relationships with their clients. </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t xml:space="preserve">Effective communication skills are also critical for coaches to build rapport, establish trust, and facilitate the coaching process. In academic literature, communication is described as a process that involves transmitting and receiving messages, with the goal of creating shared meaning between individuals (Devito, 2016). Communication skills refer to the ability to use verbal and nonverbal communication to effectively convey information and ideas to others (Hargie, 2011). In coaching, effective communication skills involve the ability to actively listen to the coachee, understand their needs and goals, and convey feedback in a clear, concise, and respectful manner. Effective communication is a crucial element of coaching, and active listening plays a vital role in achieving this. </w:t>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t xml:space="preserve">Active listening involves not only paying attention to what the coachee is saying but also understanding their perspective, needs, and concerns. As asserted by Kline (1998), Listening of this calibre ignites the human mind. By actively listening, coaches can use this information to guide the coaching process and create a safe and trusting environment in which coachees feel comfortable sharing their thoughts and feelings. To actively listen, coaches must be fully present in the moment and engage with the coachee by asking clarifying questions and reflecting back what has been said. This helps demonstrate that the coachee has been heard and understood, which is essential in building a constructive coaching relationship.</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t xml:space="preserve"> Through active listening, coaches can identify areas of potential growth and help coachees identify their strengths and areas for development. Active listening also facilitates coachees' learning and growth by helping them develop self-awareness, clarify their goals, and identify potential barriers to achieving those goals. </w:t>
      </w:r>
    </w:p>
    <w:p w:rsidR="00000000" w:rsidDel="00000000" w:rsidP="00000000" w:rsidRDefault="00000000" w:rsidRPr="00000000" w14:paraId="0000004E">
      <w:pPr>
        <w:rPr/>
      </w:pPr>
      <w:r w:rsidDel="00000000" w:rsidR="00000000" w:rsidRPr="00000000">
        <w:rPr>
          <w:rtl w:val="0"/>
        </w:rPr>
        <w:t xml:space="preserve">Additionally, coaches can use active listening to identify the coachee's learning style and tailor their coaching approach accordingly. In summary, active listening is a fundamental skill that is essential in the coaching process, and coaches who actively listen to their coachees are better equipped to guide and support them in achieving their goals. Through active listening, coaches can build constructive relationships, facilitate learning and growth, and help coachees identify their strengths and areas for development.</w: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t xml:space="preserve">Coaches who have a deep understanding of human behaviour and effective communication techniques, and who can earn the respect and trust of their coachees, can also be highly effective in helping coachees reach their goals. </w:t>
      </w:r>
      <w:r w:rsidDel="00000000" w:rsidR="00000000" w:rsidRPr="00000000">
        <w:rPr>
          <w:rtl w:val="0"/>
        </w:rPr>
        <w:t xml:space="preserve">According to Maledu (n.d.), coaching is closely related to the human mind and behaviour in the same way as psychology, and thus, the two should be seen as parallel disciplines. While some argue whether coaching is an art or science, Maledu suggests that it is a seamless blend of both.</w:t>
      </w:r>
      <w:r w:rsidDel="00000000" w:rsidR="00000000" w:rsidRPr="00000000">
        <w:rPr>
          <w:rtl w:val="0"/>
        </w:rPr>
        <w:t xml:space="preserve"> Having a thorough understanding of human behaviour and motivation is an essential aspect of being a successful coach. A coach who possesses a deep understanding of human behaviour and motivation can assist their clients in recognizing their strengths, weaknesses, and limiting beliefs, and guide them in overcoming challenges that may hinder their progress. Ultimately, this can help clients achieve their goals and reach their full potential</w:t>
      </w: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t xml:space="preserve"> Another critical skill that effective coaches need is the ability to provide feedback. Feedback is a crucial component of the coaching process, as it enables individuals and teams to reflect on their performance and make adjustments. Coaches who have an idea of how individuals receive feedback and the best way to deliver feedback in a way that is constructive and motivational. As asserted by Grant (2019), Feedback is a critical tool for helping coachees to identify areas for improvement and make progress toward their goals. Effective coaches provide feedback in a constructive and respectful manner, focusing on specific behaviours or actions that can be changed. Feedback should be timely, relevant, and focused on the coachee's goals and needs. In summary, effective communication skills are critical for coaches to build relationships with coachees, facilitate the coaching process, and help coachees achieve their goals.</w: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t xml:space="preserve">Finally, an essential skill for an effective workplace coach is the ability to facilitate change. Coaches need to be skilled at helping individuals and teams to identify areas for improvement and develop action plans to achieve their goals. Coaches who incorporate TA into their coaching techniques can recognize the various phases of change that individuals experience and adapt their approach to assist clients at each stage of the transformation process. In conclusion, effective workplace coaching requires a range of skills that enable coaches to build rapport, provide feedback, ask powerful questions, and facilitate change. Transactional Analysis provides a framework for understanding communication patterns, which can help coaches to develop their skills in these areas, enhance their coaching effectiveness and support the growth and development of individuals and teams in the workplace.</w:t>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t xml:space="preserve">Effective workplace coaching requires not only skills and knowledge but also a specific set of attitudes and behaviours that enable them to create a supportive and empowering coaching relationship with their clients. One of the most critical attitudes that an effective workplace coach needs is a non-judgmental and accepting approach to their clients. coaches should be familiar with the principles of emotional intelligence (EI) and possess high levels of self-awareness, empathy, and social skills. </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In Working with Emotional Intelligence (1998), Goleman defines emotional intelligence as a capacity for recognising our own and others’ feelings, for motivating ourselves, and for managing our emotions, both within ourselves and in our relationships.</w:t>
      </w:r>
      <w:r w:rsidDel="00000000" w:rsidR="00000000" w:rsidRPr="00000000">
        <w:rPr>
          <w:rtl w:val="0"/>
        </w:rPr>
        <w:t xml:space="preserve"> EI enables coaches to recognize and manage their emotions effectively, communicate empathetically, and build positive relationships with coaches. </w:t>
      </w:r>
      <w:r w:rsidDel="00000000" w:rsidR="00000000" w:rsidRPr="00000000">
        <w:rPr>
          <w:color w:val="000a0f"/>
          <w:rtl w:val="0"/>
        </w:rPr>
        <w:t xml:space="preserve">Cary Cherniss (2010) asserts that emotional intelligence is the ability to recognize and manage our own emotions, as well as the emotions of others, that allows us to build strong relationships, communicate effectively, and achieve shared goals.</w:t>
      </w:r>
      <w:r w:rsidDel="00000000" w:rsidR="00000000" w:rsidRPr="00000000">
        <w:rPr>
          <w:color w:val="000a0f"/>
          <w:sz w:val="24"/>
          <w:szCs w:val="24"/>
          <w:rtl w:val="0"/>
        </w:rPr>
        <w:t xml:space="preserve"> </w:t>
      </w:r>
      <w:r w:rsidDel="00000000" w:rsidR="00000000" w:rsidRPr="00000000">
        <w:rPr>
          <w:rtl w:val="0"/>
        </w:rPr>
        <w:t xml:space="preserve">This involves actively listening to clients, validating their experiences, and providing support and encouragement when needed. Recognizing the varying communication styles and emotional states of clients can enable coaches to respond with greater empathy and understanding. </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t xml:space="preserve">By setting aside personal biases and preconceptions about the individual or team they are working with, and instead, focusing on building a relationship that is based on trust, respect, and openness. By incorporating Transactional Analysis (TA) into their coaching approach, coaches have a better understanding of their own values and beliefs and how these may impact their coaching style. This understanding can enable coaches to develop a more accepting and non-judgmental attitude towards their clients, leading to more effective coaching outcomes. Leonard &amp; Larson (1998) argued that Coaching works because it is non-judgmental and supportive, a coach that is curious is a critical mindset for effective workplace coaching. </w:t>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t xml:space="preserve">Coaches need to be genuinely interested in their clients' experiences, thoughts, and feelings, and be willing to explore these in depth, </w:t>
      </w:r>
      <w:r w:rsidDel="00000000" w:rsidR="00000000" w:rsidRPr="00000000">
        <w:rPr>
          <w:rtl w:val="0"/>
        </w:rPr>
        <w:t xml:space="preserve">"The best coaches are constantly seeking to understand their clients better, and to do that they need to be curious." (Clutterbuck, D. 2013).</w:t>
      </w:r>
      <w:r w:rsidDel="00000000" w:rsidR="00000000" w:rsidRPr="00000000">
        <w:rPr>
          <w:rtl w:val="0"/>
        </w:rPr>
        <w:t xml:space="preserve"> This involves asking open-ended questions and actively listening to the responses. Coaches who ask powerful questions that encourage clients to explore their inner worlds more deeply, helping them to foster curiosity and openness towards their clients. Coaches that have a growth mindset, believing that their clients have the potential to develop and grow, and that it is their role as a coach to support them in this process. By employing TA, coaches can gain insight into the distinct ego states and their influence on clients behaviours and perspectives.This can help coaches to identify the limiting beliefs and self-talk that may be hindering clients' progress, and support them in developing more positive and growth-oriented attitudes. </w:t>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t xml:space="preserve">An essential attitude for effective workplace coaching is empathy. Coaches need to be able to put themselves in their clients' shoes and understand their experiences from their perspective. As Rogers (1961) stated, empathy entails understanding the client's world as if it were your own, while retaining the 'as if' characteristic. </w:t>
      </w:r>
      <w:commentRangeStart w:id="4"/>
      <w:r w:rsidDel="00000000" w:rsidR="00000000" w:rsidRPr="00000000">
        <w:rPr>
          <w:rtl w:val="0"/>
        </w:rPr>
        <w:t xml:space="preserve">Empathy involves the ability to put oneself in the coachee's shoes and understand their perspective. A non-judgmental attitude involves the coach withholding judgement or criticism and accepting the coachee's perspective without imposing their own biases or opinions. Paraphrasing involves restating what the coachee has said in one's own words, while summarising involves condensing the key points of the conversation.</w:t>
      </w:r>
      <w:commentRangeEnd w:id="4"/>
      <w:r w:rsidDel="00000000" w:rsidR="00000000" w:rsidRPr="00000000">
        <w:commentReference w:id="4"/>
      </w:r>
      <w:r w:rsidDel="00000000" w:rsidR="00000000" w:rsidRPr="00000000">
        <w:rPr>
          <w:rtl w:val="0"/>
        </w:rPr>
        <w:t xml:space="preserve"> An essential behaviour for effective workplace coaching is the ability to facilitate change. Coaches need to be able to support clients in identifying areas for growth and development, and developing action plans to achieve their goals. This involves being able to adapt to clients' different learning styles and motivational needs, and providing ongoing support and encouragement. By using TA, coaches can develop their understanding of the different stages of change that clients may go through, and tailor their approach to support clients at each stage of the change process.</w:t>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t xml:space="preserve"> In conclusion, effective workplace coaching requires a set of attitudes that enable coaches to create a supportive and empowering coaching relationship with their clients. Transactional Analysis provides a framework for understanding these attitudes and for developing the skills and knowledge needed to support them. By cultivating a non-judgmental and accepting approach, fostering curiosity and openness, developing a growth mindset, and practising empathy, coaches can create a powerful coaching environment that supports the growth and development of individuals and teams in the workplace.</w:t>
      </w:r>
      <w:r w:rsidDel="00000000" w:rsidR="00000000" w:rsidRPr="00000000">
        <w:rPr>
          <w:rtl w:val="0"/>
        </w:rPr>
      </w:r>
    </w:p>
    <w:p w:rsidR="00000000" w:rsidDel="00000000" w:rsidP="00000000" w:rsidRDefault="00000000" w:rsidRPr="00000000" w14:paraId="00000061">
      <w:pPr>
        <w:spacing w:after="160" w:line="259" w:lineRule="auto"/>
        <w:rPr>
          <w:rFonts w:ascii="Roboto" w:cs="Roboto" w:eastAsia="Roboto" w:hAnsi="Roboto"/>
          <w:color w:val="980000"/>
          <w:sz w:val="24"/>
          <w:szCs w:val="24"/>
        </w:rPr>
      </w:pPr>
      <w:r w:rsidDel="00000000" w:rsidR="00000000" w:rsidRPr="00000000">
        <w:rPr>
          <w:rtl w:val="0"/>
        </w:rPr>
      </w:r>
    </w:p>
    <w:p w:rsidR="00000000" w:rsidDel="00000000" w:rsidP="00000000" w:rsidRDefault="00000000" w:rsidRPr="00000000" w14:paraId="00000062">
      <w:pPr>
        <w:spacing w:after="160" w:line="259" w:lineRule="auto"/>
        <w:rPr>
          <w:rFonts w:ascii="Roboto" w:cs="Roboto" w:eastAsia="Roboto" w:hAnsi="Roboto"/>
          <w:color w:val="980000"/>
          <w:sz w:val="24"/>
          <w:szCs w:val="24"/>
          <w:highlight w:val="white"/>
        </w:rPr>
      </w:pPr>
      <w:r w:rsidDel="00000000" w:rsidR="00000000" w:rsidRPr="00000000">
        <w:rPr>
          <w:rtl w:val="0"/>
        </w:rPr>
      </w:r>
    </w:p>
    <w:p w:rsidR="00000000" w:rsidDel="00000000" w:rsidP="00000000" w:rsidRDefault="00000000" w:rsidRPr="00000000" w14:paraId="00000063">
      <w:pPr>
        <w:pStyle w:val="Heading2"/>
        <w:spacing w:after="0" w:before="40" w:line="259" w:lineRule="auto"/>
        <w:rPr>
          <w:rFonts w:ascii="Roboto" w:cs="Roboto" w:eastAsia="Roboto" w:hAnsi="Roboto"/>
          <w:b w:val="1"/>
          <w:sz w:val="24"/>
          <w:szCs w:val="24"/>
          <w:u w:val="single"/>
        </w:rPr>
      </w:pPr>
      <w:bookmarkStart w:colFirst="0" w:colLast="0" w:name="_g02bvk6wu95z" w:id="6"/>
      <w:bookmarkEnd w:id="6"/>
      <w:r w:rsidDel="00000000" w:rsidR="00000000" w:rsidRPr="00000000">
        <w:rPr>
          <w:rFonts w:ascii="Roboto" w:cs="Roboto" w:eastAsia="Roboto" w:hAnsi="Roboto"/>
          <w:b w:val="1"/>
          <w:sz w:val="24"/>
          <w:szCs w:val="24"/>
          <w:u w:val="single"/>
          <w:rtl w:val="0"/>
        </w:rPr>
        <w:t xml:space="preserve">3.0 Critically assess a model or process that should be followed when formally coaching or mentoring</w:t>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color w:val="ff0000"/>
        </w:rPr>
      </w:pPr>
      <w:r w:rsidDel="00000000" w:rsidR="00000000" w:rsidRPr="00000000">
        <w:rPr>
          <w:color w:val="ff0000"/>
          <w:rtl w:val="0"/>
        </w:rPr>
        <w:t xml:space="preserve">CAn I look at two models? Asses main model to another model which seems to be better structured </w:t>
        <w:tab/>
      </w: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t xml:space="preserve">Coaching has emerged as a prominent method for developing senior leaders and executives, as well as for enhancing employee potential and work performance, according to the Chartered Management Institute (n.d.) The effectiveness of coaching lies in its ability to provide a cost-effective approach to development, which is tailored to the specific needs of individuals. By investing in employee development through coaching, organisations can reduce the need for new hires and also enhance motivation levels, which in turn can lead to a reduction in staff turnover. A coach should carefully consider the specific needs of the client and the goals they want to achieve, in order to determine the most appropriate coaching method. There are a variety of coaching methods available, each with its own strengths and weaknesses.</w:t>
      </w:r>
    </w:p>
    <w:p w:rsidR="00000000" w:rsidDel="00000000" w:rsidP="00000000" w:rsidRDefault="00000000" w:rsidRPr="00000000" w14:paraId="00000068">
      <w:pPr>
        <w:rPr>
          <w:color w:val="ff0000"/>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t xml:space="preserve">The GROW model is a straightforward and robust framework that is extensively employed in various coaching and mentoring fields such as personal coaching, career coaching, life coaching, and business coaching. </w:t>
      </w:r>
      <w:r w:rsidDel="00000000" w:rsidR="00000000" w:rsidRPr="00000000">
        <w:rPr>
          <w:rtl w:val="0"/>
        </w:rPr>
        <w:t xml:space="preserve">According to Whitmore (2009), the GROW model is a popular coaching framework that offers a systematic approach for establishing and attaining goals. The GROW acronym stands for Goal, Reality, Options, and Way Forward, which provides a structure for the coach to steer the coachee through a process of goal setting and accomplishment. By following the GROW model, the coach can help the client to clarify their goals, assess their current situation, generate options, and create a plan of action. One of the main benefits of the GROW model is that it provides a simple and easy-to-use framework for coaching sessions. According to Starr (2016), the GROW model is probably the best known and most widely used coaching model in the world. It's so popular because it's easy to use, easy to remember and easy to adapt to different situations.</w:t>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t xml:space="preserve">The GROW model can help coaches to structure their conversations with clients, and provide a clear roadmap for goal setting and action planning. As asserted by Western (2012), the GROW model provides a clear process for exploring a client's goals, reality of their situation, options, and the way forward, making it a useful tool for structuring coaching conversations. This model enables coaches to establish a shared understanding of the client's objectives and co-create an achievable and motivating action plan. In addition, the GROW model can be adapted to a wide range of coaching contexts, making it a versatile tool for many different settings. Although the GROW model is a widely used and straightforward coaching method, it has been subject to criticisms for oversimplifying the coaching process and not accounting for the underlying psychological factors that may affect the coaching outcome. Grant (2012) states that while the GROW model is a popular coaching method due to its simplicity and ease of use, it has been criticised for being too basic and not addressing the deeper psychological issues that may be at play. </w:t>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color w:val="ff0000"/>
        </w:rPr>
      </w:pPr>
      <w:r w:rsidDel="00000000" w:rsidR="00000000" w:rsidRPr="00000000">
        <w:rPr>
          <w:color w:val="ff0000"/>
          <w:rtl w:val="0"/>
        </w:rPr>
        <w:t xml:space="preserve">It may also be too prescriptive and rigid, which could limit the scope for creativity and flexibility in the coaching process. Moreover, the GROW model may not be suitable for all individuals or situations, as some clients may require a more personalised or tailored approach.</w:t>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pBdr>
          <w:top w:color="d9d9e3" w:space="0" w:sz="0" w:val="none"/>
          <w:left w:color="d9d9e3" w:space="0" w:sz="0" w:val="none"/>
          <w:bottom w:color="d9d9e3" w:space="0" w:sz="0" w:val="none"/>
          <w:right w:color="d9d9e3" w:space="0" w:sz="0" w:val="none"/>
          <w:between w:color="d9d9e3" w:space="0" w:sz="0" w:val="none"/>
        </w:pBdr>
        <w:spacing w:after="300" w:line="276" w:lineRule="auto"/>
        <w:rPr/>
      </w:pPr>
      <w:r w:rsidDel="00000000" w:rsidR="00000000" w:rsidRPr="00000000">
        <w:rPr>
          <w:rtl w:val="0"/>
        </w:rPr>
        <w:t xml:space="preserve">The GROW model is a simple framework that can be applied to a variety of coaching or mentoring situations. However, this simplicity can also be a disadvantage. Some critics argue that the model is too formulaic and rigid, and does not allow for the complexity and nuance of individual situations.</w:t>
      </w:r>
    </w:p>
    <w:p w:rsidR="00000000" w:rsidDel="00000000" w:rsidP="00000000" w:rsidRDefault="00000000" w:rsidRPr="00000000" w14:paraId="00000070">
      <w:pPr>
        <w:pBdr>
          <w:top w:color="d9d9e3" w:space="0" w:sz="0" w:val="none"/>
          <w:left w:color="d9d9e3" w:space="0" w:sz="0" w:val="none"/>
          <w:bottom w:color="d9d9e3" w:space="0" w:sz="0" w:val="none"/>
          <w:right w:color="d9d9e3" w:space="0" w:sz="0" w:val="none"/>
          <w:between w:color="d9d9e3" w:space="0" w:sz="0" w:val="none"/>
        </w:pBdr>
        <w:spacing w:after="300" w:before="300" w:lineRule="auto"/>
        <w:rPr/>
      </w:pPr>
      <w:r w:rsidDel="00000000" w:rsidR="00000000" w:rsidRPr="00000000">
        <w:rPr>
          <w:rtl w:val="0"/>
        </w:rPr>
        <w:t xml:space="preserve">Lack of focus on emotions: The model is primarily focused on identifying and achieving goals, but may not give enough attention to the emotional aspects of coaching or mentoring. Emotions can play a significant role in a coachee's ability to achieve their goals, and the GROW model may not provide enough support in this area.</w:t>
      </w:r>
    </w:p>
    <w:p w:rsidR="00000000" w:rsidDel="00000000" w:rsidP="00000000" w:rsidRDefault="00000000" w:rsidRPr="00000000" w14:paraId="00000071">
      <w:pPr>
        <w:rPr/>
      </w:pPr>
      <w:r w:rsidDel="00000000" w:rsidR="00000000" w:rsidRPr="00000000">
        <w:rPr>
          <w:rtl w:val="0"/>
        </w:rPr>
        <w:t xml:space="preserve">Another criticism of the GROW model is that it may focus too heavily on goal setting and action planning, and not enough on the underlying beliefs and values that drive behaviour change. While the GROW model encourages individuals to identify their goals and take action towards achieving them, it may not fully address the underlying psychological factors that influence behaviour.</w:t>
      </w:r>
    </w:p>
    <w:p w:rsidR="00000000" w:rsidDel="00000000" w:rsidP="00000000" w:rsidRDefault="00000000" w:rsidRPr="00000000" w14:paraId="00000072">
      <w:pPr>
        <w:pBdr>
          <w:top w:color="d9d9e3" w:space="0" w:sz="0" w:val="none"/>
          <w:left w:color="d9d9e3" w:space="0" w:sz="0" w:val="none"/>
          <w:bottom w:color="d9d9e3" w:space="0" w:sz="0" w:val="none"/>
          <w:right w:color="d9d9e3" w:space="0" w:sz="0" w:val="none"/>
          <w:between w:color="d9d9e3" w:space="0" w:sz="0" w:val="none"/>
        </w:pBdr>
        <w:spacing w:after="300" w:before="300" w:lineRule="auto"/>
        <w:ind w:left="0" w:firstLine="0"/>
        <w:rPr/>
      </w:pPr>
      <w:r w:rsidDel="00000000" w:rsidR="00000000" w:rsidRPr="00000000">
        <w:rPr>
          <w:rtl w:val="0"/>
        </w:rPr>
        <w:t xml:space="preserve">Limited application: While the model can be applied to a wide range of coaching and mentoring situations, some critics argue that it is not suitable for all types of issues or clients. It may be more appropriate for goal-oriented individuals or situations, but less effective for more complex issues or clients with different learning styles.</w:t>
      </w:r>
    </w:p>
    <w:p w:rsidR="00000000" w:rsidDel="00000000" w:rsidP="00000000" w:rsidRDefault="00000000" w:rsidRPr="00000000" w14:paraId="00000073">
      <w:pPr>
        <w:pBdr>
          <w:top w:color="d9d9e3" w:space="0" w:sz="0" w:val="none"/>
          <w:left w:color="d9d9e3" w:space="0" w:sz="0" w:val="none"/>
          <w:bottom w:color="d9d9e3" w:space="0" w:sz="0" w:val="none"/>
          <w:right w:color="d9d9e3" w:space="0" w:sz="0" w:val="none"/>
          <w:between w:color="d9d9e3" w:space="0" w:sz="0" w:val="none"/>
        </w:pBdr>
        <w:spacing w:after="300" w:before="300" w:lineRule="auto"/>
        <w:ind w:left="0" w:firstLine="0"/>
        <w:rPr/>
      </w:pPr>
      <w:r w:rsidDel="00000000" w:rsidR="00000000" w:rsidRPr="00000000">
        <w:rPr>
          <w:rtl w:val="0"/>
        </w:rPr>
        <w:t xml:space="preserve">Overemphasis on individual performance: The GROW model focuses heavily on individual performance and goals, which may not be suitable for all organisational cultures or situations. It may not address the importance of teamwork, collaboration, or social responsibility, which are also critical for organisational success.</w:t>
      </w:r>
    </w:p>
    <w:p w:rsidR="00000000" w:rsidDel="00000000" w:rsidP="00000000" w:rsidRDefault="00000000" w:rsidRPr="00000000" w14:paraId="00000074">
      <w:pPr>
        <w:rPr/>
      </w:pPr>
      <w:r w:rsidDel="00000000" w:rsidR="00000000" w:rsidRPr="00000000">
        <w:rPr>
          <w:rtl w:val="0"/>
        </w:rPr>
        <w:t xml:space="preserve">In conclusion, the GROW model can be a useful framework for coaching and mentoring, providing a simple and structured approach to goal setting and action planning. However, it is important to be aware of its potential limitations and to adapt it to the individual needs of each client. Coaches and mentors should also be mindful of the underlying psychological factors that influence behaviour, and work to address these in addition to setting and achieving specific goals.</w:t>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t xml:space="preserve">For example, the GROW model is a popular coaching method that provides a simple and structured framework for coaching sessions. This can be beneficial for clients who are new to coaching and may benefit from a more structured approach. On the other hand, a more experiential coaching approach, such as narrative coaching, may be more appropriate for clients who are looking to explore their personal values and beliefs in a deeper and more holistic way.</w:t>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rFonts w:ascii="Roboto" w:cs="Roboto" w:eastAsia="Roboto" w:hAnsi="Roboto"/>
          <w:b w:val="1"/>
          <w:color w:val="343541"/>
          <w:sz w:val="24"/>
          <w:szCs w:val="24"/>
        </w:rPr>
      </w:pPr>
      <w:r w:rsidDel="00000000" w:rsidR="00000000" w:rsidRPr="00000000">
        <w:rPr>
          <w:rtl w:val="0"/>
        </w:rPr>
        <w:t xml:space="preserve">Furthermore, coaching sends a positive message to employees about the organisation’s commitment to their growth and development, fostering a sense of achievement for both coaches and those being coached. However, it is important to note that coaching is most effective when conducted in an environment of trust and respect.</w:t>
      </w:r>
      <w:r w:rsidDel="00000000" w:rsidR="00000000" w:rsidRPr="00000000">
        <w:rPr>
          <w:rtl w:val="0"/>
        </w:rPr>
      </w:r>
    </w:p>
    <w:p w:rsidR="00000000" w:rsidDel="00000000" w:rsidP="00000000" w:rsidRDefault="00000000" w:rsidRPr="00000000" w14:paraId="00000079">
      <w:pPr>
        <w:pStyle w:val="Heading2"/>
        <w:spacing w:after="0" w:before="40" w:line="259" w:lineRule="auto"/>
        <w:rPr>
          <w:rFonts w:ascii="Roboto" w:cs="Roboto" w:eastAsia="Roboto" w:hAnsi="Roboto"/>
          <w:b w:val="1"/>
          <w:color w:val="343541"/>
          <w:sz w:val="24"/>
          <w:szCs w:val="24"/>
        </w:rPr>
      </w:pPr>
      <w:bookmarkStart w:colFirst="0" w:colLast="0" w:name="_updb86vr4ddj" w:id="7"/>
      <w:bookmarkEnd w:id="7"/>
      <w:r w:rsidDel="00000000" w:rsidR="00000000" w:rsidRPr="00000000">
        <w:rPr>
          <w:rtl w:val="0"/>
        </w:rPr>
      </w:r>
    </w:p>
    <w:p w:rsidR="00000000" w:rsidDel="00000000" w:rsidP="00000000" w:rsidRDefault="00000000" w:rsidRPr="00000000" w14:paraId="0000007A">
      <w:pPr>
        <w:pStyle w:val="Heading2"/>
        <w:spacing w:after="0" w:before="40" w:line="259" w:lineRule="auto"/>
        <w:rPr>
          <w:rFonts w:ascii="Roboto" w:cs="Roboto" w:eastAsia="Roboto" w:hAnsi="Roboto"/>
          <w:b w:val="1"/>
          <w:color w:val="343541"/>
          <w:sz w:val="24"/>
          <w:szCs w:val="24"/>
        </w:rPr>
      </w:pPr>
      <w:bookmarkStart w:colFirst="0" w:colLast="0" w:name="_c4ohbkn9qsh6" w:id="8"/>
      <w:bookmarkEnd w:id="8"/>
      <w:r w:rsidDel="00000000" w:rsidR="00000000" w:rsidRPr="00000000">
        <w:rPr>
          <w:rtl w:val="0"/>
        </w:rPr>
      </w:r>
    </w:p>
    <w:p w:rsidR="00000000" w:rsidDel="00000000" w:rsidP="00000000" w:rsidRDefault="00000000" w:rsidRPr="00000000" w14:paraId="0000007B">
      <w:pPr>
        <w:pStyle w:val="Heading2"/>
        <w:spacing w:after="0" w:before="40" w:line="259" w:lineRule="auto"/>
        <w:rPr>
          <w:rFonts w:ascii="Roboto" w:cs="Roboto" w:eastAsia="Roboto" w:hAnsi="Roboto"/>
          <w:b w:val="1"/>
          <w:color w:val="343541"/>
          <w:sz w:val="24"/>
          <w:szCs w:val="24"/>
        </w:rPr>
      </w:pPr>
      <w:bookmarkStart w:colFirst="0" w:colLast="0" w:name="_20kjeqw2xa21" w:id="9"/>
      <w:bookmarkEnd w:id="9"/>
      <w:r w:rsidDel="00000000" w:rsidR="00000000" w:rsidRPr="00000000">
        <w:rPr>
          <w:rFonts w:ascii="Roboto" w:cs="Roboto" w:eastAsia="Roboto" w:hAnsi="Roboto"/>
          <w:b w:val="1"/>
          <w:color w:val="343541"/>
          <w:sz w:val="24"/>
          <w:szCs w:val="24"/>
          <w:rtl w:val="0"/>
        </w:rPr>
        <w:t xml:space="preserve">References</w:t>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t xml:space="preserve">American Psychological Association. (n.d.). Mentoring. Retrieved April 18, 2023, from https://www.apa.org/education-career/grad/mentoring</w:t>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t xml:space="preserve">Chartered Management Institute. (n.d.). Coaching for improved performance. Retrieved April 18, 2023, from </w:t>
      </w:r>
      <w:hyperlink r:id="rId8">
        <w:r w:rsidDel="00000000" w:rsidR="00000000" w:rsidRPr="00000000">
          <w:rPr>
            <w:color w:val="1155cc"/>
            <w:u w:val="single"/>
            <w:rtl w:val="0"/>
          </w:rPr>
          <w:t xml:space="preserve">https://www.managers.org.uk/knowledge-and-insights/resource/coaching-for-improved-performance/</w:t>
        </w:r>
      </w:hyperlink>
      <w:r w:rsidDel="00000000" w:rsidR="00000000" w:rsidRPr="00000000">
        <w:rPr>
          <w:rtl w:val="0"/>
        </w:rPr>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spacing w:after="160" w:line="256.7994545454545" w:lineRule="auto"/>
        <w:rPr/>
      </w:pPr>
      <w:r w:rsidDel="00000000" w:rsidR="00000000" w:rsidRPr="00000000">
        <w:rPr>
          <w:color w:val="000a0f"/>
          <w:sz w:val="20"/>
          <w:szCs w:val="20"/>
          <w:rtl w:val="0"/>
        </w:rPr>
        <w:t xml:space="preserve">Cherniss, C. (2010). Emotional intelligence: What it is and why it matters. In J. C. Quick &amp; L. E. Tetrick (Eds.), Handbook of occupational health psychology American Psychological Association. https://www.researchgate.net/profile/Cary-Cherniss/publication/229545635_Emotional_Intelligence_Toward_Clarification_of_a_Concept/links/5c00133d45851523d153a4d7/Emotional-Intelligence-Toward-Clarification-of-a-Concept.pdf. </w:t>
      </w:r>
      <w:r w:rsidDel="00000000" w:rsidR="00000000" w:rsidRPr="00000000">
        <w:rPr>
          <w:color w:val="000a0f"/>
          <w:sz w:val="20"/>
          <w:szCs w:val="20"/>
          <w:highlight w:val="white"/>
          <w:rtl w:val="0"/>
        </w:rPr>
        <w:t xml:space="preserve">(Accessed March 13, 2023).</w:t>
      </w:r>
      <w:r w:rsidDel="00000000" w:rsidR="00000000" w:rsidRPr="00000000">
        <w:rPr>
          <w:rtl w:val="0"/>
        </w:rPr>
      </w:r>
    </w:p>
    <w:p w:rsidR="00000000" w:rsidDel="00000000" w:rsidP="00000000" w:rsidRDefault="00000000" w:rsidRPr="00000000" w14:paraId="00000082">
      <w:pPr>
        <w:rPr/>
      </w:pPr>
      <w:r w:rsidDel="00000000" w:rsidR="00000000" w:rsidRPr="00000000">
        <w:rPr>
          <w:rtl w:val="0"/>
        </w:rPr>
        <w:t xml:space="preserve">Deloitte. (2016). A case study in employee engagement: Mentorship matters. Retrieved April 17, 2023, from https://www2.deloitte.com/us/en/pages/about-deloitte/articles/mentorship-matters-case-study-employee-engagement.html</w:t>
      </w: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t xml:space="preserve">EMCC Global. (n.d.). Leadership development mentoring. EMCC Global. https://www.emccglobal.org/leadership-development/leadership-development-mentoring/. (accessed April 8, 2023)</w:t>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highlight w:val="white"/>
        </w:rPr>
      </w:pPr>
      <w:r w:rsidDel="00000000" w:rsidR="00000000" w:rsidRPr="00000000">
        <w:rPr>
          <w:highlight w:val="white"/>
          <w:rtl w:val="0"/>
        </w:rPr>
        <w:t xml:space="preserve">Grant, A. (2012). The Efficacy of Coaching. </w:t>
      </w:r>
      <w:r w:rsidDel="00000000" w:rsidR="00000000" w:rsidRPr="00000000">
        <w:rPr>
          <w:i w:val="1"/>
          <w:highlight w:val="white"/>
          <w:rtl w:val="0"/>
        </w:rPr>
        <w:t xml:space="preserve">The Wiley-Blackwell Handbook of the Psychology of Coaching and Mentoring</w:t>
      </w:r>
      <w:r w:rsidDel="00000000" w:rsidR="00000000" w:rsidRPr="00000000">
        <w:rPr>
          <w:highlight w:val="white"/>
          <w:rtl w:val="0"/>
        </w:rPr>
        <w:t xml:space="preserve">, 13–39. doi:10.1002/9781118326459.ch2</w:t>
      </w:r>
    </w:p>
    <w:p w:rsidR="00000000" w:rsidDel="00000000" w:rsidP="00000000" w:rsidRDefault="00000000" w:rsidRPr="00000000" w14:paraId="00000087">
      <w:pPr>
        <w:rPr>
          <w:highlight w:val="white"/>
        </w:rPr>
      </w:pPr>
      <w:r w:rsidDel="00000000" w:rsidR="00000000" w:rsidRPr="00000000">
        <w:rPr>
          <w:rtl w:val="0"/>
        </w:rPr>
      </w:r>
    </w:p>
    <w:p w:rsidR="00000000" w:rsidDel="00000000" w:rsidP="00000000" w:rsidRDefault="00000000" w:rsidRPr="00000000" w14:paraId="00000088">
      <w:pPr>
        <w:rPr>
          <w:highlight w:val="white"/>
        </w:rPr>
      </w:pPr>
      <w:r w:rsidDel="00000000" w:rsidR="00000000" w:rsidRPr="00000000">
        <w:rPr>
          <w:highlight w:val="white"/>
          <w:rtl w:val="0"/>
        </w:rPr>
        <w:t xml:space="preserve">Clutterbuck, D. (2020). Coaching the Team at Work. Retrieved May 4, 2023, from https://www.perlego.com/book/3178869/coaching-the-team-at-work-2-the-definitive-guide-to-team-coaching-pdf</w:t>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t xml:space="preserve">Peter Hawkins (2017) Leadership Team Coaching : Developing Collective Transformational Leadership.Available at:https://search-ebscohost-com.ezproxy.uwtsd.ac.uk/login.aspx?direct=true&amp;db=nlebk&amp;AN=1541065&amp;site=ehost-live (accessed April 15, 2023)</w:t>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t xml:space="preserve">Hudson, F. M. (1999). The Handbook of Coaching. John Wiley &amp; Sons. Retrieved April 18, 2023, from https://archive.org/details/handbookofcoachi0000huds.</w:t>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pPr>
      <w:r w:rsidDel="00000000" w:rsidR="00000000" w:rsidRPr="00000000">
        <w:rPr>
          <w:rtl w:val="0"/>
        </w:rPr>
        <w:t xml:space="preserve">International Coaching Federation. (n.d.). About coaching. https://coachfederation.org/about. (accessed April 8, 2023)</w:t>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t xml:space="preserve">Kram, K. E. (1985). Mentoring at work: Developmental relationships in organisational life. University Press of America. Retrieved from </w:t>
      </w:r>
      <w:hyperlink r:id="rId9">
        <w:r w:rsidDel="00000000" w:rsidR="00000000" w:rsidRPr="00000000">
          <w:rPr>
            <w:color w:val="1155cc"/>
            <w:u w:val="single"/>
            <w:rtl w:val="0"/>
          </w:rPr>
          <w:t xml:space="preserve">https://www.researchgate.net/publication/232463073_Mentoring_at_Work_Developmental_Relationships_in_Organisational_Life</w:t>
        </w:r>
      </w:hyperlink>
      <w:r w:rsidDel="00000000" w:rsidR="00000000" w:rsidRPr="00000000">
        <w:rPr>
          <w:rtl w:val="0"/>
        </w:rPr>
      </w:r>
    </w:p>
    <w:p w:rsidR="00000000" w:rsidDel="00000000" w:rsidP="00000000" w:rsidRDefault="00000000" w:rsidRPr="00000000" w14:paraId="00000092">
      <w:pPr>
        <w:rPr/>
      </w:pPr>
      <w:r w:rsidDel="00000000" w:rsidR="00000000" w:rsidRPr="00000000">
        <w:rPr>
          <w:rtl w:val="0"/>
        </w:rPr>
        <w:t xml:space="preserve">(accessed April 15, 2023)</w:t>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pPr>
      <w:r w:rsidDel="00000000" w:rsidR="00000000" w:rsidRPr="00000000">
        <w:rPr>
          <w:rtl w:val="0"/>
        </w:rPr>
        <w:t xml:space="preserve">Kline, N. (1999). Time to Think: Listening to Ignite the Human Mind. Cassell Illustrated. Retrieved May 4, 2023, from https://archive.org/details/isbn_9780706377453</w:t>
      </w:r>
      <w:r w:rsidDel="00000000" w:rsidR="00000000" w:rsidRPr="00000000">
        <w:rPr>
          <w:rtl w:val="0"/>
        </w:rPr>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rPr/>
      </w:pPr>
      <w:r w:rsidDel="00000000" w:rsidR="00000000" w:rsidRPr="00000000">
        <w:rPr>
          <w:rtl w:val="0"/>
        </w:rPr>
        <w:t xml:space="preserve">Rogers, C. R., &amp; Rogers, C. (1995). A way of being. HarperCollins Publishers. ProQuest Ebook Central. https://ebookcentral.proquest.com/lib/trinity/detail.action?docID=3304700. (accessed April 8, 2023)</w:t>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pPr>
      <w:r w:rsidDel="00000000" w:rsidR="00000000" w:rsidRPr="00000000">
        <w:rPr>
          <w:rtl w:val="0"/>
        </w:rPr>
        <w:t xml:space="preserve">Rogers, C. R. (1961). On Becoming a Person: A Therapist's View of Psychotherapy. Houghton Mifflin. Retrieved May 4, 2023, from http://dspace.vnbrims.org:13000/jspui/bitstream/123456789/4397/1/On%20Becoming%20a%20Person%20A%20Therapist%E2%80%99s%20View%20of%20Psychotherapy.pdf</w:t>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rPr/>
      </w:pPr>
      <w:r w:rsidDel="00000000" w:rsidR="00000000" w:rsidRPr="00000000">
        <w:rPr>
          <w:rtl w:val="0"/>
        </w:rPr>
        <w:t xml:space="preserve">Scalewise. (n.d.). Zendesk Account Executive Case Study. Retrieved April 17, 2023, from </w:t>
      </w:r>
      <w:hyperlink r:id="rId10">
        <w:r w:rsidDel="00000000" w:rsidR="00000000" w:rsidRPr="00000000">
          <w:rPr>
            <w:color w:val="1155cc"/>
            <w:u w:val="single"/>
            <w:rtl w:val="0"/>
          </w:rPr>
          <w:t xml:space="preserve">https://www.scalewise.com/case-study/zendesk-account-executive-case-study/</w:t>
        </w:r>
      </w:hyperlink>
      <w:r w:rsidDel="00000000" w:rsidR="00000000" w:rsidRPr="00000000">
        <w:rPr>
          <w:rtl w:val="0"/>
        </w:rPr>
      </w:r>
    </w:p>
    <w:p w:rsidR="00000000" w:rsidDel="00000000" w:rsidP="00000000" w:rsidRDefault="00000000" w:rsidRPr="00000000" w14:paraId="0000009B">
      <w:pPr>
        <w:rPr/>
      </w:pPr>
      <w:r w:rsidDel="00000000" w:rsidR="00000000" w:rsidRPr="00000000">
        <w:rPr>
          <w:rtl w:val="0"/>
        </w:rPr>
      </w:r>
    </w:p>
    <w:p w:rsidR="00000000" w:rsidDel="00000000" w:rsidP="00000000" w:rsidRDefault="00000000" w:rsidRPr="00000000" w14:paraId="0000009C">
      <w:pPr>
        <w:rPr/>
      </w:pPr>
      <w:r w:rsidDel="00000000" w:rsidR="00000000" w:rsidRPr="00000000">
        <w:rPr>
          <w:rtl w:val="0"/>
        </w:rPr>
        <w:t xml:space="preserve">Starr, J. (2016). The Coaching Manual: The Definitive Guide to the Process, Principles and Skills of Personal Coaching. Pearson Education Limited. Retrieved April 23, 2023, from https://www-vlebooks-com.ezproxy.uwtsd.ac.uk/Product/Index/751375?page=0</w:t>
      </w:r>
    </w:p>
    <w:p w:rsidR="00000000" w:rsidDel="00000000" w:rsidP="00000000" w:rsidRDefault="00000000" w:rsidRPr="00000000" w14:paraId="0000009D">
      <w:pPr>
        <w:rPr/>
      </w:pPr>
      <w:r w:rsidDel="00000000" w:rsidR="00000000" w:rsidRPr="00000000">
        <w:rPr>
          <w:rtl w:val="0"/>
        </w:rPr>
      </w:r>
    </w:p>
    <w:p w:rsidR="00000000" w:rsidDel="00000000" w:rsidP="00000000" w:rsidRDefault="00000000" w:rsidRPr="00000000" w14:paraId="0000009E">
      <w:pPr>
        <w:rPr/>
      </w:pPr>
      <w:r w:rsidDel="00000000" w:rsidR="00000000" w:rsidRPr="00000000">
        <w:rPr>
          <w:rtl w:val="0"/>
        </w:rPr>
        <w:t xml:space="preserve">Theeboom, T., Beersma, B., &amp; Van Vianen, A. E. (2014). Does coaching work? A meta-analysis on the effects of coaching on individual level outcomes in an organisational context. Journal of Positive Psychology, 9(1), 1-18. https://doi.org/10.1080/17439760.2013.837499 (accessed April 5, 2023)</w:t>
      </w:r>
    </w:p>
    <w:p w:rsidR="00000000" w:rsidDel="00000000" w:rsidP="00000000" w:rsidRDefault="00000000" w:rsidRPr="00000000" w14:paraId="0000009F">
      <w:pPr>
        <w:rPr/>
      </w:pPr>
      <w:r w:rsidDel="00000000" w:rsidR="00000000" w:rsidRPr="00000000">
        <w:rPr>
          <w:rtl w:val="0"/>
        </w:rPr>
      </w:r>
    </w:p>
    <w:p w:rsidR="00000000" w:rsidDel="00000000" w:rsidP="00000000" w:rsidRDefault="00000000" w:rsidRPr="00000000" w14:paraId="000000A0">
      <w:pPr>
        <w:rPr/>
      </w:pPr>
      <w:r w:rsidDel="00000000" w:rsidR="00000000" w:rsidRPr="00000000">
        <w:rPr>
          <w:rtl w:val="0"/>
        </w:rPr>
        <w:t xml:space="preserve">Western, S. (2012). Coaching and Mentoring: A Critical Text. doi:10.4135/9781446251577</w:t>
      </w:r>
    </w:p>
    <w:p w:rsidR="00000000" w:rsidDel="00000000" w:rsidP="00000000" w:rsidRDefault="00000000" w:rsidRPr="00000000" w14:paraId="000000A1">
      <w:pPr>
        <w:rPr/>
      </w:pPr>
      <w:r w:rsidDel="00000000" w:rsidR="00000000" w:rsidRPr="00000000">
        <w:rPr>
          <w:rtl w:val="0"/>
        </w:rPr>
      </w:r>
    </w:p>
    <w:p w:rsidR="00000000" w:rsidDel="00000000" w:rsidP="00000000" w:rsidRDefault="00000000" w:rsidRPr="00000000" w14:paraId="000000A2">
      <w:pPr>
        <w:rPr/>
      </w:pPr>
      <w:r w:rsidDel="00000000" w:rsidR="00000000" w:rsidRPr="00000000">
        <w:rPr>
          <w:rtl w:val="0"/>
        </w:rPr>
        <w:t xml:space="preserve">Whitmore, J. (2009). Coaching for performance: GROWing human potential and purpose: The principles and practice. Nicholas Brealey Publishing. Retrieved from https://archive.org/details/coachingforperfo0000whit/ on 2023-04-18.</w:t>
      </w:r>
    </w:p>
    <w:p w:rsidR="00000000" w:rsidDel="00000000" w:rsidP="00000000" w:rsidRDefault="00000000" w:rsidRPr="00000000" w14:paraId="000000A3">
      <w:pPr>
        <w:rPr/>
      </w:pPr>
      <w:r w:rsidDel="00000000" w:rsidR="00000000" w:rsidRPr="00000000">
        <w:rPr>
          <w:rtl w:val="0"/>
        </w:rPr>
      </w:r>
    </w:p>
    <w:p w:rsidR="00000000" w:rsidDel="00000000" w:rsidP="00000000" w:rsidRDefault="00000000" w:rsidRPr="00000000" w14:paraId="000000A4">
      <w:pPr>
        <w:rPr/>
      </w:pPr>
      <w:r w:rsidDel="00000000" w:rsidR="00000000" w:rsidRPr="00000000">
        <w:rPr>
          <w:rtl w:val="0"/>
        </w:rPr>
        <w:t xml:space="preserve">Whitworth, L., Kimsey-House, H., Kimsey-House, K., &amp; Sandahl, P. (1999). Co-Active Coaching: New Skills for Coaching People Toward Success in Work and Life. Davies-Black Publishing. Retrieved May 4, 2023, from https://archive.org/details/coactivecoaching0000whit</w:t>
      </w:r>
    </w:p>
    <w:p w:rsidR="00000000" w:rsidDel="00000000" w:rsidP="00000000" w:rsidRDefault="00000000" w:rsidRPr="00000000" w14:paraId="000000A5">
      <w:pPr>
        <w:rPr/>
      </w:pPr>
      <w:r w:rsidDel="00000000" w:rsidR="00000000" w:rsidRPr="00000000">
        <w:rPr>
          <w:rtl w:val="0"/>
        </w:rPr>
      </w:r>
    </w:p>
    <w:p w:rsidR="00000000" w:rsidDel="00000000" w:rsidP="00000000" w:rsidRDefault="00000000" w:rsidRPr="00000000" w14:paraId="000000A6">
      <w:pPr>
        <w:rPr/>
      </w:pPr>
      <w:r w:rsidDel="00000000" w:rsidR="00000000" w:rsidRPr="00000000">
        <w:rPr>
          <w:rtl w:val="0"/>
        </w:rPr>
        <w:t xml:space="preserve">Institute for Employment Studies. (2013). Coaching Supervision: A Review of the Literature. Retrieved April 29, 2023, from </w:t>
      </w:r>
      <w:hyperlink r:id="rId11">
        <w:r w:rsidDel="00000000" w:rsidR="00000000" w:rsidRPr="00000000">
          <w:rPr>
            <w:color w:val="1155cc"/>
            <w:u w:val="single"/>
            <w:rtl w:val="0"/>
          </w:rPr>
          <w:t xml:space="preserve">https://www.employment-studies.co.uk/system/files/resources/files/mp116.pdf</w:t>
        </w:r>
      </w:hyperlink>
      <w:r w:rsidDel="00000000" w:rsidR="00000000" w:rsidRPr="00000000">
        <w:rPr>
          <w:rtl w:val="0"/>
        </w:rPr>
      </w:r>
    </w:p>
    <w:p w:rsidR="00000000" w:rsidDel="00000000" w:rsidP="00000000" w:rsidRDefault="00000000" w:rsidRPr="00000000" w14:paraId="000000A7">
      <w:pPr>
        <w:rPr/>
      </w:pPr>
      <w:r w:rsidDel="00000000" w:rsidR="00000000" w:rsidRPr="00000000">
        <w:rPr>
          <w:rtl w:val="0"/>
        </w:rPr>
      </w:r>
    </w:p>
    <w:p w:rsidR="00000000" w:rsidDel="00000000" w:rsidP="00000000" w:rsidRDefault="00000000" w:rsidRPr="00000000" w14:paraId="000000A8">
      <w:pPr>
        <w:rPr/>
      </w:pPr>
      <w:r w:rsidDel="00000000" w:rsidR="00000000" w:rsidRPr="00000000">
        <w:rPr>
          <w:rtl w:val="0"/>
        </w:rPr>
        <w:t xml:space="preserve">The Oxford Review. (2018). Coaching: Do you really need expertise in anything else? Retrieved April 29, 2023, from </w:t>
      </w:r>
      <w:hyperlink r:id="rId12">
        <w:r w:rsidDel="00000000" w:rsidR="00000000" w:rsidRPr="00000000">
          <w:rPr>
            <w:color w:val="1155cc"/>
            <w:u w:val="single"/>
            <w:rtl w:val="0"/>
          </w:rPr>
          <w:t xml:space="preserve">https://oxford-review.com/coaching-do-you-really-need-expertise-in-anything-else/</w:t>
        </w:r>
      </w:hyperlink>
      <w:r w:rsidDel="00000000" w:rsidR="00000000" w:rsidRPr="00000000">
        <w:rPr>
          <w:rtl w:val="0"/>
        </w:rPr>
      </w:r>
    </w:p>
    <w:p w:rsidR="00000000" w:rsidDel="00000000" w:rsidP="00000000" w:rsidRDefault="00000000" w:rsidRPr="00000000" w14:paraId="000000A9">
      <w:pPr>
        <w:rPr/>
      </w:pPr>
      <w:r w:rsidDel="00000000" w:rsidR="00000000" w:rsidRPr="00000000">
        <w:rPr>
          <w:rtl w:val="0"/>
        </w:rPr>
      </w:r>
    </w:p>
    <w:p w:rsidR="00000000" w:rsidDel="00000000" w:rsidP="00000000" w:rsidRDefault="00000000" w:rsidRPr="00000000" w14:paraId="000000AA">
      <w:pPr>
        <w:rPr/>
      </w:pPr>
      <w:r w:rsidDel="00000000" w:rsidR="00000000" w:rsidRPr="00000000">
        <w:rPr>
          <w:rtl w:val="0"/>
        </w:rPr>
        <w:t xml:space="preserve">Gallwey, W. Timothy. (2010). The Inner Game of Tennis: The Classic Guide to the Mental Side of Peak Performance. United Kingdom: Random House Publishing Group. Retrieved on 2023-04-29 from </w:t>
      </w:r>
      <w:hyperlink r:id="rId13">
        <w:r w:rsidDel="00000000" w:rsidR="00000000" w:rsidRPr="00000000">
          <w:rPr>
            <w:color w:val="1155cc"/>
            <w:u w:val="single"/>
            <w:rtl w:val="0"/>
          </w:rPr>
          <w:t xml:space="preserve">https://media.oiipdf.com/pdf/d3459ab7-970e-4417-ab67-9a372fe695ea.pdf</w:t>
        </w:r>
      </w:hyperlink>
      <w:r w:rsidDel="00000000" w:rsidR="00000000" w:rsidRPr="00000000">
        <w:rPr>
          <w:rtl w:val="0"/>
        </w:rPr>
        <w:t xml:space="preserve">.</w:t>
      </w:r>
    </w:p>
    <w:p w:rsidR="00000000" w:rsidDel="00000000" w:rsidP="00000000" w:rsidRDefault="00000000" w:rsidRPr="00000000" w14:paraId="000000AB">
      <w:pPr>
        <w:rPr/>
      </w:pPr>
      <w:r w:rsidDel="00000000" w:rsidR="00000000" w:rsidRPr="00000000">
        <w:rPr>
          <w:rtl w:val="0"/>
        </w:rPr>
      </w:r>
    </w:p>
    <w:p w:rsidR="00000000" w:rsidDel="00000000" w:rsidP="00000000" w:rsidRDefault="00000000" w:rsidRPr="00000000" w14:paraId="000000AC">
      <w:pPr>
        <w:rPr/>
      </w:pPr>
      <w:r w:rsidDel="00000000" w:rsidR="00000000" w:rsidRPr="00000000">
        <w:rPr>
          <w:rtl w:val="0"/>
        </w:rPr>
        <w:t xml:space="preserve">Gallwey, Timothy. (1999). The Inner Game of Work. New York: Random House. Retrieved from https://archive.org/details/innergameofwork00wtim on 2023-05-01.</w:t>
      </w:r>
    </w:p>
    <w:p w:rsidR="00000000" w:rsidDel="00000000" w:rsidP="00000000" w:rsidRDefault="00000000" w:rsidRPr="00000000" w14:paraId="000000AD">
      <w:pPr>
        <w:rPr/>
      </w:pPr>
      <w:r w:rsidDel="00000000" w:rsidR="00000000" w:rsidRPr="00000000">
        <w:rPr>
          <w:rtl w:val="0"/>
        </w:rPr>
      </w:r>
    </w:p>
    <w:p w:rsidR="00000000" w:rsidDel="00000000" w:rsidP="00000000" w:rsidRDefault="00000000" w:rsidRPr="00000000" w14:paraId="000000AE">
      <w:pPr>
        <w:rPr/>
      </w:pPr>
      <w:r w:rsidDel="00000000" w:rsidR="00000000" w:rsidRPr="00000000">
        <w:rPr>
          <w:rtl w:val="0"/>
        </w:rPr>
        <w:t xml:space="preserve">Maledu, W. T. (n.d.). The art and science behind coaching. Retrieved April 30, 2023, from </w:t>
      </w:r>
      <w:hyperlink r:id="rId14">
        <w:r w:rsidDel="00000000" w:rsidR="00000000" w:rsidRPr="00000000">
          <w:rPr>
            <w:color w:val="1155cc"/>
            <w:u w:val="single"/>
            <w:rtl w:val="0"/>
          </w:rPr>
          <w:t xml:space="preserve">https://www.ft.com/partnercontent/coachhub/the-art-and-science-behind-coaching.html</w:t>
        </w:r>
      </w:hyperlink>
      <w:r w:rsidDel="00000000" w:rsidR="00000000" w:rsidRPr="00000000">
        <w:rPr>
          <w:rtl w:val="0"/>
        </w:rPr>
        <w:t xml:space="preserve">.</w:t>
      </w:r>
    </w:p>
    <w:p w:rsidR="00000000" w:rsidDel="00000000" w:rsidP="00000000" w:rsidRDefault="00000000" w:rsidRPr="00000000" w14:paraId="000000AF">
      <w:pPr>
        <w:rPr/>
      </w:pPr>
      <w:r w:rsidDel="00000000" w:rsidR="00000000" w:rsidRPr="00000000">
        <w:rPr>
          <w:rtl w:val="0"/>
        </w:rPr>
      </w:r>
    </w:p>
    <w:p w:rsidR="00000000" w:rsidDel="00000000" w:rsidP="00000000" w:rsidRDefault="00000000" w:rsidRPr="00000000" w14:paraId="000000B0">
      <w:pPr>
        <w:rPr/>
      </w:pPr>
      <w:r w:rsidDel="00000000" w:rsidR="00000000" w:rsidRPr="00000000">
        <w:rPr>
          <w:rtl w:val="0"/>
        </w:rPr>
        <w:t xml:space="preserve">Berne, E. (1972). What do you say after you say hello? The psychology of human destiny. Grove Press. Retrieved April 30, 2023, from </w:t>
      </w:r>
      <w:hyperlink r:id="rId15">
        <w:r w:rsidDel="00000000" w:rsidR="00000000" w:rsidRPr="00000000">
          <w:rPr>
            <w:color w:val="1155cc"/>
            <w:u w:val="single"/>
            <w:rtl w:val="0"/>
          </w:rPr>
          <w:t xml:space="preserve">https://archive.org/details/whatdoyousayafte0000bern_x9w1/page/78/mode/2up</w:t>
        </w:r>
      </w:hyperlink>
      <w:r w:rsidDel="00000000" w:rsidR="00000000" w:rsidRPr="00000000">
        <w:rPr>
          <w:rtl w:val="0"/>
        </w:rPr>
      </w:r>
    </w:p>
    <w:p w:rsidR="00000000" w:rsidDel="00000000" w:rsidP="00000000" w:rsidRDefault="00000000" w:rsidRPr="00000000" w14:paraId="000000B1">
      <w:pPr>
        <w:rPr/>
      </w:pPr>
      <w:r w:rsidDel="00000000" w:rsidR="00000000" w:rsidRPr="00000000">
        <w:rPr>
          <w:rtl w:val="0"/>
        </w:rPr>
      </w:r>
    </w:p>
    <w:p w:rsidR="00000000" w:rsidDel="00000000" w:rsidP="00000000" w:rsidRDefault="00000000" w:rsidRPr="00000000" w14:paraId="000000B2">
      <w:pPr>
        <w:rPr/>
      </w:pPr>
      <w:r w:rsidDel="00000000" w:rsidR="00000000" w:rsidRPr="00000000">
        <w:rPr>
          <w:rtl w:val="0"/>
        </w:rPr>
        <w:t xml:space="preserve">Megginson, D., &amp; Clutterbuck, D. (2006). Creating a coaching culture. Industrial and commercial training. Retrieved from https://globalioc.com/wp-content/uploads/2019/01/Coaching-Culture-Clutterbuck-and-Megginson.pdf (Accessed April 30, 2023).</w:t>
      </w:r>
    </w:p>
    <w:p w:rsidR="00000000" w:rsidDel="00000000" w:rsidP="00000000" w:rsidRDefault="00000000" w:rsidRPr="00000000" w14:paraId="000000B3">
      <w:pPr>
        <w:rPr/>
      </w:pPr>
      <w:r w:rsidDel="00000000" w:rsidR="00000000" w:rsidRPr="00000000">
        <w:rPr>
          <w:rtl w:val="0"/>
        </w:rPr>
      </w:r>
    </w:p>
    <w:p w:rsidR="00000000" w:rsidDel="00000000" w:rsidP="00000000" w:rsidRDefault="00000000" w:rsidRPr="00000000" w14:paraId="000000B4">
      <w:pPr>
        <w:rPr/>
      </w:pPr>
      <w:r w:rsidDel="00000000" w:rsidR="00000000" w:rsidRPr="00000000">
        <w:rPr>
          <w:rtl w:val="0"/>
        </w:rPr>
        <w:t xml:space="preserve"> DeVito, J. A. (2019). The interpersonal communication book. Instructor (15th ed.). Pearson Education. Retrieved April 30, 2023, from https://www.pearson.com/en-au/media/h42msxn1/9781292261843-toc.pdf</w:t>
      </w:r>
    </w:p>
    <w:p w:rsidR="00000000" w:rsidDel="00000000" w:rsidP="00000000" w:rsidRDefault="00000000" w:rsidRPr="00000000" w14:paraId="000000B5">
      <w:pPr>
        <w:rPr/>
      </w:pPr>
      <w:r w:rsidDel="00000000" w:rsidR="00000000" w:rsidRPr="00000000">
        <w:rPr>
          <w:rtl w:val="0"/>
        </w:rPr>
      </w:r>
    </w:p>
    <w:p w:rsidR="00000000" w:rsidDel="00000000" w:rsidP="00000000" w:rsidRDefault="00000000" w:rsidRPr="00000000" w14:paraId="000000B6">
      <w:pPr>
        <w:rPr/>
      </w:pPr>
      <w:r w:rsidDel="00000000" w:rsidR="00000000" w:rsidRPr="00000000">
        <w:rPr>
          <w:rtl w:val="0"/>
        </w:rPr>
        <w:t xml:space="preserve">Geldard, K., &amp; Geldard, D. (2012). Basic personal counselling: A training manual for counsellors. Cengage Learning. Retrieved on April 30, 2023, from </w:t>
      </w:r>
      <w:hyperlink r:id="rId16">
        <w:r w:rsidDel="00000000" w:rsidR="00000000" w:rsidRPr="00000000">
          <w:rPr>
            <w:color w:val="1155cc"/>
            <w:u w:val="single"/>
            <w:rtl w:val="0"/>
          </w:rPr>
          <w:t xml:space="preserve">https://archive.org/details/basicpersonalcou0000geld_i2c3/page/6/mode/2up</w:t>
        </w:r>
      </w:hyperlink>
      <w:r w:rsidDel="00000000" w:rsidR="00000000" w:rsidRPr="00000000">
        <w:rPr>
          <w:rtl w:val="0"/>
        </w:rPr>
      </w:r>
    </w:p>
    <w:p w:rsidR="00000000" w:rsidDel="00000000" w:rsidP="00000000" w:rsidRDefault="00000000" w:rsidRPr="00000000" w14:paraId="000000B7">
      <w:pPr>
        <w:rPr/>
      </w:pPr>
      <w:r w:rsidDel="00000000" w:rsidR="00000000" w:rsidRPr="00000000">
        <w:rPr>
          <w:rtl w:val="0"/>
        </w:rPr>
      </w:r>
    </w:p>
    <w:p w:rsidR="00000000" w:rsidDel="00000000" w:rsidP="00000000" w:rsidRDefault="00000000" w:rsidRPr="00000000" w14:paraId="000000B8">
      <w:pPr>
        <w:rPr/>
      </w:pPr>
      <w:r w:rsidDel="00000000" w:rsidR="00000000" w:rsidRPr="00000000">
        <w:rPr>
          <w:rtl w:val="0"/>
        </w:rPr>
        <w:t xml:space="preserve">​​</w:t>
      </w:r>
      <w:r w:rsidDel="00000000" w:rsidR="00000000" w:rsidRPr="00000000">
        <w:rPr>
          <w:color w:val="000a0f"/>
          <w:sz w:val="20"/>
          <w:szCs w:val="20"/>
          <w:highlight w:val="white"/>
          <w:rtl w:val="0"/>
        </w:rPr>
        <w:t xml:space="preserve">Goleman, D. (1998). Working with Emotional Intelligence.</w:t>
      </w:r>
      <w:hyperlink r:id="rId17">
        <w:r w:rsidDel="00000000" w:rsidR="00000000" w:rsidRPr="00000000">
          <w:rPr>
            <w:color w:val="000a0f"/>
            <w:sz w:val="20"/>
            <w:szCs w:val="20"/>
            <w:highlight w:val="white"/>
            <w:rtl w:val="0"/>
          </w:rPr>
          <w:t xml:space="preserve"> </w:t>
        </w:r>
      </w:hyperlink>
      <w:hyperlink r:id="rId18">
        <w:r w:rsidDel="00000000" w:rsidR="00000000" w:rsidRPr="00000000">
          <w:rPr>
            <w:color w:val="1155cc"/>
            <w:sz w:val="20"/>
            <w:szCs w:val="20"/>
            <w:highlight w:val="white"/>
            <w:u w:val="single"/>
            <w:rtl w:val="0"/>
          </w:rPr>
          <w:t xml:space="preserve">https://www.academia.edu/44384606/WORKING_WITH_EMOTIONAL_INTELLIGENCE</w:t>
        </w:r>
      </w:hyperlink>
      <w:r w:rsidDel="00000000" w:rsidR="00000000" w:rsidRPr="00000000">
        <w:rPr>
          <w:color w:val="000a0f"/>
          <w:sz w:val="20"/>
          <w:szCs w:val="20"/>
          <w:highlight w:val="white"/>
          <w:rtl w:val="0"/>
        </w:rPr>
        <w:t xml:space="preserve">. (Accessed March 7, 2023).</w:t>
      </w:r>
      <w:r w:rsidDel="00000000" w:rsidR="00000000" w:rsidRPr="00000000">
        <w:rPr>
          <w:rtl w:val="0"/>
        </w:rPr>
      </w:r>
    </w:p>
    <w:p w:rsidR="00000000" w:rsidDel="00000000" w:rsidP="00000000" w:rsidRDefault="00000000" w:rsidRPr="00000000" w14:paraId="000000B9">
      <w:pPr>
        <w:rPr/>
      </w:pPr>
      <w:r w:rsidDel="00000000" w:rsidR="00000000" w:rsidRPr="00000000">
        <w:rPr>
          <w:rtl w:val="0"/>
        </w:rPr>
      </w:r>
    </w:p>
    <w:p w:rsidR="00000000" w:rsidDel="00000000" w:rsidP="00000000" w:rsidRDefault="00000000" w:rsidRPr="00000000" w14:paraId="000000BA">
      <w:pPr>
        <w:rPr>
          <w:color w:val="222222"/>
          <w:highlight w:val="white"/>
        </w:rPr>
      </w:pPr>
      <w:r w:rsidDel="00000000" w:rsidR="00000000" w:rsidRPr="00000000">
        <w:rPr>
          <w:color w:val="222222"/>
          <w:highlight w:val="white"/>
          <w:rtl w:val="0"/>
        </w:rPr>
        <w:t xml:space="preserve">Grant, A. M. (2005). What is evidence-based executive, workplace and life coaching?. In J. Passmore &amp; D. B. Peterson (Eds.), Evidence-Based Coaching Volume 1: Theory, Research and Practice from the Behavioural Sciences (pp. 1-13). Bowen Hills, QLD: Australian Academic Press. Retrieved on April 30, 2023, from https://citeseerx.ist.psu.edu/document?repid=rep1&amp;type=pdf&amp;doi=e55b88d218ef923acc3afcdfe7207d23d469e504#</w:t>
      </w:r>
    </w:p>
    <w:p w:rsidR="00000000" w:rsidDel="00000000" w:rsidP="00000000" w:rsidRDefault="00000000" w:rsidRPr="00000000" w14:paraId="000000BB">
      <w:pPr>
        <w:rPr/>
      </w:pPr>
      <w:r w:rsidDel="00000000" w:rsidR="00000000" w:rsidRPr="00000000">
        <w:rPr>
          <w:rtl w:val="0"/>
        </w:rPr>
      </w:r>
    </w:p>
    <w:p w:rsidR="00000000" w:rsidDel="00000000" w:rsidP="00000000" w:rsidRDefault="00000000" w:rsidRPr="00000000" w14:paraId="000000BC">
      <w:pPr>
        <w:rPr/>
      </w:pPr>
      <w:r w:rsidDel="00000000" w:rsidR="00000000" w:rsidRPr="00000000">
        <w:rPr>
          <w:rtl w:val="0"/>
        </w:rPr>
        <w:t xml:space="preserve">Hargie, O. (2004). Skilled interpersonal communication: Research, theory and practice. Routledge. Retrieved on April 30, 2023, from https://archive.org/details/skilledinterpers0000harg/page/532/mode/2up</w:t>
      </w:r>
    </w:p>
    <w:p w:rsidR="00000000" w:rsidDel="00000000" w:rsidP="00000000" w:rsidRDefault="00000000" w:rsidRPr="00000000" w14:paraId="000000BD">
      <w:pPr>
        <w:pStyle w:val="Heading2"/>
        <w:spacing w:after="0" w:before="40" w:line="259" w:lineRule="auto"/>
        <w:rPr>
          <w:rFonts w:ascii="Roboto" w:cs="Roboto" w:eastAsia="Roboto" w:hAnsi="Roboto"/>
          <w:b w:val="1"/>
          <w:color w:val="343541"/>
          <w:sz w:val="24"/>
          <w:szCs w:val="24"/>
        </w:rPr>
      </w:pPr>
      <w:bookmarkStart w:colFirst="0" w:colLast="0" w:name="_gjdyin9u2jzr" w:id="10"/>
      <w:bookmarkEnd w:id="10"/>
      <w:r w:rsidDel="00000000" w:rsidR="00000000" w:rsidRPr="00000000">
        <w:rPr>
          <w:rtl w:val="0"/>
        </w:rPr>
      </w:r>
    </w:p>
    <w:p w:rsidR="00000000" w:rsidDel="00000000" w:rsidP="00000000" w:rsidRDefault="00000000" w:rsidRPr="00000000" w14:paraId="000000BE">
      <w:pPr>
        <w:rPr/>
      </w:pPr>
      <w:r w:rsidDel="00000000" w:rsidR="00000000" w:rsidRPr="00000000">
        <w:rPr>
          <w:rtl w:val="0"/>
        </w:rPr>
      </w:r>
    </w:p>
    <w:p w:rsidR="00000000" w:rsidDel="00000000" w:rsidP="00000000" w:rsidRDefault="00000000" w:rsidRPr="00000000" w14:paraId="000000BF">
      <w:pPr>
        <w:rPr/>
      </w:pPr>
      <w:r w:rsidDel="00000000" w:rsidR="00000000" w:rsidRPr="00000000">
        <w:rPr>
          <w:rtl w:val="0"/>
        </w:rPr>
        <w:t xml:space="preserve">Cox, E., Bachkirova, T., &amp; Clutterbuck, D. (2014). The Complete Handbook of Coaching (3rd Edition). SAGE Publications Ltd. Retrieved May 4, 2023, from </w:t>
      </w:r>
      <w:hyperlink r:id="rId19">
        <w:r w:rsidDel="00000000" w:rsidR="00000000" w:rsidRPr="00000000">
          <w:rPr>
            <w:color w:val="1155cc"/>
            <w:u w:val="single"/>
            <w:rtl w:val="0"/>
          </w:rPr>
          <w:t xml:space="preserve">https://uk.sagepub.com/sites/default/files/upm-binaries/95301_complete_handbook_of_coaching_Introduction.pdf</w:t>
        </w:r>
      </w:hyperlink>
      <w:r w:rsidDel="00000000" w:rsidR="00000000" w:rsidRPr="00000000">
        <w:rPr>
          <w:rtl w:val="0"/>
        </w:rPr>
      </w:r>
    </w:p>
    <w:p w:rsidR="00000000" w:rsidDel="00000000" w:rsidP="00000000" w:rsidRDefault="00000000" w:rsidRPr="00000000" w14:paraId="000000C0">
      <w:pPr>
        <w:rPr/>
      </w:pPr>
      <w:r w:rsidDel="00000000" w:rsidR="00000000" w:rsidRPr="00000000">
        <w:rPr>
          <w:rtl w:val="0"/>
        </w:rPr>
      </w:r>
    </w:p>
    <w:p w:rsidR="00000000" w:rsidDel="00000000" w:rsidP="00000000" w:rsidRDefault="00000000" w:rsidRPr="00000000" w14:paraId="000000C1">
      <w:pPr>
        <w:rPr/>
      </w:pPr>
      <w:r w:rsidDel="00000000" w:rsidR="00000000" w:rsidRPr="00000000">
        <w:rPr>
          <w:rtl w:val="0"/>
        </w:rPr>
        <w:t xml:space="preserve">Leonard, T., &amp; Larson, E. (1998). The Portable Coach: 28 Sure-fire Strategies for Business and Personal Success. Scribner. Retrieved May 4, 2023, from https://archive.org/details/portablecoach28s0000leon</w:t>
      </w:r>
    </w:p>
    <w:p w:rsidR="00000000" w:rsidDel="00000000" w:rsidP="00000000" w:rsidRDefault="00000000" w:rsidRPr="00000000" w14:paraId="000000C2">
      <w:pPr>
        <w:rPr/>
      </w:pPr>
      <w:r w:rsidDel="00000000" w:rsidR="00000000" w:rsidRPr="00000000">
        <w:rPr>
          <w:rtl w:val="0"/>
        </w:rPr>
      </w:r>
    </w:p>
    <w:p w:rsidR="00000000" w:rsidDel="00000000" w:rsidP="00000000" w:rsidRDefault="00000000" w:rsidRPr="00000000" w14:paraId="000000C3">
      <w:pPr>
        <w:rPr/>
      </w:pPr>
      <w:r w:rsidDel="00000000" w:rsidR="00000000" w:rsidRPr="00000000">
        <w:rPr>
          <w:rtl w:val="0"/>
        </w:rPr>
      </w:r>
    </w:p>
    <w:p w:rsidR="00000000" w:rsidDel="00000000" w:rsidP="00000000" w:rsidRDefault="00000000" w:rsidRPr="00000000" w14:paraId="000000C4">
      <w:pPr>
        <w:rPr/>
      </w:pPr>
      <w:r w:rsidDel="00000000" w:rsidR="00000000" w:rsidRPr="00000000">
        <w:rPr>
          <w:rtl w:val="0"/>
        </w:rPr>
      </w:r>
    </w:p>
    <w:p w:rsidR="00000000" w:rsidDel="00000000" w:rsidP="00000000" w:rsidRDefault="00000000" w:rsidRPr="00000000" w14:paraId="000000C5">
      <w:pPr>
        <w:rPr/>
      </w:pPr>
      <w:r w:rsidDel="00000000" w:rsidR="00000000" w:rsidRPr="00000000">
        <w:rPr>
          <w:rtl w:val="0"/>
        </w:rPr>
      </w:r>
    </w:p>
    <w:p w:rsidR="00000000" w:rsidDel="00000000" w:rsidP="00000000" w:rsidRDefault="00000000" w:rsidRPr="00000000" w14:paraId="000000C6">
      <w:pPr>
        <w:rPr/>
      </w:pPr>
      <w:r w:rsidDel="00000000" w:rsidR="00000000" w:rsidRPr="00000000">
        <w:rPr>
          <w:rtl w:val="0"/>
        </w:rPr>
      </w:r>
    </w:p>
    <w:p w:rsidR="00000000" w:rsidDel="00000000" w:rsidP="00000000" w:rsidRDefault="00000000" w:rsidRPr="00000000" w14:paraId="000000C7">
      <w:pPr>
        <w:rPr/>
      </w:pPr>
      <w:r w:rsidDel="00000000" w:rsidR="00000000" w:rsidRPr="00000000">
        <w:rPr>
          <w:rtl w:val="0"/>
        </w:rPr>
      </w:r>
    </w:p>
    <w:p w:rsidR="00000000" w:rsidDel="00000000" w:rsidP="00000000" w:rsidRDefault="00000000" w:rsidRPr="00000000" w14:paraId="000000C8">
      <w:pPr>
        <w:pStyle w:val="Heading2"/>
        <w:spacing w:after="0" w:before="40" w:line="259" w:lineRule="auto"/>
        <w:rPr>
          <w:rFonts w:ascii="Roboto" w:cs="Roboto" w:eastAsia="Roboto" w:hAnsi="Roboto"/>
          <w:b w:val="1"/>
          <w:color w:val="343541"/>
          <w:sz w:val="24"/>
          <w:szCs w:val="24"/>
        </w:rPr>
      </w:pPr>
      <w:bookmarkStart w:colFirst="0" w:colLast="0" w:name="_3jd45mukz6qc" w:id="11"/>
      <w:bookmarkEnd w:id="11"/>
      <w:r w:rsidDel="00000000" w:rsidR="00000000" w:rsidRPr="00000000">
        <w:rPr>
          <w:rtl w:val="0"/>
        </w:rPr>
      </w:r>
    </w:p>
    <w:p w:rsidR="00000000" w:rsidDel="00000000" w:rsidP="00000000" w:rsidRDefault="00000000" w:rsidRPr="00000000" w14:paraId="000000C9">
      <w:pPr>
        <w:pStyle w:val="Heading2"/>
        <w:spacing w:after="0" w:before="40" w:line="259" w:lineRule="auto"/>
        <w:rPr>
          <w:rFonts w:ascii="Roboto" w:cs="Roboto" w:eastAsia="Roboto" w:hAnsi="Roboto"/>
          <w:b w:val="1"/>
          <w:color w:val="343541"/>
          <w:sz w:val="24"/>
          <w:szCs w:val="24"/>
        </w:rPr>
      </w:pPr>
      <w:bookmarkStart w:colFirst="0" w:colLast="0" w:name="_rziud2fdqjpc" w:id="12"/>
      <w:bookmarkEnd w:id="12"/>
      <w:r w:rsidDel="00000000" w:rsidR="00000000" w:rsidRPr="00000000">
        <w:rPr>
          <w:rtl w:val="0"/>
        </w:rPr>
      </w:r>
    </w:p>
    <w:p w:rsidR="00000000" w:rsidDel="00000000" w:rsidP="00000000" w:rsidRDefault="00000000" w:rsidRPr="00000000" w14:paraId="000000CA">
      <w:pPr>
        <w:pStyle w:val="Heading2"/>
        <w:spacing w:after="0" w:before="40" w:line="259" w:lineRule="auto"/>
        <w:rPr/>
      </w:pPr>
      <w:bookmarkStart w:colFirst="0" w:colLast="0" w:name="_otsgpxbo15bq" w:id="13"/>
      <w:bookmarkEnd w:id="13"/>
      <w:r w:rsidDel="00000000" w:rsidR="00000000" w:rsidRPr="00000000">
        <w:rPr>
          <w:rFonts w:ascii="Roboto" w:cs="Roboto" w:eastAsia="Roboto" w:hAnsi="Roboto"/>
          <w:b w:val="1"/>
          <w:color w:val="343541"/>
          <w:sz w:val="24"/>
          <w:szCs w:val="24"/>
          <w:rtl w:val="0"/>
        </w:rPr>
        <w:t xml:space="preserve">Appendix</w:t>
      </w:r>
      <w:r w:rsidDel="00000000" w:rsidR="00000000" w:rsidRPr="00000000">
        <w:rPr>
          <w:rtl w:val="0"/>
        </w:rPr>
        <w:t xml:space="preserve"> </w:t>
      </w:r>
    </w:p>
    <w:p w:rsidR="00000000" w:rsidDel="00000000" w:rsidP="00000000" w:rsidRDefault="00000000" w:rsidRPr="00000000" w14:paraId="000000CB">
      <w:pPr>
        <w:rPr/>
      </w:pPr>
      <w:r w:rsidDel="00000000" w:rsidR="00000000" w:rsidRPr="00000000">
        <w:rPr>
          <w:rtl w:val="0"/>
        </w:rPr>
      </w:r>
    </w:p>
    <w:tbl>
      <w:tblPr>
        <w:tblStyle w:val="Table2"/>
        <w:tblW w:w="9029.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4.5"/>
        <w:gridCol w:w="4514.5"/>
        <w:tblGridChange w:id="0">
          <w:tblGrid>
            <w:gridCol w:w="4514.5"/>
            <w:gridCol w:w="4514.5"/>
          </w:tblGrid>
        </w:tblGridChange>
      </w:tblGrid>
      <w:tr>
        <w:trPr>
          <w:cantSplit w:val="0"/>
          <w:tblHeader w:val="0"/>
        </w:trPr>
        <w:tc>
          <w:tcPr>
            <w:shd w:fill="efefef" w:val="clear"/>
            <w:tcMar>
              <w:top w:w="100.0" w:type="dxa"/>
              <w:left w:w="100.0" w:type="dxa"/>
              <w:bottom w:w="100.0" w:type="dxa"/>
              <w:right w:w="100.0" w:type="dxa"/>
            </w:tcMar>
            <w:vAlign w:val="top"/>
          </w:tcPr>
          <w:p w:rsidR="00000000" w:rsidDel="00000000" w:rsidP="00000000" w:rsidRDefault="00000000" w:rsidRPr="00000000" w14:paraId="000000C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Strengths</w:t>
            </w:r>
          </w:p>
        </w:tc>
        <w:tc>
          <w:tcPr>
            <w:shd w:fill="efefef" w:val="clear"/>
            <w:tcMar>
              <w:top w:w="100.0" w:type="dxa"/>
              <w:left w:w="100.0" w:type="dxa"/>
              <w:bottom w:w="100.0" w:type="dxa"/>
              <w:right w:w="100.0" w:type="dxa"/>
            </w:tcMar>
            <w:vAlign w:val="top"/>
          </w:tcPr>
          <w:p w:rsidR="00000000" w:rsidDel="00000000" w:rsidP="00000000" w:rsidRDefault="00000000" w:rsidRPr="00000000" w14:paraId="000000C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Weaknesses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C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Provides a clear framework for coaching conversations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0C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Can be seen as formulaic and may not suit all coaching contexts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Helps to establish clear goals and actions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0D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Can oversimplify complex coaching situations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Emphasises the coachee's responsibility for their own growth</w:t>
            </w:r>
          </w:p>
        </w:tc>
        <w:tc>
          <w:tcPr>
            <w:shd w:fill="auto" w:val="clear"/>
            <w:tcMar>
              <w:top w:w="100.0" w:type="dxa"/>
              <w:left w:w="100.0" w:type="dxa"/>
              <w:bottom w:w="100.0" w:type="dxa"/>
              <w:right w:w="100.0" w:type="dxa"/>
            </w:tcMar>
            <w:vAlign w:val="top"/>
          </w:tcPr>
          <w:p w:rsidR="00000000" w:rsidDel="00000000" w:rsidP="00000000" w:rsidRDefault="00000000" w:rsidRPr="00000000" w14:paraId="000000D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Over-reliance on the model can limit creativity and flexibility in coaching</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Can increase coachee's self-awareness and confidence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D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Some coaches may use the model as a script, rather than adapting to the coachee's unique needs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Provides a simple and easy-to-remember structure for coaches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D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May not address underlying issues that are outside the scope of the model</w:t>
            </w:r>
          </w:p>
        </w:tc>
      </w:tr>
      <w:tr>
        <w:trPr>
          <w:cantSplit w:val="0"/>
          <w:tblHeader w:val="0"/>
        </w:trPr>
        <w:tc>
          <w:tcPr>
            <w:shd w:fill="f3f3f3" w:val="clear"/>
            <w:tcMar>
              <w:top w:w="100.0" w:type="dxa"/>
              <w:left w:w="100.0" w:type="dxa"/>
              <w:bottom w:w="100.0" w:type="dxa"/>
              <w:right w:w="100.0" w:type="dxa"/>
            </w:tcMar>
            <w:vAlign w:val="top"/>
          </w:tcPr>
          <w:p w:rsidR="00000000" w:rsidDel="00000000" w:rsidP="00000000" w:rsidRDefault="00000000" w:rsidRPr="00000000" w14:paraId="000000D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Opportunities</w:t>
            </w:r>
          </w:p>
        </w:tc>
        <w:tc>
          <w:tcPr>
            <w:shd w:fill="efefef" w:val="clear"/>
            <w:tcMar>
              <w:top w:w="100.0" w:type="dxa"/>
              <w:left w:w="100.0" w:type="dxa"/>
              <w:bottom w:w="100.0" w:type="dxa"/>
              <w:right w:w="100.0" w:type="dxa"/>
            </w:tcMar>
            <w:vAlign w:val="top"/>
          </w:tcPr>
          <w:p w:rsidR="00000000" w:rsidDel="00000000" w:rsidP="00000000" w:rsidRDefault="00000000" w:rsidRPr="00000000" w14:paraId="000000D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Threats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Can be adapted to suit different coaching contexts and goals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D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Other coaching models may gain popularity and overshadow the GROW model</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Can be integrated with other coaching tools and techniques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D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Overemphasis on goal-setting may lead to neglect of other important aspects of coaching, such as building relationships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Can enhance coaching effectiveness and efficiency</w:t>
            </w:r>
          </w:p>
        </w:tc>
        <w:tc>
          <w:tcPr>
            <w:shd w:fill="auto" w:val="clear"/>
            <w:tcMar>
              <w:top w:w="100.0" w:type="dxa"/>
              <w:left w:w="100.0" w:type="dxa"/>
              <w:bottom w:w="100.0" w:type="dxa"/>
              <w:right w:w="100.0" w:type="dxa"/>
            </w:tcMar>
            <w:vAlign w:val="top"/>
          </w:tcPr>
          <w:p w:rsidR="00000000" w:rsidDel="00000000" w:rsidP="00000000" w:rsidRDefault="00000000" w:rsidRPr="00000000" w14:paraId="000000D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Lack of understanding or misuse of the model can result in poor coaching outcomes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Can be used in a range of organisational and personal development contexts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E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Increasing scrutiny of coaching practices may result in questioning the efficacy of the GROW model</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Can help coaches to demonstrate the value of their coaching services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E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Potential for the model to become too rigid and inflexible, limiting its effectiveness in certain situations</w:t>
            </w:r>
          </w:p>
        </w:tc>
      </w:tr>
    </w:tbl>
    <w:p w:rsidR="00000000" w:rsidDel="00000000" w:rsidP="00000000" w:rsidRDefault="00000000" w:rsidRPr="00000000" w14:paraId="000000E4">
      <w:pPr>
        <w:rPr/>
      </w:pPr>
      <w:r w:rsidDel="00000000" w:rsidR="00000000" w:rsidRPr="00000000">
        <w:rPr>
          <w:rtl w:val="0"/>
        </w:rPr>
      </w:r>
    </w:p>
    <w:p w:rsidR="00000000" w:rsidDel="00000000" w:rsidP="00000000" w:rsidRDefault="00000000" w:rsidRPr="00000000" w14:paraId="000000E5">
      <w:pPr>
        <w:rPr/>
      </w:pPr>
      <w:r w:rsidDel="00000000" w:rsidR="00000000" w:rsidRPr="00000000">
        <w:rPr>
          <w:rtl w:val="0"/>
        </w:rPr>
        <w:t xml:space="preserve">SWOT Analysis created by student James Lewis</w:t>
      </w:r>
    </w:p>
    <w:p w:rsidR="00000000" w:rsidDel="00000000" w:rsidP="00000000" w:rsidRDefault="00000000" w:rsidRPr="00000000" w14:paraId="000000E6">
      <w:pPr>
        <w:rPr/>
      </w:pPr>
      <w:r w:rsidDel="00000000" w:rsidR="00000000" w:rsidRPr="00000000">
        <w:rPr>
          <w:rtl w:val="0"/>
        </w:rPr>
      </w:r>
    </w:p>
    <w:p w:rsidR="00000000" w:rsidDel="00000000" w:rsidP="00000000" w:rsidRDefault="00000000" w:rsidRPr="00000000" w14:paraId="000000E7">
      <w:pPr>
        <w:rPr/>
      </w:pPr>
      <w:r w:rsidDel="00000000" w:rsidR="00000000" w:rsidRPr="00000000">
        <w:rPr>
          <w:rtl w:val="0"/>
        </w:rPr>
      </w:r>
    </w:p>
    <w:p w:rsidR="00000000" w:rsidDel="00000000" w:rsidP="00000000" w:rsidRDefault="00000000" w:rsidRPr="00000000" w14:paraId="000000E8">
      <w:pPr>
        <w:rPr/>
      </w:pPr>
      <w:r w:rsidDel="00000000" w:rsidR="00000000" w:rsidRPr="00000000">
        <w:rPr>
          <w:rtl w:val="0"/>
        </w:rPr>
      </w:r>
    </w:p>
    <w:p w:rsidR="00000000" w:rsidDel="00000000" w:rsidP="00000000" w:rsidRDefault="00000000" w:rsidRPr="00000000" w14:paraId="000000E9">
      <w:pPr>
        <w:rPr/>
      </w:pPr>
      <w:r w:rsidDel="00000000" w:rsidR="00000000" w:rsidRPr="00000000">
        <w:rPr>
          <w:rtl w:val="0"/>
        </w:rPr>
      </w:r>
    </w:p>
    <w:p w:rsidR="00000000" w:rsidDel="00000000" w:rsidP="00000000" w:rsidRDefault="00000000" w:rsidRPr="00000000" w14:paraId="000000EA">
      <w:pPr>
        <w:rPr/>
      </w:pPr>
      <w:r w:rsidDel="00000000" w:rsidR="00000000" w:rsidRPr="00000000">
        <w:rPr>
          <w:rtl w:val="0"/>
        </w:rPr>
      </w:r>
    </w:p>
    <w:p w:rsidR="00000000" w:rsidDel="00000000" w:rsidP="00000000" w:rsidRDefault="00000000" w:rsidRPr="00000000" w14:paraId="000000EB">
      <w:pPr>
        <w:rPr/>
      </w:pPr>
      <w:r w:rsidDel="00000000" w:rsidR="00000000" w:rsidRPr="00000000">
        <w:rPr>
          <w:rtl w:val="0"/>
        </w:rPr>
      </w:r>
    </w:p>
    <w:p w:rsidR="00000000" w:rsidDel="00000000" w:rsidP="00000000" w:rsidRDefault="00000000" w:rsidRPr="00000000" w14:paraId="000000EC">
      <w:pPr>
        <w:rPr/>
      </w:pPr>
      <w:r w:rsidDel="00000000" w:rsidR="00000000" w:rsidRPr="00000000">
        <w:rPr>
          <w:rtl w:val="0"/>
        </w:rPr>
      </w:r>
    </w:p>
    <w:p w:rsidR="00000000" w:rsidDel="00000000" w:rsidP="00000000" w:rsidRDefault="00000000" w:rsidRPr="00000000" w14:paraId="000000ED">
      <w:pPr>
        <w:rPr/>
      </w:pPr>
      <w:r w:rsidDel="00000000" w:rsidR="00000000" w:rsidRPr="00000000">
        <w:rPr>
          <w:rtl w:val="0"/>
        </w:rPr>
      </w:r>
    </w:p>
    <w:p w:rsidR="00000000" w:rsidDel="00000000" w:rsidP="00000000" w:rsidRDefault="00000000" w:rsidRPr="00000000" w14:paraId="000000EE">
      <w:pPr>
        <w:rPr/>
      </w:pPr>
      <w:r w:rsidDel="00000000" w:rsidR="00000000" w:rsidRPr="00000000">
        <w:rPr>
          <w:rtl w:val="0"/>
        </w:rPr>
        <w:t xml:space="preserve">PESTLE analysis on the GROW model:</w:t>
      </w:r>
    </w:p>
    <w:p w:rsidR="00000000" w:rsidDel="00000000" w:rsidP="00000000" w:rsidRDefault="00000000" w:rsidRPr="00000000" w14:paraId="000000EF">
      <w:pPr>
        <w:rPr/>
      </w:pPr>
      <w:r w:rsidDel="00000000" w:rsidR="00000000" w:rsidRPr="00000000">
        <w:rPr>
          <w:rtl w:val="0"/>
        </w:rPr>
      </w:r>
    </w:p>
    <w:p w:rsidR="00000000" w:rsidDel="00000000" w:rsidP="00000000" w:rsidRDefault="00000000" w:rsidRPr="00000000" w14:paraId="000000F0">
      <w:pPr>
        <w:rPr>
          <w:b w:val="1"/>
          <w:u w:val="single"/>
        </w:rPr>
      </w:pPr>
      <w:r w:rsidDel="00000000" w:rsidR="00000000" w:rsidRPr="00000000">
        <w:rPr>
          <w:b w:val="1"/>
          <w:u w:val="single"/>
          <w:rtl w:val="0"/>
        </w:rPr>
        <w:t xml:space="preserve">Political:</w:t>
      </w:r>
    </w:p>
    <w:p w:rsidR="00000000" w:rsidDel="00000000" w:rsidP="00000000" w:rsidRDefault="00000000" w:rsidRPr="00000000" w14:paraId="000000F1">
      <w:pPr>
        <w:rPr/>
      </w:pPr>
      <w:r w:rsidDel="00000000" w:rsidR="00000000" w:rsidRPr="00000000">
        <w:rPr>
          <w:rtl w:val="0"/>
        </w:rPr>
      </w:r>
    </w:p>
    <w:p w:rsidR="00000000" w:rsidDel="00000000" w:rsidP="00000000" w:rsidRDefault="00000000" w:rsidRPr="00000000" w14:paraId="000000F2">
      <w:pPr>
        <w:numPr>
          <w:ilvl w:val="0"/>
          <w:numId w:val="4"/>
        </w:numPr>
        <w:ind w:left="720" w:hanging="360"/>
        <w:rPr>
          <w:u w:val="none"/>
        </w:rPr>
      </w:pPr>
      <w:r w:rsidDel="00000000" w:rsidR="00000000" w:rsidRPr="00000000">
        <w:rPr>
          <w:rtl w:val="0"/>
        </w:rPr>
        <w:t xml:space="preserve">No specific political factors have a direct impact on the GROW model.</w:t>
      </w:r>
    </w:p>
    <w:p w:rsidR="00000000" w:rsidDel="00000000" w:rsidP="00000000" w:rsidRDefault="00000000" w:rsidRPr="00000000" w14:paraId="000000F3">
      <w:pPr>
        <w:rPr/>
      </w:pPr>
      <w:r w:rsidDel="00000000" w:rsidR="00000000" w:rsidRPr="00000000">
        <w:rPr>
          <w:rtl w:val="0"/>
        </w:rPr>
      </w:r>
    </w:p>
    <w:p w:rsidR="00000000" w:rsidDel="00000000" w:rsidP="00000000" w:rsidRDefault="00000000" w:rsidRPr="00000000" w14:paraId="000000F4">
      <w:pPr>
        <w:rPr>
          <w:b w:val="1"/>
          <w:u w:val="single"/>
        </w:rPr>
      </w:pPr>
      <w:r w:rsidDel="00000000" w:rsidR="00000000" w:rsidRPr="00000000">
        <w:rPr>
          <w:b w:val="1"/>
          <w:u w:val="single"/>
          <w:rtl w:val="0"/>
        </w:rPr>
        <w:t xml:space="preserve">Economic:</w:t>
      </w:r>
    </w:p>
    <w:p w:rsidR="00000000" w:rsidDel="00000000" w:rsidP="00000000" w:rsidRDefault="00000000" w:rsidRPr="00000000" w14:paraId="000000F5">
      <w:pPr>
        <w:rPr/>
      </w:pPr>
      <w:r w:rsidDel="00000000" w:rsidR="00000000" w:rsidRPr="00000000">
        <w:rPr>
          <w:rtl w:val="0"/>
        </w:rPr>
      </w:r>
    </w:p>
    <w:p w:rsidR="00000000" w:rsidDel="00000000" w:rsidP="00000000" w:rsidRDefault="00000000" w:rsidRPr="00000000" w14:paraId="000000F6">
      <w:pPr>
        <w:numPr>
          <w:ilvl w:val="0"/>
          <w:numId w:val="5"/>
        </w:numPr>
        <w:ind w:left="720" w:hanging="360"/>
        <w:rPr>
          <w:u w:val="none"/>
        </w:rPr>
      </w:pPr>
      <w:r w:rsidDel="00000000" w:rsidR="00000000" w:rsidRPr="00000000">
        <w:rPr>
          <w:rtl w:val="0"/>
        </w:rPr>
        <w:t xml:space="preserve">The cost of hiring external coaches or mentors to implement the GROW model may be a barrier for some organisations.</w:t>
      </w:r>
    </w:p>
    <w:p w:rsidR="00000000" w:rsidDel="00000000" w:rsidP="00000000" w:rsidRDefault="00000000" w:rsidRPr="00000000" w14:paraId="000000F7">
      <w:pPr>
        <w:numPr>
          <w:ilvl w:val="0"/>
          <w:numId w:val="5"/>
        </w:numPr>
        <w:ind w:left="720" w:hanging="360"/>
        <w:rPr>
          <w:u w:val="none"/>
        </w:rPr>
      </w:pPr>
      <w:r w:rsidDel="00000000" w:rsidR="00000000" w:rsidRPr="00000000">
        <w:rPr>
          <w:rtl w:val="0"/>
        </w:rPr>
        <w:t xml:space="preserve">The economic climate may also impact the willingness of organisations to invest in employee development, including coaching and mentoring.</w:t>
      </w:r>
    </w:p>
    <w:p w:rsidR="00000000" w:rsidDel="00000000" w:rsidP="00000000" w:rsidRDefault="00000000" w:rsidRPr="00000000" w14:paraId="000000F8">
      <w:pPr>
        <w:rPr/>
      </w:pPr>
      <w:r w:rsidDel="00000000" w:rsidR="00000000" w:rsidRPr="00000000">
        <w:rPr>
          <w:rtl w:val="0"/>
        </w:rPr>
      </w:r>
    </w:p>
    <w:p w:rsidR="00000000" w:rsidDel="00000000" w:rsidP="00000000" w:rsidRDefault="00000000" w:rsidRPr="00000000" w14:paraId="000000F9">
      <w:pPr>
        <w:rPr>
          <w:b w:val="1"/>
          <w:u w:val="single"/>
        </w:rPr>
      </w:pPr>
      <w:r w:rsidDel="00000000" w:rsidR="00000000" w:rsidRPr="00000000">
        <w:rPr>
          <w:b w:val="1"/>
          <w:u w:val="single"/>
          <w:rtl w:val="0"/>
        </w:rPr>
        <w:t xml:space="preserve">Social:</w:t>
      </w:r>
    </w:p>
    <w:p w:rsidR="00000000" w:rsidDel="00000000" w:rsidP="00000000" w:rsidRDefault="00000000" w:rsidRPr="00000000" w14:paraId="000000FA">
      <w:pPr>
        <w:rPr/>
      </w:pPr>
      <w:r w:rsidDel="00000000" w:rsidR="00000000" w:rsidRPr="00000000">
        <w:rPr>
          <w:rtl w:val="0"/>
        </w:rPr>
      </w:r>
    </w:p>
    <w:p w:rsidR="00000000" w:rsidDel="00000000" w:rsidP="00000000" w:rsidRDefault="00000000" w:rsidRPr="00000000" w14:paraId="000000FB">
      <w:pPr>
        <w:numPr>
          <w:ilvl w:val="0"/>
          <w:numId w:val="1"/>
        </w:numPr>
        <w:ind w:left="720" w:hanging="360"/>
        <w:rPr>
          <w:u w:val="none"/>
        </w:rPr>
      </w:pPr>
      <w:r w:rsidDel="00000000" w:rsidR="00000000" w:rsidRPr="00000000">
        <w:rPr>
          <w:rtl w:val="0"/>
        </w:rPr>
        <w:t xml:space="preserve">The demand for coaching and mentoring programs has been increasing as employees seek opportunities for personal and professional growth.</w:t>
      </w:r>
    </w:p>
    <w:p w:rsidR="00000000" w:rsidDel="00000000" w:rsidP="00000000" w:rsidRDefault="00000000" w:rsidRPr="00000000" w14:paraId="000000FC">
      <w:pPr>
        <w:numPr>
          <w:ilvl w:val="0"/>
          <w:numId w:val="1"/>
        </w:numPr>
        <w:ind w:left="720" w:hanging="360"/>
        <w:rPr>
          <w:u w:val="none"/>
        </w:rPr>
      </w:pPr>
      <w:r w:rsidDel="00000000" w:rsidR="00000000" w:rsidRPr="00000000">
        <w:rPr>
          <w:rtl w:val="0"/>
        </w:rPr>
        <w:t xml:space="preserve">The GROW model aligns with the social trend of continuous learning and development in the workplace.</w:t>
      </w:r>
    </w:p>
    <w:p w:rsidR="00000000" w:rsidDel="00000000" w:rsidP="00000000" w:rsidRDefault="00000000" w:rsidRPr="00000000" w14:paraId="000000FD">
      <w:pPr>
        <w:rPr/>
      </w:pPr>
      <w:r w:rsidDel="00000000" w:rsidR="00000000" w:rsidRPr="00000000">
        <w:rPr>
          <w:rtl w:val="0"/>
        </w:rPr>
      </w:r>
    </w:p>
    <w:p w:rsidR="00000000" w:rsidDel="00000000" w:rsidP="00000000" w:rsidRDefault="00000000" w:rsidRPr="00000000" w14:paraId="000000FE">
      <w:pPr>
        <w:rPr>
          <w:b w:val="1"/>
          <w:u w:val="single"/>
        </w:rPr>
      </w:pPr>
      <w:r w:rsidDel="00000000" w:rsidR="00000000" w:rsidRPr="00000000">
        <w:rPr>
          <w:b w:val="1"/>
          <w:u w:val="single"/>
          <w:rtl w:val="0"/>
        </w:rPr>
        <w:t xml:space="preserve">Technological:</w:t>
      </w:r>
    </w:p>
    <w:p w:rsidR="00000000" w:rsidDel="00000000" w:rsidP="00000000" w:rsidRDefault="00000000" w:rsidRPr="00000000" w14:paraId="000000FF">
      <w:pPr>
        <w:rPr/>
      </w:pPr>
      <w:r w:rsidDel="00000000" w:rsidR="00000000" w:rsidRPr="00000000">
        <w:rPr>
          <w:rtl w:val="0"/>
        </w:rPr>
      </w:r>
    </w:p>
    <w:p w:rsidR="00000000" w:rsidDel="00000000" w:rsidP="00000000" w:rsidRDefault="00000000" w:rsidRPr="00000000" w14:paraId="00000100">
      <w:pPr>
        <w:numPr>
          <w:ilvl w:val="0"/>
          <w:numId w:val="2"/>
        </w:numPr>
        <w:ind w:left="720" w:hanging="360"/>
        <w:rPr>
          <w:u w:val="none"/>
        </w:rPr>
      </w:pPr>
      <w:r w:rsidDel="00000000" w:rsidR="00000000" w:rsidRPr="00000000">
        <w:rPr>
          <w:rtl w:val="0"/>
        </w:rPr>
        <w:t xml:space="preserve">The use of technology has made coaching and mentoring more accessible through online coaching platforms, webinars, and virtual meetings.</w:t>
      </w:r>
    </w:p>
    <w:p w:rsidR="00000000" w:rsidDel="00000000" w:rsidP="00000000" w:rsidRDefault="00000000" w:rsidRPr="00000000" w14:paraId="00000101">
      <w:pPr>
        <w:numPr>
          <w:ilvl w:val="0"/>
          <w:numId w:val="2"/>
        </w:numPr>
        <w:ind w:left="720" w:hanging="360"/>
        <w:rPr>
          <w:u w:val="none"/>
        </w:rPr>
      </w:pPr>
      <w:r w:rsidDel="00000000" w:rsidR="00000000" w:rsidRPr="00000000">
        <w:rPr>
          <w:rtl w:val="0"/>
        </w:rPr>
        <w:t xml:space="preserve">Technology has also enabled the development of coaching and mentoring software that can assist with implementing the GROW model.</w:t>
      </w:r>
    </w:p>
    <w:p w:rsidR="00000000" w:rsidDel="00000000" w:rsidP="00000000" w:rsidRDefault="00000000" w:rsidRPr="00000000" w14:paraId="00000102">
      <w:pPr>
        <w:rPr/>
      </w:pPr>
      <w:r w:rsidDel="00000000" w:rsidR="00000000" w:rsidRPr="00000000">
        <w:rPr>
          <w:rtl w:val="0"/>
        </w:rPr>
      </w:r>
    </w:p>
    <w:p w:rsidR="00000000" w:rsidDel="00000000" w:rsidP="00000000" w:rsidRDefault="00000000" w:rsidRPr="00000000" w14:paraId="00000103">
      <w:pPr>
        <w:rPr>
          <w:b w:val="1"/>
          <w:u w:val="single"/>
        </w:rPr>
      </w:pPr>
      <w:r w:rsidDel="00000000" w:rsidR="00000000" w:rsidRPr="00000000">
        <w:rPr>
          <w:b w:val="1"/>
          <w:u w:val="single"/>
          <w:rtl w:val="0"/>
        </w:rPr>
        <w:t xml:space="preserve">Legal:</w:t>
      </w:r>
    </w:p>
    <w:p w:rsidR="00000000" w:rsidDel="00000000" w:rsidP="00000000" w:rsidRDefault="00000000" w:rsidRPr="00000000" w14:paraId="00000104">
      <w:pPr>
        <w:rPr/>
      </w:pPr>
      <w:r w:rsidDel="00000000" w:rsidR="00000000" w:rsidRPr="00000000">
        <w:rPr>
          <w:rtl w:val="0"/>
        </w:rPr>
      </w:r>
    </w:p>
    <w:p w:rsidR="00000000" w:rsidDel="00000000" w:rsidP="00000000" w:rsidRDefault="00000000" w:rsidRPr="00000000" w14:paraId="00000105">
      <w:pPr>
        <w:numPr>
          <w:ilvl w:val="0"/>
          <w:numId w:val="3"/>
        </w:numPr>
        <w:ind w:left="720" w:hanging="360"/>
        <w:rPr>
          <w:u w:val="none"/>
        </w:rPr>
      </w:pPr>
      <w:r w:rsidDel="00000000" w:rsidR="00000000" w:rsidRPr="00000000">
        <w:rPr>
          <w:rtl w:val="0"/>
        </w:rPr>
        <w:t xml:space="preserve">There are no specific legal requirements or regulations related to the GROW model.</w:t>
      </w:r>
    </w:p>
    <w:p w:rsidR="00000000" w:rsidDel="00000000" w:rsidP="00000000" w:rsidRDefault="00000000" w:rsidRPr="00000000" w14:paraId="00000106">
      <w:pPr>
        <w:rPr/>
      </w:pPr>
      <w:r w:rsidDel="00000000" w:rsidR="00000000" w:rsidRPr="00000000">
        <w:rPr>
          <w:rtl w:val="0"/>
        </w:rPr>
      </w:r>
    </w:p>
    <w:p w:rsidR="00000000" w:rsidDel="00000000" w:rsidP="00000000" w:rsidRDefault="00000000" w:rsidRPr="00000000" w14:paraId="00000107">
      <w:pPr>
        <w:rPr>
          <w:b w:val="1"/>
          <w:u w:val="single"/>
        </w:rPr>
      </w:pPr>
      <w:r w:rsidDel="00000000" w:rsidR="00000000" w:rsidRPr="00000000">
        <w:rPr>
          <w:b w:val="1"/>
          <w:u w:val="single"/>
          <w:rtl w:val="0"/>
        </w:rPr>
        <w:t xml:space="preserve">Environmental:</w:t>
      </w:r>
    </w:p>
    <w:p w:rsidR="00000000" w:rsidDel="00000000" w:rsidP="00000000" w:rsidRDefault="00000000" w:rsidRPr="00000000" w14:paraId="00000108">
      <w:pPr>
        <w:rPr/>
      </w:pPr>
      <w:r w:rsidDel="00000000" w:rsidR="00000000" w:rsidRPr="00000000">
        <w:rPr>
          <w:rtl w:val="0"/>
        </w:rPr>
      </w:r>
    </w:p>
    <w:p w:rsidR="00000000" w:rsidDel="00000000" w:rsidP="00000000" w:rsidRDefault="00000000" w:rsidRPr="00000000" w14:paraId="00000109">
      <w:pPr>
        <w:numPr>
          <w:ilvl w:val="0"/>
          <w:numId w:val="6"/>
        </w:numPr>
        <w:ind w:left="720" w:hanging="360"/>
        <w:rPr>
          <w:u w:val="none"/>
        </w:rPr>
      </w:pPr>
      <w:r w:rsidDel="00000000" w:rsidR="00000000" w:rsidRPr="00000000">
        <w:rPr>
          <w:rtl w:val="0"/>
        </w:rPr>
        <w:t xml:space="preserve">The GROW model can contribute to a positive work environment by promoting employee growth, engagement, and job satisfaction.</w:t>
      </w:r>
    </w:p>
    <w:p w:rsidR="00000000" w:rsidDel="00000000" w:rsidP="00000000" w:rsidRDefault="00000000" w:rsidRPr="00000000" w14:paraId="0000010A">
      <w:pPr>
        <w:rPr/>
      </w:pPr>
      <w:r w:rsidDel="00000000" w:rsidR="00000000" w:rsidRPr="00000000">
        <w:rPr>
          <w:rtl w:val="0"/>
        </w:rPr>
      </w:r>
    </w:p>
    <w:p w:rsidR="00000000" w:rsidDel="00000000" w:rsidP="00000000" w:rsidRDefault="00000000" w:rsidRPr="00000000" w14:paraId="0000010B">
      <w:pPr>
        <w:rPr/>
      </w:pPr>
      <w:r w:rsidDel="00000000" w:rsidR="00000000" w:rsidRPr="00000000">
        <w:rPr>
          <w:rtl w:val="0"/>
        </w:rPr>
        <w:t xml:space="preserve">Overall, the PESTLE analysis suggests that the GROW model aligns well with current social trends and can contribute positively to the work environment. However, economic factors such as cost may present a barrier to implementation for some organisations, while technological advancements offer new opportunities for coaching and mentoring.</w:t>
      </w:r>
    </w:p>
    <w:p w:rsidR="00000000" w:rsidDel="00000000" w:rsidP="00000000" w:rsidRDefault="00000000" w:rsidRPr="00000000" w14:paraId="0000010C">
      <w:pPr>
        <w:rPr/>
      </w:pPr>
      <w:r w:rsidDel="00000000" w:rsidR="00000000" w:rsidRPr="00000000">
        <w:rPr>
          <w:rtl w:val="0"/>
        </w:rPr>
      </w:r>
    </w:p>
    <w:p w:rsidR="00000000" w:rsidDel="00000000" w:rsidP="00000000" w:rsidRDefault="00000000" w:rsidRPr="00000000" w14:paraId="0000010D">
      <w:pPr>
        <w:rPr/>
      </w:pPr>
      <w:r w:rsidDel="00000000" w:rsidR="00000000" w:rsidRPr="00000000">
        <w:rPr>
          <w:rtl w:val="0"/>
        </w:rPr>
        <w:t xml:space="preserve">created by student James Lewis</w:t>
      </w:r>
    </w:p>
    <w:p w:rsidR="00000000" w:rsidDel="00000000" w:rsidP="00000000" w:rsidRDefault="00000000" w:rsidRPr="00000000" w14:paraId="0000010E">
      <w:pPr>
        <w:rPr/>
      </w:pPr>
      <w:r w:rsidDel="00000000" w:rsidR="00000000" w:rsidRPr="00000000">
        <w:rPr>
          <w:rtl w:val="0"/>
        </w:rPr>
      </w:r>
    </w:p>
    <w:p w:rsidR="00000000" w:rsidDel="00000000" w:rsidP="00000000" w:rsidRDefault="00000000" w:rsidRPr="00000000" w14:paraId="0000010F">
      <w:pPr>
        <w:rPr/>
      </w:pPr>
      <w:r w:rsidDel="00000000" w:rsidR="00000000" w:rsidRPr="00000000">
        <w:rPr>
          <w:rtl w:val="0"/>
        </w:rPr>
      </w:r>
    </w:p>
    <w:p w:rsidR="00000000" w:rsidDel="00000000" w:rsidP="00000000" w:rsidRDefault="00000000" w:rsidRPr="00000000" w14:paraId="00000110">
      <w:pPr>
        <w:rPr>
          <w:b w:val="1"/>
          <w:u w:val="single"/>
        </w:rPr>
      </w:pPr>
      <w:r w:rsidDel="00000000" w:rsidR="00000000" w:rsidRPr="00000000">
        <w:rPr>
          <w:rtl w:val="0"/>
        </w:rPr>
      </w:r>
    </w:p>
    <w:p w:rsidR="00000000" w:rsidDel="00000000" w:rsidP="00000000" w:rsidRDefault="00000000" w:rsidRPr="00000000" w14:paraId="00000111">
      <w:pPr>
        <w:rPr>
          <w:b w:val="1"/>
          <w:u w:val="single"/>
        </w:rPr>
      </w:pPr>
      <w:r w:rsidDel="00000000" w:rsidR="00000000" w:rsidRPr="00000000">
        <w:rPr>
          <w:rtl w:val="0"/>
        </w:rPr>
      </w:r>
    </w:p>
    <w:p w:rsidR="00000000" w:rsidDel="00000000" w:rsidP="00000000" w:rsidRDefault="00000000" w:rsidRPr="00000000" w14:paraId="00000112">
      <w:pPr>
        <w:rPr>
          <w:b w:val="1"/>
          <w:u w:val="single"/>
        </w:rPr>
      </w:pPr>
      <w:r w:rsidDel="00000000" w:rsidR="00000000" w:rsidRPr="00000000">
        <w:rPr>
          <w:rtl w:val="0"/>
        </w:rPr>
      </w:r>
    </w:p>
    <w:p w:rsidR="00000000" w:rsidDel="00000000" w:rsidP="00000000" w:rsidRDefault="00000000" w:rsidRPr="00000000" w14:paraId="00000113">
      <w:pPr>
        <w:rPr>
          <w:b w:val="1"/>
          <w:u w:val="single"/>
        </w:rPr>
      </w:pPr>
      <w:r w:rsidDel="00000000" w:rsidR="00000000" w:rsidRPr="00000000">
        <w:rPr>
          <w:rtl w:val="0"/>
        </w:rPr>
      </w:r>
    </w:p>
    <w:p w:rsidR="00000000" w:rsidDel="00000000" w:rsidP="00000000" w:rsidRDefault="00000000" w:rsidRPr="00000000" w14:paraId="00000114">
      <w:pPr>
        <w:rPr>
          <w:b w:val="1"/>
          <w:u w:val="single"/>
        </w:rPr>
      </w:pPr>
      <w:r w:rsidDel="00000000" w:rsidR="00000000" w:rsidRPr="00000000">
        <w:rPr>
          <w:b w:val="1"/>
          <w:u w:val="single"/>
          <w:rtl w:val="0"/>
        </w:rPr>
        <w:t xml:space="preserve">A basic parent-child interaction transactional analysis </w:t>
      </w:r>
    </w:p>
    <w:p w:rsidR="00000000" w:rsidDel="00000000" w:rsidP="00000000" w:rsidRDefault="00000000" w:rsidRPr="00000000" w14:paraId="00000115">
      <w:pPr>
        <w:rPr/>
      </w:pPr>
      <w:r w:rsidDel="00000000" w:rsidR="00000000" w:rsidRPr="00000000">
        <w:rPr>
          <w:rtl w:val="0"/>
        </w:rPr>
      </w:r>
    </w:p>
    <w:p w:rsidR="00000000" w:rsidDel="00000000" w:rsidP="00000000" w:rsidRDefault="00000000" w:rsidRPr="00000000" w14:paraId="00000116">
      <w:pPr>
        <w:rPr/>
      </w:pPr>
      <w:r w:rsidDel="00000000" w:rsidR="00000000" w:rsidRPr="00000000">
        <w:rPr/>
        <w:drawing>
          <wp:inline distB="114300" distT="114300" distL="114300" distR="114300">
            <wp:extent cx="5731200" cy="5905500"/>
            <wp:effectExtent b="0" l="0" r="0" t="0"/>
            <wp:docPr id="2" name="image2.png"/>
            <a:graphic>
              <a:graphicData uri="http://schemas.openxmlformats.org/drawingml/2006/picture">
                <pic:pic>
                  <pic:nvPicPr>
                    <pic:cNvPr id="0" name="image2.png"/>
                    <pic:cNvPicPr preferRelativeResize="0"/>
                  </pic:nvPicPr>
                  <pic:blipFill>
                    <a:blip r:embed="rId20"/>
                    <a:srcRect b="0" l="0" r="0" t="0"/>
                    <a:stretch>
                      <a:fillRect/>
                    </a:stretch>
                  </pic:blipFill>
                  <pic:spPr>
                    <a:xfrm>
                      <a:off x="0" y="0"/>
                      <a:ext cx="5731200" cy="5905500"/>
                    </a:xfrm>
                    <a:prstGeom prst="rect"/>
                    <a:ln/>
                  </pic:spPr>
                </pic:pic>
              </a:graphicData>
            </a:graphic>
          </wp:inline>
        </w:drawing>
      </w:r>
      <w:r w:rsidDel="00000000" w:rsidR="00000000" w:rsidRPr="00000000">
        <w:rPr>
          <w:rtl w:val="0"/>
        </w:rPr>
      </w:r>
    </w:p>
    <w:p w:rsidR="00000000" w:rsidDel="00000000" w:rsidP="00000000" w:rsidRDefault="00000000" w:rsidRPr="00000000" w14:paraId="00000117">
      <w:pPr>
        <w:rPr/>
      </w:pPr>
      <w:r w:rsidDel="00000000" w:rsidR="00000000" w:rsidRPr="00000000">
        <w:rPr>
          <w:rtl w:val="0"/>
        </w:rPr>
        <w:t xml:space="preserve">Sourced from https://www.simplypsychology.org/transactional-analysis-eric-berne.html</w:t>
      </w:r>
      <w:r w:rsidDel="00000000" w:rsidR="00000000" w:rsidRPr="00000000">
        <w:rPr>
          <w:rtl w:val="0"/>
        </w:rPr>
      </w:r>
    </w:p>
    <w:sectPr>
      <w:pgSz w:h="16834" w:w="11909" w:orient="portrait"/>
      <w:pgMar w:bottom="1440" w:top="1440" w:left="1440" w:right="1440" w:header="720" w:footer="720"/>
      <w:pgNumType w:start="1"/>
    </w:sectPr>
  </w:body>
</w:document>
</file>

<file path=word/comments.xml><?xml version="1.0" encoding="utf-8"?>
<w:comme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comment w:author="james lewis" w:id="1" w:date="2023-05-04T19:32:37Z">
    <w:p w:rsidR="00000000" w:rsidDel="00000000" w:rsidP="00000000" w:rsidRDefault="00000000" w:rsidRPr="00000000" w14:paraId="000001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good enough</w:t>
      </w:r>
    </w:p>
  </w:comment>
  <w:comment w:author="james lewis" w:id="2" w:date="2023-05-04T19:32:37Z">
    <w:p w:rsidR="00000000" w:rsidDel="00000000" w:rsidP="00000000" w:rsidRDefault="00000000" w:rsidRPr="00000000" w14:paraId="000001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good enough</w:t>
      </w:r>
    </w:p>
  </w:comment>
  <w:comment w:author="james lewis" w:id="3" w:date="2023-05-04T19:32:37Z">
    <w:p w:rsidR="00000000" w:rsidDel="00000000" w:rsidP="00000000" w:rsidRDefault="00000000" w:rsidRPr="00000000" w14:paraId="000001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good enough</w:t>
      </w:r>
    </w:p>
  </w:comment>
  <w:comment w:author="james lewis" w:id="0" w:date="2023-04-17T08:18:06Z">
    <w:p w:rsidR="00000000" w:rsidDel="00000000" w:rsidP="00000000" w:rsidRDefault="00000000" w:rsidRPr="00000000" w14:paraId="000001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good</w:t>
      </w:r>
    </w:p>
  </w:comment>
  <w:comment w:author="james lewis" w:id="4" w:date="2023-05-02T19:30:35Z">
    <w:p w:rsidR="00000000" w:rsidDel="00000000" w:rsidP="00000000" w:rsidRDefault="00000000" w:rsidRPr="00000000" w14:paraId="000001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EMPATHY</w:t>
      </w:r>
    </w:p>
  </w:comment>
</w:comments>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image" Target="media/image2.png"/><Relationship Id="rId11" Type="http://schemas.openxmlformats.org/officeDocument/2006/relationships/hyperlink" Target="https://www.employment-studies.co.uk/system/files/resources/files/mp116.pdf" TargetMode="External"/><Relationship Id="rId10" Type="http://schemas.openxmlformats.org/officeDocument/2006/relationships/hyperlink" Target="https://www.scalewise.com/case-study/zendesk-account-executive-case-study/" TargetMode="External"/><Relationship Id="rId13" Type="http://schemas.openxmlformats.org/officeDocument/2006/relationships/hyperlink" Target="https://media.oiipdf.com/pdf/d3459ab7-970e-4417-ab67-9a372fe695ea.pdf" TargetMode="External"/><Relationship Id="rId12" Type="http://schemas.openxmlformats.org/officeDocument/2006/relationships/hyperlink" Target="https://oxford-review.com/coaching-do-you-really-need-expertise-in-anything-else/" TargetMode="External"/><Relationship Id="rId1" Type="http://schemas.openxmlformats.org/officeDocument/2006/relationships/theme" Target="theme/theme1.xml"/><Relationship Id="rId2" Type="http://schemas.openxmlformats.org/officeDocument/2006/relationships/comments" Target="comments.xml"/><Relationship Id="rId3" Type="http://schemas.openxmlformats.org/officeDocument/2006/relationships/settings" Target="settings.xml"/><Relationship Id="rId4" Type="http://schemas.openxmlformats.org/officeDocument/2006/relationships/fontTable" Target="fontTable.xml"/><Relationship Id="rId9" Type="http://schemas.openxmlformats.org/officeDocument/2006/relationships/hyperlink" Target="https://www.researchgate.net/publication/232463073_Mentoring_at_Work_Developmental_Relationships_in_Organisational_Life" TargetMode="External"/><Relationship Id="rId15" Type="http://schemas.openxmlformats.org/officeDocument/2006/relationships/hyperlink" Target="https://archive.org/details/whatdoyousayafte0000bern_x9w1/page/78/mode/2up" TargetMode="External"/><Relationship Id="rId14" Type="http://schemas.openxmlformats.org/officeDocument/2006/relationships/hyperlink" Target="https://www.ft.com/partnercontent/coachhub/the-art-and-science-behind-coaching.html" TargetMode="External"/><Relationship Id="rId17" Type="http://schemas.openxmlformats.org/officeDocument/2006/relationships/hyperlink" Target="https://www.academia.edu/44384606/WORKING_WITH_EMOTIONAL_INTELLIGENCE" TargetMode="External"/><Relationship Id="rId16" Type="http://schemas.openxmlformats.org/officeDocument/2006/relationships/hyperlink" Target="https://archive.org/details/basicpersonalcou0000geld_i2c3/page/6/mode/2up" TargetMode="External"/><Relationship Id="rId5" Type="http://schemas.openxmlformats.org/officeDocument/2006/relationships/numbering" Target="numbering.xml"/><Relationship Id="rId19" Type="http://schemas.openxmlformats.org/officeDocument/2006/relationships/hyperlink" Target="https://uk.sagepub.com/sites/default/files/upm-binaries/95301_complete_handbook_of_coaching_Introduction.pdf" TargetMode="External"/><Relationship Id="rId6" Type="http://schemas.openxmlformats.org/officeDocument/2006/relationships/styles" Target="styles.xml"/><Relationship Id="rId18" Type="http://schemas.openxmlformats.org/officeDocument/2006/relationships/hyperlink" Target="https://www.academia.edu/44384606/WORKING_WITH_EMOTIONAL_INTELLIGENCE" TargetMode="External"/><Relationship Id="rId7" Type="http://schemas.openxmlformats.org/officeDocument/2006/relationships/image" Target="media/image1.jpg"/><Relationship Id="rId8" Type="http://schemas.openxmlformats.org/officeDocument/2006/relationships/hyperlink" Target="https://www.managers.org.uk/knowledge-and-insights/resource/coaching-for-improved-performance/"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