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AE4B71" w:rsidP="00AE4B71">
      <w:pPr>
        <w:tabs>
          <w:tab w:val="left" w:pos="4930"/>
        </w:tabs>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259E0C67">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AE4B71" w:rsidRPr="00AE4B71" w:rsidTr="00AB09D2">
        <w:trPr>
          <w:trHeight w:val="179"/>
          <w:jc w:val="center"/>
        </w:trPr>
        <w:tc>
          <w:tcPr>
            <w:tcW w:w="0" w:type="auto"/>
            <w:hideMark/>
          </w:tcPr>
          <w:p w:rsidR="00AE4B71" w:rsidRPr="00AE4B71" w:rsidRDefault="00AE4B71" w:rsidP="00AE4B71">
            <w:pPr>
              <w:tabs>
                <w:tab w:val="right" w:pos="2299"/>
              </w:tabs>
              <w:spacing w:line="360" w:lineRule="auto"/>
              <w:jc w:val="both"/>
              <w:rPr>
                <w:rFonts w:ascii="Arial" w:eastAsia="Times New Roman" w:hAnsi="Arial" w:cs="Arial"/>
                <w:b/>
                <w:bCs/>
              </w:rPr>
            </w:pPr>
            <w:r w:rsidRPr="00AE4B71">
              <w:rPr>
                <w:rFonts w:ascii="Arial" w:eastAsia="Times New Roman" w:hAnsi="Arial" w:cs="Arial"/>
                <w:b/>
                <w:bCs/>
              </w:rPr>
              <w:t>Student Name:</w:t>
            </w:r>
            <w:r w:rsidRPr="00AE4B71">
              <w:rPr>
                <w:rFonts w:ascii="Arial" w:eastAsia="Times New Roman" w:hAnsi="Arial" w:cs="Arial"/>
                <w:b/>
                <w:bCs/>
              </w:rPr>
              <w:tab/>
            </w:r>
          </w:p>
        </w:tc>
        <w:tc>
          <w:tcPr>
            <w:tcW w:w="5825" w:type="dxa"/>
            <w:hideMark/>
          </w:tcPr>
          <w:p w:rsidR="00AE4B71" w:rsidRPr="00AE4B71" w:rsidRDefault="00AE4B71" w:rsidP="00AE4B71">
            <w:pPr>
              <w:spacing w:line="360" w:lineRule="auto"/>
              <w:jc w:val="both"/>
              <w:rPr>
                <w:rFonts w:ascii="Arial" w:eastAsia="Times New Roman" w:hAnsi="Arial" w:cs="Arial"/>
                <w:bCs/>
              </w:rPr>
            </w:pPr>
          </w:p>
        </w:tc>
      </w:tr>
      <w:tr w:rsidR="00AE4B71" w:rsidRPr="00AE4B71" w:rsidTr="00AB09D2">
        <w:trPr>
          <w:jc w:val="center"/>
        </w:trPr>
        <w:tc>
          <w:tcPr>
            <w:tcW w:w="0" w:type="auto"/>
            <w:hideMark/>
          </w:tcPr>
          <w:p w:rsidR="00AE4B71" w:rsidRPr="00AE4B71" w:rsidRDefault="00AE4B71" w:rsidP="00AE4B71">
            <w:pPr>
              <w:spacing w:line="360" w:lineRule="auto"/>
              <w:jc w:val="both"/>
              <w:rPr>
                <w:rFonts w:ascii="Arial" w:eastAsia="Times New Roman" w:hAnsi="Arial" w:cs="Arial"/>
              </w:rPr>
            </w:pPr>
            <w:r w:rsidRPr="00AE4B71">
              <w:rPr>
                <w:rFonts w:ascii="Arial" w:eastAsia="Times New Roman" w:hAnsi="Arial" w:cs="Arial"/>
                <w:b/>
                <w:bCs/>
              </w:rPr>
              <w:t>Student ID Number:</w:t>
            </w:r>
          </w:p>
        </w:tc>
        <w:tc>
          <w:tcPr>
            <w:tcW w:w="5825" w:type="dxa"/>
            <w:hideMark/>
          </w:tcPr>
          <w:p w:rsidR="00AE4B71" w:rsidRPr="00AE4B71" w:rsidRDefault="00AE4B71" w:rsidP="00AE4B71">
            <w:pPr>
              <w:spacing w:line="360" w:lineRule="auto"/>
              <w:jc w:val="both"/>
              <w:rPr>
                <w:rFonts w:ascii="Arial" w:eastAsia="Times New Roman" w:hAnsi="Arial" w:cs="Arial"/>
              </w:rPr>
            </w:pPr>
          </w:p>
        </w:tc>
      </w:tr>
      <w:tr w:rsidR="00AE4B71" w:rsidRPr="00AE4B71" w:rsidTr="00AB09D2">
        <w:trPr>
          <w:jc w:val="center"/>
        </w:trPr>
        <w:tc>
          <w:tcPr>
            <w:tcW w:w="0" w:type="auto"/>
            <w:hideMark/>
          </w:tcPr>
          <w:p w:rsidR="00AE4B71" w:rsidRPr="00AE4B71" w:rsidRDefault="00AE4B71" w:rsidP="00AE4B71">
            <w:pPr>
              <w:spacing w:line="360" w:lineRule="auto"/>
              <w:jc w:val="both"/>
              <w:rPr>
                <w:rFonts w:ascii="Arial" w:eastAsia="Times New Roman" w:hAnsi="Arial" w:cs="Arial"/>
              </w:rPr>
            </w:pPr>
            <w:r w:rsidRPr="00AE4B71">
              <w:rPr>
                <w:rFonts w:ascii="Arial" w:eastAsia="Times New Roman" w:hAnsi="Arial" w:cs="Arial"/>
                <w:b/>
                <w:bCs/>
              </w:rPr>
              <w:t>Programme:</w:t>
            </w:r>
          </w:p>
        </w:tc>
        <w:tc>
          <w:tcPr>
            <w:tcW w:w="5825" w:type="dxa"/>
            <w:hideMark/>
          </w:tcPr>
          <w:p w:rsidR="00AE4B71" w:rsidRPr="00AE4B71" w:rsidRDefault="00AE4B71" w:rsidP="00AE4B71">
            <w:pPr>
              <w:spacing w:line="360" w:lineRule="auto"/>
              <w:jc w:val="both"/>
              <w:rPr>
                <w:rFonts w:ascii="Arial" w:eastAsia="Times New Roman" w:hAnsi="Arial" w:cs="Arial"/>
                <w:b/>
              </w:rPr>
            </w:pPr>
            <w:r w:rsidRPr="00AE4B71">
              <w:rPr>
                <w:rFonts w:ascii="Arial" w:hAnsi="Arial" w:cs="Arial"/>
                <w:b/>
              </w:rPr>
              <w:t>Certificate of Higher Education Skills for the Workplace (Health &amp; Social Care)</w:t>
            </w:r>
          </w:p>
        </w:tc>
      </w:tr>
      <w:tr w:rsidR="00AE4B71" w:rsidRPr="00AE4B71" w:rsidTr="00AB09D2">
        <w:trPr>
          <w:jc w:val="center"/>
        </w:trPr>
        <w:tc>
          <w:tcPr>
            <w:tcW w:w="0" w:type="auto"/>
            <w:hideMark/>
          </w:tcPr>
          <w:p w:rsidR="00AE4B71" w:rsidRPr="00AE4B71" w:rsidRDefault="00AE4B71" w:rsidP="00AE4B71">
            <w:pPr>
              <w:spacing w:line="360" w:lineRule="auto"/>
              <w:jc w:val="both"/>
              <w:rPr>
                <w:rFonts w:ascii="Arial" w:eastAsia="Times New Roman" w:hAnsi="Arial" w:cs="Arial"/>
              </w:rPr>
            </w:pPr>
            <w:r w:rsidRPr="00AE4B71">
              <w:rPr>
                <w:rFonts w:ascii="Arial" w:eastAsia="Times New Roman" w:hAnsi="Arial" w:cs="Arial"/>
                <w:b/>
                <w:bCs/>
              </w:rPr>
              <w:t>Module Title:</w:t>
            </w:r>
          </w:p>
        </w:tc>
        <w:tc>
          <w:tcPr>
            <w:tcW w:w="5825" w:type="dxa"/>
            <w:hideMark/>
          </w:tcPr>
          <w:p w:rsidR="00AE4B71" w:rsidRPr="00AE4B71" w:rsidRDefault="00AE4B71" w:rsidP="00AE4B71">
            <w:pPr>
              <w:spacing w:line="360" w:lineRule="auto"/>
              <w:jc w:val="both"/>
              <w:rPr>
                <w:rFonts w:ascii="Arial" w:eastAsia="Times New Roman" w:hAnsi="Arial" w:cs="Arial"/>
                <w:b/>
              </w:rPr>
            </w:pPr>
            <w:r w:rsidRPr="00AE4B71">
              <w:rPr>
                <w:rFonts w:ascii="Arial" w:hAnsi="Arial" w:cs="Arial"/>
                <w:b/>
              </w:rPr>
              <w:t>Introduction to Public Health</w:t>
            </w:r>
          </w:p>
        </w:tc>
      </w:tr>
      <w:tr w:rsidR="00AE4B71" w:rsidRPr="00AE4B71" w:rsidTr="00AB09D2">
        <w:trPr>
          <w:jc w:val="center"/>
        </w:trPr>
        <w:tc>
          <w:tcPr>
            <w:tcW w:w="0" w:type="auto"/>
            <w:hideMark/>
          </w:tcPr>
          <w:p w:rsidR="00AE4B71" w:rsidRPr="00AE4B71" w:rsidRDefault="00AE4B71" w:rsidP="00AE4B71">
            <w:pPr>
              <w:spacing w:line="360" w:lineRule="auto"/>
              <w:jc w:val="both"/>
              <w:rPr>
                <w:rFonts w:ascii="Arial" w:eastAsia="Times New Roman" w:hAnsi="Arial" w:cs="Arial"/>
              </w:rPr>
            </w:pPr>
            <w:r w:rsidRPr="00AE4B71">
              <w:rPr>
                <w:rFonts w:ascii="Arial" w:eastAsia="Times New Roman" w:hAnsi="Arial" w:cs="Arial"/>
                <w:b/>
                <w:bCs/>
              </w:rPr>
              <w:t>Module Code:</w:t>
            </w:r>
          </w:p>
        </w:tc>
        <w:tc>
          <w:tcPr>
            <w:tcW w:w="5825" w:type="dxa"/>
            <w:hideMark/>
          </w:tcPr>
          <w:p w:rsidR="00AE4B71" w:rsidRPr="00AE4B71" w:rsidRDefault="00AE4B71" w:rsidP="00AE4B71">
            <w:pPr>
              <w:spacing w:line="360" w:lineRule="auto"/>
              <w:jc w:val="both"/>
              <w:rPr>
                <w:rFonts w:ascii="Arial" w:eastAsia="Times New Roman" w:hAnsi="Arial" w:cs="Arial"/>
                <w:b/>
              </w:rPr>
            </w:pPr>
            <w:r w:rsidRPr="00AE4B71">
              <w:rPr>
                <w:rFonts w:ascii="Arial" w:hAnsi="Arial" w:cs="Arial"/>
                <w:b/>
              </w:rPr>
              <w:t>LCHS4008</w:t>
            </w:r>
          </w:p>
        </w:tc>
      </w:tr>
      <w:tr w:rsidR="00AE4B71" w:rsidRPr="00AE4B71" w:rsidTr="00AB09D2">
        <w:trPr>
          <w:jc w:val="center"/>
        </w:trPr>
        <w:tc>
          <w:tcPr>
            <w:tcW w:w="0" w:type="auto"/>
            <w:hideMark/>
          </w:tcPr>
          <w:p w:rsidR="00AE4B71" w:rsidRPr="00AE4B71" w:rsidRDefault="00AE4B71" w:rsidP="00AE4B71">
            <w:pPr>
              <w:spacing w:line="360" w:lineRule="auto"/>
              <w:jc w:val="both"/>
              <w:rPr>
                <w:rFonts w:ascii="Arial" w:eastAsia="Times New Roman" w:hAnsi="Arial" w:cs="Arial"/>
              </w:rPr>
            </w:pPr>
            <w:r w:rsidRPr="00AE4B71">
              <w:rPr>
                <w:rFonts w:ascii="Arial" w:eastAsia="Times New Roman" w:hAnsi="Arial" w:cs="Arial"/>
                <w:b/>
                <w:bCs/>
              </w:rPr>
              <w:t>Lecturer:</w:t>
            </w:r>
          </w:p>
        </w:tc>
        <w:tc>
          <w:tcPr>
            <w:tcW w:w="5825" w:type="dxa"/>
            <w:hideMark/>
          </w:tcPr>
          <w:p w:rsidR="00AE4B71" w:rsidRPr="00AE4B71" w:rsidRDefault="00AE4B71" w:rsidP="00AE4B71">
            <w:pPr>
              <w:spacing w:line="360" w:lineRule="auto"/>
              <w:jc w:val="both"/>
              <w:rPr>
                <w:rFonts w:ascii="Arial" w:eastAsia="Times New Roman" w:hAnsi="Arial" w:cs="Arial"/>
              </w:rPr>
            </w:pPr>
          </w:p>
        </w:tc>
      </w:tr>
    </w:tbl>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AE4B71" w:rsidRPr="00AE4B71" w:rsidRDefault="00AE4B71" w:rsidP="00AE4B71">
      <w:pPr>
        <w:spacing w:before="100" w:beforeAutospacing="1" w:after="100" w:afterAutospacing="1" w:line="240" w:lineRule="auto"/>
        <w:outlineLvl w:val="1"/>
        <w:rPr>
          <w:rFonts w:ascii="Arial" w:eastAsia="Times New Roman" w:hAnsi="Arial" w:cs="Arial"/>
          <w:b/>
          <w:bCs/>
          <w:sz w:val="24"/>
          <w:szCs w:val="24"/>
        </w:rPr>
      </w:pPr>
      <w:r w:rsidRPr="00AE4B71">
        <w:rPr>
          <w:rFonts w:ascii="Arial" w:eastAsia="Times New Roman" w:hAnsi="Arial" w:cs="Arial"/>
          <w:b/>
          <w:bCs/>
          <w:sz w:val="24"/>
          <w:szCs w:val="24"/>
        </w:rPr>
        <w:t>Table of Contents</w:t>
      </w:r>
    </w:p>
    <w:p w:rsidR="00AE4B71" w:rsidRPr="00AE4B71" w:rsidRDefault="00AE4B71" w:rsidP="00AE4B71">
      <w:pPr>
        <w:numPr>
          <w:ilvl w:val="0"/>
          <w:numId w:val="1"/>
        </w:numPr>
        <w:spacing w:before="100" w:beforeAutospacing="1" w:after="100" w:afterAutospacing="1" w:line="240" w:lineRule="auto"/>
        <w:rPr>
          <w:rFonts w:ascii="Arial" w:eastAsia="Times New Roman" w:hAnsi="Arial" w:cs="Arial"/>
          <w:sz w:val="24"/>
          <w:szCs w:val="24"/>
        </w:rPr>
      </w:pPr>
      <w:r w:rsidRPr="00AE4B71">
        <w:rPr>
          <w:rFonts w:ascii="Arial" w:eastAsia="Times New Roman" w:hAnsi="Arial" w:cs="Arial"/>
          <w:b/>
          <w:bCs/>
          <w:sz w:val="24"/>
          <w:szCs w:val="24"/>
        </w:rPr>
        <w:t>Introduction</w:t>
      </w:r>
      <w:r w:rsidRPr="00AE4B71">
        <w:rPr>
          <w:rFonts w:ascii="Arial" w:eastAsia="Times New Roman" w:hAnsi="Arial" w:cs="Arial"/>
          <w:sz w:val="24"/>
          <w:szCs w:val="24"/>
        </w:rPr>
        <w:t xml:space="preserve"> .......................................................................</w:t>
      </w:r>
      <w:r>
        <w:rPr>
          <w:rFonts w:ascii="Arial" w:eastAsia="Times New Roman" w:hAnsi="Arial" w:cs="Arial"/>
          <w:sz w:val="24"/>
          <w:szCs w:val="24"/>
        </w:rPr>
        <w:t>...........................</w:t>
      </w:r>
      <w:r w:rsidRPr="00AE4B71">
        <w:rPr>
          <w:rFonts w:ascii="Arial" w:eastAsia="Times New Roman" w:hAnsi="Arial" w:cs="Arial"/>
          <w:sz w:val="24"/>
          <w:szCs w:val="24"/>
        </w:rPr>
        <w:t>...... 3</w:t>
      </w:r>
    </w:p>
    <w:p w:rsidR="00AE4B71" w:rsidRPr="00AE4B71" w:rsidRDefault="00AE4B71" w:rsidP="00AE4B71">
      <w:pPr>
        <w:numPr>
          <w:ilvl w:val="0"/>
          <w:numId w:val="1"/>
        </w:numPr>
        <w:spacing w:before="100" w:beforeAutospacing="1" w:after="100" w:afterAutospacing="1" w:line="240" w:lineRule="auto"/>
        <w:rPr>
          <w:rFonts w:ascii="Arial" w:eastAsia="Times New Roman" w:hAnsi="Arial" w:cs="Arial"/>
          <w:sz w:val="24"/>
          <w:szCs w:val="24"/>
        </w:rPr>
      </w:pPr>
      <w:r w:rsidRPr="00AE4B71">
        <w:rPr>
          <w:rFonts w:ascii="Arial" w:eastAsia="Times New Roman" w:hAnsi="Arial" w:cs="Arial"/>
          <w:b/>
          <w:bCs/>
          <w:sz w:val="24"/>
          <w:szCs w:val="24"/>
        </w:rPr>
        <w:t>Main Body</w:t>
      </w:r>
      <w:r w:rsidRPr="00AE4B71">
        <w:rPr>
          <w:rFonts w:ascii="Arial" w:eastAsia="Times New Roman" w:hAnsi="Arial" w:cs="Arial"/>
          <w:sz w:val="24"/>
          <w:szCs w:val="24"/>
        </w:rPr>
        <w:t xml:space="preserve"> ...........................................................................</w:t>
      </w:r>
      <w:r>
        <w:rPr>
          <w:rFonts w:ascii="Arial" w:eastAsia="Times New Roman" w:hAnsi="Arial" w:cs="Arial"/>
          <w:sz w:val="24"/>
          <w:szCs w:val="24"/>
        </w:rPr>
        <w:t>................................ 3</w:t>
      </w:r>
      <w:r w:rsidRPr="00AE4B71">
        <w:rPr>
          <w:rFonts w:ascii="Arial" w:eastAsia="Times New Roman" w:hAnsi="Arial" w:cs="Arial"/>
          <w:sz w:val="24"/>
          <w:szCs w:val="24"/>
        </w:rPr>
        <w:br/>
      </w:r>
      <w:r w:rsidRPr="00AE4B71">
        <w:rPr>
          <w:rFonts w:ascii="Arial" w:eastAsia="Times New Roman" w:hAnsi="Arial" w:cs="Arial"/>
          <w:sz w:val="24"/>
          <w:szCs w:val="24"/>
        </w:rPr>
        <w:t> </w:t>
      </w:r>
      <w:r w:rsidRPr="00AE4B71">
        <w:rPr>
          <w:rFonts w:ascii="Arial" w:eastAsia="Times New Roman" w:hAnsi="Arial" w:cs="Arial"/>
          <w:sz w:val="24"/>
          <w:szCs w:val="24"/>
        </w:rPr>
        <w:t>2.1 Approaches Used to Measure and Monitor Tuberculosis .......</w:t>
      </w:r>
      <w:r>
        <w:rPr>
          <w:rFonts w:ascii="Arial" w:eastAsia="Times New Roman" w:hAnsi="Arial" w:cs="Arial"/>
          <w:sz w:val="24"/>
          <w:szCs w:val="24"/>
        </w:rPr>
        <w:t>................... 3</w:t>
      </w:r>
      <w:r w:rsidRPr="00AE4B71">
        <w:rPr>
          <w:rFonts w:ascii="Arial" w:eastAsia="Times New Roman" w:hAnsi="Arial" w:cs="Arial"/>
          <w:sz w:val="24"/>
          <w:szCs w:val="24"/>
        </w:rPr>
        <w:br/>
      </w:r>
      <w:r w:rsidRPr="00AE4B71">
        <w:rPr>
          <w:rFonts w:ascii="Arial" w:eastAsia="Times New Roman" w:hAnsi="Arial" w:cs="Arial"/>
          <w:sz w:val="24"/>
          <w:szCs w:val="24"/>
        </w:rPr>
        <w:t> </w:t>
      </w:r>
      <w:r w:rsidRPr="00AE4B71">
        <w:rPr>
          <w:rFonts w:ascii="Arial" w:eastAsia="Times New Roman" w:hAnsi="Arial" w:cs="Arial"/>
          <w:sz w:val="24"/>
          <w:szCs w:val="24"/>
        </w:rPr>
        <w:t>2.2 Control and Prevention of Tuberculosis ................................</w:t>
      </w:r>
      <w:r>
        <w:rPr>
          <w:rFonts w:ascii="Arial" w:eastAsia="Times New Roman" w:hAnsi="Arial" w:cs="Arial"/>
          <w:sz w:val="24"/>
          <w:szCs w:val="24"/>
        </w:rPr>
        <w:t>..................... 4</w:t>
      </w:r>
      <w:r w:rsidRPr="00AE4B71">
        <w:rPr>
          <w:rFonts w:ascii="Arial" w:eastAsia="Times New Roman" w:hAnsi="Arial" w:cs="Arial"/>
          <w:sz w:val="24"/>
          <w:szCs w:val="24"/>
        </w:rPr>
        <w:br/>
      </w:r>
      <w:r w:rsidRPr="00AE4B71">
        <w:rPr>
          <w:rFonts w:ascii="Arial" w:eastAsia="Times New Roman" w:hAnsi="Arial" w:cs="Arial"/>
          <w:sz w:val="24"/>
          <w:szCs w:val="24"/>
        </w:rPr>
        <w:t> </w:t>
      </w:r>
      <w:r w:rsidRPr="00AE4B71">
        <w:rPr>
          <w:rFonts w:ascii="Arial" w:eastAsia="Times New Roman" w:hAnsi="Arial" w:cs="Arial"/>
          <w:sz w:val="24"/>
          <w:szCs w:val="24"/>
        </w:rPr>
        <w:t xml:space="preserve">2.3 Consequences of Tuberculosis on People in the Community </w:t>
      </w:r>
      <w:r>
        <w:rPr>
          <w:rFonts w:ascii="Arial" w:eastAsia="Times New Roman" w:hAnsi="Arial" w:cs="Arial"/>
          <w:sz w:val="24"/>
          <w:szCs w:val="24"/>
        </w:rPr>
        <w:t>……..……... 5</w:t>
      </w:r>
      <w:r w:rsidRPr="00AE4B71">
        <w:rPr>
          <w:rFonts w:ascii="Arial" w:eastAsia="Times New Roman" w:hAnsi="Arial" w:cs="Arial"/>
          <w:sz w:val="24"/>
          <w:szCs w:val="24"/>
        </w:rPr>
        <w:br/>
      </w:r>
      <w:r w:rsidRPr="00AE4B71">
        <w:rPr>
          <w:rFonts w:ascii="Arial" w:eastAsia="Times New Roman" w:hAnsi="Arial" w:cs="Arial"/>
          <w:sz w:val="24"/>
          <w:szCs w:val="24"/>
        </w:rPr>
        <w:t> </w:t>
      </w:r>
      <w:r w:rsidRPr="00AE4B71">
        <w:rPr>
          <w:rFonts w:ascii="Arial" w:eastAsia="Times New Roman" w:hAnsi="Arial" w:cs="Arial"/>
          <w:sz w:val="24"/>
          <w:szCs w:val="24"/>
        </w:rPr>
        <w:t>2.4 Health and Social Care Support Services ............................</w:t>
      </w:r>
      <w:r>
        <w:rPr>
          <w:rFonts w:ascii="Arial" w:eastAsia="Times New Roman" w:hAnsi="Arial" w:cs="Arial"/>
          <w:sz w:val="24"/>
          <w:szCs w:val="24"/>
        </w:rPr>
        <w:t>...................... 6</w:t>
      </w:r>
      <w:r w:rsidRPr="00AE4B71">
        <w:rPr>
          <w:rFonts w:ascii="Arial" w:eastAsia="Times New Roman" w:hAnsi="Arial" w:cs="Arial"/>
          <w:sz w:val="24"/>
          <w:szCs w:val="24"/>
        </w:rPr>
        <w:br/>
      </w:r>
      <w:r w:rsidRPr="00AE4B71">
        <w:rPr>
          <w:rFonts w:ascii="Arial" w:eastAsia="Times New Roman" w:hAnsi="Arial" w:cs="Arial"/>
          <w:sz w:val="24"/>
          <w:szCs w:val="24"/>
        </w:rPr>
        <w:t> </w:t>
      </w:r>
      <w:r w:rsidRPr="00AE4B71">
        <w:rPr>
          <w:rFonts w:ascii="Arial" w:eastAsia="Times New Roman" w:hAnsi="Arial" w:cs="Arial"/>
          <w:sz w:val="24"/>
          <w:szCs w:val="24"/>
        </w:rPr>
        <w:t>Table 1: Key Approaches to Monitoring and Controlling Tubercul</w:t>
      </w:r>
      <w:r>
        <w:rPr>
          <w:rFonts w:ascii="Arial" w:eastAsia="Times New Roman" w:hAnsi="Arial" w:cs="Arial"/>
          <w:sz w:val="24"/>
          <w:szCs w:val="24"/>
        </w:rPr>
        <w:t>osis ............. 7</w:t>
      </w:r>
    </w:p>
    <w:p w:rsidR="00AE4B71" w:rsidRPr="00AE4B71" w:rsidRDefault="00AE4B71" w:rsidP="00AE4B71">
      <w:pPr>
        <w:numPr>
          <w:ilvl w:val="0"/>
          <w:numId w:val="1"/>
        </w:numPr>
        <w:spacing w:before="100" w:beforeAutospacing="1" w:after="100" w:afterAutospacing="1" w:line="240" w:lineRule="auto"/>
        <w:rPr>
          <w:rFonts w:ascii="Arial" w:eastAsia="Times New Roman" w:hAnsi="Arial" w:cs="Arial"/>
          <w:sz w:val="24"/>
          <w:szCs w:val="24"/>
        </w:rPr>
      </w:pPr>
      <w:r w:rsidRPr="00AE4B71">
        <w:rPr>
          <w:rFonts w:ascii="Arial" w:eastAsia="Times New Roman" w:hAnsi="Arial" w:cs="Arial"/>
          <w:b/>
          <w:bCs/>
          <w:sz w:val="24"/>
          <w:szCs w:val="24"/>
        </w:rPr>
        <w:t>Conclusion</w:t>
      </w:r>
      <w:r w:rsidRPr="00AE4B71">
        <w:rPr>
          <w:rFonts w:ascii="Arial" w:eastAsia="Times New Roman" w:hAnsi="Arial" w:cs="Arial"/>
          <w:sz w:val="24"/>
          <w:szCs w:val="24"/>
        </w:rPr>
        <w:t xml:space="preserve"> ..........................................................................</w:t>
      </w:r>
      <w:r>
        <w:rPr>
          <w:rFonts w:ascii="Arial" w:eastAsia="Times New Roman" w:hAnsi="Arial" w:cs="Arial"/>
          <w:sz w:val="24"/>
          <w:szCs w:val="24"/>
        </w:rPr>
        <w:t>............................... 7</w:t>
      </w:r>
    </w:p>
    <w:p w:rsidR="00AE4B71" w:rsidRPr="00AE4B71" w:rsidRDefault="00AE4B71" w:rsidP="00AE4B71">
      <w:pPr>
        <w:numPr>
          <w:ilvl w:val="0"/>
          <w:numId w:val="1"/>
        </w:numPr>
        <w:spacing w:before="100" w:beforeAutospacing="1" w:after="100" w:afterAutospacing="1" w:line="240" w:lineRule="auto"/>
        <w:rPr>
          <w:rFonts w:ascii="Arial" w:eastAsia="Times New Roman" w:hAnsi="Arial" w:cs="Arial"/>
          <w:sz w:val="24"/>
          <w:szCs w:val="24"/>
        </w:rPr>
      </w:pPr>
      <w:r w:rsidRPr="00AE4B71">
        <w:rPr>
          <w:rFonts w:ascii="Arial" w:eastAsia="Times New Roman" w:hAnsi="Arial" w:cs="Arial"/>
          <w:b/>
          <w:bCs/>
          <w:sz w:val="24"/>
          <w:szCs w:val="24"/>
        </w:rPr>
        <w:t>References</w:t>
      </w:r>
      <w:r w:rsidRPr="00AE4B71">
        <w:rPr>
          <w:rFonts w:ascii="Arial" w:eastAsia="Times New Roman" w:hAnsi="Arial" w:cs="Arial"/>
          <w:sz w:val="24"/>
          <w:szCs w:val="24"/>
        </w:rPr>
        <w:t xml:space="preserve"> .........................................................................</w:t>
      </w:r>
      <w:r>
        <w:rPr>
          <w:rFonts w:ascii="Arial" w:eastAsia="Times New Roman" w:hAnsi="Arial" w:cs="Arial"/>
          <w:sz w:val="24"/>
          <w:szCs w:val="24"/>
        </w:rPr>
        <w:t>................................. 8</w:t>
      </w: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6405D3" w:rsidRDefault="006405D3"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AE4B71" w:rsidRDefault="00AE4B71" w:rsidP="008E63D3">
      <w:pPr>
        <w:tabs>
          <w:tab w:val="left" w:pos="4930"/>
        </w:tabs>
        <w:spacing w:before="100" w:beforeAutospacing="1" w:after="100" w:afterAutospacing="1" w:line="360" w:lineRule="auto"/>
        <w:jc w:val="both"/>
        <w:outlineLvl w:val="1"/>
        <w:rPr>
          <w:rFonts w:ascii="Arial" w:eastAsia="Times New Roman" w:hAnsi="Arial" w:cs="Arial"/>
          <w:b/>
          <w:bCs/>
        </w:rPr>
      </w:pPr>
    </w:p>
    <w:p w:rsidR="008E63D3" w:rsidRPr="008E63D3" w:rsidRDefault="008E63D3" w:rsidP="008E63D3">
      <w:pPr>
        <w:tabs>
          <w:tab w:val="left" w:pos="4930"/>
        </w:tabs>
        <w:spacing w:before="100" w:beforeAutospacing="1" w:after="100" w:afterAutospacing="1" w:line="360" w:lineRule="auto"/>
        <w:jc w:val="both"/>
        <w:outlineLvl w:val="1"/>
        <w:rPr>
          <w:rFonts w:ascii="Arial" w:eastAsia="Times New Roman" w:hAnsi="Arial" w:cs="Arial"/>
          <w:b/>
          <w:bCs/>
        </w:rPr>
      </w:pPr>
      <w:r w:rsidRPr="008E63D3">
        <w:rPr>
          <w:rFonts w:ascii="Arial" w:eastAsia="Times New Roman" w:hAnsi="Arial" w:cs="Arial"/>
          <w:b/>
          <w:bCs/>
        </w:rPr>
        <w:lastRenderedPageBreak/>
        <w:t xml:space="preserve">Introduction </w:t>
      </w:r>
    </w:p>
    <w:p w:rsid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Tuberculosis (TB) is a contagious infectious disease caused by the bacterium </w:t>
      </w:r>
      <w:r w:rsidRPr="008E63D3">
        <w:rPr>
          <w:rFonts w:ascii="Arial" w:eastAsia="Times New Roman" w:hAnsi="Arial" w:cs="Arial"/>
          <w:i/>
          <w:iCs/>
        </w:rPr>
        <w:t>Mycobacterium tuberculosis</w:t>
      </w:r>
      <w:r w:rsidRPr="008E63D3">
        <w:rPr>
          <w:rFonts w:ascii="Arial" w:eastAsia="Times New Roman" w:hAnsi="Arial" w:cs="Arial"/>
        </w:rPr>
        <w:t xml:space="preserve">, which primarily affects the lungs but can also spread to other organs such as the brain, kidneys and bones. The disease is transmitted through airborne droplets when an infected individual coughs or sneezes. Common symptoms include a persistent cough lasting more than three weeks, chest pain, fever, fatigue, night sweats and unexplained weight loss (World Health Organization, 2024). TB remains one of the most serious infectious diseases worldwide. According to global estimates, approximately </w:t>
      </w:r>
      <w:r w:rsidRPr="008E63D3">
        <w:rPr>
          <w:rFonts w:ascii="Arial" w:eastAsia="Times New Roman" w:hAnsi="Arial" w:cs="Arial"/>
          <w:bCs/>
        </w:rPr>
        <w:t>10.6 million people developed tuberculosis in 2022</w:t>
      </w:r>
      <w:r w:rsidRPr="008E63D3">
        <w:rPr>
          <w:rFonts w:ascii="Arial" w:eastAsia="Times New Roman" w:hAnsi="Arial" w:cs="Arial"/>
        </w:rPr>
        <w:t xml:space="preserve">, highlighting its continued public health importance (World Health Organization, 2023). Although the United Kingdom is considered a low-incidence country, TB continues to present a challenge for public health services. Recent surveillance reports indicate that </w:t>
      </w:r>
      <w:r w:rsidRPr="008E63D3">
        <w:rPr>
          <w:rFonts w:ascii="Arial" w:eastAsia="Times New Roman" w:hAnsi="Arial" w:cs="Arial"/>
          <w:bCs/>
        </w:rPr>
        <w:t>around 4,850 TB cases were recorded in England in 2023</w:t>
      </w:r>
      <w:r w:rsidRPr="008E63D3">
        <w:rPr>
          <w:rFonts w:ascii="Arial" w:eastAsia="Times New Roman" w:hAnsi="Arial" w:cs="Arial"/>
        </w:rPr>
        <w:t>, with higher incidence observed in urban and socially deprived communities (UK Health Security Agency, 2024). These statistics demonstrate the need for effective monitoring systems, prevention strategies and healthcare support to control the disease.</w:t>
      </w:r>
    </w:p>
    <w:p w:rsidR="006405D3" w:rsidRPr="008E63D3" w:rsidRDefault="006405D3" w:rsidP="008E63D3">
      <w:pPr>
        <w:spacing w:before="100" w:beforeAutospacing="1" w:after="100" w:afterAutospacing="1" w:line="360" w:lineRule="auto"/>
        <w:jc w:val="both"/>
        <w:rPr>
          <w:rFonts w:ascii="Arial" w:eastAsia="Times New Roman" w:hAnsi="Arial" w:cs="Arial"/>
        </w:rPr>
      </w:pPr>
      <w:r w:rsidRPr="006405D3">
        <w:rPr>
          <w:rFonts w:ascii="Arial" w:eastAsia="Times New Roman" w:hAnsi="Arial" w:cs="Arial"/>
        </w:rPr>
        <w:drawing>
          <wp:inline distT="0" distB="0" distL="0" distR="0">
            <wp:extent cx="6223000" cy="1949450"/>
            <wp:effectExtent l="0" t="0" r="6350" b="0"/>
            <wp:docPr id="1" name="Picture 1" descr="What you need to know about the recent tuberculosis outbreak - UChicago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you need to know about the recent tuberculosis outbreak - UChicago  Medic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3000" cy="1949450"/>
                    </a:xfrm>
                    <a:prstGeom prst="rect">
                      <a:avLst/>
                    </a:prstGeom>
                    <a:noFill/>
                    <a:ln>
                      <a:noFill/>
                    </a:ln>
                  </pic:spPr>
                </pic:pic>
              </a:graphicData>
            </a:graphic>
          </wp:inline>
        </w:drawing>
      </w:r>
    </w:p>
    <w:p w:rsidR="006405D3" w:rsidRDefault="006405D3" w:rsidP="006405D3">
      <w:pPr>
        <w:tabs>
          <w:tab w:val="left" w:pos="2560"/>
        </w:tabs>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                                                   (</w:t>
      </w:r>
      <w:r w:rsidRPr="006405D3">
        <w:rPr>
          <w:rFonts w:ascii="Arial" w:hAnsi="Arial" w:cs="Arial"/>
          <w:b/>
          <w:color w:val="000000"/>
        </w:rPr>
        <w:t>Aniruddha</w:t>
      </w:r>
      <w:r>
        <w:rPr>
          <w:rFonts w:ascii="Arial" w:hAnsi="Arial" w:cs="Arial"/>
          <w:b/>
          <w:color w:val="000000"/>
        </w:rPr>
        <w:t xml:space="preserve">, </w:t>
      </w:r>
      <w:r w:rsidRPr="006405D3">
        <w:rPr>
          <w:rFonts w:ascii="Arial" w:hAnsi="Arial" w:cs="Arial"/>
          <w:b/>
          <w:color w:val="000000"/>
        </w:rPr>
        <w:t>2025)</w:t>
      </w:r>
      <w:r w:rsidRPr="006405D3">
        <w:rPr>
          <w:rFonts w:ascii="Arial" w:hAnsi="Arial" w:cs="Arial"/>
          <w:b/>
          <w:color w:val="000000"/>
        </w:rPr>
        <w:tab/>
      </w:r>
    </w:p>
    <w:p w:rsidR="008E63D3" w:rsidRPr="008E63D3" w:rsidRDefault="008E63D3" w:rsidP="008E63D3">
      <w:pPr>
        <w:spacing w:before="100" w:beforeAutospacing="1" w:after="100" w:afterAutospacing="1" w:line="360" w:lineRule="auto"/>
        <w:jc w:val="both"/>
        <w:outlineLvl w:val="1"/>
        <w:rPr>
          <w:rFonts w:ascii="Arial" w:eastAsia="Times New Roman" w:hAnsi="Arial" w:cs="Arial"/>
          <w:b/>
          <w:bCs/>
        </w:rPr>
      </w:pPr>
      <w:r w:rsidRPr="008E63D3">
        <w:rPr>
          <w:rFonts w:ascii="Arial" w:eastAsia="Times New Roman" w:hAnsi="Arial" w:cs="Arial"/>
          <w:b/>
          <w:bCs/>
        </w:rPr>
        <w:t>2.1 Approaches Used to Measure and Monitor Tuberculosis</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Effective monitoring of tuberculosis is essential for understanding patterns of transmission and evaluating the success of control programmes. Public health authorities rely on </w:t>
      </w:r>
      <w:r w:rsidRPr="008E63D3">
        <w:rPr>
          <w:rFonts w:ascii="Arial" w:eastAsia="Times New Roman" w:hAnsi="Arial" w:cs="Arial"/>
          <w:bCs/>
        </w:rPr>
        <w:t>epidemiological surveillance systems, diagnostic testing and technological monitoring tools</w:t>
      </w:r>
      <w:r w:rsidRPr="008E63D3">
        <w:rPr>
          <w:rFonts w:ascii="Arial" w:eastAsia="Times New Roman" w:hAnsi="Arial" w:cs="Arial"/>
        </w:rPr>
        <w:t xml:space="preserve"> to track the disease. In the United Kingdom, national TB surveillance systems collect information about new cases, demographic characteristics and treatment outcomes. These surveillance systems help identify high-risk populations and geographical areas where the disease is more prevalent (UK Health </w:t>
      </w:r>
      <w:r w:rsidRPr="008E63D3">
        <w:rPr>
          <w:rFonts w:ascii="Arial" w:eastAsia="Times New Roman" w:hAnsi="Arial" w:cs="Arial"/>
        </w:rPr>
        <w:lastRenderedPageBreak/>
        <w:t>Security Agency, 2023). By analysing these data, health authorities can design targeted interventions and allocate resources effectively.</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Laboratory diagnostics represent one of the most important tools for measuring TB infection. Traditional diagnostic techniques include </w:t>
      </w:r>
      <w:r w:rsidRPr="008E63D3">
        <w:rPr>
          <w:rFonts w:ascii="Arial" w:eastAsia="Times New Roman" w:hAnsi="Arial" w:cs="Arial"/>
          <w:bCs/>
        </w:rPr>
        <w:t>sputum smear microscopy and culture testing</w:t>
      </w:r>
      <w:r w:rsidRPr="008E63D3">
        <w:rPr>
          <w:rFonts w:ascii="Arial" w:eastAsia="Times New Roman" w:hAnsi="Arial" w:cs="Arial"/>
        </w:rPr>
        <w:t xml:space="preserve">, which detect </w:t>
      </w:r>
      <w:r w:rsidRPr="008E63D3">
        <w:rPr>
          <w:rFonts w:ascii="Arial" w:eastAsia="Times New Roman" w:hAnsi="Arial" w:cs="Arial"/>
          <w:i/>
          <w:iCs/>
        </w:rPr>
        <w:t>Mycobacterium tuberculosis</w:t>
      </w:r>
      <w:r w:rsidRPr="008E63D3">
        <w:rPr>
          <w:rFonts w:ascii="Arial" w:eastAsia="Times New Roman" w:hAnsi="Arial" w:cs="Arial"/>
        </w:rPr>
        <w:t xml:space="preserve"> bacteria in respiratory samples. Although culture testing remains the gold standard because of its high accuracy, the process can take several weeks due to the slow growth of TB bacteria (Topaloğlu et al., 2025). To address this limitation, rapid molecular diagnostic technologies have been developed. The </w:t>
      </w:r>
      <w:r w:rsidRPr="008E63D3">
        <w:rPr>
          <w:rFonts w:ascii="Arial" w:eastAsia="Times New Roman" w:hAnsi="Arial" w:cs="Arial"/>
          <w:bCs/>
        </w:rPr>
        <w:t>GeneXpert MTB/RIF test</w:t>
      </w:r>
      <w:r w:rsidRPr="008E63D3">
        <w:rPr>
          <w:rFonts w:ascii="Arial" w:eastAsia="Times New Roman" w:hAnsi="Arial" w:cs="Arial"/>
        </w:rPr>
        <w:t xml:space="preserve"> can identify TB bacteria and detect resistance to rifampicin within a few hours, allowing healthcare professionals to begin treatment much earlier (Pai, Kasaeva and Swaminathan, 2022).</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Radiological imaging techniques are also widely used to monitor TB. </w:t>
      </w:r>
      <w:r w:rsidRPr="008E63D3">
        <w:rPr>
          <w:rFonts w:ascii="Arial" w:eastAsia="Times New Roman" w:hAnsi="Arial" w:cs="Arial"/>
          <w:bCs/>
        </w:rPr>
        <w:t>Chest X-rays and CT scans</w:t>
      </w:r>
      <w:r w:rsidRPr="008E63D3">
        <w:rPr>
          <w:rFonts w:ascii="Arial" w:eastAsia="Times New Roman" w:hAnsi="Arial" w:cs="Arial"/>
        </w:rPr>
        <w:t xml:space="preserve"> help clinicians detect lung abnormalities associated with pulmonary tuberculosis and assess disease severity. Imaging is particularly useful when patients have symptoms but laboratory results are inconclusive.</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In recent years, digital technologies have increasingly been used to improve TB monitoring and surveillance. Digital health platforms allow healthcare professionals to track patient records, laboratory results and treatment outcomes through integrated databases. These technologies enable public health authorities to identify outbreaks more quickly and respond more effectively to emerging health threats (Menon and Koura, 2025). Research suggests that digital surveillance tools can strengthen TB monitoring systems and improve data accuracy in public health reporting.</w:t>
      </w:r>
    </w:p>
    <w:p w:rsidR="008E63D3" w:rsidRPr="008E63D3" w:rsidRDefault="0086528E" w:rsidP="008E63D3">
      <w:pPr>
        <w:spacing w:before="100" w:beforeAutospacing="1" w:after="100" w:afterAutospacing="1" w:line="360" w:lineRule="auto"/>
        <w:jc w:val="both"/>
        <w:rPr>
          <w:rFonts w:ascii="Arial" w:eastAsia="Times New Roman" w:hAnsi="Arial" w:cs="Arial"/>
        </w:rPr>
      </w:pPr>
      <w:r>
        <w:rPr>
          <w:rFonts w:ascii="Arial" w:eastAsia="Times New Roman" w:hAnsi="Arial" w:cs="Arial"/>
        </w:rPr>
        <w:t>T</w:t>
      </w:r>
      <w:r w:rsidR="008E63D3" w:rsidRPr="008E63D3">
        <w:rPr>
          <w:rFonts w:ascii="Arial" w:eastAsia="Times New Roman" w:hAnsi="Arial" w:cs="Arial"/>
        </w:rPr>
        <w:t xml:space="preserve">he integration of </w:t>
      </w:r>
      <w:r w:rsidR="008E63D3" w:rsidRPr="008E63D3">
        <w:rPr>
          <w:rFonts w:ascii="Arial" w:eastAsia="Times New Roman" w:hAnsi="Arial" w:cs="Arial"/>
          <w:bCs/>
        </w:rPr>
        <w:t>surveillance systems, diagnostic technologies and digital monitoring tools</w:t>
      </w:r>
      <w:r w:rsidR="008E63D3" w:rsidRPr="008E63D3">
        <w:rPr>
          <w:rFonts w:ascii="Arial" w:eastAsia="Times New Roman" w:hAnsi="Arial" w:cs="Arial"/>
        </w:rPr>
        <w:t xml:space="preserve"> provides a comprehensive approach for measuring and tracking tuberculosis cases. These approaches enable healthcare systems to detect infections early and implement appropriate control strategies.</w:t>
      </w:r>
    </w:p>
    <w:p w:rsidR="008E63D3" w:rsidRPr="008E63D3" w:rsidRDefault="008E63D3" w:rsidP="008E63D3">
      <w:pPr>
        <w:spacing w:before="100" w:beforeAutospacing="1" w:after="100" w:afterAutospacing="1" w:line="360" w:lineRule="auto"/>
        <w:jc w:val="both"/>
        <w:outlineLvl w:val="1"/>
        <w:rPr>
          <w:rFonts w:ascii="Arial" w:eastAsia="Times New Roman" w:hAnsi="Arial" w:cs="Arial"/>
          <w:b/>
          <w:bCs/>
        </w:rPr>
      </w:pPr>
      <w:r w:rsidRPr="008E63D3">
        <w:rPr>
          <w:rFonts w:ascii="Arial" w:eastAsia="Times New Roman" w:hAnsi="Arial" w:cs="Arial"/>
          <w:b/>
          <w:bCs/>
        </w:rPr>
        <w:t>2.2 Control and Prevention of Tuberculosis</w:t>
      </w:r>
      <w:bookmarkStart w:id="0" w:name="_GoBack"/>
      <w:bookmarkEnd w:id="0"/>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Controlling tuberculosis requires a comprehensive approach that includes </w:t>
      </w:r>
      <w:r w:rsidRPr="008E63D3">
        <w:rPr>
          <w:rFonts w:ascii="Arial" w:eastAsia="Times New Roman" w:hAnsi="Arial" w:cs="Arial"/>
          <w:bCs/>
        </w:rPr>
        <w:t>medical treatment, vaccination programmes and public health prevention strategies</w:t>
      </w:r>
      <w:r w:rsidRPr="008E63D3">
        <w:rPr>
          <w:rFonts w:ascii="Arial" w:eastAsia="Times New Roman" w:hAnsi="Arial" w:cs="Arial"/>
        </w:rPr>
        <w:t xml:space="preserve">. Early diagnosis and treatment are essential to prevent the spread of infection within communities. The standard treatment for TB involves a combination of antibiotics, including isoniazid, rifampicin, pyrazinamide and </w:t>
      </w:r>
      <w:r w:rsidRPr="008E63D3">
        <w:rPr>
          <w:rFonts w:ascii="Arial" w:eastAsia="Times New Roman" w:hAnsi="Arial" w:cs="Arial"/>
        </w:rPr>
        <w:lastRenderedPageBreak/>
        <w:t>ethambutol, taken for approximately six months. This multidrug regimen is necessary to eliminate the bacteria and reduce the risk of drug resistance (Topaloğlu et al., 2025).</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Ensuring that patients complete their treatment is a critical aspect of TB control. If patients stop taking their medication prematurely, the bacteria may become resistant to antibiotics, leading to multidrug-resistant TB. One strategy used to address this problem is </w:t>
      </w:r>
      <w:r w:rsidRPr="008E63D3">
        <w:rPr>
          <w:rFonts w:ascii="Arial" w:eastAsia="Times New Roman" w:hAnsi="Arial" w:cs="Arial"/>
          <w:bCs/>
        </w:rPr>
        <w:t>Directly Observed Therapy (DOT)</w:t>
      </w:r>
      <w:r w:rsidRPr="008E63D3">
        <w:rPr>
          <w:rFonts w:ascii="Arial" w:eastAsia="Times New Roman" w:hAnsi="Arial" w:cs="Arial"/>
        </w:rPr>
        <w:t>, in which healthcare professionals supervise patients while they take their medication. DOT programmes have been shown to improve treatment adherence and reduce treatment failure rates (Chhetri, Poudel and Shrestha,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Vaccination is another important component of TB prevention. The </w:t>
      </w:r>
      <w:r w:rsidRPr="008E63D3">
        <w:rPr>
          <w:rFonts w:ascii="Arial" w:eastAsia="Times New Roman" w:hAnsi="Arial" w:cs="Arial"/>
          <w:bCs/>
        </w:rPr>
        <w:t>Bacillus Calmette–Guérin (BCG) vaccine</w:t>
      </w:r>
      <w:r w:rsidRPr="008E63D3">
        <w:rPr>
          <w:rFonts w:ascii="Arial" w:eastAsia="Times New Roman" w:hAnsi="Arial" w:cs="Arial"/>
        </w:rPr>
        <w:t xml:space="preserve"> is widely used to protect children against severe forms of tuberculosis. Although the vaccine does not completely prevent pulmonary TB in adults, it plays a crucial role in reducing childhood TB mortality (World Health Organization,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Public health strategies in the United Kingdom also focus on screening high-risk populations. Individuals arriving from countries with high TB incidence may be screened for latent TB infection before entering the country. Identifying latent infection allows preventive treatment to be provided before the disease becomes active, reducing the risk of transmission (UK Health Security Agency,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National policies also guide TB control efforts. The UK government has implemented several public health strategies to strengthen surveillance, improve diagnostic services and support coordinated care for individuals with TB. These policies aim to reduce the incidence of tuberculosis and support global TB elimination targets (UK Health Security Agency, 2023). Through the combination of treatment, vaccination and public health policies, TB control programmes aim to limit the spread of the disease and improve health outcomes.</w:t>
      </w:r>
    </w:p>
    <w:p w:rsidR="008E63D3" w:rsidRPr="008E63D3" w:rsidRDefault="008E63D3" w:rsidP="008E63D3">
      <w:pPr>
        <w:spacing w:before="100" w:beforeAutospacing="1" w:after="100" w:afterAutospacing="1" w:line="360" w:lineRule="auto"/>
        <w:jc w:val="both"/>
        <w:outlineLvl w:val="1"/>
        <w:rPr>
          <w:rFonts w:ascii="Arial" w:eastAsia="Times New Roman" w:hAnsi="Arial" w:cs="Arial"/>
          <w:b/>
          <w:bCs/>
        </w:rPr>
      </w:pPr>
      <w:r w:rsidRPr="008E63D3">
        <w:rPr>
          <w:rFonts w:ascii="Arial" w:eastAsia="Times New Roman" w:hAnsi="Arial" w:cs="Arial"/>
          <w:b/>
          <w:bCs/>
        </w:rPr>
        <w:t>2.3 Consequences of Tuberculosis on People in the Community</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Tuberculosis has significant health, social and economic consequences for individuals and communities. At the individual level, the disease primarily affects the lungs and can cause severe respiratory symptoms, including chronic coughing, chest pain and breathlessness. In some cases, TB can lead to permanent lung damage or spread to other organs, resulting in life-threatening complications (World Health Organization,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lastRenderedPageBreak/>
        <w:t>In addition to physical health problems, TB can also have psychological and emotional impacts. Individuals diagnosed with tuberculosis may experience stigma and discrimination because of the infectious nature of the disease. This stigma can lead to social isolation, anxiety and depression, particularly when patients must undergo long periods of treatment (Chhetri, Poudel and Shrestha, 2024). Research suggests that social stigma can also discourage individuals from seeking medical care, which may delay diagnosis and increase the risk of transmission (Menon and Koura, 2025).</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Tuberculosis also affects communities and healthcare systems. Because the disease spreads through airborne transmission, outbreaks can occur in crowded environments such as schools, workplaces and residential facilities. These outbreaks require extensive screening and contact tracing programmes, which place additional pressure on healthcare resources (World Health Organization, 2023).</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In the United Kingdom, TB is often associated with social inequalities. Higher incidence rates are observed among individuals living in poverty, migrants from high-incidence countries and people experiencing homelessness (UK Health Security Agency, 2024). These patterns demonstrate that TB is not only a medical issue but also a social and economic challenge that requires broader public health interventions.</w:t>
      </w:r>
    </w:p>
    <w:p w:rsidR="008E63D3" w:rsidRPr="008E63D3" w:rsidRDefault="008E63D3" w:rsidP="008E63D3">
      <w:pPr>
        <w:spacing w:before="100" w:beforeAutospacing="1" w:after="100" w:afterAutospacing="1" w:line="360" w:lineRule="auto"/>
        <w:jc w:val="both"/>
        <w:outlineLvl w:val="1"/>
        <w:rPr>
          <w:rFonts w:ascii="Arial" w:eastAsia="Times New Roman" w:hAnsi="Arial" w:cs="Arial"/>
          <w:b/>
          <w:bCs/>
        </w:rPr>
      </w:pPr>
      <w:r w:rsidRPr="008E63D3">
        <w:rPr>
          <w:rFonts w:ascii="Arial" w:eastAsia="Times New Roman" w:hAnsi="Arial" w:cs="Arial"/>
          <w:b/>
          <w:bCs/>
        </w:rPr>
        <w:t>2.4 Health and Social Care Support Services for Individuals with Tuberculosis</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Managing tuberculosis effectively requires coordinated healthcare and social support services. In the United Kingdom, individuals diagnosed with TB are typically treated within the National Health Service through specialist respiratory or infectious disease clinics. General practitioners play an important role in recognising symptoms and referring patients to specialist TB services for diagnosis and treatment (UK Health Security Agency,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Specialist TB clinics provide comprehensive care, including diagnostic testing, medication management and monitoring of treatment progress. TB nurse specialists play a key role in supporting patients during treatment by providing education about medications, monitoring side effects and ensuring adherence to therapy. This support is essential for preventing treatment failure and reducing the risk of drug-resistant TB (Topaloğlu et al., 2025).</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Community health services also contribute to TB control through </w:t>
      </w:r>
      <w:r w:rsidRPr="008E63D3">
        <w:rPr>
          <w:rFonts w:ascii="Arial" w:eastAsia="Times New Roman" w:hAnsi="Arial" w:cs="Arial"/>
          <w:bCs/>
        </w:rPr>
        <w:t>contact tracing programmes</w:t>
      </w:r>
      <w:r w:rsidRPr="008E63D3">
        <w:rPr>
          <w:rFonts w:ascii="Arial" w:eastAsia="Times New Roman" w:hAnsi="Arial" w:cs="Arial"/>
        </w:rPr>
        <w:t xml:space="preserve">. Public health teams identify individuals who may have been exposed to TB and arrange screening </w:t>
      </w:r>
      <w:r w:rsidRPr="008E63D3">
        <w:rPr>
          <w:rFonts w:ascii="Arial" w:eastAsia="Times New Roman" w:hAnsi="Arial" w:cs="Arial"/>
        </w:rPr>
        <w:lastRenderedPageBreak/>
        <w:t>or preventive treatment where necessary. This approach helps interrupt transmission chains and protect community health (World Health Organization, 2024).</w:t>
      </w:r>
    </w:p>
    <w:p w:rsidR="008E63D3" w:rsidRP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Social care support is often required to address challenges faced by individuals with TB. Patients may experience housing insecurity, financial difficulties or language barriers that can affect their ability to access healthcare services. Social support programmes, including housing assistance and community outreach services, help ensure that patients receive appropriate care and complete their treatment successfully (Menon and Koura, 2025).</w:t>
      </w:r>
    </w:p>
    <w:p w:rsid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Voluntary organisations and community health initiatives also provide education, counselling and support programmes for individuals affected by tuberculosis. These integrated healthcare and social support services are essential for improving treatment outcomes and reducing TB transmission within communities.</w:t>
      </w:r>
    </w:p>
    <w:p w:rsidR="006405D3" w:rsidRDefault="006405D3" w:rsidP="008E63D3">
      <w:pPr>
        <w:spacing w:before="100" w:beforeAutospacing="1" w:after="100" w:afterAutospacing="1" w:line="360" w:lineRule="auto"/>
        <w:jc w:val="both"/>
        <w:rPr>
          <w:rFonts w:ascii="Arial" w:hAnsi="Arial" w:cs="Arial"/>
          <w:b/>
        </w:rPr>
      </w:pPr>
      <w:r w:rsidRPr="006405D3">
        <w:rPr>
          <w:rFonts w:ascii="Arial" w:hAnsi="Arial" w:cs="Arial"/>
          <w:b/>
        </w:rPr>
        <w:t>Table 1: Key Approaches to Monitoring and Controlling Tuberculosis</w:t>
      </w:r>
    </w:p>
    <w:tbl>
      <w:tblPr>
        <w:tblStyle w:val="TableGrid"/>
        <w:tblW w:w="0" w:type="auto"/>
        <w:tblLook w:val="04A0" w:firstRow="1" w:lastRow="0" w:firstColumn="1" w:lastColumn="0" w:noHBand="0" w:noVBand="1"/>
      </w:tblPr>
      <w:tblGrid>
        <w:gridCol w:w="9350"/>
      </w:tblGrid>
      <w:tr w:rsidR="006405D3" w:rsidTr="006405D3">
        <w:tc>
          <w:tcPr>
            <w:tcW w:w="9350" w:type="dxa"/>
          </w:tcPr>
          <w:tbl>
            <w:tblPr>
              <w:tblStyle w:val="PlainTable3"/>
              <w:tblW w:w="0" w:type="auto"/>
              <w:tblLook w:val="04A0" w:firstRow="1" w:lastRow="0" w:firstColumn="1" w:lastColumn="0" w:noHBand="0" w:noVBand="1"/>
            </w:tblPr>
            <w:tblGrid>
              <w:gridCol w:w="3358"/>
              <w:gridCol w:w="2259"/>
              <w:gridCol w:w="3298"/>
            </w:tblGrid>
            <w:tr w:rsidR="006405D3" w:rsidRPr="006405D3" w:rsidTr="006405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Approach</w:t>
                  </w:r>
                </w:p>
              </w:tc>
              <w:tc>
                <w:tcPr>
                  <w:tcW w:w="0" w:type="auto"/>
                  <w:hideMark/>
                </w:tcPr>
                <w:p w:rsidR="006405D3" w:rsidRPr="006405D3" w:rsidRDefault="006405D3" w:rsidP="00A33AE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Purpose</w:t>
                  </w:r>
                </w:p>
              </w:tc>
              <w:tc>
                <w:tcPr>
                  <w:tcW w:w="0" w:type="auto"/>
                  <w:hideMark/>
                </w:tcPr>
                <w:p w:rsidR="006405D3" w:rsidRPr="006405D3" w:rsidRDefault="006405D3" w:rsidP="00A33AE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Example</w:t>
                  </w:r>
                </w:p>
              </w:tc>
            </w:tr>
            <w:tr w:rsidR="006405D3" w:rsidRPr="006405D3" w:rsidTr="006405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Laboratory diagnostics</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Detect TB bacteria</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Sputum microscopy and culture</w:t>
                  </w:r>
                </w:p>
              </w:tc>
            </w:tr>
            <w:tr w:rsidR="006405D3" w:rsidRPr="006405D3" w:rsidTr="006405D3">
              <w:tc>
                <w:tcPr>
                  <w:cnfStyle w:val="001000000000" w:firstRow="0" w:lastRow="0" w:firstColumn="1" w:lastColumn="0" w:oddVBand="0" w:evenVBand="0" w:oddHBand="0" w:evenHBand="0" w:firstRowFirstColumn="0"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Molecular testing</w:t>
                  </w:r>
                </w:p>
              </w:tc>
              <w:tc>
                <w:tcPr>
                  <w:tcW w:w="0" w:type="auto"/>
                  <w:hideMark/>
                </w:tcPr>
                <w:p w:rsidR="006405D3" w:rsidRPr="006405D3" w:rsidRDefault="006405D3" w:rsidP="00A33AE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Rapid detection</w:t>
                  </w:r>
                </w:p>
              </w:tc>
              <w:tc>
                <w:tcPr>
                  <w:tcW w:w="0" w:type="auto"/>
                  <w:hideMark/>
                </w:tcPr>
                <w:p w:rsidR="006405D3" w:rsidRPr="006405D3" w:rsidRDefault="006405D3" w:rsidP="00A33AE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GeneXpert MTB/RIF</w:t>
                  </w:r>
                </w:p>
              </w:tc>
            </w:tr>
            <w:tr w:rsidR="006405D3" w:rsidRPr="006405D3" w:rsidTr="006405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Radiological imaging</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Assess lung damage</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Chest X-ray</w:t>
                  </w:r>
                </w:p>
              </w:tc>
            </w:tr>
            <w:tr w:rsidR="006405D3" w:rsidRPr="006405D3" w:rsidTr="006405D3">
              <w:tc>
                <w:tcPr>
                  <w:cnfStyle w:val="001000000000" w:firstRow="0" w:lastRow="0" w:firstColumn="1" w:lastColumn="0" w:oddVBand="0" w:evenVBand="0" w:oddHBand="0" w:evenHBand="0" w:firstRowFirstColumn="0"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Surveillance systems</w:t>
                  </w:r>
                </w:p>
              </w:tc>
              <w:tc>
                <w:tcPr>
                  <w:tcW w:w="0" w:type="auto"/>
                  <w:hideMark/>
                </w:tcPr>
                <w:p w:rsidR="006405D3" w:rsidRPr="006405D3" w:rsidRDefault="006405D3" w:rsidP="00A33AE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Track TB incidence</w:t>
                  </w:r>
                </w:p>
              </w:tc>
              <w:tc>
                <w:tcPr>
                  <w:tcW w:w="0" w:type="auto"/>
                  <w:hideMark/>
                </w:tcPr>
                <w:p w:rsidR="006405D3" w:rsidRPr="006405D3" w:rsidRDefault="006405D3" w:rsidP="00A33AE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405D3">
                    <w:rPr>
                      <w:rFonts w:ascii="Arial" w:eastAsia="Times New Roman" w:hAnsi="Arial" w:cs="Arial"/>
                    </w:rPr>
                    <w:t>National TB database</w:t>
                  </w:r>
                </w:p>
              </w:tc>
            </w:tr>
            <w:tr w:rsidR="006405D3" w:rsidRPr="006405D3" w:rsidTr="006405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405D3" w:rsidRPr="006405D3" w:rsidRDefault="006405D3" w:rsidP="00A33AED">
                  <w:pPr>
                    <w:spacing w:line="360" w:lineRule="auto"/>
                    <w:jc w:val="both"/>
                    <w:rPr>
                      <w:rFonts w:ascii="Arial" w:eastAsia="Times New Roman" w:hAnsi="Arial" w:cs="Arial"/>
                    </w:rPr>
                  </w:pPr>
                  <w:r w:rsidRPr="006405D3">
                    <w:rPr>
                      <w:rFonts w:ascii="Arial" w:eastAsia="Times New Roman" w:hAnsi="Arial" w:cs="Arial"/>
                    </w:rPr>
                    <w:t>Treatment monitoring</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Improve adherence</w:t>
                  </w:r>
                </w:p>
              </w:tc>
              <w:tc>
                <w:tcPr>
                  <w:tcW w:w="0" w:type="auto"/>
                  <w:hideMark/>
                </w:tcPr>
                <w:p w:rsidR="006405D3" w:rsidRPr="006405D3" w:rsidRDefault="006405D3" w:rsidP="00A33AE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6405D3">
                    <w:rPr>
                      <w:rFonts w:ascii="Arial" w:eastAsia="Times New Roman" w:hAnsi="Arial" w:cs="Arial"/>
                    </w:rPr>
                    <w:t>Directly Observed Therapy</w:t>
                  </w:r>
                </w:p>
              </w:tc>
            </w:tr>
          </w:tbl>
          <w:p w:rsidR="006405D3" w:rsidRDefault="006405D3"/>
        </w:tc>
      </w:tr>
    </w:tbl>
    <w:p w:rsidR="008E63D3" w:rsidRPr="008E63D3" w:rsidRDefault="008E63D3" w:rsidP="008E63D3">
      <w:pPr>
        <w:spacing w:before="100" w:beforeAutospacing="1" w:after="100" w:afterAutospacing="1" w:line="360" w:lineRule="auto"/>
        <w:jc w:val="both"/>
        <w:outlineLvl w:val="0"/>
        <w:rPr>
          <w:rFonts w:ascii="Arial" w:eastAsia="Times New Roman" w:hAnsi="Arial" w:cs="Arial"/>
          <w:b/>
          <w:bCs/>
          <w:kern w:val="36"/>
        </w:rPr>
      </w:pPr>
      <w:r w:rsidRPr="008E63D3">
        <w:rPr>
          <w:rFonts w:ascii="Arial" w:eastAsia="Times New Roman" w:hAnsi="Arial" w:cs="Arial"/>
          <w:b/>
          <w:bCs/>
          <w:kern w:val="36"/>
        </w:rPr>
        <w:t xml:space="preserve">Conclusion </w:t>
      </w:r>
    </w:p>
    <w:p w:rsidR="008E63D3" w:rsidRDefault="008E63D3" w:rsidP="008E63D3">
      <w:pPr>
        <w:spacing w:before="100" w:beforeAutospacing="1" w:after="100" w:afterAutospacing="1" w:line="360" w:lineRule="auto"/>
        <w:jc w:val="both"/>
        <w:rPr>
          <w:rFonts w:ascii="Arial" w:eastAsia="Times New Roman" w:hAnsi="Arial" w:cs="Arial"/>
        </w:rPr>
      </w:pPr>
      <w:r w:rsidRPr="008E63D3">
        <w:rPr>
          <w:rFonts w:ascii="Arial" w:eastAsia="Times New Roman" w:hAnsi="Arial" w:cs="Arial"/>
        </w:rPr>
        <w:t xml:space="preserve">Tuberculosis remains an important public health concern worldwide and continues to affect communities within the United Kingdom. Although TB incidence in the UK is relatively low compared with many other countries, recent surveillance data indicate that the disease still requires sustained monitoring and prevention efforts. Effective measurement and monitoring systems, including laboratory diagnostics, surveillance databases and radiological imaging, enable healthcare professionals to detect cases early and track disease patterns. Control strategies such as antibiotic therapy, vaccination programmes and contact tracing help prevent transmission and improve patient outcomes. However, tuberculosis also has broader social consequences, including stigma, economic hardship and health inequalities affecting vulnerable populations. Addressing these challenges requires coordinated healthcare services, community </w:t>
      </w:r>
      <w:r w:rsidRPr="008E63D3">
        <w:rPr>
          <w:rFonts w:ascii="Arial" w:eastAsia="Times New Roman" w:hAnsi="Arial" w:cs="Arial"/>
        </w:rPr>
        <w:lastRenderedPageBreak/>
        <w:t>support programmes and public health interventions. By strengthening surveillance systems, improving access to treatment and addressing social determinants of health, healthcare systems can reduce the burden of tuberculosis and support progress toward long-term TB elimination goals.</w:t>
      </w: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Default="006405D3" w:rsidP="008E63D3">
      <w:pPr>
        <w:spacing w:before="100" w:beforeAutospacing="1" w:after="100" w:afterAutospacing="1" w:line="360" w:lineRule="auto"/>
        <w:jc w:val="both"/>
        <w:rPr>
          <w:rFonts w:ascii="Arial" w:eastAsia="Times New Roman" w:hAnsi="Arial" w:cs="Arial"/>
          <w:b/>
        </w:rPr>
      </w:pPr>
    </w:p>
    <w:p w:rsidR="006405D3" w:rsidRPr="006405D3" w:rsidRDefault="006405D3" w:rsidP="008E63D3">
      <w:pPr>
        <w:spacing w:before="100" w:beforeAutospacing="1" w:after="100" w:afterAutospacing="1" w:line="360" w:lineRule="auto"/>
        <w:jc w:val="both"/>
        <w:rPr>
          <w:rFonts w:ascii="Arial" w:eastAsia="Times New Roman" w:hAnsi="Arial" w:cs="Arial"/>
          <w:b/>
        </w:rPr>
      </w:pPr>
      <w:r w:rsidRPr="006405D3">
        <w:rPr>
          <w:rFonts w:ascii="Arial" w:eastAsia="Times New Roman" w:hAnsi="Arial" w:cs="Arial"/>
          <w:b/>
        </w:rPr>
        <w:lastRenderedPageBreak/>
        <w:t>REFERENCES</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Chakaya, J., Khan, M., Ntoumi, F., et al. (2021) ‘Global tuberculosis report reflections on the global TB burden’, </w:t>
      </w:r>
      <w:r w:rsidRPr="006405D3">
        <w:rPr>
          <w:rStyle w:val="Emphasis"/>
          <w:rFonts w:ascii="Arial" w:hAnsi="Arial" w:cs="Arial"/>
          <w:sz w:val="22"/>
          <w:szCs w:val="22"/>
        </w:rPr>
        <w:t>International Journal of Infectious Diseases</w:t>
      </w:r>
      <w:r w:rsidRPr="006405D3">
        <w:rPr>
          <w:rFonts w:ascii="Arial" w:hAnsi="Arial" w:cs="Arial"/>
          <w:sz w:val="22"/>
          <w:szCs w:val="22"/>
        </w:rPr>
        <w:t>, 113, pp. S7–S12.</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Chhetri, S., Poudel, A. and Shrestha, S. (2024) ‘Optimal intervention strategies for tuberculosis prevention and control’, </w:t>
      </w:r>
      <w:r w:rsidRPr="006405D3">
        <w:rPr>
          <w:rStyle w:val="Emphasis"/>
          <w:rFonts w:ascii="Arial" w:hAnsi="Arial" w:cs="Arial"/>
          <w:sz w:val="22"/>
          <w:szCs w:val="22"/>
        </w:rPr>
        <w:t>Infectious Disease Modelling</w:t>
      </w:r>
      <w:r w:rsidRPr="006405D3">
        <w:rPr>
          <w:rFonts w:ascii="Arial" w:hAnsi="Arial" w:cs="Arial"/>
          <w:sz w:val="22"/>
          <w:szCs w:val="22"/>
        </w:rPr>
        <w:t>, 9, pp. 120–134.</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Menon, S. and Koura, K. (2025) ‘Digital health technologies for tuberculosis surveillance and control’, </w:t>
      </w:r>
      <w:r w:rsidRPr="006405D3">
        <w:rPr>
          <w:rStyle w:val="Emphasis"/>
          <w:rFonts w:ascii="Arial" w:hAnsi="Arial" w:cs="Arial"/>
          <w:sz w:val="22"/>
          <w:szCs w:val="22"/>
        </w:rPr>
        <w:t>Journal of Global Health</w:t>
      </w:r>
      <w:r w:rsidRPr="006405D3">
        <w:rPr>
          <w:rFonts w:ascii="Arial" w:hAnsi="Arial" w:cs="Arial"/>
          <w:sz w:val="22"/>
          <w:szCs w:val="22"/>
        </w:rPr>
        <w:t>, 15, 04192.</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Pai, M., Kasaeva, T. and Swaminathan, S. (2022) ‘COVID-19’s devastating effect on tuberculosis care’, </w:t>
      </w:r>
      <w:r w:rsidRPr="006405D3">
        <w:rPr>
          <w:rStyle w:val="Emphasis"/>
          <w:rFonts w:ascii="Arial" w:hAnsi="Arial" w:cs="Arial"/>
          <w:sz w:val="22"/>
          <w:szCs w:val="22"/>
        </w:rPr>
        <w:t>New England Journal of Medicine</w:t>
      </w:r>
      <w:r w:rsidRPr="006405D3">
        <w:rPr>
          <w:rFonts w:ascii="Arial" w:hAnsi="Arial" w:cs="Arial"/>
          <w:sz w:val="22"/>
          <w:szCs w:val="22"/>
        </w:rPr>
        <w:t>, 386(16), pp. 1490–1493.</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Topaloğlu, N., Yılmaz, F. and Karahan, Z. (2025) ‘Current advances in tuberculosis diagnosis and treatment’, </w:t>
      </w:r>
      <w:r w:rsidRPr="006405D3">
        <w:rPr>
          <w:rStyle w:val="Emphasis"/>
          <w:rFonts w:ascii="Arial" w:hAnsi="Arial" w:cs="Arial"/>
          <w:sz w:val="22"/>
          <w:szCs w:val="22"/>
        </w:rPr>
        <w:t>Microbiology Research</w:t>
      </w:r>
      <w:r w:rsidRPr="006405D3">
        <w:rPr>
          <w:rFonts w:ascii="Arial" w:hAnsi="Arial" w:cs="Arial"/>
          <w:sz w:val="22"/>
          <w:szCs w:val="22"/>
        </w:rPr>
        <w:t>, 15(1), pp. 1–15.</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UK Health Security Agency (2023) </w:t>
      </w:r>
      <w:r w:rsidRPr="006405D3">
        <w:rPr>
          <w:rStyle w:val="Emphasis"/>
          <w:rFonts w:ascii="Arial" w:hAnsi="Arial" w:cs="Arial"/>
          <w:sz w:val="22"/>
          <w:szCs w:val="22"/>
        </w:rPr>
        <w:t>Tuberculosis in England: annual report</w:t>
      </w:r>
      <w:r w:rsidRPr="006405D3">
        <w:rPr>
          <w:rFonts w:ascii="Arial" w:hAnsi="Arial" w:cs="Arial"/>
          <w:sz w:val="22"/>
          <w:szCs w:val="22"/>
        </w:rPr>
        <w:t>. London: UKHSA.</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UK Health Security Agency (2024) </w:t>
      </w:r>
      <w:r w:rsidRPr="006405D3">
        <w:rPr>
          <w:rStyle w:val="Emphasis"/>
          <w:rFonts w:ascii="Arial" w:hAnsi="Arial" w:cs="Arial"/>
          <w:sz w:val="22"/>
          <w:szCs w:val="22"/>
        </w:rPr>
        <w:t>Tuberculosis in England: 2024 report</w:t>
      </w:r>
      <w:r w:rsidRPr="006405D3">
        <w:rPr>
          <w:rFonts w:ascii="Arial" w:hAnsi="Arial" w:cs="Arial"/>
          <w:sz w:val="22"/>
          <w:szCs w:val="22"/>
        </w:rPr>
        <w:t>. London: UKHSA.</w:t>
      </w:r>
    </w:p>
    <w:p w:rsidR="006405D3" w:rsidRPr="006405D3" w:rsidRDefault="006405D3" w:rsidP="006405D3">
      <w:pPr>
        <w:pStyle w:val="NormalWeb"/>
        <w:spacing w:line="360" w:lineRule="auto"/>
        <w:jc w:val="both"/>
        <w:rPr>
          <w:rFonts w:ascii="Arial" w:hAnsi="Arial" w:cs="Arial"/>
          <w:sz w:val="22"/>
          <w:szCs w:val="22"/>
        </w:rPr>
      </w:pPr>
      <w:r w:rsidRPr="006405D3">
        <w:rPr>
          <w:rFonts w:ascii="Arial" w:hAnsi="Arial" w:cs="Arial"/>
          <w:sz w:val="22"/>
          <w:szCs w:val="22"/>
        </w:rPr>
        <w:t xml:space="preserve">World Health Organization (2023) </w:t>
      </w:r>
      <w:r w:rsidRPr="006405D3">
        <w:rPr>
          <w:rStyle w:val="Emphasis"/>
          <w:rFonts w:ascii="Arial" w:hAnsi="Arial" w:cs="Arial"/>
          <w:sz w:val="22"/>
          <w:szCs w:val="22"/>
        </w:rPr>
        <w:t>Global tuberculosis report 2023</w:t>
      </w:r>
      <w:r w:rsidRPr="006405D3">
        <w:rPr>
          <w:rFonts w:ascii="Arial" w:hAnsi="Arial" w:cs="Arial"/>
          <w:sz w:val="22"/>
          <w:szCs w:val="22"/>
        </w:rPr>
        <w:t>. Geneva: WHO.</w:t>
      </w:r>
    </w:p>
    <w:p w:rsidR="006405D3" w:rsidRPr="006405D3" w:rsidRDefault="006405D3" w:rsidP="006405D3">
      <w:pPr>
        <w:pStyle w:val="NormalWeb"/>
        <w:tabs>
          <w:tab w:val="left" w:pos="8550"/>
        </w:tabs>
        <w:spacing w:line="360" w:lineRule="auto"/>
        <w:jc w:val="both"/>
        <w:rPr>
          <w:rFonts w:ascii="Arial" w:hAnsi="Arial" w:cs="Arial"/>
          <w:sz w:val="22"/>
          <w:szCs w:val="22"/>
        </w:rPr>
      </w:pPr>
      <w:r w:rsidRPr="006405D3">
        <w:rPr>
          <w:rFonts w:ascii="Arial" w:hAnsi="Arial" w:cs="Arial"/>
          <w:sz w:val="22"/>
          <w:szCs w:val="22"/>
        </w:rPr>
        <w:t xml:space="preserve">World Health Organization (2024) </w:t>
      </w:r>
      <w:r w:rsidRPr="006405D3">
        <w:rPr>
          <w:rStyle w:val="Emphasis"/>
          <w:rFonts w:ascii="Arial" w:hAnsi="Arial" w:cs="Arial"/>
          <w:sz w:val="22"/>
          <w:szCs w:val="22"/>
        </w:rPr>
        <w:t>Global tuberculosis report 2024</w:t>
      </w:r>
      <w:r w:rsidRPr="006405D3">
        <w:rPr>
          <w:rFonts w:ascii="Arial" w:hAnsi="Arial" w:cs="Arial"/>
          <w:sz w:val="22"/>
          <w:szCs w:val="22"/>
        </w:rPr>
        <w:t>. Geneva: WHO.</w:t>
      </w:r>
      <w:r w:rsidRPr="006405D3">
        <w:rPr>
          <w:rFonts w:ascii="Arial" w:hAnsi="Arial" w:cs="Arial"/>
          <w:sz w:val="22"/>
          <w:szCs w:val="22"/>
        </w:rPr>
        <w:tab/>
      </w:r>
    </w:p>
    <w:p w:rsidR="00CA6116" w:rsidRPr="008E63D3" w:rsidRDefault="00CA6116" w:rsidP="008E63D3">
      <w:pPr>
        <w:spacing w:line="360" w:lineRule="auto"/>
        <w:jc w:val="both"/>
        <w:rPr>
          <w:rFonts w:ascii="Arial" w:hAnsi="Arial" w:cs="Arial"/>
        </w:rPr>
      </w:pPr>
    </w:p>
    <w:sectPr w:rsidR="00CA6116" w:rsidRPr="008E63D3" w:rsidSect="008E63D3">
      <w:footerReference w:type="default" r:id="rId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C31A1" w:rsidRDefault="000C31A1" w:rsidP="008E63D3">
      <w:pPr>
        <w:spacing w:after="0" w:line="240" w:lineRule="auto"/>
      </w:pPr>
      <w:r>
        <w:separator/>
      </w:r>
    </w:p>
  </w:endnote>
  <w:endnote w:type="continuationSeparator" w:id="0">
    <w:p w:rsidR="000C31A1" w:rsidRDefault="000C31A1" w:rsidP="008E6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5146235"/>
      <w:docPartObj>
        <w:docPartGallery w:val="Page Numbers (Bottom of Page)"/>
        <w:docPartUnique/>
      </w:docPartObj>
    </w:sdtPr>
    <w:sdtEndPr>
      <w:rPr>
        <w:noProof/>
      </w:rPr>
    </w:sdtEndPr>
    <w:sdtContent>
      <w:p w:rsidR="008E63D3" w:rsidRDefault="008E63D3">
        <w:pPr>
          <w:pStyle w:val="Footer"/>
          <w:jc w:val="right"/>
        </w:pPr>
        <w:r>
          <w:fldChar w:fldCharType="begin"/>
        </w:r>
        <w:r>
          <w:instrText xml:space="preserve"> PAGE   \* MERGEFORMAT </w:instrText>
        </w:r>
        <w:r>
          <w:fldChar w:fldCharType="separate"/>
        </w:r>
        <w:r w:rsidR="00764A1F">
          <w:rPr>
            <w:noProof/>
          </w:rPr>
          <w:t>9</w:t>
        </w:r>
        <w:r>
          <w:rPr>
            <w:noProof/>
          </w:rPr>
          <w:fldChar w:fldCharType="end"/>
        </w:r>
      </w:p>
    </w:sdtContent>
  </w:sdt>
  <w:p w:rsidR="008E63D3" w:rsidRDefault="008E63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C31A1" w:rsidRDefault="000C31A1" w:rsidP="008E63D3">
      <w:pPr>
        <w:spacing w:after="0" w:line="240" w:lineRule="auto"/>
      </w:pPr>
      <w:r>
        <w:separator/>
      </w:r>
    </w:p>
  </w:footnote>
  <w:footnote w:type="continuationSeparator" w:id="0">
    <w:p w:rsidR="000C31A1" w:rsidRDefault="000C31A1" w:rsidP="008E63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66A8E"/>
    <w:multiLevelType w:val="multilevel"/>
    <w:tmpl w:val="2E0AA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3D3"/>
    <w:rsid w:val="000C31A1"/>
    <w:rsid w:val="006405D3"/>
    <w:rsid w:val="00764A1F"/>
    <w:rsid w:val="0086528E"/>
    <w:rsid w:val="008E63D3"/>
    <w:rsid w:val="00AE4B71"/>
    <w:rsid w:val="00CA6116"/>
    <w:rsid w:val="00CE4B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F59247-C0FE-4D22-BE3F-2434F8E12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6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63D3"/>
  </w:style>
  <w:style w:type="paragraph" w:styleId="Footer">
    <w:name w:val="footer"/>
    <w:basedOn w:val="Normal"/>
    <w:link w:val="FooterChar"/>
    <w:uiPriority w:val="99"/>
    <w:unhideWhenUsed/>
    <w:rsid w:val="008E63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63D3"/>
  </w:style>
  <w:style w:type="table" w:styleId="TableGrid">
    <w:name w:val="Table Grid"/>
    <w:basedOn w:val="TableNormal"/>
    <w:uiPriority w:val="39"/>
    <w:rsid w:val="00640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405D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6405D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405D3"/>
    <w:rPr>
      <w:i/>
      <w:iCs/>
    </w:rPr>
  </w:style>
  <w:style w:type="table" w:customStyle="1" w:styleId="TableGrid1">
    <w:name w:val="Table Grid1"/>
    <w:basedOn w:val="TableNormal"/>
    <w:next w:val="TableGrid"/>
    <w:uiPriority w:val="39"/>
    <w:rsid w:val="00AE4B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645403">
      <w:bodyDiv w:val="1"/>
      <w:marLeft w:val="0"/>
      <w:marRight w:val="0"/>
      <w:marTop w:val="0"/>
      <w:marBottom w:val="0"/>
      <w:divBdr>
        <w:top w:val="none" w:sz="0" w:space="0" w:color="auto"/>
        <w:left w:val="none" w:sz="0" w:space="0" w:color="auto"/>
        <w:bottom w:val="none" w:sz="0" w:space="0" w:color="auto"/>
        <w:right w:val="none" w:sz="0" w:space="0" w:color="auto"/>
      </w:divBdr>
    </w:div>
    <w:div w:id="611789465">
      <w:bodyDiv w:val="1"/>
      <w:marLeft w:val="0"/>
      <w:marRight w:val="0"/>
      <w:marTop w:val="0"/>
      <w:marBottom w:val="0"/>
      <w:divBdr>
        <w:top w:val="none" w:sz="0" w:space="0" w:color="auto"/>
        <w:left w:val="none" w:sz="0" w:space="0" w:color="auto"/>
        <w:bottom w:val="none" w:sz="0" w:space="0" w:color="auto"/>
        <w:right w:val="none" w:sz="0" w:space="0" w:color="auto"/>
      </w:divBdr>
    </w:div>
    <w:div w:id="672611830">
      <w:bodyDiv w:val="1"/>
      <w:marLeft w:val="0"/>
      <w:marRight w:val="0"/>
      <w:marTop w:val="0"/>
      <w:marBottom w:val="0"/>
      <w:divBdr>
        <w:top w:val="none" w:sz="0" w:space="0" w:color="auto"/>
        <w:left w:val="none" w:sz="0" w:space="0" w:color="auto"/>
        <w:bottom w:val="none" w:sz="0" w:space="0" w:color="auto"/>
        <w:right w:val="none" w:sz="0" w:space="0" w:color="auto"/>
      </w:divBdr>
    </w:div>
    <w:div w:id="686251302">
      <w:bodyDiv w:val="1"/>
      <w:marLeft w:val="0"/>
      <w:marRight w:val="0"/>
      <w:marTop w:val="0"/>
      <w:marBottom w:val="0"/>
      <w:divBdr>
        <w:top w:val="none" w:sz="0" w:space="0" w:color="auto"/>
        <w:left w:val="none" w:sz="0" w:space="0" w:color="auto"/>
        <w:bottom w:val="none" w:sz="0" w:space="0" w:color="auto"/>
        <w:right w:val="none" w:sz="0" w:space="0" w:color="auto"/>
      </w:divBdr>
    </w:div>
    <w:div w:id="171770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2125</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Zuhra Asghar</cp:lastModifiedBy>
  <cp:revision>4</cp:revision>
  <dcterms:created xsi:type="dcterms:W3CDTF">2026-03-11T14:22:00Z</dcterms:created>
  <dcterms:modified xsi:type="dcterms:W3CDTF">2026-03-11T15:05:00Z</dcterms:modified>
</cp:coreProperties>
</file>