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cs="Calibri"/>
          <w:b/>
        </w:rPr>
      </w:pPr>
      <w:r>
        <w:rPr>
          <w:rFonts w:cs="Calibri"/>
          <w:b/>
          <w:sz w:val="40"/>
        </w:rPr>
        <w:t>R</w:t>
      </w:r>
      <w:r>
        <w:rPr>
          <w:rFonts w:cs="Calibri"/>
          <w:b/>
          <w:sz w:val="40"/>
        </w:rPr>
        <w:t xml:space="preserve">eflective </w:t>
      </w:r>
      <w:r>
        <w:rPr>
          <w:rFonts w:cs="Calibri"/>
          <w:b/>
          <w:sz w:val="40"/>
        </w:rPr>
        <w:t>R</w:t>
      </w:r>
      <w:r>
        <w:rPr>
          <w:rFonts w:cs="Calibri"/>
          <w:b/>
          <w:sz w:val="40"/>
        </w:rPr>
        <w:t>eport</w:t>
      </w: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jc w:val="center"/>
        <w:rPr>
          <w:b/>
          <w:sz w:val="40"/>
          <w:lang w:val="en-US"/>
        </w:rPr>
      </w:pPr>
      <w:r>
        <w:rPr>
          <w:b/>
          <w:sz w:val="40"/>
          <w:lang w:val="en-US"/>
        </w:rPr>
        <w:t xml:space="preserve">Submitted By: Abenezer worku </w:t>
      </w:r>
    </w:p>
    <w:p>
      <w:pPr>
        <w:pStyle w:val="style0"/>
        <w:jc w:val="center"/>
        <w:rPr>
          <w:b/>
          <w:sz w:val="40"/>
          <w:lang w:val="en-US"/>
        </w:rPr>
      </w:pPr>
      <w:r>
        <w:rPr>
          <w:b/>
          <w:sz w:val="40"/>
          <w:lang w:val="en-US"/>
        </w:rPr>
        <w:t>ID: 2328576</w:t>
      </w: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266"/>
        <w:spacing w:lineRule="auto" w:line="480"/>
        <w:jc w:val="both"/>
        <w:rPr>
          <w:b/>
          <w:sz w:val="36"/>
        </w:rPr>
      </w:pPr>
      <w:r>
        <w:rPr>
          <w:b/>
          <w:sz w:val="36"/>
        </w:rPr>
        <w:t>Table of Contents</w:t>
      </w:r>
    </w:p>
    <w:p>
      <w:pPr>
        <w:pStyle w:val="style19"/>
        <w:tabs>
          <w:tab w:val="right" w:leader="dot" w:pos="9350"/>
        </w:tabs>
        <w:spacing w:lineRule="auto" w:line="480"/>
        <w:jc w:val="both"/>
        <w:rPr>
          <w:b/>
          <w:noProof/>
          <w:sz w:val="24"/>
        </w:rPr>
      </w:pPr>
      <w:r>
        <w:rPr>
          <w:b/>
          <w:sz w:val="24"/>
        </w:rPr>
        <w:fldChar w:fldCharType="begin"/>
      </w:r>
      <w:r>
        <w:rPr>
          <w:b/>
          <w:sz w:val="24"/>
        </w:rPr>
        <w:instrText xml:space="preserve"> TOC \o "1-3" \h \z \u </w:instrText>
      </w:r>
      <w:r>
        <w:rPr>
          <w:b/>
          <w:sz w:val="24"/>
        </w:rPr>
        <w:fldChar w:fldCharType="separate"/>
      </w:r>
      <w:r>
        <w:rPr/>
        <w:fldChar w:fldCharType="begin"/>
      </w:r>
      <w:r>
        <w:instrText xml:space="preserve"> HYPERLINK \l "_Toc164851836" </w:instrText>
      </w:r>
      <w:r>
        <w:rPr/>
        <w:fldChar w:fldCharType="separate"/>
      </w:r>
      <w:r>
        <w:rPr>
          <w:rStyle w:val="style85"/>
          <w:rFonts w:cs="Calibri"/>
          <w:b/>
          <w:noProof/>
          <w:sz w:val="24"/>
        </w:rPr>
        <w:t>Introduction</w:t>
      </w:r>
      <w:r>
        <w:rPr>
          <w:b/>
          <w:noProof/>
          <w:webHidden/>
          <w:sz w:val="24"/>
        </w:rPr>
        <w:tab/>
      </w:r>
      <w:r>
        <w:rPr>
          <w:b/>
          <w:noProof/>
          <w:webHidden/>
          <w:sz w:val="24"/>
        </w:rPr>
        <w:fldChar w:fldCharType="begin"/>
      </w:r>
      <w:r>
        <w:rPr>
          <w:b/>
          <w:noProof/>
          <w:webHidden/>
          <w:sz w:val="24"/>
        </w:rPr>
        <w:instrText xml:space="preserve"> PAGEREF _Toc164851836 \h </w:instrText>
      </w:r>
      <w:r>
        <w:rPr>
          <w:b/>
          <w:noProof/>
          <w:webHidden/>
          <w:sz w:val="24"/>
        </w:rPr>
        <w:fldChar w:fldCharType="separate"/>
      </w:r>
      <w:r>
        <w:rPr>
          <w:b/>
          <w:noProof/>
          <w:webHidden/>
          <w:sz w:val="24"/>
        </w:rPr>
        <w:t>2</w:t>
      </w:r>
      <w:r>
        <w:rPr>
          <w:b/>
          <w:noProof/>
          <w:webHidden/>
          <w:sz w:val="24"/>
        </w:rPr>
        <w:fldChar w:fldCharType="end"/>
      </w:r>
      <w:r>
        <w:rPr/>
        <w:fldChar w:fldCharType="end"/>
      </w:r>
    </w:p>
    <w:p>
      <w:pPr>
        <w:pStyle w:val="style19"/>
        <w:tabs>
          <w:tab w:val="right" w:leader="dot" w:pos="9350"/>
        </w:tabs>
        <w:spacing w:lineRule="auto" w:line="480"/>
        <w:jc w:val="both"/>
        <w:rPr>
          <w:b/>
          <w:noProof/>
          <w:sz w:val="24"/>
        </w:rPr>
      </w:pPr>
      <w:r>
        <w:rPr/>
        <w:fldChar w:fldCharType="begin"/>
      </w:r>
      <w:r>
        <w:instrText xml:space="preserve"> HYPERLINK \l "_Toc164851837" </w:instrText>
      </w:r>
      <w:r>
        <w:rPr/>
        <w:fldChar w:fldCharType="separate"/>
      </w:r>
      <w:r>
        <w:rPr>
          <w:rStyle w:val="style85"/>
          <w:rFonts w:cs="Calibri"/>
          <w:b/>
          <w:noProof/>
          <w:sz w:val="24"/>
        </w:rPr>
        <w:t>Reflection Model Overview</w:t>
      </w:r>
      <w:r>
        <w:rPr>
          <w:b/>
          <w:noProof/>
          <w:webHidden/>
          <w:sz w:val="24"/>
        </w:rPr>
        <w:tab/>
      </w:r>
      <w:r>
        <w:rPr>
          <w:b/>
          <w:noProof/>
          <w:webHidden/>
          <w:sz w:val="24"/>
        </w:rPr>
        <w:fldChar w:fldCharType="begin"/>
      </w:r>
      <w:r>
        <w:rPr>
          <w:b/>
          <w:noProof/>
          <w:webHidden/>
          <w:sz w:val="24"/>
        </w:rPr>
        <w:instrText xml:space="preserve"> PAGEREF _Toc164851837 \h </w:instrText>
      </w:r>
      <w:r>
        <w:rPr>
          <w:b/>
          <w:noProof/>
          <w:webHidden/>
          <w:sz w:val="24"/>
        </w:rPr>
        <w:fldChar w:fldCharType="separate"/>
      </w:r>
      <w:r>
        <w:rPr>
          <w:b/>
          <w:noProof/>
          <w:webHidden/>
          <w:sz w:val="24"/>
        </w:rPr>
        <w:t>2</w:t>
      </w:r>
      <w:r>
        <w:rPr>
          <w:b/>
          <w:noProof/>
          <w:webHidden/>
          <w:sz w:val="24"/>
        </w:rPr>
        <w:fldChar w:fldCharType="end"/>
      </w:r>
      <w:r>
        <w:rPr/>
        <w:fldChar w:fldCharType="end"/>
      </w:r>
    </w:p>
    <w:p>
      <w:pPr>
        <w:pStyle w:val="style19"/>
        <w:tabs>
          <w:tab w:val="right" w:leader="dot" w:pos="9350"/>
        </w:tabs>
        <w:spacing w:lineRule="auto" w:line="480"/>
        <w:jc w:val="both"/>
        <w:rPr>
          <w:b/>
          <w:noProof/>
          <w:sz w:val="24"/>
        </w:rPr>
      </w:pPr>
      <w:r>
        <w:rPr/>
        <w:fldChar w:fldCharType="begin"/>
      </w:r>
      <w:r>
        <w:instrText xml:space="preserve"> HYPERLINK \l "_Toc164851838" </w:instrText>
      </w:r>
      <w:r>
        <w:rPr/>
        <w:fldChar w:fldCharType="separate"/>
      </w:r>
      <w:r>
        <w:rPr>
          <w:rStyle w:val="style85"/>
          <w:rFonts w:cs="Calibri"/>
          <w:b/>
          <w:noProof/>
          <w:sz w:val="24"/>
        </w:rPr>
        <w:t>Body</w:t>
      </w:r>
      <w:r>
        <w:rPr>
          <w:b/>
          <w:noProof/>
          <w:webHidden/>
          <w:sz w:val="24"/>
        </w:rPr>
        <w:tab/>
      </w:r>
      <w:r>
        <w:rPr>
          <w:b/>
          <w:noProof/>
          <w:webHidden/>
          <w:sz w:val="24"/>
        </w:rPr>
        <w:fldChar w:fldCharType="begin"/>
      </w:r>
      <w:r>
        <w:rPr>
          <w:b/>
          <w:noProof/>
          <w:webHidden/>
          <w:sz w:val="24"/>
        </w:rPr>
        <w:instrText xml:space="preserve"> PAGEREF _Toc164851838 \h </w:instrText>
      </w:r>
      <w:r>
        <w:rPr>
          <w:b/>
          <w:noProof/>
          <w:webHidden/>
          <w:sz w:val="24"/>
        </w:rPr>
        <w:fldChar w:fldCharType="separate"/>
      </w:r>
      <w:r>
        <w:rPr>
          <w:b/>
          <w:noProof/>
          <w:webHidden/>
          <w:sz w:val="24"/>
        </w:rPr>
        <w:t>4</w:t>
      </w:r>
      <w:r>
        <w:rPr>
          <w:b/>
          <w:noProof/>
          <w:webHidden/>
          <w:sz w:val="24"/>
        </w:rPr>
        <w:fldChar w:fldCharType="end"/>
      </w:r>
      <w:r>
        <w:rPr/>
        <w:fldChar w:fldCharType="end"/>
      </w:r>
    </w:p>
    <w:p>
      <w:pPr>
        <w:pStyle w:val="style19"/>
        <w:tabs>
          <w:tab w:val="right" w:leader="dot" w:pos="9350"/>
        </w:tabs>
        <w:spacing w:lineRule="auto" w:line="480"/>
        <w:jc w:val="both"/>
        <w:rPr>
          <w:b/>
          <w:noProof/>
          <w:sz w:val="24"/>
        </w:rPr>
      </w:pPr>
      <w:r>
        <w:rPr/>
        <w:fldChar w:fldCharType="begin"/>
      </w:r>
      <w:r>
        <w:instrText xml:space="preserve"> HYPERLINK \l "_Toc164851839" </w:instrText>
      </w:r>
      <w:r>
        <w:rPr/>
        <w:fldChar w:fldCharType="separate"/>
      </w:r>
      <w:r>
        <w:rPr>
          <w:rStyle w:val="style85"/>
          <w:rFonts w:cs="Calibri"/>
          <w:b/>
          <w:noProof/>
          <w:sz w:val="24"/>
        </w:rPr>
        <w:t>Skill 1: Academic Writing Skills</w:t>
      </w:r>
      <w:r>
        <w:rPr>
          <w:b/>
          <w:noProof/>
          <w:webHidden/>
          <w:sz w:val="24"/>
        </w:rPr>
        <w:tab/>
      </w:r>
      <w:r>
        <w:rPr>
          <w:b/>
          <w:noProof/>
          <w:webHidden/>
          <w:sz w:val="24"/>
        </w:rPr>
        <w:fldChar w:fldCharType="begin"/>
      </w:r>
      <w:r>
        <w:rPr>
          <w:b/>
          <w:noProof/>
          <w:webHidden/>
          <w:sz w:val="24"/>
        </w:rPr>
        <w:instrText xml:space="preserve"> PAGEREF _Toc164851839 \h </w:instrText>
      </w:r>
      <w:r>
        <w:rPr>
          <w:b/>
          <w:noProof/>
          <w:webHidden/>
          <w:sz w:val="24"/>
        </w:rPr>
        <w:fldChar w:fldCharType="separate"/>
      </w:r>
      <w:r>
        <w:rPr>
          <w:b/>
          <w:noProof/>
          <w:webHidden/>
          <w:sz w:val="24"/>
        </w:rPr>
        <w:t>4</w:t>
      </w:r>
      <w:r>
        <w:rPr>
          <w:b/>
          <w:noProof/>
          <w:webHidden/>
          <w:sz w:val="24"/>
        </w:rPr>
        <w:fldChar w:fldCharType="end"/>
      </w:r>
      <w:r>
        <w:rPr/>
        <w:fldChar w:fldCharType="end"/>
      </w:r>
    </w:p>
    <w:p>
      <w:pPr>
        <w:pStyle w:val="style19"/>
        <w:tabs>
          <w:tab w:val="right" w:leader="dot" w:pos="9350"/>
        </w:tabs>
        <w:spacing w:lineRule="auto" w:line="480"/>
        <w:jc w:val="both"/>
        <w:rPr>
          <w:b/>
          <w:noProof/>
          <w:sz w:val="24"/>
        </w:rPr>
      </w:pPr>
      <w:r>
        <w:rPr/>
        <w:fldChar w:fldCharType="begin"/>
      </w:r>
      <w:r>
        <w:instrText xml:space="preserve"> HYPERLINK \l "_Toc164851840" </w:instrText>
      </w:r>
      <w:r>
        <w:rPr/>
        <w:fldChar w:fldCharType="separate"/>
      </w:r>
      <w:r>
        <w:rPr>
          <w:rStyle w:val="style85"/>
          <w:rFonts w:cs="Calibri"/>
          <w:b/>
          <w:noProof/>
          <w:sz w:val="24"/>
        </w:rPr>
        <w:t>Skill 2: Research Skills</w:t>
      </w:r>
      <w:r>
        <w:rPr>
          <w:b/>
          <w:noProof/>
          <w:webHidden/>
          <w:sz w:val="24"/>
        </w:rPr>
        <w:tab/>
      </w:r>
      <w:r>
        <w:rPr>
          <w:b/>
          <w:noProof/>
          <w:webHidden/>
          <w:sz w:val="24"/>
        </w:rPr>
        <w:fldChar w:fldCharType="begin"/>
      </w:r>
      <w:r>
        <w:rPr>
          <w:b/>
          <w:noProof/>
          <w:webHidden/>
          <w:sz w:val="24"/>
        </w:rPr>
        <w:instrText xml:space="preserve"> PAGEREF _Toc164851840 \h </w:instrText>
      </w:r>
      <w:r>
        <w:rPr>
          <w:b/>
          <w:noProof/>
          <w:webHidden/>
          <w:sz w:val="24"/>
        </w:rPr>
        <w:fldChar w:fldCharType="separate"/>
      </w:r>
      <w:r>
        <w:rPr>
          <w:b/>
          <w:noProof/>
          <w:webHidden/>
          <w:sz w:val="24"/>
        </w:rPr>
        <w:t>5</w:t>
      </w:r>
      <w:r>
        <w:rPr>
          <w:b/>
          <w:noProof/>
          <w:webHidden/>
          <w:sz w:val="24"/>
        </w:rPr>
        <w:fldChar w:fldCharType="end"/>
      </w:r>
      <w:r>
        <w:rPr/>
        <w:fldChar w:fldCharType="end"/>
      </w:r>
    </w:p>
    <w:p>
      <w:pPr>
        <w:pStyle w:val="style19"/>
        <w:tabs>
          <w:tab w:val="right" w:leader="dot" w:pos="9350"/>
        </w:tabs>
        <w:spacing w:lineRule="auto" w:line="480"/>
        <w:jc w:val="both"/>
        <w:rPr>
          <w:b/>
          <w:noProof/>
          <w:sz w:val="24"/>
        </w:rPr>
      </w:pPr>
      <w:r>
        <w:rPr/>
        <w:fldChar w:fldCharType="begin"/>
      </w:r>
      <w:r>
        <w:instrText xml:space="preserve"> HYPERLINK \l "_Toc164851841" </w:instrText>
      </w:r>
      <w:r>
        <w:rPr/>
        <w:fldChar w:fldCharType="separate"/>
      </w:r>
      <w:r>
        <w:rPr>
          <w:rStyle w:val="style85"/>
          <w:rFonts w:cs="Calibri"/>
          <w:b/>
          <w:noProof/>
          <w:sz w:val="24"/>
        </w:rPr>
        <w:t>Skill 3: Referencing Skills</w:t>
      </w:r>
      <w:r>
        <w:rPr>
          <w:b/>
          <w:noProof/>
          <w:webHidden/>
          <w:sz w:val="24"/>
        </w:rPr>
        <w:tab/>
      </w:r>
      <w:r>
        <w:rPr>
          <w:b/>
          <w:noProof/>
          <w:webHidden/>
          <w:sz w:val="24"/>
        </w:rPr>
        <w:fldChar w:fldCharType="begin"/>
      </w:r>
      <w:r>
        <w:rPr>
          <w:b/>
          <w:noProof/>
          <w:webHidden/>
          <w:sz w:val="24"/>
        </w:rPr>
        <w:instrText xml:space="preserve"> PAGEREF _Toc164851841 \h </w:instrText>
      </w:r>
      <w:r>
        <w:rPr>
          <w:b/>
          <w:noProof/>
          <w:webHidden/>
          <w:sz w:val="24"/>
        </w:rPr>
        <w:fldChar w:fldCharType="separate"/>
      </w:r>
      <w:r>
        <w:rPr>
          <w:b/>
          <w:noProof/>
          <w:webHidden/>
          <w:sz w:val="24"/>
        </w:rPr>
        <w:t>6</w:t>
      </w:r>
      <w:r>
        <w:rPr>
          <w:b/>
          <w:noProof/>
          <w:webHidden/>
          <w:sz w:val="24"/>
        </w:rPr>
        <w:fldChar w:fldCharType="end"/>
      </w:r>
      <w:r>
        <w:rPr/>
        <w:fldChar w:fldCharType="end"/>
      </w:r>
    </w:p>
    <w:p>
      <w:pPr>
        <w:pStyle w:val="style19"/>
        <w:tabs>
          <w:tab w:val="right" w:leader="dot" w:pos="9350"/>
        </w:tabs>
        <w:spacing w:lineRule="auto" w:line="480"/>
        <w:jc w:val="both"/>
        <w:rPr>
          <w:b/>
          <w:noProof/>
          <w:sz w:val="24"/>
        </w:rPr>
      </w:pPr>
      <w:r>
        <w:rPr/>
        <w:fldChar w:fldCharType="begin"/>
      </w:r>
      <w:r>
        <w:instrText xml:space="preserve"> HYPERLINK \l "_Toc164851842" </w:instrText>
      </w:r>
      <w:r>
        <w:rPr/>
        <w:fldChar w:fldCharType="separate"/>
      </w:r>
      <w:r>
        <w:rPr>
          <w:rStyle w:val="style85"/>
          <w:rFonts w:cs="Calibri"/>
          <w:b/>
          <w:noProof/>
          <w:sz w:val="24"/>
        </w:rPr>
        <w:t>Conclusion</w:t>
      </w:r>
      <w:r>
        <w:rPr>
          <w:b/>
          <w:noProof/>
          <w:webHidden/>
          <w:sz w:val="24"/>
        </w:rPr>
        <w:tab/>
      </w:r>
      <w:r>
        <w:rPr>
          <w:b/>
          <w:noProof/>
          <w:webHidden/>
          <w:sz w:val="24"/>
        </w:rPr>
        <w:fldChar w:fldCharType="begin"/>
      </w:r>
      <w:r>
        <w:rPr>
          <w:b/>
          <w:noProof/>
          <w:webHidden/>
          <w:sz w:val="24"/>
        </w:rPr>
        <w:instrText xml:space="preserve"> PAGEREF _Toc164851842 \h </w:instrText>
      </w:r>
      <w:r>
        <w:rPr>
          <w:b/>
          <w:noProof/>
          <w:webHidden/>
          <w:sz w:val="24"/>
        </w:rPr>
        <w:fldChar w:fldCharType="separate"/>
      </w:r>
      <w:r>
        <w:rPr>
          <w:b/>
          <w:noProof/>
          <w:webHidden/>
          <w:sz w:val="24"/>
        </w:rPr>
        <w:t>7</w:t>
      </w:r>
      <w:r>
        <w:rPr>
          <w:b/>
          <w:noProof/>
          <w:webHidden/>
          <w:sz w:val="24"/>
        </w:rPr>
        <w:fldChar w:fldCharType="end"/>
      </w:r>
      <w:r>
        <w:rPr/>
        <w:fldChar w:fldCharType="end"/>
      </w:r>
    </w:p>
    <w:p>
      <w:pPr>
        <w:pStyle w:val="style19"/>
        <w:tabs>
          <w:tab w:val="right" w:leader="dot" w:pos="9350"/>
        </w:tabs>
        <w:spacing w:lineRule="auto" w:line="480"/>
        <w:jc w:val="both"/>
        <w:rPr>
          <w:b/>
          <w:noProof/>
          <w:sz w:val="24"/>
        </w:rPr>
      </w:pPr>
      <w:r>
        <w:rPr/>
        <w:fldChar w:fldCharType="begin"/>
      </w:r>
      <w:r>
        <w:instrText xml:space="preserve"> HYPERLINK \l "_Toc164851843" </w:instrText>
      </w:r>
      <w:r>
        <w:rPr/>
        <w:fldChar w:fldCharType="separate"/>
      </w:r>
      <w:r>
        <w:rPr>
          <w:rStyle w:val="style85"/>
          <w:rFonts w:cs="Calibri"/>
          <w:b/>
          <w:noProof/>
          <w:sz w:val="24"/>
        </w:rPr>
        <w:t>References:</w:t>
      </w:r>
      <w:r>
        <w:rPr>
          <w:b/>
          <w:noProof/>
          <w:webHidden/>
          <w:sz w:val="24"/>
        </w:rPr>
        <w:tab/>
      </w:r>
      <w:r>
        <w:rPr>
          <w:b/>
          <w:noProof/>
          <w:webHidden/>
          <w:sz w:val="24"/>
        </w:rPr>
        <w:fldChar w:fldCharType="begin"/>
      </w:r>
      <w:r>
        <w:rPr>
          <w:b/>
          <w:noProof/>
          <w:webHidden/>
          <w:sz w:val="24"/>
        </w:rPr>
        <w:instrText xml:space="preserve"> PAGEREF _Toc164851843 \h </w:instrText>
      </w:r>
      <w:r>
        <w:rPr>
          <w:b/>
          <w:noProof/>
          <w:webHidden/>
          <w:sz w:val="24"/>
        </w:rPr>
        <w:fldChar w:fldCharType="separate"/>
      </w:r>
      <w:r>
        <w:rPr>
          <w:b/>
          <w:noProof/>
          <w:webHidden/>
          <w:sz w:val="24"/>
        </w:rPr>
        <w:t>9</w:t>
      </w:r>
      <w:r>
        <w:rPr>
          <w:b/>
          <w:noProof/>
          <w:webHidden/>
          <w:sz w:val="24"/>
        </w:rPr>
        <w:fldChar w:fldCharType="end"/>
      </w:r>
      <w:r>
        <w:rPr/>
        <w:fldChar w:fldCharType="end"/>
      </w:r>
    </w:p>
    <w:p>
      <w:pPr>
        <w:pStyle w:val="style0"/>
        <w:spacing w:lineRule="auto" w:line="480"/>
        <w:jc w:val="both"/>
        <w:rPr/>
      </w:pPr>
      <w:r>
        <w:rPr>
          <w:b/>
          <w:bCs/>
          <w:noProof/>
          <w:sz w:val="24"/>
        </w:rPr>
        <w:fldChar w:fldCharType="end"/>
      </w:r>
    </w:p>
    <w:bookmarkStart w:id="0" w:name="_Toc164851836"/>
    <w:p>
      <w:pPr>
        <w:pStyle w:val="style1"/>
        <w:jc w:val="both"/>
        <w:rPr>
          <w:rFonts w:ascii="Calibri" w:cs="Calibri" w:hAnsi="Calibri"/>
          <w:b/>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0"/>
        <w:rPr>
          <w:lang w:val="en-US"/>
        </w:rPr>
      </w:pPr>
    </w:p>
    <w:p>
      <w:pPr>
        <w:pStyle w:val="style1"/>
        <w:jc w:val="both"/>
        <w:rPr>
          <w:rFonts w:ascii="Calibri" w:cs="Calibri" w:hAnsi="Calibri"/>
          <w:b/>
        </w:rPr>
      </w:pPr>
      <w:r>
        <w:rPr>
          <w:rFonts w:ascii="Calibri" w:cs="Calibri" w:hAnsi="Calibri"/>
          <w:b/>
        </w:rPr>
        <w:t>Introduction</w:t>
      </w:r>
      <w:bookmarkEnd w:id="0"/>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Purpose of the Report:</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This reflective report examines how the academic skills module has improved my academic writing, research, and reference abilities, which are crucial to academic success. This report's goal will be achieved through introspection. This study will analyse each learning level using the Gibbs Reflective Cycle. This analysis will help me understand how these qualities may help me academically. Rolfe et al. (2001) recommend the Gibbs model for educational contexts because it stimulates organised reflection via six phases: description, feelings, assessment, analysis, conclusion, and action plan. </w:t>
      </w:r>
    </w:p>
    <w:p>
      <w:pPr>
        <w:pStyle w:val="style0"/>
        <w:autoSpaceDE w:val="false"/>
        <w:autoSpaceDN w:val="false"/>
        <w:adjustRightInd w:val="false"/>
        <w:spacing w:after="200" w:lineRule="auto" w:line="360"/>
        <w:jc w:val="both"/>
        <w:rPr>
          <w:rFonts w:cs="Calibri"/>
          <w:b/>
          <w:bCs/>
          <w:sz w:val="24"/>
          <w:szCs w:val="24"/>
        </w:rPr>
      </w:pPr>
      <w:r>
        <w:rPr>
          <w:rFonts w:cs="Calibri"/>
          <w:b/>
          <w:bCs/>
          <w:sz w:val="24"/>
          <w:szCs w:val="24"/>
        </w:rPr>
        <w:t>This report will concentrate on three pivotal academic skills:</w:t>
      </w:r>
    </w:p>
    <w:p>
      <w:pPr>
        <w:pStyle w:val="style0"/>
        <w:numPr>
          <w:ilvl w:val="0"/>
          <w:numId w:val="1"/>
        </w:numPr>
        <w:autoSpaceDE w:val="false"/>
        <w:autoSpaceDN w:val="false"/>
        <w:adjustRightInd w:val="false"/>
        <w:spacing w:after="200" w:lineRule="auto" w:line="360"/>
        <w:ind w:left="720" w:hanging="360"/>
        <w:jc w:val="both"/>
        <w:rPr>
          <w:rFonts w:cs="Calibri"/>
          <w:sz w:val="24"/>
          <w:szCs w:val="24"/>
        </w:rPr>
      </w:pPr>
      <w:r>
        <w:rPr>
          <w:rFonts w:cs="Calibri"/>
          <w:sz w:val="24"/>
          <w:szCs w:val="24"/>
        </w:rPr>
        <w:t xml:space="preserve">Academic Writing Skills: </w:t>
      </w:r>
      <w:r>
        <w:rPr>
          <w:rFonts w:cs="Calibri"/>
          <w:sz w:val="24"/>
          <w:szCs w:val="24"/>
          <w:lang w:val="en-US"/>
        </w:rPr>
        <w:t>T</w:t>
      </w:r>
      <w:r>
        <w:rPr>
          <w:rFonts w:cs="Calibri"/>
          <w:sz w:val="24"/>
          <w:szCs w:val="24"/>
        </w:rPr>
        <w:t>he</w:t>
      </w:r>
      <w:r>
        <w:rPr>
          <w:rFonts w:cs="Calibri"/>
          <w:sz w:val="24"/>
          <w:szCs w:val="24"/>
        </w:rPr>
        <w:t xml:space="preserve"> ability to articulate ideas clearly and coherently in written form.</w:t>
      </w:r>
    </w:p>
    <w:p>
      <w:pPr>
        <w:pStyle w:val="style0"/>
        <w:numPr>
          <w:ilvl w:val="0"/>
          <w:numId w:val="1"/>
        </w:numPr>
        <w:autoSpaceDE w:val="false"/>
        <w:autoSpaceDN w:val="false"/>
        <w:adjustRightInd w:val="false"/>
        <w:spacing w:after="200" w:lineRule="auto" w:line="360"/>
        <w:ind w:left="720" w:hanging="360"/>
        <w:jc w:val="both"/>
        <w:rPr>
          <w:rFonts w:cs="Calibri"/>
          <w:sz w:val="24"/>
          <w:szCs w:val="24"/>
        </w:rPr>
      </w:pPr>
      <w:r>
        <w:rPr>
          <w:rFonts w:cs="Calibri"/>
          <w:sz w:val="24"/>
          <w:szCs w:val="24"/>
        </w:rPr>
        <w:t>Research Skills</w:t>
      </w:r>
      <w:r>
        <w:rPr>
          <w:rFonts w:cs="Calibri"/>
          <w:sz w:val="24"/>
          <w:szCs w:val="24"/>
          <w:lang w:val="en-US"/>
        </w:rPr>
        <w:t xml:space="preserve">: </w:t>
      </w:r>
      <w:r>
        <w:rPr>
          <w:rFonts w:cs="Calibri"/>
          <w:sz w:val="24"/>
          <w:szCs w:val="24"/>
          <w:lang w:val="en-US"/>
        </w:rPr>
        <w:t>T</w:t>
      </w:r>
      <w:r>
        <w:rPr>
          <w:rFonts w:cs="Calibri"/>
          <w:sz w:val="24"/>
          <w:szCs w:val="24"/>
        </w:rPr>
        <w:t>he</w:t>
      </w:r>
      <w:r>
        <w:rPr>
          <w:rFonts w:cs="Calibri"/>
          <w:sz w:val="24"/>
          <w:szCs w:val="24"/>
        </w:rPr>
        <w:t xml:space="preserve"> capability to efficiently locate, analyze, and synthesize information from a variety of sources.</w:t>
      </w:r>
    </w:p>
    <w:p>
      <w:pPr>
        <w:pStyle w:val="style0"/>
        <w:numPr>
          <w:ilvl w:val="0"/>
          <w:numId w:val="1"/>
        </w:numPr>
        <w:autoSpaceDE w:val="false"/>
        <w:autoSpaceDN w:val="false"/>
        <w:adjustRightInd w:val="false"/>
        <w:spacing w:after="200" w:lineRule="auto" w:line="360"/>
        <w:ind w:left="720" w:hanging="360"/>
        <w:jc w:val="both"/>
        <w:rPr>
          <w:rFonts w:cs="Calibri"/>
          <w:sz w:val="24"/>
          <w:szCs w:val="24"/>
        </w:rPr>
      </w:pPr>
      <w:r>
        <w:rPr>
          <w:rFonts w:cs="Calibri"/>
          <w:sz w:val="24"/>
          <w:szCs w:val="24"/>
        </w:rPr>
        <w:t>Referencing Skills</w:t>
      </w:r>
      <w:r>
        <w:rPr>
          <w:rFonts w:cs="Calibri"/>
          <w:sz w:val="24"/>
          <w:szCs w:val="24"/>
          <w:lang w:val="en-US"/>
        </w:rPr>
        <w:t>: U</w:t>
      </w:r>
      <w:r>
        <w:rPr>
          <w:rFonts w:cs="Calibri"/>
          <w:sz w:val="24"/>
          <w:szCs w:val="24"/>
        </w:rPr>
        <w:t>nderstanding</w:t>
      </w:r>
      <w:r>
        <w:rPr>
          <w:rFonts w:cs="Calibri"/>
          <w:sz w:val="24"/>
          <w:szCs w:val="24"/>
        </w:rPr>
        <w:t xml:space="preserve"> and applying the principles of academic integrity through appropriate citation practices.</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Academic writing, research, and reference are essential to student intellectual progress. They improve communication and encourage critical thinking and ethical study. Van Beveren et al. (2018) say reflective reports, which incorporate models like the Gibbs cycle, allow students to critically evaluate their learning experiences. Models are used in reflective reports. This improves knowledge of these vital skills, which boosts their growth. </w:t>
      </w:r>
    </w:p>
    <w:bookmarkStart w:id="1" w:name="_Toc164851837"/>
    <w:p>
      <w:pPr>
        <w:pStyle w:val="style1"/>
        <w:jc w:val="both"/>
        <w:rPr>
          <w:rFonts w:ascii="Calibri" w:cs="Calibri" w:hAnsi="Calibri"/>
          <w:b/>
        </w:rPr>
      </w:pPr>
      <w:r>
        <w:rPr>
          <w:rFonts w:ascii="Calibri" w:cs="Calibri" w:hAnsi="Calibri"/>
          <w:b/>
        </w:rPr>
        <w:t>Reflection Model Overview</w:t>
      </w:r>
      <w:bookmarkEnd w:id="1"/>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Graham Gibbs invented the structured practice known as the Gibbs Reflective Cycle. It is used to reflect on various events in a clear and logical manner. This strategy is typically considered beneficial for deeper learning and personal growth in school environments. It has six steps: </w:t>
      </w:r>
    </w:p>
    <w:p>
      <w:pPr>
        <w:pStyle w:val="style0"/>
        <w:spacing w:after="240" w:lineRule="auto" w:line="360"/>
        <w:jc w:val="center"/>
        <w:rPr>
          <w:rFonts w:cs="Calibri" w:eastAsia="Times New Roman"/>
          <w:sz w:val="24"/>
          <w:szCs w:val="24"/>
          <w:lang w:eastAsia="en-GB"/>
        </w:rPr>
      </w:pPr>
      <w:r>
        <w:rPr>
          <w:rFonts w:cs="Calibri"/>
          <w:noProof/>
        </w:rPr>
        <w:drawing>
          <wp:inline distL="0" distT="0" distB="0" distR="0">
            <wp:extent cx="3983354" cy="2524125"/>
            <wp:effectExtent l="0" t="0" r="0" b="9525"/>
            <wp:docPr id="1026" name="Picture 1" descr="C:\Users\Hp\AppData\Local\Microsoft\Windows\INetCache\Content.MSO\9D8544D.tmp"/>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3983354" cy="2524125"/>
                    </a:xfrm>
                    <a:prstGeom prst="rect"/>
                    <a:ln>
                      <a:noFill/>
                    </a:ln>
                  </pic:spPr>
                </pic:pic>
              </a:graphicData>
            </a:graphic>
          </wp:inline>
        </w:drawing>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Description:</w:t>
      </w:r>
    </w:p>
    <w:p>
      <w:pPr>
        <w:pStyle w:val="style0"/>
        <w:autoSpaceDE w:val="false"/>
        <w:autoSpaceDN w:val="false"/>
        <w:adjustRightInd w:val="false"/>
        <w:spacing w:after="200" w:lineRule="auto" w:line="360"/>
        <w:jc w:val="both"/>
        <w:rPr>
          <w:rFonts w:cs="Calibri"/>
          <w:sz w:val="24"/>
          <w:szCs w:val="24"/>
        </w:rPr>
      </w:pPr>
      <w:r>
        <w:rPr>
          <w:rFonts w:cs="Calibri"/>
          <w:sz w:val="24"/>
          <w:szCs w:val="24"/>
        </w:rPr>
        <w:t>What happened? Recount the event or experience as a factual description.</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Feelings:</w:t>
      </w:r>
    </w:p>
    <w:p>
      <w:pPr>
        <w:pStyle w:val="style0"/>
        <w:autoSpaceDE w:val="false"/>
        <w:autoSpaceDN w:val="false"/>
        <w:adjustRightInd w:val="false"/>
        <w:spacing w:after="200" w:lineRule="auto" w:line="360"/>
        <w:jc w:val="both"/>
        <w:rPr>
          <w:rFonts w:cs="Calibri"/>
          <w:sz w:val="24"/>
          <w:szCs w:val="24"/>
        </w:rPr>
      </w:pPr>
      <w:r>
        <w:rPr>
          <w:rFonts w:cs="Calibri"/>
          <w:sz w:val="24"/>
          <w:szCs w:val="24"/>
        </w:rPr>
        <w:t xml:space="preserve">What were you thinking and feeling? </w:t>
      </w:r>
      <w:r>
        <w:rPr>
          <w:rFonts w:cs="Calibri"/>
          <w:sz w:val="24"/>
          <w:szCs w:val="24"/>
        </w:rPr>
        <w:t>Analyze</w:t>
      </w:r>
      <w:r>
        <w:rPr>
          <w:rFonts w:cs="Calibri"/>
          <w:sz w:val="24"/>
          <w:szCs w:val="24"/>
        </w:rPr>
        <w:t xml:space="preserve"> the emotional responses associated with the event.</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Evaluation:</w:t>
      </w:r>
    </w:p>
    <w:p>
      <w:pPr>
        <w:pStyle w:val="style0"/>
        <w:autoSpaceDE w:val="false"/>
        <w:autoSpaceDN w:val="false"/>
        <w:adjustRightInd w:val="false"/>
        <w:spacing w:after="200" w:lineRule="auto" w:line="360"/>
        <w:jc w:val="both"/>
        <w:rPr>
          <w:rFonts w:cs="Calibri"/>
          <w:sz w:val="24"/>
          <w:szCs w:val="24"/>
        </w:rPr>
      </w:pPr>
      <w:r>
        <w:rPr>
          <w:rFonts w:cs="Calibri"/>
          <w:sz w:val="24"/>
          <w:szCs w:val="24"/>
        </w:rPr>
        <w:t>What was good and bad about the experience? Critically assess the positives and negatives of the situation.</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Analysis:</w:t>
      </w:r>
    </w:p>
    <w:p>
      <w:pPr>
        <w:pStyle w:val="style0"/>
        <w:autoSpaceDE w:val="false"/>
        <w:autoSpaceDN w:val="false"/>
        <w:adjustRightInd w:val="false"/>
        <w:spacing w:after="200" w:lineRule="auto" w:line="360"/>
        <w:jc w:val="both"/>
        <w:rPr>
          <w:rFonts w:cs="Calibri"/>
          <w:sz w:val="24"/>
          <w:szCs w:val="24"/>
        </w:rPr>
      </w:pPr>
      <w:r>
        <w:rPr>
          <w:rFonts w:cs="Calibri"/>
          <w:sz w:val="24"/>
          <w:szCs w:val="24"/>
        </w:rPr>
        <w:t>What sense can you make of the situation? Break down the events to understand how they could have been managed.</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Conclusion:</w:t>
      </w:r>
    </w:p>
    <w:p>
      <w:pPr>
        <w:pStyle w:val="style0"/>
        <w:autoSpaceDE w:val="false"/>
        <w:autoSpaceDN w:val="false"/>
        <w:adjustRightInd w:val="false"/>
        <w:spacing w:after="200" w:lineRule="auto" w:line="360"/>
        <w:jc w:val="both"/>
        <w:rPr>
          <w:rFonts w:cs="Calibri"/>
          <w:sz w:val="24"/>
          <w:szCs w:val="24"/>
        </w:rPr>
      </w:pPr>
      <w:r>
        <w:rPr>
          <w:rFonts w:cs="Calibri"/>
          <w:sz w:val="24"/>
          <w:szCs w:val="24"/>
        </w:rPr>
        <w:t>What else could you have done? Reflect on different approaches that could have been taken.</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Action Plan:</w:t>
      </w:r>
    </w:p>
    <w:p>
      <w:pPr>
        <w:pStyle w:val="style0"/>
        <w:autoSpaceDE w:val="false"/>
        <w:autoSpaceDN w:val="false"/>
        <w:adjustRightInd w:val="false"/>
        <w:spacing w:after="200" w:lineRule="auto" w:line="360"/>
        <w:jc w:val="both"/>
        <w:rPr>
          <w:rFonts w:cs="Calibri"/>
          <w:sz w:val="24"/>
          <w:szCs w:val="24"/>
        </w:rPr>
      </w:pPr>
      <w:r>
        <w:rPr>
          <w:rFonts w:cs="Calibri"/>
          <w:sz w:val="24"/>
          <w:szCs w:val="24"/>
        </w:rPr>
        <w:t>What would you do if it happened again? Develop strategies to enhance future responses to similar situations.</w:t>
      </w:r>
    </w:p>
    <w:p>
      <w:pPr>
        <w:pStyle w:val="style0"/>
        <w:autoSpaceDE w:val="false"/>
        <w:autoSpaceDN w:val="false"/>
        <w:adjustRightInd w:val="false"/>
        <w:spacing w:after="200" w:lineRule="auto" w:line="360"/>
        <w:jc w:val="both"/>
        <w:rPr>
          <w:rFonts w:cs="Calibri"/>
          <w:sz w:val="24"/>
          <w:szCs w:val="24"/>
        </w:rPr>
      </w:pPr>
      <w:r>
        <w:rPr>
          <w:rFonts w:cs="Calibri"/>
          <w:sz w:val="24"/>
          <w:szCs w:val="24"/>
        </w:rPr>
        <w:t>Using this cycle aids in transforming an ordinary experience into a learning opportunity, thus promoting continuous personal development (Rolfe et al., 2001).</w:t>
      </w:r>
    </w:p>
    <w:bookmarkStart w:id="2" w:name="_Toc164851838"/>
    <w:p>
      <w:pPr>
        <w:pStyle w:val="style1"/>
        <w:jc w:val="both"/>
        <w:rPr>
          <w:rFonts w:ascii="Calibri" w:cs="Calibri" w:hAnsi="Calibri"/>
          <w:b/>
        </w:rPr>
      </w:pPr>
      <w:r>
        <w:rPr>
          <w:rFonts w:ascii="Calibri" w:cs="Calibri" w:hAnsi="Calibri"/>
          <w:b/>
        </w:rPr>
        <w:t>Body</w:t>
      </w:r>
      <w:bookmarkEnd w:id="2"/>
    </w:p>
    <w:bookmarkStart w:id="3" w:name="_Toc164851839"/>
    <w:p>
      <w:pPr>
        <w:pStyle w:val="style1"/>
        <w:jc w:val="both"/>
        <w:rPr>
          <w:rFonts w:ascii="Calibri" w:cs="Calibri" w:hAnsi="Calibri"/>
          <w:b/>
        </w:rPr>
      </w:pPr>
      <w:r>
        <w:rPr>
          <w:rFonts w:ascii="Calibri" w:cs="Calibri" w:hAnsi="Calibri"/>
          <w:b/>
        </w:rPr>
        <w:t>Skill 1: Academic Writing Skills</w:t>
      </w:r>
      <w:bookmarkEnd w:id="3"/>
    </w:p>
    <w:p>
      <w:pPr>
        <w:pStyle w:val="style0"/>
        <w:rPr>
          <w:lang w:val="en-US"/>
        </w:rPr>
      </w:pPr>
    </w:p>
    <w:p>
      <w:pPr>
        <w:pStyle w:val="style0"/>
        <w:autoSpaceDE w:val="false"/>
        <w:autoSpaceDN w:val="false"/>
        <w:adjustRightInd w:val="false"/>
        <w:spacing w:after="200" w:lineRule="auto" w:line="360"/>
        <w:jc w:val="both"/>
        <w:rPr>
          <w:rFonts w:cs="Calibri"/>
          <w:sz w:val="24"/>
          <w:szCs w:val="24"/>
        </w:rPr>
      </w:pPr>
      <w:r>
        <w:rPr>
          <w:rFonts w:cs="Calibri"/>
          <w:sz w:val="24"/>
          <w:szCs w:val="24"/>
        </w:rPr>
        <w:t>During this module, several tasks were undertaken that required academic writing, such as preparing essays, research papers, and reflective journals. Each task demanded adherence to academic standards, proper structuring, and integration of research findings to support arguments (Chauhan, 2022).</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Feelings:</w:t>
      </w:r>
    </w:p>
    <w:p>
      <w:pPr>
        <w:pStyle w:val="style0"/>
        <w:autoSpaceDE w:val="false"/>
        <w:autoSpaceDN w:val="false"/>
        <w:adjustRightInd w:val="false"/>
        <w:spacing w:after="200" w:lineRule="auto" w:line="360"/>
        <w:jc w:val="both"/>
        <w:rPr>
          <w:rFonts w:cs="Calibri"/>
          <w:sz w:val="24"/>
          <w:szCs w:val="24"/>
        </w:rPr>
      </w:pPr>
      <w:r>
        <w:rPr>
          <w:rFonts w:cs="Calibri"/>
          <w:sz w:val="24"/>
          <w:szCs w:val="24"/>
        </w:rPr>
        <w:t>Initially, I felt overwhelmed by the strict requirements and complexities of academic writing. Over time, as I engaged more with the writing process and received feedback, my confidence grew. The satisfaction of articulating my thoughts clearly and effectively was profoundly motivating.</w:t>
      </w:r>
    </w:p>
    <w:p>
      <w:pPr>
        <w:pStyle w:val="style0"/>
        <w:autoSpaceDE w:val="false"/>
        <w:autoSpaceDN w:val="false"/>
        <w:adjustRightInd w:val="false"/>
        <w:spacing w:after="200" w:lineRule="auto" w:line="360"/>
        <w:jc w:val="both"/>
        <w:rPr>
          <w:rFonts w:cs="Calibri"/>
          <w:b/>
          <w:bCs/>
          <w:sz w:val="24"/>
          <w:szCs w:val="24"/>
        </w:rPr>
      </w:pPr>
      <w:r>
        <w:rPr>
          <w:rFonts w:cs="Calibri"/>
          <w:b/>
          <w:bCs/>
          <w:sz w:val="24"/>
          <w:szCs w:val="24"/>
        </w:rPr>
        <w:t>Evaluation:</w:t>
      </w:r>
    </w:p>
    <w:p>
      <w:pPr>
        <w:pStyle w:val="style0"/>
        <w:spacing w:after="0" w:lineRule="auto" w:line="360"/>
        <w:jc w:val="both"/>
        <w:rPr>
          <w:rFonts w:cs="Calibri" w:eastAsia="Times New Roman"/>
          <w:sz w:val="24"/>
          <w:szCs w:val="24"/>
          <w:lang w:eastAsia="en-GB"/>
        </w:rPr>
      </w:pPr>
      <w:r>
        <w:rPr>
          <w:rFonts w:cs="Calibri" w:eastAsia="Times New Roman"/>
          <w:sz w:val="24"/>
          <w:szCs w:val="24"/>
          <w:lang w:eastAsia="en-GB"/>
        </w:rPr>
        <w:t>My first attempts at academic writing were difficult, but my classmates and professors' comments were helpful. This experience greatly improved my thesis statements and reasoning. My writing improved when I used academic tactics and approaches (Johnstone et al., 2002). My writing reflected this transformation.</w:t>
      </w:r>
    </w:p>
    <w:p>
      <w:pPr>
        <w:pStyle w:val="style0"/>
        <w:spacing w:after="0" w:lineRule="auto" w:line="360"/>
        <w:jc w:val="both"/>
        <w:rPr>
          <w:rFonts w:cs="Calibri" w:eastAsia="Times New Roman"/>
          <w:sz w:val="24"/>
          <w:szCs w:val="24"/>
          <w:lang w:eastAsia="en-GB"/>
        </w:rPr>
      </w:pPr>
    </w:p>
    <w:p>
      <w:pPr>
        <w:pStyle w:val="style0"/>
        <w:autoSpaceDE w:val="false"/>
        <w:autoSpaceDN w:val="false"/>
        <w:adjustRightInd w:val="false"/>
        <w:spacing w:after="200" w:lineRule="auto" w:line="360"/>
        <w:jc w:val="both"/>
        <w:rPr>
          <w:rFonts w:cs="Calibri"/>
          <w:b/>
          <w:bCs/>
          <w:sz w:val="24"/>
          <w:szCs w:val="24"/>
        </w:rPr>
      </w:pPr>
      <w:r>
        <w:rPr>
          <w:rFonts w:cs="Calibri"/>
          <w:b/>
          <w:bCs/>
          <w:sz w:val="24"/>
          <w:szCs w:val="24"/>
        </w:rPr>
        <w:t>Analysis:</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Through the assignments, I learned the importance of language and clarity in academic writing. Reading a variety of academic genres and writing extensive evaluations helped me think critically and debate persuasively. This improved my literary comprehension and evaluation. While reflecting on these experiences, I realised I might enhance my source utilisation and evidence-based writing (Swales and Feak, 2004).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Conclusion:</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Throughout the training, I developed my academic writing abilities. I learned that writing requires planning, outlining, revising, and editing. This is how I've learned to approach things. This development was impacted by feedback loops and the application of academic material to actual writing projects.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Action Plan:</w:t>
      </w:r>
    </w:p>
    <w:bookmarkStart w:id="4" w:name="_Toc164851840"/>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I want to participate in peer review sessions and read more academic material to improve my academic writing. Both of these are my plans. My ongoing plan will be to constantly implement feedback and focus on the areas indicated as needing improvement after this reflective process. </w:t>
      </w:r>
      <w:r>
        <w:rPr>
          <w:rFonts w:cs="Calibri" w:eastAsia="Times New Roman"/>
          <w:sz w:val="24"/>
          <w:szCs w:val="24"/>
          <w:lang w:eastAsia="en-GB"/>
        </w:rPr>
        <w:br/>
      </w:r>
    </w:p>
    <w:p>
      <w:pPr>
        <w:pStyle w:val="style1"/>
        <w:jc w:val="both"/>
        <w:rPr>
          <w:rFonts w:ascii="Calibri" w:cs="Calibri" w:hAnsi="Calibri"/>
          <w:b/>
        </w:rPr>
      </w:pPr>
      <w:r>
        <w:rPr>
          <w:rFonts w:ascii="Calibri" w:cs="Calibri" w:hAnsi="Calibri"/>
          <w:b/>
        </w:rPr>
        <w:t>Skill 2: Research Skills</w:t>
      </w:r>
      <w:bookmarkEnd w:id="4"/>
    </w:p>
    <w:p>
      <w:pPr>
        <w:pStyle w:val="style0"/>
        <w:rPr>
          <w:lang w:val="en-US"/>
        </w:rPr>
      </w:pP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A wide range of research projects and general activities were among the things that I participated in over the length of the study. performing testing, performing literature research, collecting data, and conducting analysis were all actions that were covered in these tasks. These projects required me to access databases, frame research questions, and use methodological methods in order to obtain and assess data (Lee et al., 2020). As a consequence of these projects, my comprehension of the research environment was strengthened, and I was able to better comprehend the environment in which research is conducted. By completing the assignments, I was able to considerably improve my grasp of the research environment.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Feelings:</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Research was challenging, exciting, and </w:t>
      </w:r>
      <w:r>
        <w:rPr>
          <w:rFonts w:cs="Calibri" w:eastAsia="Times New Roman"/>
          <w:sz w:val="24"/>
          <w:szCs w:val="24"/>
          <w:lang w:eastAsia="en-GB"/>
        </w:rPr>
        <w:t>labor-intensive</w:t>
      </w:r>
      <w:r>
        <w:rPr>
          <w:rFonts w:cs="Calibri" w:eastAsia="Times New Roman"/>
          <w:sz w:val="24"/>
          <w:szCs w:val="24"/>
          <w:lang w:eastAsia="en-GB"/>
        </w:rPr>
        <w:t xml:space="preserve">. Investigating scholarly resources seems daunting, and designing tests seemed like an enormous undertaking. But as I became better, I got more enthusiastic about learning new things and making the connections between theory and practice.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Evaluation:</w:t>
      </w:r>
    </w:p>
    <w:p>
      <w:pPr>
        <w:pStyle w:val="style0"/>
        <w:autoSpaceDE w:val="false"/>
        <w:autoSpaceDN w:val="false"/>
        <w:adjustRightInd w:val="false"/>
        <w:spacing w:after="200" w:lineRule="auto" w:line="360"/>
        <w:jc w:val="both"/>
        <w:rPr>
          <w:rFonts w:cs="Calibri"/>
          <w:sz w:val="24"/>
          <w:szCs w:val="24"/>
        </w:rPr>
      </w:pPr>
      <w:r>
        <w:rPr>
          <w:rFonts w:cs="Calibri"/>
          <w:sz w:val="24"/>
          <w:szCs w:val="24"/>
        </w:rPr>
        <w:t>Among the many benefits of my research methodology are its thorough data analysis and strong analytical framework. Nevertheless, there were times when it was uncertain how to build the original idea and choose the issue. To enhance these areas, input from peers and instructors was crucial.</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Analysis:</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These study projects have really improved my ability to think critically and solve problems. I learned the importance of having a clear methodology and how careful data analysis impacts study validity from this assignment. According to </w:t>
      </w:r>
      <w:r>
        <w:rPr>
          <w:rFonts w:cs="Calibri" w:eastAsia="Times New Roman"/>
          <w:sz w:val="24"/>
          <w:szCs w:val="24"/>
          <w:lang w:eastAsia="en-GB"/>
        </w:rPr>
        <w:t>Gyuris</w:t>
      </w:r>
      <w:r>
        <w:rPr>
          <w:rFonts w:cs="Calibri" w:eastAsia="Times New Roman"/>
          <w:sz w:val="24"/>
          <w:szCs w:val="24"/>
          <w:lang w:eastAsia="en-GB"/>
        </w:rPr>
        <w:t xml:space="preserve"> (2018), these experiences highlighted the need for ongoing learning and adaptation in research methodologies.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Conclusion:</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Through this experience, I have learned that conducting quality research involves more than just gathering data; it also calls for well-chosen questions and appropriate techniques. Ethical concerns and unambiguous study results were also covered.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Action Plan:</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To strengthen my research abilities, I wish to enrol in classes on advanced research methodology and statistical analysis. I'll also hunt for joint research projects. Through these initiatives, I will get practical experience and insights from more seasoned researchers, which will boost my confidence in doing my own research. </w:t>
      </w:r>
    </w:p>
    <w:bookmarkStart w:id="5" w:name="_Toc164851841"/>
    <w:p>
      <w:pPr>
        <w:pStyle w:val="style1"/>
        <w:jc w:val="both"/>
        <w:rPr>
          <w:rFonts w:ascii="Calibri" w:cs="Calibri" w:hAnsi="Calibri"/>
          <w:b/>
        </w:rPr>
      </w:pPr>
      <w:r>
        <w:rPr>
          <w:rFonts w:ascii="Calibri" w:cs="Calibri" w:hAnsi="Calibri"/>
          <w:b/>
        </w:rPr>
        <w:t>Skill 3: Referencing Skills</w:t>
      </w:r>
      <w:bookmarkEnd w:id="5"/>
    </w:p>
    <w:p>
      <w:pPr>
        <w:pStyle w:val="style0"/>
        <w:rPr>
          <w:lang w:val="en-US"/>
        </w:rPr>
      </w:pP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Throughout the semester, I completed essays, reports, and presentations using my reference skills. For every assignment, APA and Harvard reference styles were essential. This was done to properly credit book reviews, journal papers, and websites. Neville (2016) stated that appropriate citations were essential to prove the study and support the viewpoints offered.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Feelings:</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Learning to understand the intricacy of the reference systems was difficult at first. The fear of plagiarism increased the stress. However, learning about the relative relevance of citation components increased my self-confidence. The tough yet rewarding approach of academic writing highlighted the need for recognition where credit is due.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Evaluation:</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I made good progress satisfying reference standards during the sessions. I first struggled with page numbers and author name formatting. The details were hard to get correctly. However, teacher criticism and citation tools helped me considerably increase my reference accuracy.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Analysis:</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My academic honesty knowledge has enhanced because to this practice. Significant impact. In addition to academic ethics, it was shown that acknowledging others' contributions must be transparent and honest. Singh and colleagues' 2020 study found that proper referencing prevents plagiarism and shows respect for others' intellectual property, which boosts one's own credibility.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Conclusion:</w:t>
      </w: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After considerable consideration, I concluded that reference is not just a protocol-compliant task but also an essential academic activity that develops the research community. The idea of academic honesty and integrity requires proper credit allocation, which it does. My talents have given me the tools to responsibly traverse academia. </w:t>
      </w:r>
    </w:p>
    <w:p>
      <w:pPr>
        <w:pStyle w:val="style0"/>
        <w:autoSpaceDE w:val="false"/>
        <w:autoSpaceDN w:val="false"/>
        <w:adjustRightInd w:val="false"/>
        <w:spacing w:after="200" w:lineRule="auto" w:line="360"/>
        <w:jc w:val="both"/>
        <w:rPr>
          <w:rFonts w:cs="Calibri"/>
          <w:sz w:val="24"/>
          <w:szCs w:val="24"/>
        </w:rPr>
      </w:pPr>
      <w:r>
        <w:rPr>
          <w:rFonts w:cs="Calibri"/>
          <w:b/>
          <w:bCs/>
          <w:sz w:val="24"/>
          <w:szCs w:val="24"/>
        </w:rPr>
        <w:t>Action Plan:</w:t>
      </w:r>
    </w:p>
    <w:bookmarkStart w:id="6" w:name="_Toc164851842"/>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I want to use reference management software to ensure my references are correct and stay current on the rules for referencing style to improve my referencing skills. Additionally, I will enrol in training on advanced reference strategies to maintain my skills and efficiency. </w:t>
      </w:r>
    </w:p>
    <w:p>
      <w:pPr>
        <w:pStyle w:val="style1"/>
        <w:jc w:val="both"/>
        <w:rPr>
          <w:rFonts w:ascii="Calibri" w:cs="Calibri" w:hAnsi="Calibri"/>
          <w:b/>
        </w:rPr>
      </w:pPr>
      <w:r>
        <w:rPr>
          <w:rFonts w:ascii="Calibri" w:cs="Calibri" w:hAnsi="Calibri"/>
          <w:b/>
        </w:rPr>
        <w:t>Conclusion</w:t>
      </w:r>
      <w:bookmarkEnd w:id="6"/>
    </w:p>
    <w:p>
      <w:pPr>
        <w:pStyle w:val="style0"/>
        <w:rPr>
          <w:lang w:val="en-US"/>
        </w:rPr>
      </w:pPr>
    </w:p>
    <w:p>
      <w:pPr>
        <w:pStyle w:val="style0"/>
        <w:spacing w:after="240" w:lineRule="auto" w:line="360"/>
        <w:jc w:val="both"/>
        <w:rPr>
          <w:rFonts w:cs="Calibri" w:eastAsia="Times New Roman"/>
          <w:sz w:val="24"/>
          <w:szCs w:val="24"/>
          <w:lang w:eastAsia="en-GB"/>
        </w:rPr>
      </w:pPr>
      <w:r>
        <w:rPr>
          <w:rFonts w:cs="Calibri" w:eastAsia="Times New Roman"/>
          <w:sz w:val="24"/>
          <w:szCs w:val="24"/>
          <w:lang w:eastAsia="en-GB"/>
        </w:rPr>
        <w:t xml:space="preserve">Academic writing, research, and reference have been my main focus throughout my reflective report. I've done this throughout the report. Effective communication, rigorous research, and ethical scholarship were based on module-specific activities. These skills were refined through module-specific assignments. The learning adventure has transformed my cerebral growth. The methodical approach to improving these skills has helped me get better at each one and understand the nuances of academic paper writing. This curriculum improved my ability to express concepts clearly, undertake systematic research, and properly cite stuff. </w:t>
      </w:r>
      <w:r>
        <w:rPr>
          <w:rFonts w:cs="Calibri" w:eastAsia="Times New Roman"/>
          <w:sz w:val="24"/>
          <w:szCs w:val="24"/>
          <w:lang w:eastAsia="en-GB"/>
        </w:rPr>
        <w:br/>
      </w:r>
      <w:r>
        <w:rPr>
          <w:rFonts w:cs="Calibri" w:eastAsia="Times New Roman"/>
          <w:sz w:val="24"/>
          <w:szCs w:val="24"/>
          <w:lang w:eastAsia="en-GB"/>
        </w:rPr>
        <w:t xml:space="preserve">My academic and professional goals depend on the skills I've mastered. I learned these skills throughout time. Academic writing abilities help create engaging and informative papers and presentations. By improving my research skills, I can handle professional problems methodically and provide strong, well-supported responses. In conclusion, excellent reference skills will ensure my work's integrity and authenticity, which are crucial in any professional setting. </w:t>
      </w:r>
      <w:r>
        <w:rPr>
          <w:rFonts w:cs="Calibri" w:eastAsia="Times New Roman"/>
          <w:sz w:val="24"/>
          <w:szCs w:val="24"/>
          <w:lang w:eastAsia="en-GB"/>
        </w:rPr>
        <w:br/>
      </w:r>
    </w:p>
    <w:p>
      <w:pPr>
        <w:pStyle w:val="style0"/>
        <w:autoSpaceDE w:val="false"/>
        <w:autoSpaceDN w:val="false"/>
        <w:adjustRightInd w:val="false"/>
        <w:spacing w:after="200" w:lineRule="auto" w:line="360"/>
        <w:jc w:val="both"/>
        <w:rPr>
          <w:rFonts w:cs="Calibri"/>
          <w:sz w:val="24"/>
          <w:szCs w:val="24"/>
        </w:rPr>
      </w:pPr>
    </w:p>
    <w:p>
      <w:pPr>
        <w:pStyle w:val="style0"/>
        <w:autoSpaceDE w:val="false"/>
        <w:autoSpaceDN w:val="false"/>
        <w:adjustRightInd w:val="false"/>
        <w:spacing w:after="200" w:lineRule="auto" w:line="360"/>
        <w:jc w:val="both"/>
        <w:rPr>
          <w:rFonts w:cs="Calibri"/>
          <w:sz w:val="24"/>
          <w:szCs w:val="24"/>
        </w:rPr>
      </w:pPr>
    </w:p>
    <w:p>
      <w:pPr>
        <w:pStyle w:val="style0"/>
        <w:autoSpaceDE w:val="false"/>
        <w:autoSpaceDN w:val="false"/>
        <w:adjustRightInd w:val="false"/>
        <w:spacing w:after="200" w:lineRule="auto" w:line="360"/>
        <w:jc w:val="both"/>
        <w:rPr>
          <w:rFonts w:cs="Calibri"/>
          <w:sz w:val="24"/>
          <w:szCs w:val="24"/>
        </w:rPr>
      </w:pPr>
    </w:p>
    <w:p>
      <w:pPr>
        <w:pStyle w:val="style0"/>
        <w:autoSpaceDE w:val="false"/>
        <w:autoSpaceDN w:val="false"/>
        <w:adjustRightInd w:val="false"/>
        <w:spacing w:after="200" w:lineRule="auto" w:line="360"/>
        <w:jc w:val="both"/>
        <w:rPr>
          <w:rFonts w:cs="Calibri"/>
          <w:sz w:val="24"/>
          <w:szCs w:val="24"/>
        </w:rPr>
      </w:pPr>
    </w:p>
    <w:p>
      <w:pPr>
        <w:pStyle w:val="style0"/>
        <w:autoSpaceDE w:val="false"/>
        <w:autoSpaceDN w:val="false"/>
        <w:adjustRightInd w:val="false"/>
        <w:spacing w:after="200" w:lineRule="auto" w:line="360"/>
        <w:jc w:val="both"/>
        <w:rPr>
          <w:rFonts w:cs="Calibri"/>
          <w:sz w:val="24"/>
          <w:szCs w:val="24"/>
        </w:rPr>
      </w:pPr>
    </w:p>
    <w:bookmarkStart w:id="7" w:name="_GoBack"/>
    <w:bookmarkEnd w:id="7"/>
    <w:p>
      <w:pPr>
        <w:pStyle w:val="style0"/>
        <w:autoSpaceDE w:val="false"/>
        <w:autoSpaceDN w:val="false"/>
        <w:adjustRightInd w:val="false"/>
        <w:spacing w:after="200" w:lineRule="auto" w:line="360"/>
        <w:jc w:val="both"/>
        <w:rPr>
          <w:rFonts w:cs="Calibri"/>
          <w:sz w:val="24"/>
          <w:szCs w:val="24"/>
        </w:rPr>
      </w:pPr>
    </w:p>
    <w:bookmarkStart w:id="8" w:name="_Toc164851843"/>
    <w:p>
      <w:pPr>
        <w:pStyle w:val="style1"/>
        <w:rPr>
          <w:rFonts w:ascii="Calibri" w:cs="Calibri" w:hAnsi="Calibri"/>
          <w:b/>
          <w:color w:val="000000"/>
        </w:rPr>
      </w:pPr>
      <w:r>
        <w:rPr>
          <w:rFonts w:ascii="Calibri" w:cs="Calibri" w:hAnsi="Calibri"/>
          <w:b/>
          <w:color w:val="000000"/>
        </w:rPr>
        <w:t>References:</w:t>
      </w:r>
      <w:bookmarkEnd w:id="8"/>
    </w:p>
    <w:p>
      <w:pPr>
        <w:pStyle w:val="style0"/>
        <w:numPr>
          <w:ilvl w:val="0"/>
          <w:numId w:val="2"/>
        </w:numPr>
        <w:autoSpaceDE w:val="false"/>
        <w:autoSpaceDN w:val="false"/>
        <w:adjustRightInd w:val="false"/>
        <w:spacing w:after="200" w:lineRule="auto" w:line="360"/>
        <w:ind w:left="720" w:hanging="360"/>
        <w:rPr>
          <w:rFonts w:ascii="Calibri" w:cs="Calibri" w:hAnsi="Calibri"/>
          <w:sz w:val="24"/>
        </w:rPr>
      </w:pPr>
      <w:r>
        <w:rPr>
          <w:rFonts w:ascii="Calibri" w:cs="Calibri" w:hAnsi="Calibri"/>
          <w:sz w:val="24"/>
        </w:rPr>
        <w:t xml:space="preserve">Rolfe, G., Freshwater, D. and Jasper, M. (2001). Critical Reflection for Nursing and the Helping Professions a User’s Guide. [online] </w:t>
      </w:r>
      <w:r>
        <w:rPr>
          <w:rFonts w:ascii="Calibri" w:cs="Calibri" w:hAnsi="Calibri"/>
          <w:sz w:val="24"/>
        </w:rPr>
        <w:t>PhilPapers</w:t>
      </w:r>
      <w:r>
        <w:rPr>
          <w:rFonts w:ascii="Calibri" w:cs="Calibri" w:hAnsi="Calibri"/>
          <w:sz w:val="24"/>
        </w:rPr>
        <w:t xml:space="preserve">. Available at: </w:t>
      </w:r>
      <w:r>
        <w:rPr/>
        <w:fldChar w:fldCharType="begin"/>
      </w:r>
      <w:r>
        <w:instrText xml:space="preserve"> HYPERLINK "https://philpapers.org/rec/ROLCRF" </w:instrText>
      </w:r>
      <w:r>
        <w:rPr/>
        <w:fldChar w:fldCharType="separate"/>
      </w:r>
      <w:r>
        <w:rPr>
          <w:rFonts w:ascii="Calibri" w:cs="Calibri" w:hAnsi="Calibri"/>
          <w:sz w:val="24"/>
        </w:rPr>
        <w:t>https://philpapers.org/rec/ROLCRF</w:t>
      </w:r>
      <w:r>
        <w:rPr/>
        <w:fldChar w:fldCharType="end"/>
      </w:r>
      <w:r>
        <w:rPr>
          <w:rFonts w:ascii="Calibri" w:cs="Calibri" w:hAnsi="Calibri"/>
          <w:sz w:val="24"/>
        </w:rPr>
        <w:t>.</w:t>
      </w:r>
    </w:p>
    <w:p>
      <w:pPr>
        <w:pStyle w:val="style0"/>
        <w:numPr>
          <w:ilvl w:val="0"/>
          <w:numId w:val="2"/>
        </w:numPr>
        <w:autoSpaceDE w:val="false"/>
        <w:autoSpaceDN w:val="false"/>
        <w:adjustRightInd w:val="false"/>
        <w:spacing w:after="200" w:lineRule="auto" w:line="360"/>
        <w:ind w:left="720" w:hanging="360"/>
        <w:rPr>
          <w:rFonts w:ascii="Calibri" w:cs="Calibri" w:hAnsi="Calibri"/>
          <w:sz w:val="24"/>
        </w:rPr>
      </w:pPr>
      <w:r>
        <w:rPr>
          <w:rFonts w:ascii="Calibri" w:cs="Calibri" w:hAnsi="Calibri"/>
          <w:sz w:val="24"/>
        </w:rPr>
        <w:t xml:space="preserve">Van Beveren, L., </w:t>
      </w:r>
      <w:r>
        <w:rPr>
          <w:rFonts w:ascii="Calibri" w:cs="Calibri" w:hAnsi="Calibri"/>
          <w:sz w:val="24"/>
        </w:rPr>
        <w:t>Roets</w:t>
      </w:r>
      <w:r>
        <w:rPr>
          <w:rFonts w:ascii="Calibri" w:cs="Calibri" w:hAnsi="Calibri"/>
          <w:sz w:val="24"/>
        </w:rPr>
        <w:t xml:space="preserve">, G., </w:t>
      </w:r>
      <w:r>
        <w:rPr>
          <w:rFonts w:ascii="Calibri" w:cs="Calibri" w:hAnsi="Calibri"/>
          <w:sz w:val="24"/>
        </w:rPr>
        <w:t>Buysse</w:t>
      </w:r>
      <w:r>
        <w:rPr>
          <w:rFonts w:ascii="Calibri" w:cs="Calibri" w:hAnsi="Calibri"/>
          <w:sz w:val="24"/>
        </w:rPr>
        <w:t xml:space="preserve">, A. and Rutten, K. (2018). We all reflect, but why? A systematic review of the purposes of reflection in higher education in social and </w:t>
      </w:r>
      <w:r>
        <w:rPr>
          <w:rFonts w:ascii="Calibri" w:cs="Calibri" w:hAnsi="Calibri"/>
          <w:sz w:val="24"/>
        </w:rPr>
        <w:t>behavioral</w:t>
      </w:r>
      <w:r>
        <w:rPr>
          <w:rFonts w:ascii="Calibri" w:cs="Calibri" w:hAnsi="Calibri"/>
          <w:sz w:val="24"/>
        </w:rPr>
        <w:t xml:space="preserve"> sciences. Educational Research Review, [online] 24, pp.1–9. </w:t>
      </w:r>
      <w:r>
        <w:rPr>
          <w:rFonts w:ascii="Calibri" w:cs="Calibri" w:hAnsi="Calibri"/>
          <w:sz w:val="24"/>
        </w:rPr>
        <w:t>doi:https</w:t>
      </w:r>
      <w:r>
        <w:rPr>
          <w:rFonts w:ascii="Calibri" w:cs="Calibri" w:hAnsi="Calibri"/>
          <w:sz w:val="24"/>
        </w:rPr>
        <w:t>://doi.org/10.1016/j.edurev.2018.01.002</w:t>
      </w:r>
      <w:r>
        <w:rPr>
          <w:rFonts w:ascii="Calibri" w:cs="Calibri" w:hAnsi="Calibri"/>
          <w:sz w:val="24"/>
        </w:rPr>
        <w:t>.</w:t>
      </w:r>
    </w:p>
    <w:p>
      <w:pPr>
        <w:pStyle w:val="style0"/>
        <w:numPr>
          <w:ilvl w:val="0"/>
          <w:numId w:val="2"/>
        </w:numPr>
        <w:autoSpaceDE w:val="false"/>
        <w:autoSpaceDN w:val="false"/>
        <w:adjustRightInd w:val="false"/>
        <w:spacing w:after="200" w:lineRule="auto" w:line="360"/>
        <w:ind w:left="720" w:hanging="360"/>
        <w:rPr>
          <w:rFonts w:ascii="Calibri" w:cs="Calibri" w:hAnsi="Calibri"/>
          <w:sz w:val="24"/>
        </w:rPr>
      </w:pPr>
      <w:r>
        <w:rPr>
          <w:rFonts w:ascii="Calibri" w:cs="Calibri" w:hAnsi="Calibri"/>
          <w:sz w:val="24"/>
        </w:rPr>
        <w:t xml:space="preserve">Chauhan, P. (2022). Fundamentals of Academic Writing: A Literature Review. Journal of NELTA, 27(1-2), pp.161–180. </w:t>
      </w:r>
      <w:r>
        <w:rPr>
          <w:rFonts w:ascii="Calibri" w:cs="Calibri" w:hAnsi="Calibri"/>
          <w:sz w:val="24"/>
        </w:rPr>
        <w:t>doi:https</w:t>
      </w:r>
      <w:r>
        <w:rPr>
          <w:rFonts w:ascii="Calibri" w:cs="Calibri" w:hAnsi="Calibri"/>
          <w:sz w:val="24"/>
        </w:rPr>
        <w:t>://doi.org/10.3126/nelta.v27i1-2.53201</w:t>
      </w:r>
      <w:r>
        <w:rPr>
          <w:rFonts w:ascii="Calibri" w:cs="Calibri" w:hAnsi="Calibri"/>
          <w:sz w:val="24"/>
        </w:rPr>
        <w:t>.</w:t>
      </w:r>
    </w:p>
    <w:p>
      <w:pPr>
        <w:pStyle w:val="style0"/>
        <w:numPr>
          <w:ilvl w:val="0"/>
          <w:numId w:val="2"/>
        </w:numPr>
        <w:autoSpaceDE w:val="false"/>
        <w:autoSpaceDN w:val="false"/>
        <w:adjustRightInd w:val="false"/>
        <w:spacing w:after="200" w:lineRule="auto" w:line="360"/>
        <w:ind w:left="720" w:hanging="360"/>
        <w:rPr>
          <w:rFonts w:ascii="Calibri" w:cs="Calibri" w:hAnsi="Calibri"/>
          <w:sz w:val="24"/>
        </w:rPr>
      </w:pPr>
      <w:r>
        <w:rPr>
          <w:rFonts w:ascii="Calibri" w:cs="Calibri" w:hAnsi="Calibri"/>
          <w:sz w:val="24"/>
        </w:rPr>
        <w:t xml:space="preserve">Johnstone, K.M., Ashbaugh, H. and Warfield, T.D. (2002). Effects of repeated practice and contextual-writing experiences on college students’ writing skills. Journal of Educational Psychology, 94(2), pp.305–315. </w:t>
      </w:r>
      <w:r>
        <w:rPr>
          <w:rFonts w:ascii="Calibri" w:cs="Calibri" w:hAnsi="Calibri"/>
          <w:sz w:val="24"/>
        </w:rPr>
        <w:t>doi:https</w:t>
      </w:r>
      <w:r>
        <w:rPr>
          <w:rFonts w:ascii="Calibri" w:cs="Calibri" w:hAnsi="Calibri"/>
          <w:sz w:val="24"/>
        </w:rPr>
        <w:t>://doi.org/10.1037/0022-0663.94.2.305</w:t>
      </w:r>
      <w:r>
        <w:rPr>
          <w:rFonts w:ascii="Calibri" w:cs="Calibri" w:hAnsi="Calibri"/>
          <w:sz w:val="24"/>
        </w:rPr>
        <w:t>.</w:t>
      </w:r>
    </w:p>
    <w:p>
      <w:pPr>
        <w:pStyle w:val="style0"/>
        <w:numPr>
          <w:ilvl w:val="0"/>
          <w:numId w:val="2"/>
        </w:numPr>
        <w:autoSpaceDE w:val="false"/>
        <w:autoSpaceDN w:val="false"/>
        <w:adjustRightInd w:val="false"/>
        <w:spacing w:after="200" w:lineRule="auto" w:line="360"/>
        <w:ind w:left="720" w:hanging="360"/>
        <w:rPr>
          <w:rFonts w:ascii="Calibri" w:cs="Calibri" w:hAnsi="Calibri"/>
          <w:sz w:val="24"/>
        </w:rPr>
      </w:pPr>
      <w:r>
        <w:rPr>
          <w:rFonts w:ascii="Calibri" w:cs="Calibri" w:hAnsi="Calibri"/>
          <w:sz w:val="24"/>
        </w:rPr>
        <w:t>Swales, J.M. and Feak, C.B., 2004. Academic writing for graduate students: Essential tasks and skills (Vol. 1). Ann Arbor, MI: University of Michigan Press.</w:t>
      </w:r>
    </w:p>
    <w:p>
      <w:pPr>
        <w:pStyle w:val="style0"/>
        <w:numPr>
          <w:ilvl w:val="0"/>
          <w:numId w:val="2"/>
        </w:numPr>
        <w:autoSpaceDE w:val="false"/>
        <w:autoSpaceDN w:val="false"/>
        <w:adjustRightInd w:val="false"/>
        <w:spacing w:after="200" w:lineRule="auto" w:line="360"/>
        <w:ind w:left="720" w:hanging="360"/>
        <w:rPr>
          <w:rFonts w:ascii="Calibri" w:cs="Calibri" w:hAnsi="Calibri"/>
          <w:sz w:val="24"/>
        </w:rPr>
      </w:pPr>
      <w:r>
        <w:rPr>
          <w:rFonts w:ascii="Calibri" w:cs="Calibri" w:hAnsi="Calibri"/>
          <w:sz w:val="24"/>
        </w:rPr>
        <w:t>Gyuris</w:t>
      </w:r>
      <w:r>
        <w:rPr>
          <w:rFonts w:ascii="Calibri" w:cs="Calibri" w:hAnsi="Calibri"/>
          <w:sz w:val="24"/>
        </w:rPr>
        <w:t xml:space="preserve">, E. (2018). Evaluating the effectiveness of postgraduate research skills training and its alignment with the Research Skill Development framework. Journal of University Teaching and Learning Practice, 15(4), pp.75–89. </w:t>
      </w:r>
      <w:r>
        <w:rPr>
          <w:rFonts w:ascii="Calibri" w:cs="Calibri" w:hAnsi="Calibri"/>
          <w:sz w:val="24"/>
        </w:rPr>
        <w:t>doi:https</w:t>
      </w:r>
      <w:r>
        <w:rPr>
          <w:rFonts w:ascii="Calibri" w:cs="Calibri" w:hAnsi="Calibri"/>
          <w:sz w:val="24"/>
        </w:rPr>
        <w:t>://doi.org/10.53761/1.15.4.5</w:t>
      </w:r>
      <w:r>
        <w:rPr>
          <w:rFonts w:ascii="Calibri" w:cs="Calibri" w:hAnsi="Calibri"/>
          <w:sz w:val="24"/>
        </w:rPr>
        <w:t>.</w:t>
      </w:r>
    </w:p>
    <w:p>
      <w:pPr>
        <w:pStyle w:val="style0"/>
        <w:numPr>
          <w:ilvl w:val="0"/>
          <w:numId w:val="2"/>
        </w:numPr>
        <w:autoSpaceDE w:val="false"/>
        <w:autoSpaceDN w:val="false"/>
        <w:adjustRightInd w:val="false"/>
        <w:spacing w:after="200" w:lineRule="auto" w:line="360"/>
        <w:ind w:left="720" w:hanging="360"/>
        <w:rPr>
          <w:rFonts w:ascii="Calibri" w:cs="Calibri" w:hAnsi="Calibri"/>
          <w:sz w:val="24"/>
        </w:rPr>
      </w:pPr>
      <w:r>
        <w:rPr>
          <w:rFonts w:ascii="Calibri" w:cs="Calibri" w:hAnsi="Calibri"/>
          <w:sz w:val="24"/>
        </w:rPr>
        <w:t xml:space="preserve">Lee, M.G.Y., Hu, W.C.Y. and </w:t>
      </w:r>
      <w:r>
        <w:rPr>
          <w:rFonts w:ascii="Calibri" w:cs="Calibri" w:hAnsi="Calibri"/>
          <w:sz w:val="24"/>
        </w:rPr>
        <w:t>Bilszta</w:t>
      </w:r>
      <w:r>
        <w:rPr>
          <w:rFonts w:ascii="Calibri" w:cs="Calibri" w:hAnsi="Calibri"/>
          <w:sz w:val="24"/>
        </w:rPr>
        <w:t xml:space="preserve">, J.L.C. (2020). Determining Expected Research Skills of Medical Students on Graduation: </w:t>
      </w:r>
      <w:r>
        <w:rPr>
          <w:rFonts w:ascii="Calibri" w:cs="Calibri" w:hAnsi="Calibri"/>
          <w:sz w:val="24"/>
        </w:rPr>
        <w:t>a</w:t>
      </w:r>
      <w:r>
        <w:rPr>
          <w:rFonts w:ascii="Calibri" w:cs="Calibri" w:hAnsi="Calibri"/>
          <w:sz w:val="24"/>
        </w:rPr>
        <w:t xml:space="preserve"> Systematic Review. Medical Science Educator, 30(4), pp.1465–1479. </w:t>
      </w:r>
      <w:r>
        <w:rPr>
          <w:rFonts w:ascii="Calibri" w:cs="Calibri" w:hAnsi="Calibri"/>
          <w:sz w:val="24"/>
        </w:rPr>
        <w:t>doi:https</w:t>
      </w:r>
      <w:r>
        <w:rPr>
          <w:rFonts w:ascii="Calibri" w:cs="Calibri" w:hAnsi="Calibri"/>
          <w:sz w:val="24"/>
        </w:rPr>
        <w:t>://doi.org/10.1007/s40670-020-01059-z</w:t>
      </w:r>
      <w:r>
        <w:rPr>
          <w:rFonts w:ascii="Calibri" w:cs="Calibri" w:hAnsi="Calibri"/>
          <w:sz w:val="24"/>
        </w:rPr>
        <w:t>.</w:t>
      </w:r>
    </w:p>
    <w:p>
      <w:pPr>
        <w:pStyle w:val="style0"/>
        <w:numPr>
          <w:ilvl w:val="0"/>
          <w:numId w:val="2"/>
        </w:numPr>
        <w:autoSpaceDE w:val="false"/>
        <w:autoSpaceDN w:val="false"/>
        <w:adjustRightInd w:val="false"/>
        <w:spacing w:after="200" w:lineRule="auto" w:line="360"/>
        <w:ind w:left="720" w:hanging="360"/>
        <w:rPr>
          <w:rFonts w:ascii="Calibri" w:cs="Calibri" w:hAnsi="Calibri"/>
          <w:sz w:val="24"/>
        </w:rPr>
      </w:pPr>
      <w:r>
        <w:rPr>
          <w:rFonts w:ascii="Calibri" w:cs="Calibri" w:hAnsi="Calibri"/>
          <w:sz w:val="24"/>
        </w:rPr>
        <w:t>Neville, C., 2016. The complete guide to referencing and avoiding plagiarism. McGraw-Hill Education (UK).</w:t>
      </w:r>
    </w:p>
    <w:p>
      <w:pPr>
        <w:pStyle w:val="style0"/>
        <w:numPr>
          <w:ilvl w:val="0"/>
          <w:numId w:val="2"/>
        </w:numPr>
        <w:autoSpaceDE w:val="false"/>
        <w:autoSpaceDN w:val="false"/>
        <w:adjustRightInd w:val="false"/>
        <w:spacing w:after="200" w:lineRule="auto" w:line="360"/>
        <w:ind w:left="720" w:hanging="360"/>
        <w:rPr>
          <w:rFonts w:ascii="Calibri" w:cs="Calibri" w:hAnsi="Calibri"/>
          <w:sz w:val="24"/>
        </w:rPr>
      </w:pPr>
      <w:r>
        <w:rPr>
          <w:rFonts w:ascii="Calibri" w:cs="Calibri" w:hAnsi="Calibri"/>
          <w:sz w:val="24"/>
        </w:rPr>
        <w:t xml:space="preserve">Singh, D., Steenkamp, M., </w:t>
      </w:r>
      <w:r>
        <w:rPr>
          <w:rFonts w:ascii="Calibri" w:cs="Calibri" w:hAnsi="Calibri"/>
          <w:sz w:val="24"/>
        </w:rPr>
        <w:t>Harmse</w:t>
      </w:r>
      <w:r>
        <w:rPr>
          <w:rFonts w:ascii="Calibri" w:cs="Calibri" w:hAnsi="Calibri"/>
          <w:sz w:val="24"/>
        </w:rPr>
        <w:t xml:space="preserve">, T. and Botha, J.C. (2020). Engaging the student voices to improve referencing skills and practices in higher education: A South African case study. South African Journal of Higher Education, 35(4). </w:t>
      </w:r>
      <w:r>
        <w:rPr>
          <w:rFonts w:ascii="Calibri" w:cs="Calibri" w:hAnsi="Calibri"/>
          <w:sz w:val="24"/>
        </w:rPr>
        <w:t>doi:https</w:t>
      </w:r>
      <w:r>
        <w:rPr>
          <w:rFonts w:ascii="Calibri" w:cs="Calibri" w:hAnsi="Calibri"/>
          <w:sz w:val="24"/>
        </w:rPr>
        <w:t>://doi.org/10.20853/34-5-4199</w:t>
      </w:r>
      <w:r>
        <w:rPr>
          <w:rFonts w:ascii="Calibri" w:cs="Calibri" w:hAnsi="Calibri"/>
          <w:sz w:val="24"/>
        </w:rPr>
        <w:t>.</w:t>
      </w:r>
    </w:p>
    <w:p>
      <w:pPr>
        <w:pStyle w:val="style0"/>
        <w:rPr/>
      </w:pPr>
    </w:p>
    <w:p>
      <w:pPr>
        <w:pStyle w:val="style0"/>
        <w:spacing w:lineRule="auto" w:line="360"/>
        <w:jc w:val="both"/>
        <w:rPr>
          <w:rFonts w:cs="Calibri"/>
          <w:sz w:val="24"/>
          <w:szCs w:val="24"/>
        </w:rPr>
      </w:pPr>
    </w:p>
    <w:sectPr>
      <w:pgSz w:w="12240" w:h="15840" w:orient="portrait"/>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0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77C09944"/>
    <w:lvl w:ilvl="0">
      <w:start w:val="1"/>
      <w:numFmt w:val="decimal"/>
      <w:lvlText w:val="%1."/>
      <w:lvlJc w:val="left"/>
      <w:pPr/>
      <w:rPr>
        <w:rFonts w:ascii="Calibri" w:cs="Calibri" w:hAnsi="Calibri" w:hint="default"/>
      </w:rPr>
    </w:lvl>
  </w:abstractNum>
  <w:abstractNum w:abstractNumId="1">
    <w:nsid w:val="00000001"/>
    <w:multiLevelType w:val="singleLevel"/>
    <w:tmpl w:val="F0CAF674"/>
    <w:lvl w:ilvl="0">
      <w:start w:val="1"/>
      <w:numFmt w:val="decimal"/>
      <w:lvlText w:val="%1."/>
      <w:lvlJc w:val="left"/>
      <w:pPr/>
      <w:rPr>
        <w:rFonts w:ascii="Calibri" w:cs="Calibri" w:hAnsi="Calibri" w:hint="default"/>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rPr>
      <w:lang w:val="en-GB"/>
    </w:rPr>
  </w:style>
  <w:style w:type="paragraph" w:styleId="style1">
    <w:name w:val="heading 1"/>
    <w:basedOn w:val="style0"/>
    <w:next w:val="style0"/>
    <w:link w:val="style4097"/>
    <w:qFormat/>
    <w:uiPriority w:val="9"/>
    <w:pPr>
      <w:keepNext/>
      <w:keepLines/>
      <w:spacing w:before="240" w:after="0"/>
      <w:outlineLvl w:val="0"/>
    </w:pPr>
    <w:rPr>
      <w:rFonts w:ascii="Calibri Light" w:cs="宋体" w:eastAsia="宋体" w:hAnsi="Calibri Light"/>
      <w:color w:val="2f5496"/>
      <w:sz w:val="32"/>
      <w:szCs w:val="32"/>
      <w:lang w:val="en-US"/>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6b2f37f7-93f6-41bc-acc2-a5924ee67770"/>
    <w:basedOn w:val="style65"/>
    <w:next w:val="style4097"/>
    <w:link w:val="style1"/>
    <w:uiPriority w:val="9"/>
    <w:rPr>
      <w:rFonts w:ascii="Calibri Light" w:cs="宋体" w:eastAsia="宋体" w:hAnsi="Calibri Light"/>
      <w:color w:val="2f5496"/>
      <w:sz w:val="32"/>
      <w:szCs w:val="32"/>
    </w:rPr>
  </w:style>
  <w:style w:type="paragraph" w:styleId="style266">
    <w:name w:val="TOC Heading"/>
    <w:basedOn w:val="style1"/>
    <w:next w:val="style0"/>
    <w:qFormat/>
    <w:uiPriority w:val="39"/>
    <w:pPr>
      <w:outlineLvl w:val="9"/>
    </w:pPr>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866743-F8C2-4472-8CBC-7ABA00F49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1725</Words>
  <Pages>11</Pages>
  <Characters>10580</Characters>
  <Application>WPS Office</Application>
  <DocSecurity>0</DocSecurity>
  <Paragraphs>138</Paragraphs>
  <ScaleCrop>false</ScaleCrop>
  <LinksUpToDate>false</LinksUpToDate>
  <CharactersWithSpaces>12238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2024-04-27T01:13:17Z</dcterms:created>
  <dc:creator>WPS Office</dc:creator>
  <lastModifiedBy>Infinix X678B</lastModifiedBy>
  <dcterms:modified xsi:type="dcterms:W3CDTF">2024-04-27T01:13:17Z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07916eef3c5047cbb43abd3b1b93121b</vt:lpwstr>
  </property>
</Properties>
</file>