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Web"/>
        <w:spacing w:before="0" w:after="0"/>
        <w:ind w:left="-180" w:right="-334" w:hanging="0"/>
        <w:jc w:val="left"/>
        <w:rPr/>
      </w:pPr>
      <w:r>
        <w:rPr/>
        <w:drawing>
          <wp:inline distT="0" distB="0" distL="0" distR="0">
            <wp:extent cx="2379345" cy="935990"/>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60" t="-153" r="-60" b="-153"/>
                    <a:stretch>
                      <a:fillRect/>
                    </a:stretch>
                  </pic:blipFill>
                  <pic:spPr bwMode="auto">
                    <a:xfrm>
                      <a:off x="0" y="0"/>
                      <a:ext cx="2379345" cy="935990"/>
                    </a:xfrm>
                    <a:prstGeom prst="rect">
                      <a:avLst/>
                    </a:prstGeom>
                  </pic:spPr>
                </pic:pic>
              </a:graphicData>
            </a:graphic>
          </wp:inline>
        </w:drawing>
      </w:r>
    </w:p>
    <w:p>
      <w:pPr>
        <w:pStyle w:val="NormalWeb"/>
        <w:spacing w:before="0" w:after="0"/>
        <w:ind w:left="-180" w:right="-334" w:hanging="0"/>
        <w:jc w:val="center"/>
        <w:rPr>
          <w:rFonts w:ascii="Arial" w:hAnsi="Arial" w:cs="Arial"/>
          <w:b/>
          <w:b/>
          <w:sz w:val="28"/>
          <w:szCs w:val="28"/>
          <w:lang w:val="cy-GB"/>
        </w:rPr>
      </w:pPr>
      <w:r>
        <w:rPr>
          <w:rFonts w:cs="Arial" w:ascii="Arial" w:hAnsi="Arial"/>
          <w:b/>
          <w:sz w:val="28"/>
          <w:szCs w:val="28"/>
          <w:lang w:val="cy-GB"/>
        </w:rPr>
      </w:r>
    </w:p>
    <w:p>
      <w:pPr>
        <w:pStyle w:val="NormalWeb"/>
        <w:spacing w:before="0" w:after="0"/>
        <w:ind w:left="-180" w:right="-334" w:hanging="0"/>
        <w:jc w:val="center"/>
        <w:rPr>
          <w:rFonts w:ascii="Arial" w:hAnsi="Arial" w:cs="Arial"/>
          <w:b/>
          <w:b/>
          <w:sz w:val="28"/>
          <w:szCs w:val="28"/>
          <w:lang w:val="cy-GB"/>
        </w:rPr>
      </w:pPr>
      <w:r>
        <w:rPr>
          <w:rFonts w:cs="Arial" w:ascii="Arial" w:hAnsi="Arial"/>
          <w:b/>
          <w:sz w:val="28"/>
          <w:szCs w:val="28"/>
          <w:lang w:val="cy-GB"/>
        </w:rPr>
      </w:r>
    </w:p>
    <w:p>
      <w:pPr>
        <w:pStyle w:val="NormalWeb"/>
        <w:spacing w:before="0" w:after="0"/>
        <w:ind w:left="-180" w:right="-334" w:hanging="0"/>
        <w:jc w:val="center"/>
        <w:rPr>
          <w:rFonts w:ascii="Arial" w:hAnsi="Arial" w:cs="Arial"/>
          <w:b/>
          <w:b/>
          <w:sz w:val="28"/>
          <w:szCs w:val="28"/>
          <w:lang w:val="cy-GB"/>
        </w:rPr>
      </w:pPr>
      <w:r>
        <w:rPr>
          <w:rFonts w:cs="Arial" w:ascii="Arial" w:hAnsi="Arial"/>
          <w:b/>
          <w:sz w:val="28"/>
          <w:szCs w:val="28"/>
          <w:lang w:val="cy-GB"/>
        </w:rPr>
        <w:t xml:space="preserve">Postgraduate/Distance Learning </w:t>
      </w:r>
    </w:p>
    <w:p>
      <w:pPr>
        <w:pStyle w:val="NormalWeb"/>
        <w:spacing w:before="0" w:after="0"/>
        <w:ind w:left="-180" w:right="-334" w:hanging="0"/>
        <w:jc w:val="center"/>
        <w:rPr>
          <w:rFonts w:ascii="Arial" w:hAnsi="Arial" w:cs="Arial"/>
          <w:b/>
          <w:b/>
          <w:sz w:val="28"/>
          <w:szCs w:val="28"/>
          <w:lang w:val="cy-GB"/>
        </w:rPr>
      </w:pPr>
      <w:r>
        <w:rPr>
          <w:rFonts w:cs="Arial" w:ascii="Arial" w:hAnsi="Arial"/>
          <w:b/>
          <w:sz w:val="28"/>
          <w:szCs w:val="28"/>
          <w:lang w:val="cy-GB"/>
        </w:rPr>
        <w:t>Assignment Coversheet &amp; Feedback Form</w:t>
      </w:r>
    </w:p>
    <w:p>
      <w:pPr>
        <w:pStyle w:val="Normal"/>
        <w:rPr>
          <w:rFonts w:ascii="Arial" w:hAnsi="Arial" w:cs="Arial"/>
          <w:b/>
          <w:b/>
          <w:sz w:val="28"/>
          <w:szCs w:val="28"/>
          <w:lang w:val="cy-GB"/>
        </w:rPr>
      </w:pPr>
      <w:r>
        <w:rPr>
          <w:rFonts w:cs="Arial" w:ascii="Arial" w:hAnsi="Arial"/>
          <w:b/>
          <w:sz w:val="28"/>
          <w:szCs w:val="28"/>
          <w:lang w:val="cy-GB"/>
        </w:rPr>
      </w:r>
    </w:p>
    <w:p>
      <w:pPr>
        <w:pStyle w:val="Normal"/>
        <w:jc w:val="center"/>
        <w:rPr>
          <w:rFonts w:ascii="Arial" w:hAnsi="Arial" w:cs="Arial"/>
          <w:sz w:val="20"/>
          <w:szCs w:val="20"/>
          <w:lang w:val="cy-GB"/>
        </w:rPr>
      </w:pPr>
      <w:r>
        <w:rPr>
          <w:rFonts w:cs="Arial" w:ascii="Arial" w:hAnsi="Arial"/>
          <w:sz w:val="20"/>
          <w:szCs w:val="20"/>
          <w:lang w:val="cy-GB"/>
        </w:rPr>
        <w:t>[Please insert this coversheet as the first page of the assignment you are submitting]</w:t>
      </w:r>
    </w:p>
    <w:p>
      <w:pPr>
        <w:pStyle w:val="Heading3"/>
        <w:numPr>
          <w:ilvl w:val="2"/>
          <w:numId w:val="1"/>
        </w:numPr>
        <w:jc w:val="center"/>
        <w:rPr>
          <w:rFonts w:ascii="Arial" w:hAnsi="Arial" w:cs="Arial"/>
          <w:sz w:val="20"/>
          <w:szCs w:val="20"/>
          <w:lang w:val="cy-GB"/>
        </w:rPr>
      </w:pPr>
      <w:r>
        <w:rPr>
          <w:rFonts w:cs="Arial" w:ascii="Arial" w:hAnsi="Arial"/>
          <w:sz w:val="20"/>
          <w:szCs w:val="20"/>
          <w:lang w:val="cy-GB"/>
        </w:rPr>
      </w:r>
    </w:p>
    <w:tbl>
      <w:tblPr>
        <w:tblW w:w="8876" w:type="dxa"/>
        <w:jc w:val="left"/>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3" w:type="dxa"/>
          <w:bottom w:w="0" w:type="dxa"/>
          <w:right w:w="108" w:type="dxa"/>
        </w:tblCellMar>
      </w:tblPr>
      <w:tblGrid>
        <w:gridCol w:w="4785"/>
        <w:gridCol w:w="1982"/>
        <w:gridCol w:w="284"/>
        <w:gridCol w:w="1825"/>
      </w:tblGrid>
      <w:tr>
        <w:trPr>
          <w:trHeight w:val="724"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0" w:after="0"/>
              <w:ind w:left="0" w:right="34" w:hanging="0"/>
              <w:rPr/>
            </w:pPr>
            <w:r>
              <w:rPr>
                <w:rFonts w:cs="Arial" w:ascii="Arial" w:hAnsi="Arial"/>
                <w:b/>
                <w:sz w:val="22"/>
                <w:szCs w:val="22"/>
              </w:rPr>
              <w:t>For completion by the student</w:t>
            </w:r>
            <w:r>
              <w:rPr>
                <w:rFonts w:cs="Arial" w:ascii="Arial" w:hAnsi="Arial"/>
                <w:sz w:val="22"/>
                <w:szCs w:val="22"/>
              </w:rPr>
              <w:t>:</w:t>
            </w:r>
          </w:p>
          <w:p>
            <w:pPr>
              <w:pStyle w:val="NormalWeb"/>
              <w:spacing w:before="0" w:after="0"/>
              <w:ind w:left="0" w:right="34" w:hanging="0"/>
              <w:rPr>
                <w:rFonts w:ascii="Arial" w:hAnsi="Arial" w:cs="Arial"/>
                <w:sz w:val="22"/>
                <w:szCs w:val="22"/>
              </w:rPr>
            </w:pPr>
            <w:r>
              <w:rPr>
                <w:rFonts w:cs="Arial" w:ascii="Arial" w:hAnsi="Arial"/>
                <w:sz w:val="22"/>
                <w:szCs w:val="22"/>
              </w:rPr>
              <w:t>Student Name:   Pamela Thom-Rowe</w:t>
            </w:r>
          </w:p>
        </w:tc>
      </w:tr>
      <w:tr>
        <w:trPr>
          <w:trHeight w:val="693" w:hRule="atLeast"/>
        </w:trPr>
        <w:tc>
          <w:tcPr>
            <w:tcW w:w="4785"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napToGrid w:val="false"/>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Module code:  CYCS7004</w:t>
            </w:r>
          </w:p>
          <w:p>
            <w:pPr>
              <w:pStyle w:val="NormalWeb"/>
              <w:spacing w:before="0" w:after="0"/>
              <w:ind w:left="0" w:right="34" w:hanging="0"/>
              <w:rPr>
                <w:rFonts w:ascii="Arial" w:hAnsi="Arial" w:cs="Arial"/>
                <w:sz w:val="22"/>
                <w:szCs w:val="22"/>
              </w:rPr>
            </w:pPr>
            <w:r>
              <w:rPr>
                <w:rFonts w:cs="Arial" w:ascii="Arial" w:hAnsi="Arial"/>
                <w:sz w:val="22"/>
                <w:szCs w:val="22"/>
              </w:rPr>
            </w:r>
          </w:p>
        </w:tc>
        <w:tc>
          <w:tcPr>
            <w:tcW w:w="2266" w:type="dxa"/>
            <w:gridSpan w:val="2"/>
            <w:vMerge w:val="restart"/>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0" w:after="0"/>
              <w:ind w:left="0" w:right="34" w:hanging="0"/>
              <w:rPr>
                <w:rFonts w:ascii="Arial" w:hAnsi="Arial" w:cs="Arial"/>
                <w:sz w:val="22"/>
                <w:szCs w:val="22"/>
              </w:rPr>
            </w:pPr>
            <w:r>
              <w:rPr>
                <w:rFonts w:cs="Arial" w:ascii="Arial" w:hAnsi="Arial"/>
                <w:sz w:val="22"/>
                <w:szCs w:val="22"/>
              </w:rPr>
              <w:t>Student University Number:</w:t>
            </w:r>
          </w:p>
          <w:p>
            <w:pPr>
              <w:pStyle w:val="Normal"/>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1601721</w:t>
            </w:r>
          </w:p>
        </w:tc>
        <w:tc>
          <w:tcPr>
            <w:tcW w:w="1825" w:type="dxa"/>
            <w:vMerge w:val="restart"/>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0" w:after="0"/>
              <w:ind w:left="0" w:right="34" w:hanging="0"/>
              <w:rPr>
                <w:rFonts w:ascii="Arial" w:hAnsi="Arial" w:cs="Arial"/>
                <w:sz w:val="22"/>
                <w:szCs w:val="22"/>
              </w:rPr>
            </w:pPr>
            <w:r>
              <w:rPr>
                <w:rFonts w:cs="Arial" w:ascii="Arial" w:hAnsi="Arial"/>
                <w:sz w:val="22"/>
                <w:szCs w:val="22"/>
              </w:rPr>
              <w:t>Educational support needs:</w:t>
            </w:r>
          </w:p>
          <w:p>
            <w:pPr>
              <w:pStyle w:val="NormalWeb"/>
              <w:spacing w:before="0" w:after="0"/>
              <w:ind w:left="0" w:right="34" w:hanging="0"/>
              <w:rPr/>
            </w:pPr>
            <w:r>
              <w:rPr>
                <w:rFonts w:cs="Arial" w:ascii="Arial" w:hAnsi="Arial"/>
                <w:strike/>
                <w:sz w:val="22"/>
                <w:szCs w:val="22"/>
              </w:rPr>
              <w:t>Yes</w:t>
            </w:r>
            <w:r>
              <w:rPr>
                <w:rFonts w:cs="Arial" w:ascii="Arial" w:hAnsi="Arial"/>
                <w:sz w:val="22"/>
                <w:szCs w:val="22"/>
              </w:rPr>
              <w:t>/No</w:t>
            </w:r>
          </w:p>
          <w:p>
            <w:pPr>
              <w:pStyle w:val="NormalWeb"/>
              <w:spacing w:before="0" w:after="0"/>
              <w:ind w:left="0" w:right="34" w:hanging="0"/>
              <w:rPr>
                <w:rFonts w:ascii="Arial" w:hAnsi="Arial" w:cs="Arial"/>
                <w:sz w:val="22"/>
                <w:szCs w:val="22"/>
              </w:rPr>
            </w:pPr>
            <w:r>
              <w:rPr>
                <w:rFonts w:cs="Arial" w:ascii="Arial" w:hAnsi="Arial"/>
                <w:sz w:val="22"/>
                <w:szCs w:val="22"/>
              </w:rPr>
            </w:r>
          </w:p>
        </w:tc>
      </w:tr>
      <w:tr>
        <w:trPr>
          <w:trHeight w:val="630" w:hRule="atLeast"/>
        </w:trPr>
        <w:tc>
          <w:tcPr>
            <w:tcW w:w="4785"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napToGrid w:val="false"/>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Module title:  Welsh Folk Life</w:t>
            </w:r>
          </w:p>
          <w:p>
            <w:pPr>
              <w:pStyle w:val="NormalWeb"/>
              <w:spacing w:before="0" w:after="0"/>
              <w:ind w:left="0" w:right="34" w:hanging="0"/>
              <w:rPr>
                <w:rFonts w:ascii="Arial" w:hAnsi="Arial" w:cs="Arial"/>
                <w:color w:val="000000"/>
                <w:sz w:val="22"/>
                <w:szCs w:val="22"/>
              </w:rPr>
            </w:pPr>
            <w:r>
              <w:rPr>
                <w:rFonts w:cs="Arial" w:ascii="Arial" w:hAnsi="Arial"/>
                <w:color w:val="000000"/>
                <w:sz w:val="22"/>
                <w:szCs w:val="22"/>
              </w:rPr>
            </w:r>
          </w:p>
        </w:tc>
        <w:tc>
          <w:tcPr>
            <w:tcW w:w="2266" w:type="dxa"/>
            <w:gridSpan w:val="2"/>
            <w:vMerge w:val="continue"/>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rPr/>
            </w:pPr>
            <w:r>
              <w:rPr/>
            </w:r>
          </w:p>
        </w:tc>
        <w:tc>
          <w:tcPr>
            <w:tcW w:w="1825" w:type="dxa"/>
            <w:vMerge w:val="continue"/>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rPr/>
            </w:pPr>
            <w:r>
              <w:rPr/>
            </w:r>
          </w:p>
        </w:tc>
      </w:tr>
      <w:tr>
        <w:trPr>
          <w:trHeight w:val="630"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napToGrid w:val="false"/>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Module tutor:  Dr Rhiannon Ifans</w:t>
            </w:r>
          </w:p>
        </w:tc>
      </w:tr>
      <w:tr>
        <w:trPr>
          <w:trHeight w:val="630"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napToGrid w:val="false"/>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pPr>
            <w:r>
              <w:rPr>
                <w:rFonts w:cs="Arial" w:ascii="Arial" w:hAnsi="Arial"/>
                <w:sz w:val="22"/>
                <w:szCs w:val="22"/>
              </w:rPr>
              <w:t xml:space="preserve">Assignment title: </w:t>
            </w:r>
            <w:r>
              <w:rPr>
                <w:rFonts w:ascii="Arial" w:hAnsi="Arial"/>
                <w:b w:val="false"/>
                <w:i w:val="false"/>
                <w:caps w:val="false"/>
                <w:smallCaps w:val="false"/>
                <w:color w:val="000000"/>
                <w:spacing w:val="0"/>
                <w:sz w:val="22"/>
                <w:szCs w:val="22"/>
              </w:rPr>
              <w:t>Discuss and evaluate Welsh folk tales associated with lakes and rivers. Word count: 5453</w:t>
            </w:r>
            <w:r>
              <w:rPr>
                <w:rFonts w:ascii="Arial" w:hAnsi="Arial"/>
                <w:sz w:val="22"/>
                <w:szCs w:val="22"/>
              </w:rPr>
              <w:t xml:space="preserve"> </w:t>
            </w:r>
          </w:p>
        </w:tc>
      </w:tr>
      <w:tr>
        <w:trPr>
          <w:trHeight w:val="630"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napToGrid w:val="false"/>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Assignment due date:  25.01.2019</w:t>
            </w:r>
          </w:p>
        </w:tc>
      </w:tr>
      <w:tr>
        <w:trPr>
          <w:trHeight w:val="978"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D9D9D9" w:val="clear"/>
          </w:tcPr>
          <w:p>
            <w:pPr>
              <w:pStyle w:val="NormalWeb"/>
              <w:snapToGrid w:val="false"/>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spacing w:before="0" w:after="0"/>
              <w:ind w:left="0" w:right="34" w:hanging="0"/>
              <w:rPr>
                <w:rFonts w:ascii="Arial" w:hAnsi="Arial" w:cs="Arial"/>
                <w:sz w:val="22"/>
                <w:szCs w:val="22"/>
              </w:rPr>
            </w:pPr>
            <w:r>
              <w:rPr>
                <w:rFonts w:cs="Arial" w:ascii="Arial" w:hAnsi="Arial"/>
                <w:sz w:val="22"/>
                <w:szCs w:val="22"/>
              </w:rPr>
            </w:r>
          </w:p>
          <w:p>
            <w:pPr>
              <w:pStyle w:val="NormalWeb"/>
              <w:spacing w:before="0" w:after="0"/>
              <w:ind w:left="0" w:right="34" w:hanging="0"/>
              <w:rPr>
                <w:rFonts w:ascii="Arial" w:hAnsi="Arial" w:cs="Arial"/>
                <w:sz w:val="22"/>
                <w:szCs w:val="22"/>
              </w:rPr>
            </w:pPr>
            <w:r>
              <w:rPr>
                <w:rFonts w:cs="Arial" w:ascii="Arial" w:hAnsi="Arial"/>
                <w:sz w:val="22"/>
                <w:szCs w:val="22"/>
              </w:rPr>
              <w:t>Name …………………P Thom-Rowe…………………………………………</w:t>
            </w:r>
          </w:p>
          <w:p>
            <w:pPr>
              <w:pStyle w:val="NormalWeb"/>
              <w:spacing w:before="0" w:after="0"/>
              <w:ind w:left="0" w:right="34" w:hanging="0"/>
              <w:rPr>
                <w:rFonts w:ascii="Arial" w:hAnsi="Arial" w:cs="Arial"/>
                <w:sz w:val="22"/>
                <w:szCs w:val="22"/>
              </w:rPr>
            </w:pPr>
            <w:r>
              <w:rPr>
                <w:rFonts w:cs="Arial" w:ascii="Arial" w:hAnsi="Arial"/>
                <w:sz w:val="22"/>
                <w:szCs w:val="22"/>
              </w:rPr>
            </w:r>
          </w:p>
        </w:tc>
      </w:tr>
      <w:tr>
        <w:trPr>
          <w:trHeight w:val="3972"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b/>
                <w:b/>
                <w:sz w:val="22"/>
                <w:szCs w:val="22"/>
              </w:rPr>
            </w:pPr>
            <w:r>
              <w:rPr>
                <w:rFonts w:cs="Arial" w:ascii="Arial" w:hAnsi="Arial"/>
                <w:b/>
                <w:sz w:val="22"/>
                <w:szCs w:val="22"/>
              </w:rPr>
            </w:r>
          </w:p>
          <w:p>
            <w:pPr>
              <w:pStyle w:val="Normal"/>
              <w:rPr>
                <w:rFonts w:ascii="Arial" w:hAnsi="Arial" w:cs="Arial"/>
                <w:b/>
                <w:b/>
              </w:rPr>
            </w:pPr>
            <w:r>
              <w:rPr>
                <w:rFonts w:cs="Arial" w:ascii="Arial" w:hAnsi="Arial"/>
                <w:b/>
              </w:rPr>
              <w:t>Assignment Mark</w:t>
            </w:r>
          </w:p>
          <w:tbl>
            <w:tblPr>
              <w:tblW w:w="8650" w:type="dxa"/>
              <w:jc w:val="left"/>
              <w:tblInd w:w="0" w:type="dxa"/>
              <w:tblBorders>
                <w:top w:val="single" w:sz="4" w:space="0" w:color="000000"/>
                <w:left w:val="single" w:sz="4" w:space="0" w:color="000000"/>
                <w:bottom w:val="single" w:sz="4" w:space="0" w:color="000000"/>
                <w:insideH w:val="single" w:sz="4" w:space="0" w:color="000000"/>
              </w:tblBorders>
              <w:tblCellMar>
                <w:top w:w="0" w:type="dxa"/>
                <w:left w:w="48" w:type="dxa"/>
                <w:bottom w:w="0" w:type="dxa"/>
                <w:right w:w="108" w:type="dxa"/>
              </w:tblCellMar>
            </w:tblPr>
            <w:tblGrid>
              <w:gridCol w:w="6970"/>
              <w:gridCol w:w="1679"/>
            </w:tblGrid>
            <w:tr>
              <w:trPr/>
              <w:tc>
                <w:tcPr>
                  <w:tcW w:w="6970" w:type="dxa"/>
                  <w:tcBorders>
                    <w:top w:val="single" w:sz="4" w:space="0" w:color="000000"/>
                    <w:left w:val="single" w:sz="4" w:space="0" w:color="000000"/>
                    <w:bottom w:val="single" w:sz="4" w:space="0" w:color="000000"/>
                    <w:insideH w:val="single" w:sz="4" w:space="0" w:color="000000"/>
                  </w:tcBorders>
                  <w:shd w:fill="auto" w:val="clear"/>
                </w:tcPr>
                <w:p>
                  <w:pPr>
                    <w:pStyle w:val="Normal"/>
                    <w:snapToGrid w:val="false"/>
                    <w:rPr>
                      <w:rFonts w:ascii="Arial" w:hAnsi="Arial" w:cs="Arial"/>
                      <w:sz w:val="22"/>
                      <w:szCs w:val="22"/>
                    </w:rPr>
                  </w:pPr>
                  <w:r>
                    <w:rPr>
                      <w:rFonts w:cs="Arial" w:ascii="Arial" w:hAnsi="Arial"/>
                      <w:sz w:val="22"/>
                      <w:szCs w:val="22"/>
                    </w:rPr>
                  </w:r>
                </w:p>
                <w:p>
                  <w:pPr>
                    <w:pStyle w:val="Normal"/>
                    <w:rPr/>
                  </w:pPr>
                  <w:r>
                    <w:rPr>
                      <w:rFonts w:cs="Arial" w:ascii="Arial" w:hAnsi="Arial"/>
                      <w:sz w:val="22"/>
                      <w:szCs w:val="22"/>
                    </w:rPr>
                    <w:t>1</w:t>
                  </w:r>
                  <w:r>
                    <w:rPr>
                      <w:rFonts w:cs="Arial" w:ascii="Arial" w:hAnsi="Arial"/>
                      <w:sz w:val="22"/>
                      <w:szCs w:val="22"/>
                      <w:vertAlign w:val="superscript"/>
                    </w:rPr>
                    <w:t>st</w:t>
                  </w:r>
                  <w:r>
                    <w:rPr>
                      <w:rFonts w:cs="Arial" w:ascii="Arial" w:hAnsi="Arial"/>
                      <w:sz w:val="22"/>
                      <w:szCs w:val="22"/>
                    </w:rPr>
                    <w:t xml:space="preserve"> Marker’s Provisional mark</w:t>
                  </w:r>
                </w:p>
              </w:tc>
              <w:tc>
                <w:tcPr>
                  <w:tcW w:w="1679"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sz w:val="20"/>
                      <w:szCs w:val="20"/>
                    </w:rPr>
                  </w:pPr>
                  <w:r>
                    <w:rPr>
                      <w:rFonts w:cs="Arial" w:ascii="Arial" w:hAnsi="Arial"/>
                      <w:sz w:val="20"/>
                      <w:szCs w:val="20"/>
                    </w:rPr>
                  </w:r>
                </w:p>
              </w:tc>
            </w:tr>
            <w:tr>
              <w:trPr/>
              <w:tc>
                <w:tcPr>
                  <w:tcW w:w="6970" w:type="dxa"/>
                  <w:tcBorders>
                    <w:top w:val="single" w:sz="4" w:space="0" w:color="000000"/>
                    <w:left w:val="single" w:sz="4" w:space="0" w:color="000000"/>
                    <w:bottom w:val="single" w:sz="4" w:space="0" w:color="000000"/>
                    <w:insideH w:val="single" w:sz="4" w:space="0" w:color="000000"/>
                  </w:tcBorders>
                  <w:shd w:fill="auto" w:val="clear"/>
                </w:tcPr>
                <w:p>
                  <w:pPr>
                    <w:pStyle w:val="Normal"/>
                    <w:snapToGrid w:val="false"/>
                    <w:rPr>
                      <w:rFonts w:ascii="Arial" w:hAnsi="Arial" w:cs="Arial"/>
                      <w:sz w:val="22"/>
                      <w:szCs w:val="22"/>
                    </w:rPr>
                  </w:pPr>
                  <w:r>
                    <w:rPr>
                      <w:rFonts w:cs="Arial" w:ascii="Arial" w:hAnsi="Arial"/>
                      <w:sz w:val="22"/>
                      <w:szCs w:val="22"/>
                    </w:rPr>
                  </w:r>
                </w:p>
                <w:p>
                  <w:pPr>
                    <w:pStyle w:val="Normal"/>
                    <w:rPr/>
                  </w:pPr>
                  <w:r>
                    <w:rPr>
                      <w:rFonts w:cs="Arial" w:ascii="Arial" w:hAnsi="Arial"/>
                      <w:sz w:val="22"/>
                      <w:szCs w:val="22"/>
                    </w:rPr>
                    <w:t>2</w:t>
                  </w:r>
                  <w:r>
                    <w:rPr>
                      <w:rFonts w:cs="Arial" w:ascii="Arial" w:hAnsi="Arial"/>
                      <w:sz w:val="22"/>
                      <w:szCs w:val="22"/>
                      <w:vertAlign w:val="superscript"/>
                    </w:rPr>
                    <w:t>nd</w:t>
                  </w:r>
                  <w:r>
                    <w:rPr>
                      <w:rFonts w:cs="Arial" w:ascii="Arial" w:hAnsi="Arial"/>
                      <w:sz w:val="22"/>
                      <w:szCs w:val="22"/>
                    </w:rPr>
                    <w:t xml:space="preserve"> Marker’s/Moderator’s provisional mark</w:t>
                  </w:r>
                </w:p>
              </w:tc>
              <w:tc>
                <w:tcPr>
                  <w:tcW w:w="1679"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sz w:val="20"/>
                      <w:szCs w:val="20"/>
                    </w:rPr>
                  </w:pPr>
                  <w:r>
                    <w:rPr>
                      <w:rFonts w:cs="Arial" w:ascii="Arial" w:hAnsi="Arial"/>
                      <w:sz w:val="20"/>
                      <w:szCs w:val="20"/>
                    </w:rPr>
                  </w:r>
                </w:p>
              </w:tc>
            </w:tr>
            <w:tr>
              <w:trPr/>
              <w:tc>
                <w:tcPr>
                  <w:tcW w:w="6970" w:type="dxa"/>
                  <w:tcBorders>
                    <w:top w:val="single" w:sz="4" w:space="0" w:color="000000"/>
                    <w:left w:val="single" w:sz="4" w:space="0" w:color="000000"/>
                    <w:bottom w:val="single" w:sz="4" w:space="0" w:color="000000"/>
                    <w:insideH w:val="single" w:sz="4" w:space="0" w:color="000000"/>
                  </w:tcBorders>
                  <w:shd w:fill="auto" w:val="clear"/>
                </w:tcPr>
                <w:p>
                  <w:pPr>
                    <w:pStyle w:val="Normal"/>
                    <w:snapToGrid w:val="false"/>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Agreed Internal Mark</w:t>
                  </w:r>
                </w:p>
              </w:tc>
              <w:tc>
                <w:tcPr>
                  <w:tcW w:w="1679"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sz w:val="20"/>
                      <w:szCs w:val="20"/>
                    </w:rPr>
                  </w:pPr>
                  <w:r>
                    <w:rPr>
                      <w:rFonts w:cs="Arial" w:ascii="Arial" w:hAnsi="Arial"/>
                      <w:sz w:val="20"/>
                      <w:szCs w:val="20"/>
                    </w:rPr>
                  </w:r>
                </w:p>
              </w:tc>
            </w:tr>
            <w:tr>
              <w:trPr/>
              <w:tc>
                <w:tcPr>
                  <w:tcW w:w="6970" w:type="dxa"/>
                  <w:tcBorders>
                    <w:top w:val="single" w:sz="4" w:space="0" w:color="000000"/>
                    <w:left w:val="single" w:sz="4" w:space="0" w:color="000000"/>
                    <w:bottom w:val="single" w:sz="4" w:space="0" w:color="000000"/>
                    <w:insideH w:val="single" w:sz="4" w:space="0" w:color="000000"/>
                  </w:tcBorders>
                  <w:shd w:fill="auto" w:val="clear"/>
                </w:tcPr>
                <w:p>
                  <w:pPr>
                    <w:pStyle w:val="Normal"/>
                    <w:snapToGrid w:val="false"/>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External Examiner mark (if relevant)</w:t>
                  </w:r>
                </w:p>
              </w:tc>
              <w:tc>
                <w:tcPr>
                  <w:tcW w:w="1679"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sz w:val="20"/>
                      <w:szCs w:val="20"/>
                    </w:rPr>
                  </w:pPr>
                  <w:r>
                    <w:rPr>
                      <w:rFonts w:cs="Arial" w:ascii="Arial" w:hAnsi="Arial"/>
                      <w:sz w:val="20"/>
                      <w:szCs w:val="20"/>
                    </w:rPr>
                  </w:r>
                </w:p>
              </w:tc>
            </w:tr>
            <w:tr>
              <w:trPr/>
              <w:tc>
                <w:tcPr>
                  <w:tcW w:w="6970" w:type="dxa"/>
                  <w:tcBorders>
                    <w:top w:val="single" w:sz="4" w:space="0" w:color="000000"/>
                    <w:left w:val="single" w:sz="4" w:space="0" w:color="000000"/>
                    <w:bottom w:val="single" w:sz="4" w:space="0" w:color="000000"/>
                    <w:insideH w:val="single" w:sz="4" w:space="0" w:color="000000"/>
                  </w:tcBorders>
                  <w:shd w:fill="auto" w:val="clear"/>
                </w:tcPr>
                <w:p>
                  <w:pPr>
                    <w:pStyle w:val="Normal"/>
                    <w:snapToGrid w:val="false"/>
                    <w:rPr>
                      <w:rFonts w:ascii="Arial" w:hAnsi="Arial" w:cs="Arial"/>
                      <w:sz w:val="22"/>
                      <w:szCs w:val="22"/>
                    </w:rPr>
                  </w:pPr>
                  <w:r>
                    <w:rPr>
                      <w:rFonts w:cs="Arial" w:ascii="Arial" w:hAnsi="Arial"/>
                      <w:sz w:val="22"/>
                      <w:szCs w:val="22"/>
                    </w:rPr>
                  </w:r>
                </w:p>
                <w:p>
                  <w:pPr>
                    <w:pStyle w:val="Normal"/>
                    <w:rPr>
                      <w:rFonts w:ascii="Arial" w:hAnsi="Arial" w:cs="Arial"/>
                      <w:b/>
                      <w:b/>
                      <w:sz w:val="22"/>
                      <w:szCs w:val="22"/>
                    </w:rPr>
                  </w:pPr>
                  <w:r>
                    <w:rPr>
                      <w:rFonts w:cs="Arial" w:ascii="Arial" w:hAnsi="Arial"/>
                      <w:b/>
                      <w:sz w:val="22"/>
                      <w:szCs w:val="22"/>
                    </w:rPr>
                    <w:t>Final Mark</w:t>
                  </w:r>
                </w:p>
                <w:p>
                  <w:pPr>
                    <w:pStyle w:val="Normal"/>
                    <w:rPr>
                      <w:rFonts w:ascii="Arial" w:hAnsi="Arial" w:cs="Arial"/>
                      <w:b/>
                      <w:b/>
                      <w:sz w:val="22"/>
                      <w:szCs w:val="22"/>
                    </w:rPr>
                  </w:pPr>
                  <w:r>
                    <w:rPr>
                      <w:rFonts w:cs="Arial" w:ascii="Arial" w:hAnsi="Arial"/>
                      <w:b/>
                      <w:sz w:val="22"/>
                      <w:szCs w:val="22"/>
                    </w:rPr>
                  </w:r>
                </w:p>
              </w:tc>
              <w:tc>
                <w:tcPr>
                  <w:tcW w:w="1679" w:type="dxa"/>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b/>
                      <w:b/>
                      <w:sz w:val="20"/>
                      <w:szCs w:val="20"/>
                    </w:rPr>
                  </w:pPr>
                  <w:r>
                    <w:rPr>
                      <w:rFonts w:cs="Arial" w:ascii="Arial" w:hAnsi="Arial"/>
                      <w:b/>
                      <w:sz w:val="20"/>
                      <w:szCs w:val="20"/>
                    </w:rPr>
                  </w:r>
                </w:p>
              </w:tc>
            </w:tr>
          </w:tbl>
          <w:p>
            <w:pPr>
              <w:pStyle w:val="NormalWeb"/>
              <w:spacing w:before="0" w:after="0"/>
              <w:ind w:left="142" w:right="34" w:hanging="0"/>
              <w:rPr>
                <w:rFonts w:ascii="Arial" w:hAnsi="Arial" w:cs="Arial"/>
                <w:b/>
                <w:b/>
                <w:sz w:val="22"/>
                <w:szCs w:val="22"/>
              </w:rPr>
            </w:pPr>
            <w:r>
              <w:rPr>
                <w:rFonts w:cs="Arial" w:ascii="Arial" w:hAnsi="Arial"/>
                <w:b/>
                <w:sz w:val="22"/>
                <w:szCs w:val="22"/>
              </w:rPr>
            </w:r>
          </w:p>
          <w:p>
            <w:pPr>
              <w:pStyle w:val="NormalWeb"/>
              <w:spacing w:before="0" w:after="0"/>
              <w:ind w:left="142" w:right="34" w:hanging="0"/>
              <w:jc w:val="center"/>
              <w:rPr>
                <w:rFonts w:ascii="Arial" w:hAnsi="Arial" w:cs="Arial"/>
                <w:b/>
                <w:b/>
                <w:sz w:val="22"/>
                <w:szCs w:val="22"/>
              </w:rPr>
            </w:pPr>
            <w:r>
              <w:rPr>
                <w:rFonts w:cs="Arial" w:ascii="Arial" w:hAnsi="Arial"/>
                <w:b/>
                <w:sz w:val="22"/>
                <w:szCs w:val="22"/>
              </w:rPr>
              <w:t>NB.  All marks are provisional until confirmed by the Final Examination Board</w:t>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r>
          </w:p>
          <w:p>
            <w:pPr>
              <w:pStyle w:val="NormalWeb"/>
              <w:spacing w:before="0" w:after="0"/>
              <w:rPr>
                <w:rFonts w:ascii="Arial" w:hAnsi="Arial" w:cs="Arial"/>
                <w:b/>
                <w:b/>
                <w:sz w:val="22"/>
                <w:szCs w:val="22"/>
              </w:rPr>
            </w:pPr>
            <w:r>
              <w:rPr>
                <w:rFonts w:cs="Arial" w:ascii="Arial" w:hAnsi="Arial"/>
                <w:b/>
                <w:sz w:val="22"/>
                <w:szCs w:val="22"/>
              </w:rPr>
              <w:t>For completion by Marker 1:</w:t>
            </w:r>
          </w:p>
          <w:p>
            <w:pPr>
              <w:pStyle w:val="NormalWeb"/>
              <w:spacing w:before="280" w:after="0"/>
              <w:rPr>
                <w:rFonts w:ascii="Arial" w:hAnsi="Arial" w:cs="Arial"/>
                <w:sz w:val="22"/>
                <w:szCs w:val="22"/>
              </w:rPr>
            </w:pPr>
            <w:r>
              <w:rPr>
                <w:rFonts w:cs="Arial" w:ascii="Arial" w:hAnsi="Arial"/>
                <w:sz w:val="22"/>
                <w:szCs w:val="22"/>
              </w:rPr>
              <w:t>Comments:</w:t>
            </w:r>
          </w:p>
        </w:tc>
      </w:tr>
      <w:tr>
        <w:trPr>
          <w:trHeight w:val="408" w:hRule="atLeast"/>
        </w:trPr>
        <w:tc>
          <w:tcPr>
            <w:tcW w:w="6767" w:type="dxa"/>
            <w:gridSpan w:val="2"/>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280" w:after="0"/>
              <w:ind w:left="0" w:right="34" w:hanging="0"/>
              <w:rPr>
                <w:rFonts w:ascii="Arial" w:hAnsi="Arial" w:cs="Arial"/>
                <w:sz w:val="22"/>
                <w:szCs w:val="22"/>
              </w:rPr>
            </w:pPr>
            <w:r>
              <w:rPr>
                <w:rFonts w:cs="Arial" w:ascii="Arial" w:hAnsi="Arial"/>
                <w:sz w:val="22"/>
                <w:szCs w:val="22"/>
              </w:rPr>
              <w:t>Marker 1 signature:</w:t>
            </w:r>
          </w:p>
        </w:tc>
        <w:tc>
          <w:tcPr>
            <w:tcW w:w="2109" w:type="dxa"/>
            <w:gridSpan w:val="2"/>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280" w:after="0"/>
              <w:ind w:left="142" w:right="34" w:hanging="0"/>
              <w:rPr>
                <w:rFonts w:ascii="Arial" w:hAnsi="Arial" w:cs="Arial"/>
                <w:sz w:val="22"/>
                <w:szCs w:val="22"/>
              </w:rPr>
            </w:pPr>
            <w:r>
              <w:rPr>
                <w:rFonts w:cs="Arial" w:ascii="Arial" w:hAnsi="Arial"/>
                <w:sz w:val="22"/>
                <w:szCs w:val="22"/>
              </w:rPr>
              <w:t>Date:</w:t>
            </w:r>
          </w:p>
        </w:tc>
      </w:tr>
      <w:tr>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napToGrid w:val="false"/>
              <w:spacing w:before="0" w:after="0"/>
              <w:ind w:left="0" w:right="-334" w:hanging="0"/>
              <w:rPr>
                <w:rFonts w:ascii="Arial" w:hAnsi="Arial" w:cs="Arial"/>
                <w:bCs/>
                <w:i/>
                <w:i/>
                <w:sz w:val="22"/>
                <w:szCs w:val="22"/>
              </w:rPr>
            </w:pPr>
            <w:r>
              <w:rPr>
                <w:rFonts w:cs="Arial" w:ascii="Arial" w:hAnsi="Arial"/>
                <w:bCs/>
                <w:i/>
                <w:sz w:val="22"/>
                <w:szCs w:val="22"/>
              </w:rPr>
            </w:r>
          </w:p>
          <w:p>
            <w:pPr>
              <w:pStyle w:val="NormalWeb"/>
              <w:spacing w:before="0" w:after="0"/>
              <w:ind w:left="0" w:right="-334" w:hanging="0"/>
              <w:rPr>
                <w:rFonts w:ascii="Arial" w:hAnsi="Arial" w:cs="Arial"/>
                <w:b/>
                <w:b/>
                <w:bCs/>
                <w:sz w:val="22"/>
                <w:szCs w:val="22"/>
              </w:rPr>
            </w:pPr>
            <w:r>
              <w:rPr>
                <w:rFonts w:cs="Arial" w:ascii="Arial" w:hAnsi="Arial"/>
                <w:b/>
                <w:bCs/>
                <w:sz w:val="22"/>
                <w:szCs w:val="22"/>
              </w:rPr>
              <w:t>For completion by Marker 2 / Moderator:</w:t>
            </w:r>
          </w:p>
          <w:p>
            <w:pPr>
              <w:pStyle w:val="NormalWeb"/>
              <w:spacing w:before="0" w:after="0"/>
              <w:ind w:left="0" w:right="-334" w:hanging="0"/>
              <w:rPr>
                <w:rFonts w:ascii="Arial" w:hAnsi="Arial" w:cs="Arial"/>
                <w:b/>
                <w:b/>
                <w:bCs/>
                <w:sz w:val="22"/>
                <w:szCs w:val="22"/>
              </w:rPr>
            </w:pPr>
            <w:r>
              <w:rPr>
                <w:rFonts w:cs="Arial" w:ascii="Arial" w:hAnsi="Arial"/>
                <w:b/>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t>Comments:</w:t>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tc>
      </w:tr>
      <w:tr>
        <w:trPr>
          <w:trHeight w:val="398" w:hRule="atLeast"/>
        </w:trPr>
        <w:tc>
          <w:tcPr>
            <w:tcW w:w="6767" w:type="dxa"/>
            <w:gridSpan w:val="2"/>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0" w:after="0"/>
              <w:ind w:left="0" w:right="-334" w:hanging="0"/>
              <w:rPr>
                <w:rFonts w:ascii="Arial" w:hAnsi="Arial" w:cs="Arial"/>
                <w:bCs/>
                <w:sz w:val="22"/>
                <w:szCs w:val="22"/>
              </w:rPr>
            </w:pPr>
            <w:r>
              <w:rPr>
                <w:rFonts w:cs="Arial" w:ascii="Arial" w:hAnsi="Arial"/>
                <w:bCs/>
                <w:sz w:val="22"/>
                <w:szCs w:val="22"/>
              </w:rPr>
              <w:t>Marker 2 / Moderator signature:</w:t>
            </w:r>
          </w:p>
        </w:tc>
        <w:tc>
          <w:tcPr>
            <w:tcW w:w="2109" w:type="dxa"/>
            <w:gridSpan w:val="2"/>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Web"/>
              <w:spacing w:before="0" w:after="0"/>
              <w:ind w:left="0" w:right="-334" w:hanging="0"/>
              <w:rPr>
                <w:rFonts w:ascii="Arial" w:hAnsi="Arial" w:cs="Arial"/>
                <w:bCs/>
                <w:sz w:val="22"/>
                <w:szCs w:val="22"/>
              </w:rPr>
            </w:pPr>
            <w:r>
              <w:rPr>
                <w:rFonts w:cs="Arial" w:ascii="Arial" w:hAnsi="Arial"/>
                <w:bCs/>
                <w:sz w:val="22"/>
                <w:szCs w:val="22"/>
              </w:rPr>
              <w:t>Date:</w:t>
            </w:r>
          </w:p>
        </w:tc>
      </w:tr>
      <w:tr>
        <w:trPr>
          <w:trHeight w:val="720" w:hRule="atLeast"/>
        </w:trPr>
        <w:tc>
          <w:tcPr>
            <w:tcW w:w="8876" w:type="dxa"/>
            <w:gridSpan w:val="4"/>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snapToGrid w:val="false"/>
              <w:rPr>
                <w:rFonts w:ascii="Arial" w:hAnsi="Arial" w:cs="Arial"/>
                <w:b/>
                <w:b/>
                <w:bCs/>
                <w:sz w:val="22"/>
                <w:szCs w:val="22"/>
              </w:rPr>
            </w:pPr>
            <w:r>
              <w:rPr>
                <w:rFonts w:cs="Arial" w:ascii="Arial" w:hAnsi="Arial"/>
                <w:b/>
                <w:bCs/>
                <w:sz w:val="22"/>
                <w:szCs w:val="22"/>
              </w:rPr>
            </w:r>
          </w:p>
          <w:p>
            <w:pPr>
              <w:pStyle w:val="Normal"/>
              <w:rPr>
                <w:rFonts w:ascii="Arial" w:hAnsi="Arial" w:cs="Arial"/>
                <w:b/>
                <w:b/>
                <w:sz w:val="22"/>
                <w:szCs w:val="22"/>
              </w:rPr>
            </w:pPr>
            <w:r>
              <w:rPr>
                <w:rFonts w:cs="Arial" w:ascii="Arial" w:hAnsi="Arial"/>
                <w:b/>
                <w:sz w:val="22"/>
                <w:szCs w:val="22"/>
              </w:rPr>
              <w:t>External Examiner’s comments (if relevant):</w:t>
            </w:r>
          </w:p>
          <w:p>
            <w:pPr>
              <w:pStyle w:val="NormalWeb"/>
              <w:spacing w:before="0" w:after="0"/>
              <w:ind w:left="0" w:right="-334" w:hanging="0"/>
              <w:rPr>
                <w:rFonts w:ascii="Arial" w:hAnsi="Arial" w:cs="Arial"/>
                <w:b/>
                <w:b/>
                <w:bCs/>
                <w:sz w:val="22"/>
                <w:szCs w:val="22"/>
              </w:rPr>
            </w:pPr>
            <w:r>
              <w:rPr>
                <w:rFonts w:cs="Arial" w:ascii="Arial" w:hAnsi="Arial"/>
                <w:b/>
                <w:bCs/>
                <w:sz w:val="22"/>
                <w:szCs w:val="22"/>
              </w:rPr>
            </w:r>
          </w:p>
          <w:p>
            <w:pPr>
              <w:pStyle w:val="NormalWeb"/>
              <w:spacing w:before="0" w:after="0"/>
              <w:ind w:left="0" w:right="-334" w:hanging="0"/>
              <w:rPr>
                <w:rFonts w:ascii="Arial" w:hAnsi="Arial" w:cs="Arial"/>
                <w:b/>
                <w:b/>
                <w:bCs/>
                <w:sz w:val="22"/>
                <w:szCs w:val="22"/>
              </w:rPr>
            </w:pPr>
            <w:r>
              <w:rPr>
                <w:rFonts w:cs="Arial" w:ascii="Arial" w:hAnsi="Arial"/>
                <w:b/>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p>
            <w:pPr>
              <w:pStyle w:val="NormalWeb"/>
              <w:spacing w:before="0" w:after="0"/>
              <w:ind w:left="0" w:right="-334" w:hanging="0"/>
              <w:rPr>
                <w:rFonts w:ascii="Arial" w:hAnsi="Arial" w:cs="Arial"/>
                <w:bCs/>
                <w:sz w:val="22"/>
                <w:szCs w:val="22"/>
              </w:rPr>
            </w:pPr>
            <w:r>
              <w:rPr>
                <w:rFonts w:cs="Arial" w:ascii="Arial" w:hAnsi="Arial"/>
                <w:bCs/>
                <w:sz w:val="22"/>
                <w:szCs w:val="22"/>
              </w:rPr>
            </w:r>
          </w:p>
        </w:tc>
      </w:tr>
      <w:tr>
        <w:trPr>
          <w:trHeight w:val="479" w:hRule="atLeast"/>
        </w:trPr>
        <w:tc>
          <w:tcPr>
            <w:tcW w:w="6767" w:type="dxa"/>
            <w:gridSpan w:val="2"/>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rPr>
                <w:rFonts w:ascii="Arial" w:hAnsi="Arial" w:cs="Arial"/>
                <w:sz w:val="22"/>
                <w:szCs w:val="22"/>
              </w:rPr>
            </w:pPr>
            <w:r>
              <w:rPr>
                <w:rFonts w:cs="Arial" w:ascii="Arial" w:hAnsi="Arial"/>
                <w:sz w:val="22"/>
                <w:szCs w:val="22"/>
              </w:rPr>
              <w:t>External Examiner signature:</w:t>
            </w:r>
          </w:p>
        </w:tc>
        <w:tc>
          <w:tcPr>
            <w:tcW w:w="2109" w:type="dxa"/>
            <w:gridSpan w:val="2"/>
            <w:tcBorders>
              <w:top w:val="single" w:sz="4" w:space="0" w:color="000000"/>
              <w:left w:val="single" w:sz="4" w:space="0" w:color="000000"/>
              <w:bottom w:val="single" w:sz="4" w:space="0" w:color="000000"/>
              <w:right w:val="single" w:sz="4" w:space="0" w:color="000000"/>
              <w:insideH w:val="single" w:sz="4" w:space="0" w:color="000000"/>
              <w:insideV w:val="single" w:sz="4" w:space="0" w:color="000000"/>
            </w:tcBorders>
            <w:shd w:fill="auto" w:val="clear"/>
          </w:tcPr>
          <w:p>
            <w:pPr>
              <w:pStyle w:val="Normal"/>
              <w:rPr>
                <w:rFonts w:ascii="Arial" w:hAnsi="Arial" w:cs="Arial"/>
                <w:sz w:val="22"/>
                <w:szCs w:val="22"/>
              </w:rPr>
            </w:pPr>
            <w:r>
              <w:rPr>
                <w:rFonts w:cs="Arial" w:ascii="Arial" w:hAnsi="Arial"/>
                <w:sz w:val="22"/>
                <w:szCs w:val="22"/>
              </w:rPr>
              <w:t>Date:</w:t>
            </w:r>
          </w:p>
        </w:tc>
      </w:tr>
    </w:tbl>
    <w:p>
      <w:pPr>
        <w:pStyle w:val="NormalWeb"/>
        <w:spacing w:lineRule="auto" w:line="480" w:before="0" w:after="0"/>
        <w:ind w:left="0" w:right="34" w:hanging="0"/>
        <w:jc w:val="center"/>
        <w:rPr>
          <w:rFonts w:ascii="Times New Roman" w:hAnsi="Times New Roman"/>
          <w:b/>
          <w:b/>
          <w:bCs/>
          <w:i w:val="false"/>
          <w:i w:val="false"/>
          <w:caps w:val="false"/>
          <w:smallCaps w:val="false"/>
          <w:color w:val="000000"/>
          <w:spacing w:val="0"/>
          <w:sz w:val="28"/>
          <w:szCs w:val="28"/>
          <w:u w:val="single"/>
        </w:rPr>
      </w:pPr>
      <w:r>
        <w:rPr>
          <w:rFonts w:ascii="Times New Roman" w:hAnsi="Times New Roman"/>
          <w:b/>
          <w:bCs/>
          <w:i w:val="false"/>
          <w:caps w:val="false"/>
          <w:smallCaps w:val="false"/>
          <w:color w:val="000000"/>
          <w:spacing w:val="0"/>
          <w:sz w:val="28"/>
          <w:szCs w:val="28"/>
          <w:u w:val="single"/>
        </w:rPr>
        <w:t>Discuss and evaluate Welsh folk tales associated</w:t>
      </w:r>
    </w:p>
    <w:p>
      <w:pPr>
        <w:pStyle w:val="NormalWeb"/>
        <w:spacing w:lineRule="auto" w:line="480" w:before="0" w:after="0"/>
        <w:ind w:left="0" w:right="34" w:hanging="0"/>
        <w:jc w:val="center"/>
        <w:rPr>
          <w:rFonts w:ascii="Times New Roman" w:hAnsi="Times New Roman"/>
          <w:b/>
          <w:b/>
          <w:bCs/>
          <w:i w:val="false"/>
          <w:i w:val="false"/>
          <w:caps w:val="false"/>
          <w:smallCaps w:val="false"/>
          <w:color w:val="000000"/>
          <w:spacing w:val="0"/>
          <w:sz w:val="28"/>
          <w:szCs w:val="28"/>
          <w:u w:val="single"/>
        </w:rPr>
      </w:pPr>
      <w:r>
        <w:rPr>
          <w:rFonts w:ascii="Times New Roman" w:hAnsi="Times New Roman"/>
          <w:b/>
          <w:bCs/>
          <w:i w:val="false"/>
          <w:caps w:val="false"/>
          <w:smallCaps w:val="false"/>
          <w:color w:val="000000"/>
          <w:spacing w:val="0"/>
          <w:sz w:val="28"/>
          <w:szCs w:val="28"/>
          <w:u w:val="single"/>
        </w:rPr>
        <w:t>with lakes and rivers.</w:t>
      </w:r>
    </w:p>
    <w:p>
      <w:pPr>
        <w:pStyle w:val="NormalWeb"/>
        <w:spacing w:lineRule="auto" w:line="480" w:before="0" w:after="0"/>
        <w:ind w:left="0" w:right="34" w:hanging="0"/>
        <w:jc w:val="center"/>
        <w:rPr>
          <w:b/>
          <w:b/>
          <w:bCs/>
          <w:i w:val="false"/>
          <w:i w:val="false"/>
          <w:caps w:val="false"/>
          <w:smallCaps w:val="false"/>
          <w:color w:val="000000"/>
          <w:spacing w:val="0"/>
          <w:sz w:val="28"/>
          <w:szCs w:val="28"/>
          <w:u w:val="single"/>
        </w:rPr>
      </w:pPr>
      <w:r>
        <w:rPr>
          <w:b/>
          <w:bCs/>
          <w:i w:val="false"/>
          <w:caps w:val="false"/>
          <w:smallCaps w:val="false"/>
          <w:color w:val="000000"/>
          <w:spacing w:val="0"/>
          <w:sz w:val="28"/>
          <w:szCs w:val="28"/>
          <w:u w:val="single"/>
        </w:rPr>
      </w:r>
    </w:p>
    <w:p>
      <w:pPr>
        <w:pStyle w:val="NormalWeb"/>
        <w:spacing w:lineRule="auto" w:line="480" w:before="0" w:after="0"/>
        <w:ind w:left="0" w:right="34" w:hanging="0"/>
        <w:jc w:val="both"/>
        <w:rPr/>
      </w:pPr>
      <w:r>
        <w:rPr>
          <w:rFonts w:ascii="Times New Roman" w:hAnsi="Times New Roman"/>
          <w:b w:val="false"/>
          <w:bCs w:val="false"/>
          <w:i w:val="false"/>
          <w:caps w:val="false"/>
          <w:smallCaps w:val="false"/>
          <w:color w:val="000000"/>
          <w:spacing w:val="0"/>
          <w:sz w:val="24"/>
          <w:szCs w:val="24"/>
          <w:u w:val="none"/>
        </w:rPr>
        <w:tab/>
        <w:t xml:space="preserve">Storytelling is a very old tradition in Wales, a vital medium for the telling and preservation of folk tales for generations. Surviving medieval texts are evidence of the importance of </w:t>
      </w:r>
      <w:r>
        <w:rPr>
          <w:rFonts w:cs="Times New Roman" w:ascii="Times New Roman" w:hAnsi="Times New Roman"/>
          <w:b w:val="false"/>
          <w:bCs w:val="false"/>
          <w:i w:val="false"/>
          <w:iCs w:val="false"/>
          <w:caps w:val="false"/>
          <w:smallCaps w:val="false"/>
          <w:color w:val="000000"/>
          <w:spacing w:val="0"/>
          <w:sz w:val="24"/>
          <w:szCs w:val="24"/>
          <w:u w:val="none"/>
        </w:rPr>
        <w:t xml:space="preserve">early bardic tradition in Welsh society where </w:t>
      </w:r>
      <w:r>
        <w:rPr>
          <w:rFonts w:ascii="Times New Roman" w:hAnsi="Times New Roman"/>
          <w:b w:val="false"/>
          <w:bCs w:val="false"/>
          <w:i w:val="false"/>
          <w:caps w:val="false"/>
          <w:smallCaps w:val="false"/>
          <w:color w:val="000000"/>
          <w:spacing w:val="0"/>
          <w:sz w:val="24"/>
          <w:szCs w:val="24"/>
          <w:u w:val="none"/>
        </w:rPr>
        <w:t xml:space="preserve">the </w:t>
      </w:r>
      <w:r>
        <w:rPr>
          <w:rFonts w:cs="Times New Roman" w:ascii="Times New Roman" w:hAnsi="Times New Roman"/>
          <w:b w:val="false"/>
          <w:bCs w:val="false"/>
          <w:i/>
          <w:iCs/>
          <w:caps w:val="false"/>
          <w:smallCaps w:val="false"/>
          <w:color w:val="000000"/>
          <w:spacing w:val="0"/>
          <w:sz w:val="24"/>
          <w:szCs w:val="24"/>
          <w:u w:val="none"/>
        </w:rPr>
        <w:t xml:space="preserve">cyfarwydd, </w:t>
      </w:r>
      <w:r>
        <w:rPr>
          <w:rFonts w:cs="Times New Roman" w:ascii="Times New Roman" w:hAnsi="Times New Roman"/>
          <w:b w:val="false"/>
          <w:bCs w:val="false"/>
          <w:i w:val="false"/>
          <w:iCs w:val="false"/>
          <w:caps w:val="false"/>
          <w:smallCaps w:val="false"/>
          <w:color w:val="000000"/>
          <w:spacing w:val="0"/>
          <w:sz w:val="24"/>
          <w:szCs w:val="24"/>
          <w:u w:val="none"/>
        </w:rPr>
        <w:t>or storyteller, had an important status and role.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
      </w:r>
      <w:r>
        <w:rPr>
          <w:rFonts w:cs="Times New Roman" w:ascii="Times New Roman" w:hAnsi="Times New Roman"/>
          <w:b w:val="false"/>
          <w:bCs w:val="false"/>
          <w:i w:val="false"/>
          <w:iCs w:val="false"/>
          <w:caps w:val="false"/>
          <w:smallCaps w:val="false"/>
          <w:color w:val="000000"/>
          <w:spacing w:val="0"/>
          <w:sz w:val="24"/>
          <w:szCs w:val="24"/>
          <w:u w:val="none"/>
        </w:rPr>
        <w:t xml:space="preserve"> It is difficult to determine how many traditional tales relate back to this tradition but their survival reinforces the importance of such tales in popular culture. The oral tradition has declined with many tales now ‘fixed’ in print, no longer passed on around the hearth or table but accessible to a wide range of people through books and the internet.</w:t>
      </w:r>
    </w:p>
    <w:p>
      <w:pPr>
        <w:pStyle w:val="NormalWeb"/>
        <w:spacing w:lineRule="auto" w:line="480" w:before="0" w:after="0"/>
        <w:ind w:left="0" w:right="34" w:hanging="0"/>
        <w:jc w:val="left"/>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Folk tales are traditionally perceived as belonging to ‘ordinary’ people, the so called ‘peasant’ classes or rural poor, and are found all over the world. The linguist, Kenneth Jackson defined a folk tale as ‘not a </w:t>
      </w:r>
      <w:r>
        <w:rPr>
          <w:rFonts w:cs="Times New Roman" w:ascii="Times New Roman" w:hAnsi="Times New Roman"/>
          <w:b w:val="false"/>
          <w:bCs w:val="false"/>
          <w:i/>
          <w:iCs/>
          <w:caps w:val="false"/>
          <w:smallCaps w:val="false"/>
          <w:color w:val="000000"/>
          <w:spacing w:val="0"/>
          <w:sz w:val="24"/>
          <w:szCs w:val="24"/>
          <w:u w:val="none"/>
        </w:rPr>
        <w:t>class</w:t>
      </w:r>
      <w:r>
        <w:rPr>
          <w:rFonts w:cs="Times New Roman" w:ascii="Times New Roman" w:hAnsi="Times New Roman"/>
          <w:b w:val="false"/>
          <w:bCs w:val="false"/>
          <w:i w:val="false"/>
          <w:iCs w:val="false"/>
          <w:caps w:val="false"/>
          <w:smallCaps w:val="false"/>
          <w:color w:val="000000"/>
          <w:spacing w:val="0"/>
          <w:sz w:val="24"/>
          <w:szCs w:val="24"/>
          <w:u w:val="none"/>
        </w:rPr>
        <w:t xml:space="preserve"> of story but a story in a particular context, current among, and collected from the ‘ folk’.</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
      </w:r>
      <w:r>
        <w:rPr>
          <w:rFonts w:cs="Times New Roman" w:ascii="Times New Roman" w:hAnsi="Times New Roman"/>
          <w:b w:val="false"/>
          <w:bCs w:val="false"/>
          <w:i w:val="false"/>
          <w:iCs w:val="false"/>
          <w:caps w:val="false"/>
          <w:smallCaps w:val="false"/>
          <w:color w:val="000000"/>
          <w:spacing w:val="0"/>
          <w:sz w:val="24"/>
          <w:szCs w:val="24"/>
          <w:u w:val="none"/>
        </w:rPr>
        <w:t xml:space="preserve">  The folklorist, Jack Zipes wrote that ‘the term folk tale is reserved for any tale deriving from, or existing in, oral tradition and is generally preferred by folklorists and anthropologists’.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
      </w:r>
      <w:r>
        <w:rPr>
          <w:rFonts w:cs="Times New Roman" w:ascii="Times New Roman" w:hAnsi="Times New Roman"/>
          <w:b w:val="false"/>
          <w:bCs w:val="false"/>
          <w:i w:val="false"/>
          <w:iCs w:val="false"/>
          <w:caps w:val="false"/>
          <w:smallCaps w:val="false"/>
          <w:color w:val="000000"/>
          <w:spacing w:val="0"/>
          <w:sz w:val="24"/>
          <w:szCs w:val="24"/>
          <w:u w:val="none"/>
        </w:rPr>
        <w:t xml:space="preserve"> Certainly Welsh tales have attracted attention from all classes of people and the strong oral tradition in Wales has perpetuated their survival. Given the diversity and sheer volume of folk tales in general, there have been attempts to classify them according to type and motif.</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
      </w:r>
      <w:r>
        <w:rPr>
          <w:rFonts w:cs="Times New Roman" w:ascii="Times New Roman" w:hAnsi="Times New Roman"/>
          <w:b w:val="false"/>
          <w:bCs w:val="false"/>
          <w:i w:val="false"/>
          <w:iCs w:val="false"/>
          <w:caps w:val="false"/>
          <w:smallCaps w:val="false"/>
          <w:color w:val="000000"/>
          <w:spacing w:val="0"/>
          <w:sz w:val="24"/>
          <w:szCs w:val="24"/>
          <w:u w:val="none"/>
        </w:rPr>
        <w:t xml:space="preserve"> However, the diversity of Welsh folk tales is such that they are difficult to categorise in this way. In his studies of folklore, the nineteenth century collector and folklorist, Sir John Rh</w:t>
      </w:r>
      <w:r>
        <w:rPr>
          <w:rFonts w:eastAsia="SimSun" w:cs="Times New Roman" w:ascii="Times New Roman" w:hAnsi="Times New Roman"/>
          <w:b w:val="false"/>
          <w:bCs w:val="false"/>
          <w:i w:val="false"/>
          <w:iCs w:val="false"/>
          <w:caps w:val="false"/>
          <w:smallCaps w:val="false"/>
          <w:color w:val="000000"/>
          <w:spacing w:val="0"/>
          <w:sz w:val="24"/>
          <w:szCs w:val="24"/>
          <w:u w:val="none"/>
        </w:rPr>
        <w:t xml:space="preserve">ŷs, noted how Welsh tales were different from their ‘Celtic’  neighbours being </w:t>
      </w:r>
      <w:r>
        <w:rPr>
          <w:rFonts w:cs="Times New Roman" w:ascii="Times New Roman" w:hAnsi="Times New Roman"/>
          <w:b w:val="false"/>
          <w:bCs w:val="false"/>
          <w:i w:val="false"/>
          <w:iCs w:val="false"/>
          <w:caps w:val="false"/>
          <w:smallCaps w:val="false"/>
          <w:color w:val="000000"/>
          <w:spacing w:val="0"/>
          <w:sz w:val="24"/>
          <w:szCs w:val="24"/>
          <w:u w:val="none"/>
        </w:rPr>
        <w:t>rich in legendary material and including many references to the supernatural.</w:t>
      </w:r>
      <w:r>
        <w:rPr>
          <w:rStyle w:val="FootnoteAnchor"/>
          <w:rStyle w:val="FootnoteAnchor"/>
          <w:rFonts w:eastAsia="SimSun" w:cs="Times New Roman" w:ascii="Times New Roman" w:hAnsi="Times New Roman"/>
          <w:b w:val="false"/>
          <w:bCs w:val="false"/>
          <w:i w:val="false"/>
          <w:iCs w:val="false"/>
          <w:caps w:val="false"/>
          <w:smallCaps w:val="false"/>
          <w:color w:val="000000"/>
          <w:spacing w:val="0"/>
          <w:sz w:val="24"/>
          <w:szCs w:val="24"/>
          <w:u w:val="none"/>
        </w:rPr>
        <w:footnoteReference w:id="6"/>
      </w:r>
      <w:r>
        <w:rPr>
          <w:rFonts w:cs="Times New Roman" w:ascii="Times New Roman" w:hAnsi="Times New Roman"/>
          <w:b w:val="false"/>
          <w:bCs w:val="false"/>
          <w:i w:val="false"/>
          <w:iCs w:val="false"/>
          <w:caps w:val="false"/>
          <w:smallCaps w:val="false"/>
          <w:color w:val="000000"/>
          <w:spacing w:val="0"/>
          <w:sz w:val="24"/>
          <w:szCs w:val="24"/>
          <w:u w:val="none"/>
        </w:rPr>
        <w:t xml:space="preserve"> This is especially true of Welsh narratives related to lakes and rivers.</w:t>
      </w:r>
    </w:p>
    <w:p>
      <w:pPr>
        <w:pStyle w:val="NormalWeb"/>
        <w:spacing w:lineRule="auto" w:line="480" w:before="0" w:after="0"/>
        <w:ind w:left="0" w:right="34" w:hanging="0"/>
        <w:jc w:val="left"/>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Folk tales concerning lakes and rivers are widespread across parts of Wales and beyond, such as the ‘water/fairy bride’ or the Lady of the Lake.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
      </w:r>
      <w:r>
        <w:rPr>
          <w:rFonts w:cs="Times New Roman" w:ascii="Times New Roman" w:hAnsi="Times New Roman"/>
          <w:b w:val="false"/>
          <w:bCs w:val="false"/>
          <w:i w:val="false"/>
          <w:iCs w:val="false"/>
          <w:caps w:val="false"/>
          <w:smallCaps w:val="false"/>
          <w:color w:val="000000"/>
          <w:spacing w:val="0"/>
          <w:sz w:val="24"/>
          <w:szCs w:val="24"/>
          <w:u w:val="none"/>
        </w:rPr>
        <w:t xml:space="preserve"> Others contain references that are more unique to Wales, being fixed in locality or descended from much older legends concerning local landmarks or strange creatures. </w:t>
      </w:r>
      <w:r>
        <w:rPr>
          <w:rFonts w:eastAsia="SimSun" w:cs="Times New Roman" w:ascii="Times New Roman" w:hAnsi="Times New Roman"/>
          <w:b w:val="false"/>
          <w:bCs w:val="false"/>
          <w:i w:val="false"/>
          <w:iCs w:val="false"/>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 xml:space="preserve">We shall discuss examples of these and consider their relationship with some of the legends unique to Wales before briefly evaluating their survival and significance within folk culture today.  </w:t>
      </w:r>
    </w:p>
    <w:p>
      <w:pPr>
        <w:pStyle w:val="NormalWeb"/>
        <w:numPr>
          <w:ilvl w:val="0"/>
          <w:numId w:val="1"/>
        </w:numPr>
        <w:spacing w:lineRule="auto" w:line="480" w:before="0" w:after="0"/>
        <w:ind w:left="0" w:right="34" w:hanging="0"/>
        <w:jc w:val="left"/>
        <w:rPr>
          <w:rFonts w:ascii="Times New Roman" w:hAnsi="Times New Roman" w:cs="Times New Roman"/>
          <w:b/>
          <w:b/>
          <w:bCs/>
          <w:i w:val="false"/>
          <w:i w:val="false"/>
          <w:iCs w:val="false"/>
          <w:caps w:val="false"/>
          <w:smallCaps w:val="false"/>
          <w:color w:val="000000"/>
          <w:spacing w:val="0"/>
          <w:sz w:val="24"/>
          <w:szCs w:val="24"/>
          <w:u w:val="single"/>
        </w:rPr>
      </w:pPr>
      <w:r>
        <w:rPr>
          <w:rFonts w:cs="Times New Roman" w:ascii="Times New Roman" w:hAnsi="Times New Roman"/>
          <w:b/>
          <w:bCs/>
          <w:i w:val="false"/>
          <w:iCs w:val="false"/>
          <w:caps w:val="false"/>
          <w:smallCaps w:val="false"/>
          <w:color w:val="000000"/>
          <w:spacing w:val="0"/>
          <w:sz w:val="24"/>
          <w:szCs w:val="24"/>
          <w:u w:val="single"/>
        </w:rPr>
      </w:r>
    </w:p>
    <w:p>
      <w:pPr>
        <w:pStyle w:val="NormalWeb"/>
        <w:spacing w:lineRule="auto" w:line="480" w:before="0" w:after="0"/>
        <w:ind w:left="0" w:right="34" w:hanging="0"/>
        <w:jc w:val="left"/>
        <w:rPr>
          <w:rFonts w:ascii="Times New Roman" w:hAnsi="Times New Roman" w:cs="Times New Roman"/>
          <w:b/>
          <w:b/>
          <w:bCs/>
          <w:i w:val="false"/>
          <w:i w:val="false"/>
          <w:iCs w:val="false"/>
          <w:caps w:val="false"/>
          <w:smallCaps w:val="false"/>
          <w:color w:val="000000"/>
          <w:spacing w:val="0"/>
          <w:sz w:val="24"/>
          <w:szCs w:val="24"/>
          <w:u w:val="single"/>
        </w:rPr>
      </w:pPr>
      <w:r>
        <w:rPr>
          <w:rFonts w:cs="Times New Roman" w:ascii="Times New Roman" w:hAnsi="Times New Roman"/>
          <w:b/>
          <w:bCs/>
          <w:i w:val="false"/>
          <w:iCs w:val="false"/>
          <w:caps w:val="false"/>
          <w:smallCaps w:val="false"/>
          <w:color w:val="000000"/>
          <w:spacing w:val="0"/>
          <w:sz w:val="24"/>
          <w:szCs w:val="24"/>
          <w:u w:val="single"/>
        </w:rPr>
        <w:t>Lakes</w:t>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The early people of the Bronze and Iron Ages depended upon water for their survival. Certain lakes have provided significant archaeological evidence of ritual deposition suggesting a great reverence and sanctity was attached to them.</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
      </w:r>
      <w:r>
        <w:rPr>
          <w:rFonts w:cs="Times New Roman" w:ascii="Times New Roman" w:hAnsi="Times New Roman"/>
          <w:b w:val="false"/>
          <w:bCs w:val="false"/>
          <w:i w:val="false"/>
          <w:iCs w:val="false"/>
          <w:caps w:val="false"/>
          <w:smallCaps w:val="false"/>
          <w:color w:val="000000"/>
          <w:spacing w:val="0"/>
          <w:sz w:val="24"/>
          <w:szCs w:val="24"/>
          <w:u w:val="none"/>
        </w:rPr>
        <w:t xml:space="preserve">  Two important foci of ritual deposition in Wales are Llyn Cerrig Bach on Anglesey and Llyn Fawr in South Wales, both considered sacred and once held in great reverence.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9"/>
      </w:r>
      <w:r>
        <w:rPr>
          <w:rFonts w:cs="Times New Roman" w:ascii="Times New Roman" w:hAnsi="Times New Roman"/>
          <w:b w:val="false"/>
          <w:bCs w:val="false"/>
          <w:i w:val="false"/>
          <w:iCs w:val="false"/>
          <w:caps w:val="false"/>
          <w:smallCaps w:val="false"/>
          <w:color w:val="000000"/>
          <w:spacing w:val="0"/>
          <w:sz w:val="24"/>
          <w:szCs w:val="24"/>
          <w:u w:val="none"/>
        </w:rPr>
        <w:t xml:space="preserve"> It is difficult to prove a continuity and evolution of such beliefs surviving within folk stories and later traditions but early references to supernatural beings and places under the water, entered by a gateway or passage below the surface are suggestive of early traditions and bear some similarities to later tales. Such gateways often led to the liminal Otherworld of the Celts, known in Wales as </w:t>
      </w:r>
      <w:r>
        <w:rPr>
          <w:rFonts w:cs="Times New Roman" w:ascii="Times New Roman" w:hAnsi="Times New Roman"/>
          <w:b w:val="false"/>
          <w:bCs w:val="false"/>
          <w:i/>
          <w:iCs/>
          <w:caps w:val="false"/>
          <w:smallCaps w:val="false"/>
          <w:color w:val="000000"/>
          <w:spacing w:val="0"/>
          <w:sz w:val="24"/>
          <w:szCs w:val="24"/>
          <w:u w:val="none"/>
        </w:rPr>
        <w:t>Annwn.</w:t>
      </w:r>
      <w:r>
        <w:rPr>
          <w:rStyle w:val="FootnoteAnchor"/>
          <w:rStyle w:val="FootnoteAnchor"/>
          <w:rFonts w:cs="Times New Roman" w:ascii="Times New Roman" w:hAnsi="Times New Roman"/>
          <w:b w:val="false"/>
          <w:bCs w:val="false"/>
          <w:i/>
          <w:iCs/>
          <w:caps w:val="false"/>
          <w:smallCaps w:val="false"/>
          <w:color w:val="000000"/>
          <w:spacing w:val="0"/>
          <w:sz w:val="24"/>
          <w:szCs w:val="24"/>
          <w:u w:val="none"/>
        </w:rPr>
        <w:footnoteReference w:id="10"/>
      </w:r>
      <w:r>
        <w:rPr>
          <w:rFonts w:cs="Times New Roman" w:ascii="Times New Roman" w:hAnsi="Times New Roman"/>
          <w:b w:val="false"/>
          <w:bCs w:val="false"/>
          <w:i/>
          <w:iCs/>
          <w:caps w:val="false"/>
          <w:smallCaps w:val="false"/>
          <w:color w:val="000000"/>
          <w:spacing w:val="0"/>
          <w:sz w:val="24"/>
          <w:szCs w:val="24"/>
          <w:u w:val="none"/>
        </w:rPr>
        <w:t xml:space="preserve">  </w:t>
      </w:r>
    </w:p>
    <w:p>
      <w:pPr>
        <w:pStyle w:val="NormalWeb"/>
        <w:spacing w:lineRule="auto" w:line="480" w:before="0" w:after="0"/>
        <w:ind w:left="0" w:right="34" w:hanging="0"/>
        <w:jc w:val="both"/>
        <w:rPr>
          <w:rFonts w:ascii="Times New Roman" w:hAnsi="Times New Roman" w:cs="Times New Roman"/>
          <w:b w:val="false"/>
          <w:b w:val="false"/>
          <w:bCs w:val="false"/>
          <w:i/>
          <w:i/>
          <w:iCs/>
          <w:caps w:val="false"/>
          <w:smallCaps w:val="false"/>
          <w:color w:val="000000"/>
          <w:spacing w:val="0"/>
          <w:sz w:val="24"/>
          <w:szCs w:val="24"/>
          <w:u w:val="none"/>
        </w:rPr>
      </w:pPr>
      <w:r>
        <w:rPr>
          <w:rFonts w:cs="Times New Roman" w:ascii="Times New Roman" w:hAnsi="Times New Roman"/>
          <w:b w:val="false"/>
          <w:bCs w:val="false"/>
          <w:i/>
          <w:iCs/>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Annwn usually had a chthonic location. It could be accessed by doorways under hills, through caves and under water, down wells or at the bottom of a lake.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1"/>
      </w:r>
      <w:r>
        <w:rPr>
          <w:rFonts w:cs="Times New Roman" w:ascii="Times New Roman" w:hAnsi="Times New Roman"/>
          <w:b w:val="false"/>
          <w:bCs w:val="false"/>
          <w:i w:val="false"/>
          <w:iCs w:val="false"/>
          <w:caps w:val="false"/>
          <w:smallCaps w:val="false"/>
          <w:color w:val="000000"/>
          <w:spacing w:val="0"/>
          <w:sz w:val="24"/>
          <w:szCs w:val="24"/>
          <w:u w:val="none"/>
        </w:rPr>
        <w:t xml:space="preserve"> It is tempting to make a connection between local tradition and myth and the surviving content of folk tales but, the evidence suggests that it is not quite so straightforward. Some of the most famous tales connected to lakes in Wales have international themes. Our first tale is one of the best known of these tales, that of the ‘fairy bride’. These tales are so widespread across Wales, it could be assumed that each lake once had it’s very own fairy or water spirit but this is unknown. By the time Sir John Rh</w:t>
      </w:r>
      <w:r>
        <w:rPr>
          <w:rFonts w:eastAsia="SimSun" w:cs="Times New Roman" w:ascii="Times New Roman" w:hAnsi="Times New Roman"/>
          <w:b w:val="false"/>
          <w:bCs w:val="false"/>
          <w:i w:val="false"/>
          <w:iCs w:val="false"/>
          <w:caps w:val="false"/>
          <w:smallCaps w:val="false"/>
          <w:color w:val="000000"/>
          <w:spacing w:val="0"/>
          <w:sz w:val="24"/>
          <w:szCs w:val="24"/>
          <w:u w:val="none"/>
        </w:rPr>
        <w:t xml:space="preserve">ŷs </w:t>
      </w:r>
      <w:r>
        <w:rPr>
          <w:rFonts w:cs="Times New Roman" w:ascii="Times New Roman" w:hAnsi="Times New Roman"/>
          <w:b w:val="false"/>
          <w:bCs w:val="false"/>
          <w:i w:val="false"/>
          <w:iCs w:val="false"/>
          <w:caps w:val="false"/>
          <w:smallCaps w:val="false"/>
          <w:color w:val="000000"/>
          <w:spacing w:val="0"/>
          <w:sz w:val="24"/>
          <w:szCs w:val="24"/>
          <w:u w:val="none"/>
        </w:rPr>
        <w:t>was collecting such stories it seems it had almost disappeared from the oral tradition and was, in Rh</w:t>
      </w:r>
      <w:r>
        <w:rPr>
          <w:rFonts w:eastAsia="SimSun" w:cs="Times New Roman" w:ascii="Times New Roman" w:hAnsi="Times New Roman"/>
          <w:b w:val="false"/>
          <w:bCs w:val="false"/>
          <w:i w:val="false"/>
          <w:iCs w:val="false"/>
          <w:caps w:val="false"/>
          <w:smallCaps w:val="false"/>
          <w:color w:val="000000"/>
          <w:spacing w:val="0"/>
          <w:sz w:val="24"/>
          <w:szCs w:val="24"/>
          <w:u w:val="none"/>
        </w:rPr>
        <w:t>ŷ</w:t>
      </w:r>
      <w:r>
        <w:rPr>
          <w:rFonts w:cs="Times New Roman" w:ascii="Times New Roman" w:hAnsi="Times New Roman"/>
          <w:b w:val="false"/>
          <w:bCs w:val="false"/>
          <w:i w:val="false"/>
          <w:iCs w:val="false"/>
          <w:caps w:val="false"/>
          <w:smallCaps w:val="false"/>
          <w:color w:val="000000"/>
          <w:spacing w:val="0"/>
          <w:sz w:val="24"/>
          <w:szCs w:val="24"/>
          <w:u w:val="none"/>
        </w:rPr>
        <w:t>s’s own words, ‘in the final stages of what must have been a well established narrative’, implying that the story was once well known.</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2"/>
      </w:r>
      <w:r>
        <w:rPr>
          <w:rFonts w:cs="Times New Roman" w:ascii="Times New Roman" w:hAnsi="Times New Roman"/>
          <w:b w:val="false"/>
          <w:bCs w:val="false"/>
          <w:i w:val="false"/>
          <w:iCs w:val="false"/>
          <w:caps w:val="false"/>
          <w:smallCaps w:val="false"/>
          <w:color w:val="000000"/>
          <w:spacing w:val="0"/>
          <w:sz w:val="24"/>
          <w:szCs w:val="24"/>
          <w:u w:val="none"/>
        </w:rPr>
        <w:t xml:space="preserve"> Many of these tales are very localised but they contain patterns of events that can be recognised internationally although the Welsh versions have ‘unique’ features.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3"/>
      </w:r>
      <w:r>
        <w:rPr>
          <w:rFonts w:cs="Times New Roman" w:ascii="Times New Roman" w:hAnsi="Times New Roman"/>
          <w:b w:val="false"/>
          <w:bCs w:val="false"/>
          <w:i w:val="false"/>
          <w:iCs w:val="false"/>
          <w:caps w:val="false"/>
          <w:smallCaps w:val="false"/>
          <w:color w:val="000000"/>
          <w:spacing w:val="0"/>
          <w:sz w:val="24"/>
          <w:szCs w:val="24"/>
          <w:u w:val="none"/>
        </w:rPr>
        <w:t xml:space="preserve"> We will start our exploration with perhaps the most famous, Llyn y Fan Fach, a lake on the Black Mountain in Carmarthanshire.</w:t>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Sir John Rh</w:t>
      </w:r>
      <w:r>
        <w:rPr>
          <w:rFonts w:eastAsia="SimSun" w:cs="Times New Roman" w:ascii="Times New Roman" w:hAnsi="Times New Roman"/>
          <w:b w:val="false"/>
          <w:bCs w:val="false"/>
          <w:i w:val="false"/>
          <w:iCs w:val="false"/>
          <w:caps w:val="false"/>
          <w:smallCaps w:val="false"/>
          <w:color w:val="000000"/>
          <w:spacing w:val="0"/>
          <w:sz w:val="24"/>
          <w:szCs w:val="24"/>
          <w:u w:val="none"/>
        </w:rPr>
        <w:t>ŷs collected prolifically on the subject of Welsh lake legends including Llyn y Fan Fach</w:t>
      </w:r>
      <w:r>
        <w:rPr>
          <w:rFonts w:cs="Times New Roman" w:ascii="Times New Roman" w:hAnsi="Times New Roman"/>
          <w:b w:val="false"/>
          <w:bCs w:val="false"/>
          <w:i w:val="false"/>
          <w:iCs w:val="false"/>
          <w:caps w:val="false"/>
          <w:smallCaps w:val="false"/>
          <w:color w:val="000000"/>
          <w:spacing w:val="0"/>
          <w:sz w:val="24"/>
          <w:szCs w:val="24"/>
          <w:u w:val="none"/>
        </w:rPr>
        <w:t xml:space="preserve"> in the late nineteenth century.</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4"/>
      </w:r>
      <w:r>
        <w:rPr>
          <w:rFonts w:cs="Times New Roman" w:ascii="Times New Roman" w:hAnsi="Times New Roman"/>
          <w:b w:val="false"/>
          <w:bCs w:val="false"/>
          <w:i w:val="false"/>
          <w:iCs w:val="false"/>
          <w:caps w:val="false"/>
          <w:smallCaps w:val="false"/>
          <w:color w:val="000000"/>
          <w:spacing w:val="0"/>
          <w:sz w:val="24"/>
          <w:szCs w:val="24"/>
          <w:u w:val="none"/>
        </w:rPr>
        <w:t xml:space="preserve"> There are many versions and the following was recorded by the American writer, Wirt Sykes and included by Rh</w:t>
      </w:r>
      <w:r>
        <w:rPr>
          <w:rFonts w:eastAsia="SimSun" w:cs="Times New Roman" w:ascii="Times New Roman" w:hAnsi="Times New Roman"/>
          <w:b w:val="false"/>
          <w:bCs w:val="false"/>
          <w:i w:val="false"/>
          <w:iCs w:val="false"/>
          <w:caps w:val="false"/>
          <w:smallCaps w:val="false"/>
          <w:color w:val="000000"/>
          <w:spacing w:val="0"/>
          <w:sz w:val="24"/>
          <w:szCs w:val="24"/>
          <w:u w:val="none"/>
        </w:rPr>
        <w:t>ŷ</w:t>
      </w:r>
      <w:r>
        <w:rPr>
          <w:rFonts w:cs="Times New Roman" w:ascii="Times New Roman" w:hAnsi="Times New Roman"/>
          <w:b w:val="false"/>
          <w:bCs w:val="false"/>
          <w:i w:val="false"/>
          <w:iCs w:val="false"/>
          <w:caps w:val="false"/>
          <w:smallCaps w:val="false"/>
          <w:color w:val="000000"/>
          <w:spacing w:val="0"/>
          <w:sz w:val="24"/>
          <w:szCs w:val="24"/>
          <w:u w:val="none"/>
        </w:rPr>
        <w:t>s in his important collection of Welsh folk lore printed in 1882: A young farmer went down to the lake to graze his sheep upon the shore. He would often witness three beautiful ‘damsels’ appearing from the lake and he tried but failed to catch one. Mysteriously, bread was sent to him from the lake and after eating it he caught one of the women. She told him that if he could tell her from the others she would go with him. They were all identical but he recognised her by her shoes and she, and her animals, joined him on the farm. Her only condition was that she would only stay with him so long as he did not strike her three time without reason. They had three sons but inevitably the farmer struck her three times and she left, taking her animals. The furrow left be the plough of her cattle returning to the lake can still be seen today. She did meet her sons once more when she gave them a magical box which taught them great medical skills and they became the famous Physicians of Myddfai. Sikes also gives another more elaborate version concerning a maiden from the lake who rowed a golden boat with a golden oar. This version contains references to Midsummer Eve and a soothsayer. Other versions omit the physicians and Sikes makes an interesting point of including a reference to the importance of cheese in ‘Cambrian folk-lore’ which, he says, is unique to Wales.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5"/>
      </w:r>
      <w:r>
        <w:rPr>
          <w:rStyle w:val="FootnoteAnchor"/>
          <w:rFonts w:cs="Times New Roman" w:ascii="Times New Roman" w:hAnsi="Times New Roman"/>
          <w:b w:val="false"/>
          <w:bCs w:val="false"/>
          <w:i w:val="false"/>
          <w:iCs w:val="false"/>
          <w:caps w:val="false"/>
          <w:smallCaps w:val="false"/>
          <w:color w:val="000000"/>
          <w:spacing w:val="0"/>
          <w:sz w:val="24"/>
          <w:szCs w:val="24"/>
          <w:u w:val="none"/>
        </w:rPr>
        <w:t xml:space="preserve">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The tales include many recognised motifs: the gifts of bread or cheese, being able to make the right identification, setting a condition, in this case, not to strike her three times. In other parts of Wales, especially in the north, she is struck by iron and she leaves permanently, never seeing her children again.</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16"/>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The later story concerning the origins of the Physicians of Myddfai is often attached to the tale but there is little evidence that this is original to the Llyn y Fan Fach</w:t>
      </w:r>
      <w:r>
        <w:rPr>
          <w:rFonts w:cs="Times New Roman" w:ascii="Times New Roman" w:hAnsi="Times New Roman"/>
          <w:b w:val="false"/>
          <w:bCs w:val="false"/>
          <w:i/>
          <w:iCs/>
          <w:caps w:val="false"/>
          <w:smallCaps w:val="false"/>
          <w:color w:val="000000"/>
          <w:spacing w:val="0"/>
          <w:sz w:val="24"/>
          <w:szCs w:val="24"/>
          <w:u w:val="none"/>
        </w:rPr>
        <w:t>.</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7"/>
      </w:r>
      <w:r>
        <w:rPr>
          <w:rFonts w:cs="Times New Roman" w:ascii="Times New Roman" w:hAnsi="Times New Roman"/>
          <w:b w:val="false"/>
          <w:bCs w:val="false"/>
          <w:i w:val="false"/>
          <w:iCs w:val="false"/>
          <w:caps w:val="false"/>
          <w:smallCaps w:val="false"/>
          <w:color w:val="000000"/>
          <w:spacing w:val="0"/>
          <w:sz w:val="24"/>
          <w:szCs w:val="24"/>
          <w:u w:val="none"/>
        </w:rPr>
        <w:t xml:space="preserve">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The folklorist, Juliette Wood, notes that there are thirty six international versions of this tale. They date from between the tenth and the twentieth century and the wide distribution and survival of tale is an indication of its importance. Wood draws our attention to the significance of lakes as portals to the Otherworld through which fairies and certain animals can pass through. Unlike those in tales from other countries such as Scotland and Scandinavia, Welsh fairies take human not animal form such as the selkies or birds of other ‘ Celtic’ stories.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8"/>
      </w:r>
      <w:r>
        <w:rPr>
          <w:rFonts w:cs="Times New Roman" w:ascii="Times New Roman" w:hAnsi="Times New Roman"/>
          <w:b w:val="false"/>
          <w:bCs w:val="false"/>
          <w:i w:val="false"/>
          <w:iCs w:val="false"/>
          <w:caps w:val="false"/>
          <w:smallCaps w:val="false"/>
          <w:color w:val="000000"/>
          <w:spacing w:val="0"/>
          <w:sz w:val="24"/>
          <w:szCs w:val="24"/>
          <w:u w:val="none"/>
        </w:rPr>
        <w:t xml:space="preserve"> There are similar specifications common to each story but in the Welsh tales the woman is confident, bringing her own dowry and setting her own terms for remaining with a mortal.</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19"/>
      </w:r>
      <w:r>
        <w:rPr>
          <w:rFonts w:cs="Times New Roman" w:ascii="Times New Roman" w:hAnsi="Times New Roman"/>
          <w:b w:val="false"/>
          <w:bCs w:val="false"/>
          <w:i w:val="false"/>
          <w:iCs w:val="false"/>
          <w:caps w:val="false"/>
          <w:smallCaps w:val="false"/>
          <w:color w:val="000000"/>
          <w:spacing w:val="0"/>
          <w:sz w:val="24"/>
          <w:szCs w:val="24"/>
          <w:u w:val="none"/>
        </w:rPr>
        <w:t xml:space="preserve"> But, as Wood reminds us, it is important to remember that the ‘effects of the contact with the liminal world of fairy beings is an important aspect of the legend’.</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0"/>
      </w:r>
      <w:r>
        <w:rPr>
          <w:rFonts w:cs="Times New Roman" w:ascii="Times New Roman" w:hAnsi="Times New Roman"/>
          <w:b w:val="false"/>
          <w:bCs w:val="false"/>
          <w:i w:val="false"/>
          <w:iCs w:val="false"/>
          <w:caps w:val="false"/>
          <w:smallCaps w:val="false"/>
          <w:color w:val="000000"/>
          <w:spacing w:val="0"/>
          <w:sz w:val="24"/>
          <w:szCs w:val="24"/>
          <w:u w:val="none"/>
        </w:rPr>
        <w:t xml:space="preserve"> These tales are cautionary, a reminder of the dangers and risks attached to stepping on the thresholds of different worlds. And such worlds were not just the inhabitants of potential fairy brides. Other things lived in the dark waters.</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There are different types of fairies in Welsh folklore.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1"/>
      </w:r>
      <w:r>
        <w:rPr>
          <w:rFonts w:cs="Times New Roman" w:ascii="Times New Roman" w:hAnsi="Times New Roman"/>
          <w:b w:val="false"/>
          <w:bCs w:val="false"/>
          <w:i w:val="false"/>
          <w:iCs w:val="false"/>
          <w:caps w:val="false"/>
          <w:smallCaps w:val="false"/>
          <w:color w:val="000000"/>
          <w:spacing w:val="0"/>
          <w:sz w:val="24"/>
          <w:szCs w:val="24"/>
          <w:u w:val="none"/>
        </w:rPr>
        <w:t xml:space="preserve"> The </w:t>
      </w:r>
      <w:r>
        <w:rPr>
          <w:rFonts w:cs="Times New Roman" w:ascii="Times New Roman" w:hAnsi="Times New Roman"/>
          <w:b w:val="false"/>
          <w:bCs w:val="false"/>
          <w:i/>
          <w:iCs/>
          <w:caps w:val="false"/>
          <w:smallCaps w:val="false"/>
          <w:color w:val="000000"/>
          <w:spacing w:val="0"/>
          <w:sz w:val="24"/>
          <w:szCs w:val="24"/>
          <w:u w:val="none"/>
        </w:rPr>
        <w:t xml:space="preserve">Gwragedd Annwn </w:t>
      </w:r>
      <w:r>
        <w:rPr>
          <w:rFonts w:cs="Times New Roman" w:ascii="Times New Roman" w:hAnsi="Times New Roman"/>
          <w:b w:val="false"/>
          <w:bCs w:val="false"/>
          <w:i w:val="false"/>
          <w:iCs w:val="false"/>
          <w:caps w:val="false"/>
          <w:smallCaps w:val="false"/>
          <w:color w:val="000000"/>
          <w:spacing w:val="0"/>
          <w:sz w:val="24"/>
          <w:szCs w:val="24"/>
          <w:u w:val="none"/>
        </w:rPr>
        <w:t>are a</w:t>
      </w:r>
      <w:r>
        <w:rPr>
          <w:rFonts w:cs="Times New Roman" w:ascii="Times New Roman" w:hAnsi="Times New Roman"/>
          <w:b w:val="false"/>
          <w:bCs w:val="false"/>
          <w:i/>
          <w:iCs/>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type of inland Welsh mermaid, a female fairy who occupies isolated lakes and streams.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2"/>
      </w:r>
      <w:r>
        <w:rPr>
          <w:rFonts w:cs="Times New Roman" w:ascii="Times New Roman" w:hAnsi="Times New Roman"/>
          <w:b w:val="false"/>
          <w:bCs w:val="false"/>
          <w:i w:val="false"/>
          <w:iCs w:val="false"/>
          <w:caps w:val="false"/>
          <w:smallCaps w:val="false"/>
          <w:color w:val="000000"/>
          <w:spacing w:val="0"/>
          <w:sz w:val="24"/>
          <w:szCs w:val="24"/>
          <w:u w:val="none"/>
        </w:rPr>
        <w:t xml:space="preserve"> Sikes stated that they acted as intermediaries between his world and the ‘lower one of annwn’ where the fairy king, Gwyn ap Nudd, lives.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3"/>
      </w:r>
      <w:r>
        <w:rPr>
          <w:rFonts w:cs="Times New Roman" w:ascii="Times New Roman" w:hAnsi="Times New Roman"/>
          <w:b w:val="false"/>
          <w:bCs w:val="false"/>
          <w:i w:val="false"/>
          <w:iCs w:val="false"/>
          <w:caps w:val="false"/>
          <w:smallCaps w:val="false"/>
          <w:color w:val="000000"/>
          <w:spacing w:val="0"/>
          <w:sz w:val="24"/>
          <w:szCs w:val="24"/>
          <w:u w:val="none"/>
        </w:rPr>
        <w:t xml:space="preserve">  In one tale they live under Crumlyn lake in an old submerged town they had converted into a fabulous palace. One tale explains that the </w:t>
      </w:r>
      <w:r>
        <w:rPr>
          <w:rFonts w:cs="Times New Roman" w:ascii="Times New Roman" w:hAnsi="Times New Roman"/>
          <w:b w:val="false"/>
          <w:bCs w:val="false"/>
          <w:i/>
          <w:iCs/>
          <w:caps w:val="false"/>
          <w:smallCaps w:val="false"/>
          <w:color w:val="000000"/>
          <w:spacing w:val="0"/>
          <w:sz w:val="24"/>
          <w:szCs w:val="24"/>
          <w:u w:val="none"/>
        </w:rPr>
        <w:t xml:space="preserve">Gwragedd Annwn </w:t>
      </w:r>
      <w:r>
        <w:rPr>
          <w:rFonts w:cs="Times New Roman" w:ascii="Times New Roman" w:hAnsi="Times New Roman"/>
          <w:b w:val="false"/>
          <w:bCs w:val="false"/>
          <w:i w:val="false"/>
          <w:iCs w:val="false"/>
          <w:caps w:val="false"/>
          <w:smallCaps w:val="false"/>
          <w:color w:val="000000"/>
          <w:spacing w:val="0"/>
          <w:sz w:val="24"/>
          <w:szCs w:val="24"/>
          <w:u w:val="none"/>
        </w:rPr>
        <w:t xml:space="preserve">came into being after the local people were cursed by St Patrick. They had verbally abused him for leaving them and the saint retaliated by turning the men into fishes and the women into fairies, the </w:t>
      </w:r>
      <w:r>
        <w:rPr>
          <w:rFonts w:cs="Times New Roman" w:ascii="Times New Roman" w:hAnsi="Times New Roman"/>
          <w:b w:val="false"/>
          <w:bCs w:val="false"/>
          <w:i/>
          <w:iCs/>
          <w:caps w:val="false"/>
          <w:smallCaps w:val="false"/>
          <w:color w:val="000000"/>
          <w:spacing w:val="0"/>
          <w:sz w:val="24"/>
          <w:szCs w:val="24"/>
          <w:u w:val="none"/>
        </w:rPr>
        <w:t xml:space="preserve">Gwragedd Annwn. </w:t>
      </w:r>
      <w:r>
        <w:rPr>
          <w:rFonts w:cs="Times New Roman" w:ascii="Times New Roman" w:hAnsi="Times New Roman"/>
          <w:b w:val="false"/>
          <w:bCs w:val="false"/>
          <w:i w:val="false"/>
          <w:iCs w:val="false"/>
          <w:caps w:val="false"/>
          <w:smallCaps w:val="false"/>
          <w:color w:val="000000"/>
          <w:spacing w:val="0"/>
          <w:sz w:val="24"/>
          <w:szCs w:val="24"/>
          <w:u w:val="none"/>
        </w:rPr>
        <w:t>He also ensured that the sun only shines upon the lake for one week every year.</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4"/>
      </w:r>
      <w:r>
        <w:rPr>
          <w:rFonts w:cs="Times New Roman" w:ascii="Times New Roman" w:hAnsi="Times New Roman"/>
          <w:b w:val="false"/>
          <w:bCs w:val="false"/>
          <w:i w:val="false"/>
          <w:iCs w:val="false"/>
          <w:caps w:val="false"/>
          <w:smallCaps w:val="false"/>
          <w:color w:val="000000"/>
          <w:spacing w:val="0"/>
          <w:sz w:val="24"/>
          <w:szCs w:val="24"/>
          <w:u w:val="none"/>
        </w:rPr>
        <w:t xml:space="preserve">  Some versions say that the submerged town under Crumlyn lake is that of old Swansea.</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5"/>
      </w:r>
      <w:r>
        <w:rPr>
          <w:rFonts w:cs="Times New Roman" w:ascii="Times New Roman" w:hAnsi="Times New Roman"/>
          <w:b w:val="false"/>
          <w:bCs w:val="false"/>
          <w:i w:val="false"/>
          <w:iCs w:val="false"/>
          <w:caps w:val="false"/>
          <w:smallCaps w:val="false"/>
          <w:color w:val="000000"/>
          <w:spacing w:val="0"/>
          <w:sz w:val="24"/>
          <w:szCs w:val="24"/>
          <w:u w:val="none"/>
        </w:rPr>
        <w:t xml:space="preserve"> </w:t>
      </w:r>
    </w:p>
    <w:p>
      <w:pPr>
        <w:pStyle w:val="NormalWeb"/>
        <w:spacing w:lineRule="auto" w:line="480" w:before="0" w:after="0"/>
        <w:ind w:left="0" w:right="34" w:hanging="0"/>
        <w:jc w:val="left"/>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There are other creatures living in the lonely lakes of Wales. Some are malevolent but not all. The fairy cattle, the </w:t>
      </w:r>
      <w:r>
        <w:rPr>
          <w:rFonts w:cs="Times New Roman" w:ascii="Times New Roman" w:hAnsi="Times New Roman"/>
          <w:b w:val="false"/>
          <w:bCs w:val="false"/>
          <w:i/>
          <w:iCs/>
          <w:caps w:val="false"/>
          <w:smallCaps w:val="false"/>
          <w:color w:val="000000"/>
          <w:spacing w:val="0"/>
          <w:sz w:val="24"/>
          <w:szCs w:val="24"/>
          <w:u w:val="none"/>
        </w:rPr>
        <w:t xml:space="preserve">Gwartheg y Llyn </w:t>
      </w:r>
      <w:r>
        <w:rPr>
          <w:rFonts w:cs="Times New Roman" w:ascii="Times New Roman" w:hAnsi="Times New Roman"/>
          <w:b w:val="false"/>
          <w:bCs w:val="false"/>
          <w:i w:val="false"/>
          <w:iCs w:val="false"/>
          <w:caps w:val="false"/>
          <w:smallCaps w:val="false"/>
          <w:color w:val="000000"/>
          <w:spacing w:val="0"/>
          <w:sz w:val="24"/>
          <w:szCs w:val="24"/>
          <w:u w:val="none"/>
        </w:rPr>
        <w:t>from Llyn Barfog in the hills above Aberdovey, provided the locals with good milk and produce but were reclaimed by the ‘elfin ladies of the lake’ when threatened with slaughter.</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6"/>
      </w:r>
      <w:r>
        <w:rPr>
          <w:rFonts w:cs="Times New Roman" w:ascii="Times New Roman" w:hAnsi="Times New Roman"/>
          <w:b w:val="false"/>
          <w:bCs w:val="false"/>
          <w:i w:val="false"/>
          <w:iCs w:val="false"/>
          <w:caps w:val="false"/>
          <w:smallCaps w:val="false"/>
          <w:color w:val="000000"/>
          <w:spacing w:val="0"/>
          <w:sz w:val="24"/>
          <w:szCs w:val="24"/>
          <w:u w:val="none"/>
        </w:rPr>
        <w:t xml:space="preserve"> Llyn Barfog was also home to an afanc. An afanc is sometimes described as a crocodile or terrible water horse but typically a terrifying monster, similar to the kelpie of Scottish folklore.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7"/>
      </w:r>
      <w:r>
        <w:rPr>
          <w:rFonts w:cs="Times New Roman" w:ascii="Times New Roman" w:hAnsi="Times New Roman"/>
          <w:b w:val="false"/>
          <w:bCs w:val="false"/>
          <w:i w:val="false"/>
          <w:iCs w:val="false"/>
          <w:caps w:val="false"/>
          <w:smallCaps w:val="false"/>
          <w:color w:val="000000"/>
          <w:spacing w:val="0"/>
          <w:sz w:val="24"/>
          <w:szCs w:val="24"/>
          <w:u w:val="none"/>
        </w:rPr>
        <w:t xml:space="preserve"> Unlike the Scottish water horses, who appear to have provided cautionary warnings against playing too close to water or not keeping church on a Sunday, the Welsh afanc appears to have little moral purpose other than to terrify people. Its origins may be from legendary tales. It is associated with King Arthur and his horse Llamrai. who drags it out of the Llyn Barfog. Llamrai’s hoof print may be seen today on a rock near the lake.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8"/>
      </w:r>
      <w:r>
        <w:rPr>
          <w:rStyle w:val="FootnoteAnchor"/>
          <w:rFonts w:cs="Times New Roman" w:ascii="Times New Roman" w:hAnsi="Times New Roman"/>
          <w:b w:val="false"/>
          <w:bCs w:val="false"/>
          <w:i w:val="false"/>
          <w:iCs w:val="false"/>
          <w:caps w:val="false"/>
          <w:smallCaps w:val="false"/>
          <w:color w:val="000000"/>
          <w:spacing w:val="0"/>
          <w:sz w:val="24"/>
          <w:szCs w:val="24"/>
          <w:u w:val="none"/>
        </w:rPr>
        <w:t xml:space="preserve">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r>
        <w:rP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John Rh</w:t>
      </w:r>
      <w:r>
        <w:rPr>
          <w:rFonts w:cs="Times New Roman" w:ascii="Times New Roman" w:hAnsi="Times New Roman"/>
          <w:b w:val="false"/>
          <w:bCs w:val="false"/>
          <w:i w:val="false"/>
          <w:iCs w:val="false"/>
          <w:caps w:val="false"/>
          <w:smallCaps w:val="false"/>
          <w:color w:val="000000"/>
          <w:spacing w:val="0"/>
          <w:sz w:val="24"/>
          <w:szCs w:val="24"/>
          <w:u w:val="none"/>
        </w:rPr>
        <w:t>ys believed that the monster confronted by Peredur in the Mabinogion was an afanc.</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29"/>
      </w:r>
      <w:r>
        <w:rPr>
          <w:rFonts w:cs="Times New Roman" w:ascii="Times New Roman" w:hAnsi="Times New Roman"/>
          <w:b w:val="false"/>
          <w:bCs w:val="false"/>
          <w:i w:val="false"/>
          <w:iCs w:val="false"/>
          <w:caps w:val="false"/>
          <w:smallCaps w:val="false"/>
          <w:color w:val="000000"/>
          <w:spacing w:val="0"/>
          <w:sz w:val="24"/>
          <w:szCs w:val="24"/>
          <w:u w:val="none"/>
        </w:rPr>
        <w:t xml:space="preserve"> The horse-like </w:t>
      </w:r>
      <w:r>
        <w:rPr>
          <w:rFonts w:cs="Times New Roman" w:ascii="Times New Roman" w:hAnsi="Times New Roman"/>
          <w:b w:val="false"/>
          <w:bCs w:val="false"/>
          <w:i/>
          <w:iCs/>
          <w:caps w:val="false"/>
          <w:smallCaps w:val="false"/>
          <w:color w:val="000000"/>
          <w:spacing w:val="0"/>
          <w:sz w:val="24"/>
          <w:szCs w:val="24"/>
          <w:u w:val="none"/>
        </w:rPr>
        <w:t>ceffyl-y-dwfr</w:t>
      </w:r>
      <w:r>
        <w:rPr>
          <w:rFonts w:cs="Times New Roman" w:ascii="Times New Roman" w:hAnsi="Times New Roman"/>
          <w:b w:val="false"/>
          <w:bCs w:val="false"/>
          <w:i w:val="false"/>
          <w:iCs w:val="false"/>
          <w:caps w:val="false"/>
          <w:smallCaps w:val="false"/>
          <w:color w:val="000000"/>
          <w:spacing w:val="0"/>
          <w:sz w:val="24"/>
          <w:szCs w:val="24"/>
          <w:u w:val="none"/>
        </w:rPr>
        <w:t xml:space="preserve"> is perhaps is more reminiscent of a kelpie and only clergy men could ride them. The snake that lived at Llyn Cynwch near Dolgellau was killed by a local shepherd, Meredith, and his dogs and is buried on the mountain above the lake. At the time of writing in 1980, Mary Corbett Harris wrote that the older people still called this area, the ’</w:t>
      </w:r>
      <w:r>
        <w:rPr>
          <w:rFonts w:cs="Times New Roman" w:ascii="Times New Roman" w:hAnsi="Times New Roman"/>
          <w:b w:val="false"/>
          <w:bCs w:val="false"/>
          <w:i/>
          <w:iCs/>
          <w:caps w:val="false"/>
          <w:smallCaps w:val="false"/>
          <w:color w:val="000000"/>
          <w:spacing w:val="0"/>
          <w:sz w:val="24"/>
          <w:szCs w:val="24"/>
          <w:u w:val="none"/>
        </w:rPr>
        <w:t>Carnedd-bedd-y-wiber',</w:t>
      </w:r>
      <w:r>
        <w:rPr>
          <w:rFonts w:cs="Times New Roman" w:ascii="Times New Roman" w:hAnsi="Times New Roman"/>
          <w:b w:val="false"/>
          <w:bCs w:val="false"/>
          <w:i w:val="false"/>
          <w:iCs w:val="false"/>
          <w:caps w:val="false"/>
          <w:smallCaps w:val="false"/>
          <w:color w:val="000000"/>
          <w:spacing w:val="0"/>
          <w:sz w:val="24"/>
          <w:szCs w:val="24"/>
          <w:u w:val="none"/>
        </w:rPr>
        <w:t xml:space="preserve"> the Grave of the Serpent’.</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0"/>
      </w:r>
      <w:r>
        <w:rPr>
          <w:rFonts w:cs="Times New Roman" w:ascii="Times New Roman" w:hAnsi="Times New Roman"/>
          <w:b w:val="false"/>
          <w:bCs w:val="false"/>
          <w:i w:val="false"/>
          <w:iCs w:val="false"/>
          <w:caps w:val="false"/>
          <w:smallCaps w:val="false"/>
          <w:color w:val="000000"/>
          <w:spacing w:val="0"/>
          <w:sz w:val="24"/>
          <w:szCs w:val="24"/>
          <w:u w:val="none"/>
        </w:rPr>
        <w:t xml:space="preserve"> Llyn Cynwych was also the home to fairies as a local servant found out after he fell in. He found he could breathe under the water. The fairies welcomed him and showed him around their under water palace. In a motif consistent with other such tales about visits to the Otherworld, the servant thinks he has only been gone a few months but has in fact been gone a few months.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1"/>
      </w:r>
      <w:r>
        <w:rPr>
          <w:rFonts w:cs="Times New Roman" w:ascii="Times New Roman" w:hAnsi="Times New Roman"/>
          <w:b w:val="false"/>
          <w:bCs w:val="false"/>
          <w:i w:val="false"/>
          <w:iCs w:val="false"/>
          <w:caps w:val="false"/>
          <w:smallCaps w:val="false"/>
          <w:color w:val="CE181E"/>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 xml:space="preserve"> As in other parts of the British Isles swamps and bog lands had their bogey men, the ‘hags of the mists’, such as the frightening </w:t>
      </w:r>
      <w:r>
        <w:rPr>
          <w:rFonts w:cs="Times New Roman" w:ascii="Times New Roman" w:hAnsi="Times New Roman"/>
          <w:b w:val="false"/>
          <w:bCs w:val="false"/>
          <w:i/>
          <w:iCs/>
          <w:caps w:val="false"/>
          <w:smallCaps w:val="false"/>
          <w:color w:val="000000"/>
          <w:spacing w:val="0"/>
          <w:sz w:val="24"/>
          <w:szCs w:val="24"/>
          <w:u w:val="none"/>
        </w:rPr>
        <w:t xml:space="preserve">Gwrach- y- rhibyn, </w:t>
      </w:r>
      <w:r>
        <w:rPr>
          <w:rFonts w:cs="Times New Roman" w:ascii="Times New Roman" w:hAnsi="Times New Roman"/>
          <w:b w:val="false"/>
          <w:bCs w:val="false"/>
          <w:i w:val="false"/>
          <w:iCs w:val="false"/>
          <w:caps w:val="false"/>
          <w:smallCaps w:val="false"/>
          <w:color w:val="000000"/>
          <w:spacing w:val="0"/>
          <w:sz w:val="24"/>
          <w:szCs w:val="24"/>
          <w:u w:val="none"/>
        </w:rPr>
        <w:t>who would fly out of a marsh near Caerphilly castle with ‘ bat like wings and long black hair’.</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2"/>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t xml:space="preserve"> </w:t>
      </w:r>
    </w:p>
    <w:p>
      <w:pPr>
        <w:pStyle w:val="Normal"/>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Lonely places are, perhaps, bound to attract cautionary tales. Llyn Gwernan upon Cadair Idris was said to be the home of a green man. He would watch the walkers come up the mountains and bring down mists crying ‘ the hour is come, the hours is come’ until they fell to their deaths. Then he would take their bodies to his home at the bottom of the lake.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3"/>
      </w:r>
      <w:r>
        <w:rPr>
          <w:rFonts w:cs="Times New Roman" w:ascii="Times New Roman" w:hAnsi="Times New Roman"/>
          <w:b w:val="false"/>
          <w:bCs w:val="false"/>
          <w:i w:val="false"/>
          <w:iCs w:val="false"/>
          <w:caps w:val="false"/>
          <w:smallCaps w:val="false"/>
          <w:color w:val="000000"/>
          <w:spacing w:val="0"/>
          <w:sz w:val="24"/>
          <w:szCs w:val="24"/>
          <w:u w:val="none"/>
        </w:rPr>
        <w:t xml:space="preserve"> This green man resembles the </w:t>
      </w:r>
      <w:r>
        <w:rPr>
          <w:rFonts w:cs="Times New Roman" w:ascii="Times New Roman" w:hAnsi="Times New Roman"/>
          <w:b w:val="false"/>
          <w:bCs w:val="false"/>
          <w:i/>
          <w:iCs/>
          <w:caps w:val="false"/>
          <w:smallCaps w:val="false"/>
          <w:color w:val="000000"/>
          <w:spacing w:val="0"/>
          <w:sz w:val="24"/>
          <w:szCs w:val="24"/>
          <w:u w:val="none"/>
        </w:rPr>
        <w:t xml:space="preserve">Y Brenin Llwyd, </w:t>
      </w:r>
      <w:r>
        <w:rPr>
          <w:rFonts w:cs="Times New Roman" w:ascii="Times New Roman" w:hAnsi="Times New Roman"/>
          <w:b w:val="false"/>
          <w:bCs w:val="false"/>
          <w:i w:val="false"/>
          <w:iCs w:val="false"/>
          <w:caps w:val="false"/>
          <w:smallCaps w:val="false"/>
          <w:color w:val="000000"/>
          <w:spacing w:val="0"/>
          <w:sz w:val="24"/>
          <w:szCs w:val="24"/>
          <w:u w:val="none"/>
        </w:rPr>
        <w:t>the old Grey King who lived on top of the mountains but the folklorist Mary Corbett Harris tells us he was ‘quite harmless’.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4"/>
      </w:r>
      <w:r>
        <w:rPr>
          <w:rFonts w:cs="Times New Roman" w:ascii="Times New Roman" w:hAnsi="Times New Roman"/>
          <w:b w:val="false"/>
          <w:bCs w:val="false"/>
          <w:i w:val="false"/>
          <w:iCs w:val="false"/>
          <w:caps w:val="false"/>
          <w:smallCaps w:val="false"/>
          <w:color w:val="000000"/>
          <w:spacing w:val="0"/>
          <w:sz w:val="24"/>
          <w:szCs w:val="24"/>
          <w:u w:val="none"/>
        </w:rPr>
        <w:t xml:space="preserve"> The origins of such tales are likely lost, but some features such as the warning cry ‘ the hour has come’ may be heard in another group of tales, those concerning floods and inundations.</w:t>
      </w:r>
    </w:p>
    <w:p>
      <w:pPr>
        <w:pStyle w:val="NormalWeb"/>
        <w:spacing w:lineRule="auto" w:line="480" w:before="0" w:after="0"/>
        <w:ind w:left="0" w:right="34" w:hanging="0"/>
        <w:jc w:val="both"/>
        <w:rPr>
          <w:rFonts w:ascii="Times New Roman" w:hAnsi="Times New Roman" w:cs="Times New Roman"/>
          <w:i w:val="false"/>
          <w:i w:val="false"/>
          <w:iCs w:val="false"/>
          <w:caps w:val="false"/>
          <w:smallCaps w:val="false"/>
          <w:color w:val="000000"/>
          <w:spacing w:val="0"/>
          <w:sz w:val="24"/>
          <w:szCs w:val="24"/>
        </w:rPr>
      </w:pPr>
      <w:r>
        <w:rPr>
          <w:rFonts w:cs="Times New Roman" w:ascii="Times New Roman" w:hAnsi="Times New Roman"/>
          <w:i w:val="false"/>
          <w:iCs w:val="false"/>
          <w:caps w:val="false"/>
          <w:smallCaps w:val="false"/>
          <w:color w:val="000000"/>
          <w:spacing w:val="0"/>
          <w:sz w:val="24"/>
          <w:szCs w:val="24"/>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Wales has many lakes and many have stories about drowned towns and villages, swallowed by flood waters in a distant past. Sir John Rh</w:t>
      </w:r>
      <w:r>
        <w:rPr>
          <w:rFonts w:eastAsia="SimSun" w:cs="Times New Roman" w:ascii="Times New Roman" w:hAnsi="Times New Roman"/>
          <w:b w:val="false"/>
          <w:bCs w:val="false"/>
          <w:i w:val="false"/>
          <w:iCs w:val="false"/>
          <w:caps w:val="false"/>
          <w:smallCaps w:val="false"/>
          <w:color w:val="000000"/>
          <w:spacing w:val="0"/>
          <w:sz w:val="24"/>
          <w:szCs w:val="24"/>
          <w:u w:val="none"/>
        </w:rPr>
        <w:t>ŷ</w:t>
      </w:r>
      <w:r>
        <w:rPr>
          <w:rFonts w:cs="Times New Roman" w:ascii="Times New Roman" w:hAnsi="Times New Roman"/>
          <w:b w:val="false"/>
          <w:bCs w:val="false"/>
          <w:i w:val="false"/>
          <w:iCs w:val="false"/>
          <w:caps w:val="false"/>
          <w:smallCaps w:val="false"/>
          <w:color w:val="000000"/>
          <w:spacing w:val="0"/>
          <w:sz w:val="24"/>
          <w:szCs w:val="24"/>
          <w:u w:val="none"/>
        </w:rPr>
        <w:t>s wrote that such stories can be split into two groups: those that are a punishment ‘ of the wicked and dissolute’ and those with no explanation.</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5"/>
      </w:r>
      <w:r>
        <w:rPr>
          <w:rFonts w:cs="Times New Roman" w:ascii="Times New Roman" w:hAnsi="Times New Roman"/>
          <w:b w:val="false"/>
          <w:bCs w:val="false"/>
          <w:i w:val="false"/>
          <w:iCs w:val="false"/>
          <w:caps w:val="false"/>
          <w:smallCaps w:val="false"/>
          <w:color w:val="000000"/>
          <w:spacing w:val="0"/>
          <w:sz w:val="24"/>
          <w:szCs w:val="24"/>
          <w:u w:val="none"/>
        </w:rPr>
        <w:t xml:space="preserve">  Tregaron and Talley Lakes both have sunken towns and Pencarreg Lake near Lampeter is said to be ‘bottomless’.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6"/>
      </w:r>
      <w:r>
        <w:rPr>
          <w:rFonts w:cs="Times New Roman" w:ascii="Times New Roman" w:hAnsi="Times New Roman"/>
          <w:b w:val="false"/>
          <w:bCs w:val="false"/>
          <w:i w:val="false"/>
          <w:iCs w:val="false"/>
          <w:caps w:val="false"/>
          <w:smallCaps w:val="false"/>
          <w:color w:val="000000"/>
          <w:spacing w:val="0"/>
          <w:sz w:val="24"/>
          <w:szCs w:val="24"/>
          <w:u w:val="none"/>
        </w:rPr>
        <w:t xml:space="preserve"> The origin of such tales has provoked many theories. The folklorist, J. Cerridig Davies, believed that they ‘probably came down from pre-historic times, when people dwelt in lake habitations’.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7"/>
      </w:r>
      <w:r>
        <w:rPr>
          <w:rFonts w:cs="Times New Roman" w:ascii="Times New Roman" w:hAnsi="Times New Roman"/>
          <w:b w:val="false"/>
          <w:bCs w:val="false"/>
          <w:i w:val="false"/>
          <w:iCs w:val="false"/>
          <w:caps w:val="false"/>
          <w:smallCaps w:val="false"/>
          <w:color w:val="000000"/>
          <w:spacing w:val="0"/>
          <w:sz w:val="24"/>
          <w:szCs w:val="24"/>
          <w:u w:val="none"/>
        </w:rPr>
        <w:t xml:space="preserve"> Certainly this gives great credence to the endurance of the orality of such tales but it is difficult to be certain. The folklorist Mary Corbett Harris blames the weather, heavy rain causing such a flood that it embedded itself in folk memory</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38"/>
      </w:r>
      <w:r>
        <w:rP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T</w:t>
      </w:r>
      <w:r>
        <w:rPr>
          <w:rFonts w:cs="Times New Roman" w:ascii="Times New Roman" w:hAnsi="Times New Roman"/>
          <w:b w:val="false"/>
          <w:bCs w:val="false"/>
          <w:i w:val="false"/>
          <w:iCs w:val="false"/>
          <w:caps w:val="false"/>
          <w:smallCaps w:val="false"/>
          <w:color w:val="000000"/>
          <w:spacing w:val="0"/>
          <w:sz w:val="24"/>
          <w:szCs w:val="24"/>
          <w:u w:val="none"/>
        </w:rPr>
        <w:t>he similarities between stories does not necessarily mean that they are the reminders of ancient tales from a distant past. However, we cannot ignore such international examples as the tale of Atlantis, which has influenced storytelling across continents since at least the fifth century BCE.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39"/>
      </w:r>
      <w:r>
        <w:rPr>
          <w:rFonts w:cs="Times New Roman" w:ascii="Times New Roman" w:hAnsi="Times New Roman"/>
          <w:b w:val="false"/>
          <w:bCs w:val="false"/>
          <w:i w:val="false"/>
          <w:iCs w:val="false"/>
          <w:caps w:val="false"/>
          <w:smallCaps w:val="false"/>
          <w:color w:val="000000"/>
          <w:spacing w:val="0"/>
          <w:sz w:val="24"/>
          <w:szCs w:val="24"/>
          <w:u w:val="none"/>
        </w:rPr>
        <w:t xml:space="preserve">  Stories of floods and deluge often serve as warnings and examples of things to come if we do not take care and lakes serve as perfect vessels for these.</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Welsh lakes are very atmospheric.  Corbett Harris described Llyn Tegid or Lake Bala, now a popular tourist destination in Gwynedd, as having two personalities: one enjoyed by tourists playing in the sunshine and another felt on dark, wintery days, perhaps like the day a flood engulfed the old town.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0"/>
      </w:r>
      <w:r>
        <w:rPr>
          <w:rFonts w:cs="Times New Roman" w:ascii="Times New Roman" w:hAnsi="Times New Roman"/>
          <w:b w:val="false"/>
          <w:bCs w:val="false"/>
          <w:i w:val="false"/>
          <w:iCs w:val="false"/>
          <w:caps w:val="false"/>
          <w:smallCaps w:val="false"/>
          <w:color w:val="000000"/>
          <w:spacing w:val="0"/>
          <w:sz w:val="24"/>
          <w:szCs w:val="24"/>
          <w:u w:val="none"/>
        </w:rPr>
        <w:t xml:space="preserve"> This is a wide spread story which uses motifs found in other inundation stories throughout Wales: a warning voice, ‘Vengeance is come!’ alerting a minstrel, a harpist or steward that a disaster is nigh, a glove or cradle floating on the lake and the flood a punishment for a deed unforgiven.</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1"/>
      </w:r>
      <w:r>
        <w:rPr>
          <w:rFonts w:cs="Times New Roman" w:ascii="Times New Roman" w:hAnsi="Times New Roman"/>
          <w:b w:val="false"/>
          <w:bCs w:val="false"/>
          <w:i w:val="false"/>
          <w:iCs w:val="false"/>
          <w:caps w:val="false"/>
          <w:smallCaps w:val="false"/>
          <w:color w:val="000000"/>
          <w:spacing w:val="0"/>
          <w:sz w:val="24"/>
          <w:szCs w:val="24"/>
          <w:u w:val="none"/>
        </w:rPr>
        <w:t xml:space="preserve"> Llyn Llynclys, near Oswestry, or the Lake of the Swallowed Court, has attracted much retelling of its tale including a lyrical poem of the early nineteenth century by a Mr John Dovaston.</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2"/>
      </w:r>
      <w:r>
        <w:rPr>
          <w:rFonts w:cs="Times New Roman" w:ascii="Times New Roman" w:hAnsi="Times New Roman"/>
          <w:b w:val="false"/>
          <w:bCs w:val="false"/>
          <w:i w:val="false"/>
          <w:iCs w:val="false"/>
          <w:caps w:val="false"/>
          <w:smallCaps w:val="false"/>
          <w:color w:val="000000"/>
          <w:spacing w:val="0"/>
          <w:sz w:val="24"/>
          <w:szCs w:val="24"/>
          <w:u w:val="none"/>
        </w:rPr>
        <w:t xml:space="preserve">  But, there is one lake which, although it has an inundation legend attached, has other interesting tales unique to Wales. This is Llangorse Lake or Llyn Safaddon in the Brecon Beacons.</w:t>
      </w:r>
    </w:p>
    <w:p>
      <w:pPr>
        <w:pStyle w:val="NormalWeb"/>
        <w:spacing w:lineRule="auto" w:line="480" w:before="0" w:after="0"/>
        <w:ind w:left="0" w:right="34" w:hanging="0"/>
        <w:jc w:val="left"/>
        <w:rPr>
          <w:rFonts w:ascii="Times New Roman" w:hAnsi="Times New Roman"/>
          <w:b w:val="false"/>
          <w:b w:val="false"/>
          <w:bCs w:val="false"/>
          <w:u w:val="none"/>
        </w:rPr>
      </w:pPr>
      <w:r>
        <w:rPr>
          <w:rFonts w:ascii="Times New Roman" w:hAnsi="Times New Roman"/>
          <w:b w:val="false"/>
          <w:bCs w:val="false"/>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Llangorse lake attracts many visitors, not least for its water sports and fishing, and has attracted many stories. One such story about the flooding of the town of Safaddon has similar features to other inundation tales: a princess cannot marry a man because he is poor. The man kills a prior to rob him of treasure. The princess agrees to marriage but all is exposed and the fourth generation of their family is cursed by a monk.</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3"/>
      </w:r>
      <w:r>
        <w:rPr>
          <w:rFonts w:cs="Times New Roman" w:ascii="Times New Roman" w:hAnsi="Times New Roman"/>
          <w:b w:val="false"/>
          <w:bCs w:val="false"/>
          <w:i w:val="false"/>
          <w:iCs w:val="false"/>
          <w:caps w:val="false"/>
          <w:smallCaps w:val="false"/>
          <w:color w:val="000000"/>
          <w:spacing w:val="0"/>
          <w:sz w:val="24"/>
          <w:szCs w:val="24"/>
          <w:u w:val="none"/>
        </w:rPr>
        <w:t xml:space="preserve"> When the child is born the monk is led away for execution crying ‘vengeance is come!’ and the valley is filled with water with just a floating cradle containing the sleeping child. In this version, printed in 1908, the child conveniently grows up to be St Galstyn who remains patron saint of the church in nearby Llangasty and there are other differences but the essence remains.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4"/>
      </w:r>
      <w:r>
        <w:rPr>
          <w:rFonts w:cs="Times New Roman" w:ascii="Times New Roman" w:hAnsi="Times New Roman"/>
          <w:b w:val="false"/>
          <w:bCs w:val="false"/>
          <w:i w:val="false"/>
          <w:iCs w:val="false"/>
          <w:caps w:val="false"/>
          <w:smallCaps w:val="false"/>
          <w:color w:val="000000"/>
          <w:spacing w:val="0"/>
          <w:sz w:val="24"/>
          <w:szCs w:val="24"/>
          <w:u w:val="none"/>
        </w:rPr>
        <w:t xml:space="preserve"> In another version, the flood was sent by God to punish a wicked prince. The River Llyfni flooded the palace and it is said that to this day the waters of the Llyfni will not mix with the lake water on account of the evil prince.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5"/>
      </w:r>
      <w:r>
        <w:rPr>
          <w:rFonts w:cs="Times New Roman" w:ascii="Times New Roman" w:hAnsi="Times New Roman"/>
          <w:b w:val="false"/>
          <w:bCs w:val="false"/>
          <w:i w:val="false"/>
          <w:iCs w:val="false"/>
          <w:caps w:val="false"/>
          <w:smallCaps w:val="false"/>
          <w:color w:val="000000"/>
          <w:spacing w:val="0"/>
          <w:sz w:val="24"/>
          <w:szCs w:val="24"/>
          <w:u w:val="none"/>
        </w:rPr>
        <w:t xml:space="preserve"> It may be that such stories have adapted and been appropriated over time, as in the case of St Glastyn but some are suggestive of older traditions and parts may have been lost. Juliette Wood recounts a ‘fairy bride’ legend as written down by Walter Map in the twelfth century: King Brychan encounters beautiful fairy women dancing upon his land on the shores of Llangorse lake.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6"/>
      </w:r>
      <w:r>
        <w:rPr>
          <w:rFonts w:cs="Times New Roman" w:ascii="Times New Roman" w:hAnsi="Times New Roman"/>
          <w:b w:val="false"/>
          <w:bCs w:val="false"/>
          <w:i w:val="false"/>
          <w:iCs w:val="false"/>
          <w:caps w:val="false"/>
          <w:smallCaps w:val="false"/>
          <w:color w:val="000000"/>
          <w:spacing w:val="0"/>
          <w:sz w:val="24"/>
          <w:szCs w:val="24"/>
          <w:u w:val="none"/>
        </w:rPr>
        <w:t xml:space="preserve"> As they disappear into the lake he overhears how to catch one. She agrees to stay with him until he strikes her with iron. Wood identifies the common motifs, the ‘overheard secret’ and ‘ mortals overpowers fairy’, as written down by Map over eight hundred years ago. She concludes that coming from an oral tradition they must be much older in origin that at his time of recording.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7"/>
      </w:r>
      <w:r>
        <w:rPr>
          <w:rFonts w:cs="Times New Roman" w:ascii="Times New Roman" w:hAnsi="Times New Roman"/>
          <w:b w:val="false"/>
          <w:bCs w:val="false"/>
          <w:i w:val="false"/>
          <w:iCs w:val="false"/>
          <w:caps w:val="false"/>
          <w:smallCaps w:val="false"/>
          <w:color w:val="000000"/>
          <w:spacing w:val="0"/>
          <w:sz w:val="24"/>
          <w:szCs w:val="24"/>
          <w:u w:val="none"/>
        </w:rPr>
        <w:t xml:space="preserve"> Such tales may have been adapted according to local tradition, to bind them to one place. Gerald of Wales recorded a tale perhaps unique to Llangorse which took place in the time of Henry I.</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8"/>
      </w:r>
      <w:r>
        <w:rPr>
          <w:rFonts w:cs="Times New Roman" w:ascii="Times New Roman" w:hAnsi="Times New Roman"/>
          <w:b w:val="false"/>
          <w:bCs w:val="false"/>
          <w:i w:val="false"/>
          <w:iCs w:val="false"/>
          <w:caps w:val="false"/>
          <w:smallCaps w:val="false"/>
          <w:color w:val="000000"/>
          <w:spacing w:val="0"/>
          <w:sz w:val="24"/>
          <w:szCs w:val="24"/>
          <w:u w:val="none"/>
        </w:rPr>
        <w:t xml:space="preserve"> A Welsh noble, Gruffydd ap Rhys ap Tewdwr, was riding from court with the Earl of Hereford who teased him about his noble blood saying that there was a saying that if the rightful ruler clapped his hands over the lake at Llangorse all the birds would rise and burst into song. Of course nothing happened for the English lords but when Gruffydd clapped his hands all the birds ‘beat the water with their wings and began to sing’. Gerald also recorded local tales of the waters turning green or red and sometimes seen covered with orchards, gardens and buildings.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49"/>
      </w:r>
    </w:p>
    <w:p>
      <w:pPr>
        <w:pStyle w:val="NormalWeb"/>
        <w:spacing w:lineRule="auto" w:line="480" w:before="0" w:after="0"/>
        <w:ind w:left="0" w:right="34" w:hanging="0"/>
        <w:jc w:val="both"/>
        <w:rPr>
          <w:rFonts w:ascii="Times New Roman" w:hAnsi="Times New Roman"/>
          <w:b w:val="false"/>
          <w:b w:val="false"/>
          <w:bCs w:val="false"/>
          <w:u w:val="none"/>
        </w:rPr>
      </w:pPr>
      <w:r>
        <w:rPr>
          <w:rFonts w:ascii="Times New Roman" w:hAnsi="Times New Roman"/>
          <w:b w:val="false"/>
          <w:bCs w:val="false"/>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r>
      <w:r>
        <w:rPr>
          <w:rFonts w:cs="Times New Roman" w:ascii="Times New Roman" w:hAnsi="Times New Roman"/>
          <w:b w:val="false"/>
          <w:bCs w:val="false"/>
          <w:i w:val="false"/>
          <w:iCs w:val="false"/>
          <w:caps w:val="false"/>
          <w:smallCaps w:val="false"/>
          <w:color w:val="000000"/>
          <w:spacing w:val="0"/>
          <w:sz w:val="24"/>
          <w:szCs w:val="24"/>
          <w:u w:val="none"/>
        </w:rPr>
        <w:t>At Llangorse, t</w:t>
      </w:r>
      <w:r>
        <w:rPr>
          <w:rFonts w:cs="Times New Roman" w:ascii="Times New Roman" w:hAnsi="Times New Roman"/>
          <w:b w:val="false"/>
          <w:bCs w:val="false"/>
          <w:i w:val="false"/>
          <w:iCs w:val="false"/>
          <w:caps w:val="false"/>
          <w:smallCaps w:val="false"/>
          <w:color w:val="000000"/>
          <w:spacing w:val="0"/>
          <w:sz w:val="24"/>
          <w:szCs w:val="24"/>
          <w:u w:val="none"/>
        </w:rPr>
        <w:t>here is a reconstruction of a crannog, a lake dwelling more commonly found in Ireland and parts of Scotland.</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0"/>
      </w:r>
      <w:r>
        <w:rPr>
          <w:rFonts w:cs="Times New Roman" w:ascii="Times New Roman" w:hAnsi="Times New Roman"/>
          <w:b w:val="false"/>
          <w:bCs w:val="false"/>
          <w:i w:val="false"/>
          <w:iCs w:val="false"/>
          <w:caps w:val="false"/>
          <w:smallCaps w:val="false"/>
          <w:color w:val="000000"/>
          <w:spacing w:val="0"/>
          <w:sz w:val="24"/>
          <w:szCs w:val="24"/>
          <w:u w:val="none"/>
        </w:rPr>
        <w:t xml:space="preserve"> Excavations have shown this to be a high status dwelling, destroyed sometime in the tenth century, probably by the Saxons.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1"/>
      </w:r>
      <w:r>
        <w:rPr>
          <w:rFonts w:cs="Times New Roman" w:ascii="Times New Roman" w:hAnsi="Times New Roman"/>
          <w:b w:val="false"/>
          <w:bCs w:val="false"/>
          <w:i w:val="false"/>
          <w:iCs w:val="false"/>
          <w:caps w:val="false"/>
          <w:smallCaps w:val="false"/>
          <w:color w:val="000000"/>
          <w:spacing w:val="0"/>
          <w:sz w:val="24"/>
          <w:szCs w:val="24"/>
          <w:u w:val="none"/>
        </w:rPr>
        <w:t xml:space="preserve"> It is tempting to assume that many of these tales are related to this lost dynasty with its grand palace and a beautiful queen, and that they lingered on in folk memory. But some stories were attributed to other places with similar outcomes although it can be said that some of the Llangorse tales retain some unique features.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2"/>
      </w:r>
      <w:r>
        <w:rPr>
          <w:rFonts w:cs="Times New Roman" w:ascii="Times New Roman" w:hAnsi="Times New Roman"/>
          <w:b w:val="false"/>
          <w:bCs w:val="false"/>
          <w:i w:val="false"/>
          <w:iCs w:val="false"/>
          <w:caps w:val="false"/>
          <w:smallCaps w:val="false"/>
          <w:color w:val="000000"/>
          <w:spacing w:val="0"/>
          <w:sz w:val="24"/>
          <w:szCs w:val="24"/>
          <w:u w:val="none"/>
        </w:rPr>
        <w:t xml:space="preserve"> It may be that Llangorse tales impacted upon the construction of other folk tales.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In his exploration of coastal and lake tales around Wales, F. J. North acknowledges the ‘danger of drawing conclusions of apparently related legends without first of all assessing very carefully their validity as evidence’.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3"/>
      </w:r>
      <w:r>
        <w:rPr>
          <w:rFonts w:cs="Times New Roman" w:ascii="Times New Roman" w:hAnsi="Times New Roman"/>
          <w:b w:val="false"/>
          <w:bCs w:val="false"/>
          <w:i w:val="false"/>
          <w:iCs w:val="false"/>
          <w:caps w:val="false"/>
          <w:smallCaps w:val="false"/>
          <w:color w:val="000000"/>
          <w:spacing w:val="0"/>
          <w:sz w:val="24"/>
          <w:szCs w:val="24"/>
          <w:u w:val="none"/>
        </w:rPr>
        <w:t xml:space="preserve"> A tale has to start somewhere and he concluded that the Syfaddon tale may have been inspired by earlier stories and that Gerald of Wales may have written down tales that later became a folk memory regarding the crannog and its community. North repeats Rhys’s suggestion that the name Syfaddon could be of Goedelic origin (the rulers of this area were probably from Ireland)  and that it was the name of the wicked princess of the story, a member of the powerful tribe.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4"/>
      </w:r>
      <w:r>
        <w:rPr>
          <w:rFonts w:cs="Times New Roman" w:ascii="Times New Roman" w:hAnsi="Times New Roman"/>
          <w:b w:val="false"/>
          <w:bCs w:val="false"/>
          <w:i w:val="false"/>
          <w:iCs w:val="false"/>
          <w:caps w:val="false"/>
          <w:smallCaps w:val="false"/>
          <w:color w:val="000000"/>
          <w:spacing w:val="0"/>
          <w:sz w:val="24"/>
          <w:szCs w:val="24"/>
          <w:u w:val="none"/>
        </w:rPr>
        <w:t xml:space="preserve"> This is all very appealing but with little to substantiate such theories we must rely on the unique features of the lake such as its changing colours and the visions of orchards to account for its ‘otherness’ and liminal appeal.  There are other examples of tales that can be substantiated through surviving manuscripts, some of which we will encounter in our examination of folk tales related to rivers.</w:t>
      </w:r>
    </w:p>
    <w:p>
      <w:pPr>
        <w:pStyle w:val="NormalWeb"/>
        <w:spacing w:lineRule="auto" w:line="480" w:before="0" w:after="0"/>
        <w:ind w:left="0" w:right="34" w:hanging="0"/>
        <w:jc w:val="both"/>
        <w:rPr>
          <w:rFonts w:ascii="Times New Roman" w:hAnsi="Times New Roman" w:cs="Times New Roman"/>
          <w:b/>
          <w:b/>
          <w:bCs/>
          <w:i w:val="false"/>
          <w:i w:val="false"/>
          <w:iCs w:val="false"/>
          <w:caps w:val="false"/>
          <w:smallCaps w:val="false"/>
          <w:color w:val="000000"/>
          <w:spacing w:val="0"/>
          <w:sz w:val="24"/>
          <w:szCs w:val="24"/>
          <w:u w:val="single"/>
        </w:rPr>
      </w:pPr>
      <w:r>
        <w:rPr>
          <w:rFonts w:cs="Times New Roman" w:ascii="Times New Roman" w:hAnsi="Times New Roman"/>
          <w:b/>
          <w:bCs/>
          <w:i w:val="false"/>
          <w:iCs w:val="false"/>
          <w:caps w:val="false"/>
          <w:smallCaps w:val="false"/>
          <w:color w:val="000000"/>
          <w:spacing w:val="0"/>
          <w:sz w:val="24"/>
          <w:szCs w:val="24"/>
          <w:u w:val="single"/>
        </w:rPr>
      </w:r>
    </w:p>
    <w:p>
      <w:pPr>
        <w:pStyle w:val="NormalWeb"/>
        <w:spacing w:lineRule="auto" w:line="480" w:before="0" w:after="0"/>
        <w:ind w:left="0" w:right="34" w:hanging="0"/>
        <w:jc w:val="left"/>
        <w:rPr>
          <w:rFonts w:ascii="Times New Roman" w:hAnsi="Times New Roman" w:cs="Times New Roman"/>
          <w:b/>
          <w:b/>
          <w:bCs/>
          <w:i w:val="false"/>
          <w:i w:val="false"/>
          <w:iCs w:val="false"/>
          <w:caps w:val="false"/>
          <w:smallCaps w:val="false"/>
          <w:color w:val="000000"/>
          <w:spacing w:val="0"/>
          <w:sz w:val="24"/>
          <w:szCs w:val="24"/>
          <w:u w:val="single"/>
        </w:rPr>
      </w:pPr>
      <w:r>
        <w:rPr>
          <w:rFonts w:cs="Times New Roman" w:ascii="Times New Roman" w:hAnsi="Times New Roman"/>
          <w:b/>
          <w:bCs/>
          <w:i w:val="false"/>
          <w:iCs w:val="false"/>
          <w:caps w:val="false"/>
          <w:smallCaps w:val="false"/>
          <w:color w:val="000000"/>
          <w:spacing w:val="0"/>
          <w:sz w:val="24"/>
          <w:szCs w:val="24"/>
          <w:u w:val="single"/>
        </w:rPr>
        <w:t>Rivers</w:t>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Rivers were also venerated by early people who endowed them with a sense of sanctity and spirit of place that, for some, continues in these modern times. They became focii of cult practice and precious items were ritually deposited in them to honour the spirits who lived there. Some rivers were named after these spirits such as the River Severn whose source is at Plynlimon in the Cambrian Mountains.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5"/>
      </w:r>
      <w:r>
        <w:rPr>
          <w:rFonts w:cs="Times New Roman" w:ascii="Times New Roman" w:hAnsi="Times New Roman"/>
          <w:b w:val="false"/>
          <w:bCs w:val="false"/>
          <w:i w:val="false"/>
          <w:iCs w:val="false"/>
          <w:caps w:val="false"/>
          <w:smallCaps w:val="false"/>
          <w:color w:val="000000"/>
          <w:spacing w:val="0"/>
          <w:sz w:val="24"/>
          <w:szCs w:val="24"/>
          <w:u w:val="none"/>
        </w:rPr>
        <w:t xml:space="preserve">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The Severn was an important river.</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6"/>
      </w:r>
      <w:r>
        <w:rPr>
          <w:rFonts w:cs="Times New Roman" w:ascii="Times New Roman" w:hAnsi="Times New Roman"/>
          <w:b w:val="false"/>
          <w:bCs w:val="false"/>
          <w:i w:val="false"/>
          <w:iCs w:val="false"/>
          <w:caps w:val="false"/>
          <w:smallCaps w:val="false"/>
          <w:color w:val="000000"/>
          <w:spacing w:val="0"/>
          <w:sz w:val="24"/>
          <w:szCs w:val="24"/>
          <w:u w:val="none"/>
        </w:rPr>
        <w:t xml:space="preserve"> It is featured in many folk and legendary tales and has its own triad in the </w:t>
      </w:r>
      <w:r>
        <w:rPr>
          <w:rFonts w:cs="Times New Roman" w:ascii="Times New Roman" w:hAnsi="Times New Roman"/>
          <w:b w:val="false"/>
          <w:bCs w:val="false"/>
          <w:i/>
          <w:iCs/>
          <w:caps w:val="false"/>
          <w:smallCaps w:val="false"/>
          <w:color w:val="000000"/>
          <w:spacing w:val="0"/>
          <w:sz w:val="24"/>
          <w:szCs w:val="24"/>
          <w:u w:val="none"/>
        </w:rPr>
        <w:t>Trioedd Ynys Prydein.</w:t>
      </w:r>
      <w:r>
        <w:rPr>
          <w:rStyle w:val="FootnoteAnchor"/>
          <w:rStyle w:val="FootnoteAnchor"/>
          <w:rFonts w:cs="Times New Roman" w:ascii="Times New Roman" w:hAnsi="Times New Roman"/>
          <w:b w:val="false"/>
          <w:bCs w:val="false"/>
          <w:i/>
          <w:iCs/>
          <w:caps w:val="false"/>
          <w:smallCaps w:val="false"/>
          <w:color w:val="000000"/>
          <w:spacing w:val="0"/>
          <w:sz w:val="24"/>
          <w:szCs w:val="24"/>
          <w:u w:val="none"/>
        </w:rPr>
        <w:footnoteReference w:id="57"/>
      </w:r>
      <w:r>
        <w:rPr>
          <w:rFonts w:cs="Times New Roman" w:ascii="Times New Roman" w:hAnsi="Times New Roman"/>
          <w:b w:val="false"/>
          <w:bCs w:val="false"/>
          <w:i/>
          <w:iCs/>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Writing in the twelfth century,</w:t>
      </w:r>
      <w:r>
        <w:rPr>
          <w:rFonts w:cs="Times New Roman" w:ascii="Times New Roman" w:hAnsi="Times New Roman"/>
          <w:b w:val="false"/>
          <w:bCs w:val="false"/>
          <w:i/>
          <w:iCs/>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Geoffrey of Monmouth gives us one of the first written accounts of how the Severn got her name.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8"/>
      </w:r>
      <w:r>
        <w:rPr>
          <w:rStyle w:val="FootnoteAnchor"/>
          <w:rFonts w:cs="Times New Roman" w:ascii="Times New Roman" w:hAnsi="Times New Roman"/>
          <w:b w:val="false"/>
          <w:bCs w:val="false"/>
          <w:i w:val="false"/>
          <w:iCs w:val="false"/>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Locrinus, son of Brutus deserted his wife for his lover, Estrildis. Locrinus’s wife, Gwendolen, raises an army, kills Locrinus and orders Estrildis and their daughter, Habren, thrown into the river. Gwendolen decrees the river should be named after the girl and therefore it is ‘called Habren in the British language, although by a corruption of speech it is called Sabrina in the other tongue’.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59"/>
      </w:r>
      <w:r>
        <w:rPr>
          <w:rStyle w:val="FootnoteAnchor"/>
          <w:rFonts w:cs="Times New Roman" w:ascii="Times New Roman" w:hAnsi="Times New Roman"/>
          <w:b w:val="false"/>
          <w:bCs w:val="false"/>
          <w:i w:val="false"/>
          <w:iCs w:val="false"/>
          <w:caps w:val="false"/>
          <w:smallCaps w:val="false"/>
          <w:color w:val="000000"/>
          <w:spacing w:val="0"/>
          <w:sz w:val="24"/>
          <w:szCs w:val="24"/>
          <w:u w:val="none"/>
        </w:rPr>
        <w:t xml:space="preserve">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In 1634, Milton’s poem, ‘The Mask of Comus, was performed at Ludlow castle featuring the spirit of the river, the nymph ‘Sabrina’, alluding to the unknown and supernatural aspects of the river.</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60"/>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r>
        <w:rP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Several hundred years later Ceredig Davies recorded that the rivers Severn, Wye and Rheidol</w:t>
      </w:r>
      <w:r>
        <w:rPr>
          <w:rFonts w:cs="Times New Roman" w:ascii="Times New Roman" w:hAnsi="Times New Roman"/>
          <w:b w:val="false"/>
          <w:bCs w:val="false"/>
          <w:i w:val="false"/>
          <w:iCs w:val="false"/>
          <w:caps w:val="false"/>
          <w:smallCaps w:val="false"/>
          <w:color w:val="000000"/>
          <w:spacing w:val="0"/>
          <w:sz w:val="24"/>
          <w:szCs w:val="24"/>
          <w:u w:val="none"/>
        </w:rPr>
        <w:t xml:space="preserve"> got their names from three sisters who each took a different route to the sea. Severn rose first and took the longest route with Rhiedol rising last taking the shortest route to Aberystwyth.</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1"/>
      </w:r>
      <w:r>
        <w:rPr>
          <w:rFonts w:cs="Times New Roman" w:ascii="Times New Roman" w:hAnsi="Times New Roman"/>
          <w:b w:val="false"/>
          <w:bCs w:val="false"/>
          <w:i w:val="false"/>
          <w:iCs w:val="false"/>
          <w:caps w:val="false"/>
          <w:smallCaps w:val="false"/>
          <w:color w:val="000000"/>
          <w:spacing w:val="0"/>
          <w:sz w:val="24"/>
          <w:szCs w:val="24"/>
          <w:u w:val="none"/>
        </w:rPr>
        <w:t xml:space="preserve">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Rivers, like lakes, were liminal places, potentially dangerous, that gave rise to strange phenomena and stranger stories. According to the ninth century </w:t>
      </w:r>
      <w:r>
        <w:rPr>
          <w:rFonts w:cs="Times New Roman" w:ascii="Times New Roman" w:hAnsi="Times New Roman"/>
          <w:b w:val="false"/>
          <w:bCs w:val="false"/>
          <w:i/>
          <w:iCs/>
          <w:caps w:val="false"/>
          <w:smallCaps w:val="false"/>
          <w:color w:val="000000"/>
          <w:spacing w:val="0"/>
          <w:sz w:val="24"/>
          <w:szCs w:val="24"/>
          <w:u w:val="none"/>
        </w:rPr>
        <w:t xml:space="preserve">Historia Brittonum, </w:t>
      </w:r>
      <w:r>
        <w:rPr>
          <w:rFonts w:cs="Times New Roman" w:ascii="Times New Roman" w:hAnsi="Times New Roman"/>
          <w:b w:val="false"/>
          <w:bCs w:val="false"/>
          <w:i w:val="false"/>
          <w:iCs w:val="false"/>
          <w:caps w:val="false"/>
          <w:smallCaps w:val="false"/>
          <w:color w:val="000000"/>
          <w:spacing w:val="0"/>
          <w:sz w:val="24"/>
          <w:szCs w:val="24"/>
          <w:u w:val="none"/>
        </w:rPr>
        <w:t>there was a legendary whirlpool off the southern reaches of the Severn called Lin Lingua. A possible site for this has been suggested near Caerwent, a feature once known locally as the ‘whirlyholes’ now long disappeared.</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2"/>
      </w:r>
      <w:r>
        <w:rPr>
          <w:rFonts w:cs="Times New Roman" w:ascii="Times New Roman" w:hAnsi="Times New Roman"/>
          <w:b w:val="false"/>
          <w:bCs w:val="false"/>
          <w:i w:val="false"/>
          <w:iCs w:val="false"/>
          <w:caps w:val="false"/>
          <w:smallCaps w:val="false"/>
          <w:color w:val="000000"/>
          <w:spacing w:val="0"/>
          <w:sz w:val="24"/>
          <w:szCs w:val="24"/>
          <w:u w:val="none"/>
        </w:rPr>
        <w:t xml:space="preserve"> In stories such natural features provided a relevance and focus for local people listening to the tales and this could be Llyn Lliw from the tale </w:t>
      </w:r>
      <w:r>
        <w:rPr>
          <w:rFonts w:cs="Times New Roman" w:ascii="Times New Roman" w:hAnsi="Times New Roman"/>
          <w:b w:val="false"/>
          <w:bCs w:val="false"/>
          <w:i/>
          <w:iCs/>
          <w:caps w:val="false"/>
          <w:smallCaps w:val="false"/>
          <w:color w:val="000000"/>
          <w:spacing w:val="0"/>
          <w:sz w:val="24"/>
          <w:szCs w:val="24"/>
          <w:u w:val="none"/>
        </w:rPr>
        <w:t xml:space="preserve">How Culhwch Won Olwen. </w:t>
      </w:r>
      <w:r>
        <w:rPr>
          <w:rFonts w:cs="Times New Roman" w:ascii="Times New Roman" w:hAnsi="Times New Roman"/>
          <w:b w:val="false"/>
          <w:bCs w:val="false"/>
          <w:i w:val="false"/>
          <w:iCs w:val="false"/>
          <w:caps w:val="false"/>
          <w:smallCaps w:val="false"/>
          <w:color w:val="000000"/>
          <w:spacing w:val="0"/>
          <w:sz w:val="24"/>
          <w:szCs w:val="24"/>
          <w:u w:val="none"/>
        </w:rPr>
        <w:t>Llyn Lliw was</w:t>
      </w:r>
      <w:r>
        <w:rPr>
          <w:rFonts w:cs="Times New Roman" w:ascii="Times New Roman" w:hAnsi="Times New Roman"/>
          <w:b w:val="false"/>
          <w:bCs w:val="false"/>
          <w:i/>
          <w:iCs/>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the home of a mighty Salmon who carried two of Arthur's men up stream to Gloucester, perhaps a reference to a tidal wave that travels upstream for considerable distance.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3"/>
      </w:r>
      <w:r>
        <w:rPr>
          <w:rFonts w:cs="Times New Roman" w:ascii="Times New Roman" w:hAnsi="Times New Roman"/>
          <w:b w:val="false"/>
          <w:bCs w:val="false"/>
          <w:i w:val="false"/>
          <w:iCs w:val="false"/>
          <w:caps w:val="false"/>
          <w:smallCaps w:val="false"/>
          <w:color w:val="000000"/>
          <w:spacing w:val="0"/>
          <w:sz w:val="24"/>
          <w:szCs w:val="24"/>
          <w:u w:val="none"/>
        </w:rPr>
        <w:t xml:space="preserve"> In the tale the salmon says that ‘ with every flood tide I travel up the river’ which may be a reference to this wave, known as the Severn bore.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4"/>
      </w:r>
      <w:r>
        <w:rPr>
          <w:rFonts w:cs="Times New Roman" w:ascii="Times New Roman" w:hAnsi="Times New Roman"/>
          <w:b w:val="false"/>
          <w:bCs w:val="false"/>
          <w:i w:val="false"/>
          <w:iCs w:val="false"/>
          <w:caps w:val="false"/>
          <w:smallCaps w:val="false"/>
          <w:color w:val="000000"/>
          <w:spacing w:val="0"/>
          <w:sz w:val="24"/>
          <w:szCs w:val="24"/>
          <w:u w:val="none"/>
        </w:rPr>
        <w:t xml:space="preserve"> In the same tale, the path of the great boar, the </w:t>
      </w:r>
      <w:r>
        <w:rPr>
          <w:rFonts w:cs="Times New Roman" w:ascii="Times New Roman" w:hAnsi="Times New Roman"/>
          <w:b w:val="false"/>
          <w:bCs w:val="false"/>
          <w:i/>
          <w:iCs/>
          <w:caps w:val="false"/>
          <w:smallCaps w:val="false"/>
          <w:color w:val="000000"/>
          <w:spacing w:val="0"/>
          <w:sz w:val="24"/>
          <w:szCs w:val="24"/>
          <w:u w:val="none"/>
        </w:rPr>
        <w:t>Twrch Trwyth,</w:t>
      </w:r>
      <w:r>
        <w:rPr>
          <w:rFonts w:cs="Times New Roman" w:ascii="Times New Roman" w:hAnsi="Times New Roman"/>
          <w:b w:val="false"/>
          <w:bCs w:val="false"/>
          <w:i w:val="false"/>
          <w:iCs w:val="false"/>
          <w:caps w:val="false"/>
          <w:smallCaps w:val="false"/>
          <w:color w:val="000000"/>
          <w:spacing w:val="0"/>
          <w:sz w:val="24"/>
          <w:szCs w:val="24"/>
          <w:u w:val="none"/>
        </w:rPr>
        <w:t xml:space="preserve"> across the Severn, may indicate a traditional crossing of the river. This may be another example of the relevance and importance of local land marks.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5"/>
      </w:r>
    </w:p>
    <w:p>
      <w:pPr>
        <w:pStyle w:val="NormalWeb"/>
        <w:spacing w:lineRule="auto" w:line="480" w:before="0" w:after="0"/>
        <w:ind w:left="0" w:right="34" w:hanging="0"/>
        <w:jc w:val="left"/>
        <w:rPr>
          <w:rFonts w:ascii="Times New Roman" w:hAnsi="Times New Roman"/>
          <w:b w:val="false"/>
          <w:b w:val="false"/>
          <w:bCs w:val="false"/>
          <w:u w:val="none"/>
        </w:rPr>
      </w:pPr>
      <w:r>
        <w:rPr>
          <w:rFonts w:ascii="Times New Roman" w:hAnsi="Times New Roman"/>
          <w:b w:val="false"/>
          <w:bCs w:val="false"/>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In the north of Wales runs the River Dee which forms part of a border between England and Wales. Gerald of Wales called it the </w:t>
      </w:r>
      <w:r>
        <w:rPr>
          <w:rFonts w:cs="Times New Roman" w:ascii="Times New Roman" w:hAnsi="Times New Roman"/>
          <w:b w:val="false"/>
          <w:bCs w:val="false"/>
          <w:i/>
          <w:iCs/>
          <w:caps w:val="false"/>
          <w:smallCaps w:val="false"/>
          <w:color w:val="000000"/>
          <w:spacing w:val="0"/>
          <w:sz w:val="24"/>
          <w:szCs w:val="24"/>
          <w:u w:val="none"/>
        </w:rPr>
        <w:t xml:space="preserve">Dwfr Dwy </w:t>
      </w:r>
      <w:r>
        <w:rPr>
          <w:rFonts w:cs="Times New Roman" w:ascii="Times New Roman" w:hAnsi="Times New Roman"/>
          <w:b w:val="false"/>
          <w:bCs w:val="false"/>
          <w:i w:val="false"/>
          <w:iCs w:val="false"/>
          <w:caps w:val="false"/>
          <w:smallCaps w:val="false"/>
          <w:color w:val="000000"/>
          <w:spacing w:val="0"/>
          <w:sz w:val="24"/>
          <w:szCs w:val="24"/>
          <w:u w:val="none"/>
        </w:rPr>
        <w:t>and wrote that it altered its fords every month, either towards England or Wales, depending upon who would win the war.</w:t>
      </w:r>
      <w:r>
        <w:rPr>
          <w:rStyle w:val="FootnoteAnchor"/>
          <w:rStyle w:val="FootnoteAnchor"/>
          <w:rFonts w:cs="Times New Roman" w:ascii="Times New Roman" w:hAnsi="Times New Roman"/>
          <w:b w:val="false"/>
          <w:bCs w:val="false"/>
          <w:i/>
          <w:iCs/>
          <w:caps w:val="false"/>
          <w:smallCaps w:val="false"/>
          <w:color w:val="000000"/>
          <w:spacing w:val="0"/>
          <w:sz w:val="24"/>
          <w:szCs w:val="24"/>
          <w:u w:val="none"/>
        </w:rPr>
        <w:footnoteReference w:id="66"/>
      </w:r>
      <w:r>
        <w:rPr>
          <w:rFonts w:cs="Times New Roman" w:ascii="Times New Roman" w:hAnsi="Times New Roman"/>
          <w:b w:val="false"/>
          <w:bCs w:val="false"/>
          <w:i w:val="false"/>
          <w:iCs w:val="false"/>
          <w:caps w:val="false"/>
          <w:smallCaps w:val="false"/>
          <w:color w:val="000000"/>
          <w:spacing w:val="0"/>
          <w:sz w:val="24"/>
          <w:szCs w:val="24"/>
          <w:u w:val="none"/>
        </w:rPr>
        <w:t xml:space="preserve"> John Rhys wrote that </w:t>
      </w:r>
      <w:r>
        <w:rPr>
          <w:rFonts w:cs="Times New Roman" w:ascii="Times New Roman" w:hAnsi="Times New Roman"/>
          <w:b w:val="false"/>
          <w:bCs w:val="false"/>
          <w:i/>
          <w:iCs/>
          <w:caps w:val="false"/>
          <w:smallCaps w:val="false"/>
          <w:color w:val="000000"/>
          <w:spacing w:val="0"/>
          <w:sz w:val="24"/>
          <w:szCs w:val="24"/>
          <w:u w:val="none"/>
        </w:rPr>
        <w:t xml:space="preserve">Dyfrdwy </w:t>
      </w:r>
      <w:r>
        <w:rPr>
          <w:rFonts w:cs="Times New Roman" w:ascii="Times New Roman" w:hAnsi="Times New Roman"/>
          <w:b w:val="false"/>
          <w:bCs w:val="false"/>
          <w:i w:val="false"/>
          <w:iCs w:val="false"/>
          <w:caps w:val="false"/>
          <w:smallCaps w:val="false"/>
          <w:color w:val="000000"/>
          <w:spacing w:val="0"/>
          <w:sz w:val="24"/>
          <w:szCs w:val="24"/>
          <w:u w:val="none"/>
        </w:rPr>
        <w:t>means ‘water of the divinity’ which may explain how in later folklore it had a reputation as a sacred river.</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7"/>
      </w:r>
      <w:r>
        <w:rPr>
          <w:rFonts w:cs="Times New Roman" w:ascii="Times New Roman" w:hAnsi="Times New Roman"/>
          <w:b w:val="false"/>
          <w:bCs w:val="false"/>
          <w:i w:val="false"/>
          <w:iCs w:val="false"/>
          <w:caps w:val="false"/>
          <w:smallCaps w:val="false"/>
          <w:color w:val="000000"/>
          <w:spacing w:val="0"/>
          <w:sz w:val="24"/>
          <w:szCs w:val="24"/>
          <w:u w:val="none"/>
        </w:rPr>
        <w:t xml:space="preserve"> Some even maintain it was named after a water spirit or a goddess.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8"/>
      </w:r>
      <w:r>
        <w:rPr>
          <w:rFonts w:cs="Times New Roman" w:ascii="Times New Roman" w:hAnsi="Times New Roman"/>
          <w:b w:val="false"/>
          <w:bCs w:val="false"/>
          <w:i w:val="false"/>
          <w:iCs w:val="false"/>
          <w:caps w:val="false"/>
          <w:smallCaps w:val="false"/>
          <w:color w:val="000000"/>
          <w:spacing w:val="0"/>
          <w:sz w:val="24"/>
          <w:szCs w:val="24"/>
          <w:u w:val="none"/>
        </w:rPr>
        <w:t xml:space="preserve"> Mary Corbett Harris wrote that the Dee flows through Bala lake without merging and that the Welsh would bow to the river and drink its waters before a battle.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69"/>
      </w:r>
      <w:r>
        <w:rPr>
          <w:rFonts w:cs="Times New Roman" w:ascii="Times New Roman" w:hAnsi="Times New Roman"/>
          <w:b w:val="false"/>
          <w:bCs w:val="false"/>
          <w:i w:val="false"/>
          <w:iCs w:val="false"/>
          <w:caps w:val="false"/>
          <w:smallCaps w:val="false"/>
          <w:color w:val="000000"/>
          <w:spacing w:val="0"/>
          <w:sz w:val="24"/>
          <w:szCs w:val="24"/>
          <w:u w:val="none"/>
        </w:rPr>
        <w:t xml:space="preserve"> Certainly such great rivers as the Dee, the Wye and the Severn were used as territorial boundaries and it is possible that certain rituals, real or imagined, would find their way into local tales.</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rFonts w:ascii="Times New Roman" w:hAnsi="Times New Roman"/>
        </w:rPr>
      </w:pPr>
      <w:r>
        <w:rPr>
          <w:rFonts w:cs="Times New Roman" w:ascii="Times New Roman" w:hAnsi="Times New Roman"/>
          <w:b w:val="false"/>
          <w:bCs w:val="false"/>
          <w:i w:val="false"/>
          <w:iCs w:val="false"/>
          <w:caps w:val="false"/>
          <w:smallCaps w:val="false"/>
          <w:color w:val="000000"/>
          <w:spacing w:val="0"/>
          <w:sz w:val="24"/>
          <w:szCs w:val="24"/>
          <w:u w:val="none"/>
        </w:rPr>
        <w:tab/>
        <w:t>There are warning tales attached to rivers concerning strange spirits, tricksters, and other terrifying creatures. The River Usk flows from the Black Mountain, west of the Brecon Beacons.  It is a pretty river but one that can be treacherous. There is story how, at Llantrisant, a young girl had her dress grabbed by an old ‘gnarled hand’. She managed to escape and ran home to her parents to be told the cautionary rhyme:</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240" w:before="0" w:after="0"/>
        <w:ind w:left="0" w:right="34" w:hanging="0"/>
        <w:jc w:val="center"/>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t>Nicky, Nicky Nye</w:t>
      </w:r>
    </w:p>
    <w:p>
      <w:pPr>
        <w:pStyle w:val="NormalWeb"/>
        <w:spacing w:lineRule="auto" w:line="240" w:before="0" w:after="0"/>
        <w:ind w:left="0" w:right="34" w:hanging="0"/>
        <w:jc w:val="center"/>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t>He pulls you downstream</w:t>
      </w:r>
    </w:p>
    <w:p>
      <w:pPr>
        <w:pStyle w:val="NormalWeb"/>
        <w:spacing w:lineRule="auto" w:line="240" w:before="0" w:after="0"/>
        <w:ind w:left="0" w:right="34" w:hanging="0"/>
        <w:jc w:val="center"/>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t>Beneath the water</w:t>
      </w:r>
    </w:p>
    <w:p>
      <w:pPr>
        <w:pStyle w:val="NormalWeb"/>
        <w:spacing w:lineRule="auto" w:line="240" w:before="0" w:after="0"/>
        <w:ind w:left="0" w:right="34" w:hanging="0"/>
        <w:jc w:val="center"/>
        <w:rPr/>
      </w:pPr>
      <w:r>
        <w:rPr>
          <w:rFonts w:cs="Times New Roman" w:ascii="Times New Roman" w:hAnsi="Times New Roman"/>
          <w:b w:val="false"/>
          <w:bCs w:val="false"/>
          <w:i w:val="false"/>
          <w:iCs w:val="false"/>
          <w:caps w:val="false"/>
          <w:smallCaps w:val="false"/>
          <w:color w:val="000000"/>
          <w:spacing w:val="0"/>
          <w:sz w:val="24"/>
          <w:szCs w:val="24"/>
          <w:u w:val="none"/>
        </w:rPr>
        <w:t>To drown, drown, die.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0"/>
      </w:r>
    </w:p>
    <w:p>
      <w:pPr>
        <w:pStyle w:val="NormalWeb"/>
        <w:spacing w:lineRule="auto" w:line="240" w:before="0" w:after="0"/>
        <w:ind w:left="0" w:right="34" w:hanging="0"/>
        <w:jc w:val="center"/>
        <w:rPr>
          <w:rStyle w:val="FootnoteAnchor"/>
          <w:rFonts w:ascii="Times New Roman" w:hAnsi="Times New Roman"/>
        </w:rPr>
      </w:pPr>
      <w:r>
        <w:rPr>
          <w:rFonts w:ascii="Times New Roman" w:hAnsi="Times New Roman"/>
        </w:rPr>
      </w:r>
    </w:p>
    <w:p>
      <w:pPr>
        <w:pStyle w:val="NormalWeb"/>
        <w:spacing w:lineRule="auto" w:line="480" w:before="0" w:after="0"/>
        <w:ind w:left="0" w:right="34" w:hanging="0"/>
        <w:jc w:val="center"/>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This creature may have served a similar purpose to Jenny Greenteeth, an old water ogre who lived underneath the meres in Ellesmere in the Shropshire Marches. Tales of Jenny were told to make sure youngsters took care near water and perhaps Nicky Nye was her Welsh cousin.</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1"/>
      </w:r>
    </w:p>
    <w:p>
      <w:pPr>
        <w:pStyle w:val="NormalWeb"/>
        <w:spacing w:lineRule="auto" w:line="480" w:before="0" w:after="0"/>
        <w:ind w:left="0" w:right="34" w:hanging="0"/>
        <w:jc w:val="left"/>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We have already discussed some of the otherworldly creatures that inhabited lakes and it is not uncommon to find some lurking in river tales such as such as the </w:t>
      </w:r>
      <w:r>
        <w:rPr>
          <w:rFonts w:cs="Times New Roman" w:ascii="Times New Roman" w:hAnsi="Times New Roman"/>
          <w:b w:val="false"/>
          <w:bCs w:val="false"/>
          <w:i/>
          <w:iCs/>
          <w:caps w:val="false"/>
          <w:smallCaps w:val="false"/>
          <w:color w:val="000000"/>
          <w:spacing w:val="0"/>
          <w:sz w:val="24"/>
          <w:szCs w:val="24"/>
          <w:u w:val="none"/>
        </w:rPr>
        <w:t>ceffyl-y-dwfr.</w:t>
      </w:r>
      <w:r>
        <w:rPr>
          <w:rStyle w:val="FootnoteAnchor"/>
          <w:rStyle w:val="FootnoteAnchor"/>
          <w:rFonts w:cs="Times New Roman" w:ascii="Times New Roman" w:hAnsi="Times New Roman"/>
          <w:b w:val="false"/>
          <w:bCs w:val="false"/>
          <w:i/>
          <w:iCs/>
          <w:caps w:val="false"/>
          <w:smallCaps w:val="false"/>
          <w:color w:val="000000"/>
          <w:spacing w:val="0"/>
          <w:sz w:val="24"/>
          <w:szCs w:val="24"/>
          <w:u w:val="none"/>
        </w:rPr>
        <w:footnoteReference w:id="72"/>
      </w:r>
      <w:r>
        <w:rPr>
          <w:rFonts w:cs="Times New Roman" w:ascii="Times New Roman" w:hAnsi="Times New Roman"/>
          <w:b w:val="false"/>
          <w:bCs w:val="false"/>
          <w:i w:val="false"/>
          <w:iCs w:val="false"/>
          <w:caps w:val="false"/>
          <w:smallCaps w:val="false"/>
          <w:color w:val="000000"/>
          <w:spacing w:val="0"/>
          <w:sz w:val="24"/>
          <w:szCs w:val="24"/>
          <w:u w:val="none"/>
        </w:rPr>
        <w:t xml:space="preserve"> The origins of such creatures are unclear but we can find references to them in medieval writings and  they maybe remnants of older tales. Some are described as demons, or, some like the afanc, as other creatures such as giant beavers.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3"/>
      </w:r>
      <w:r>
        <w:rPr>
          <w:rFonts w:cs="Times New Roman" w:ascii="Times New Roman" w:hAnsi="Times New Roman"/>
          <w:b w:val="false"/>
          <w:bCs w:val="false"/>
          <w:i w:val="false"/>
          <w:iCs w:val="false"/>
          <w:caps w:val="false"/>
          <w:smallCaps w:val="false"/>
          <w:color w:val="000000"/>
          <w:spacing w:val="0"/>
          <w:sz w:val="24"/>
          <w:szCs w:val="24"/>
          <w:u w:val="none"/>
        </w:rPr>
        <w:t xml:space="preserve"> Some may have been created to frighten children away from dangerous places.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4"/>
      </w:r>
      <w:r>
        <w:rPr>
          <w:rFonts w:cs="Times New Roman" w:ascii="Times New Roman" w:hAnsi="Times New Roman"/>
          <w:b w:val="false"/>
          <w:bCs w:val="false"/>
          <w:i w:val="false"/>
          <w:iCs w:val="false"/>
          <w:caps w:val="false"/>
          <w:smallCaps w:val="false"/>
          <w:color w:val="000000"/>
          <w:spacing w:val="0"/>
          <w:sz w:val="24"/>
          <w:szCs w:val="24"/>
          <w:u w:val="none"/>
        </w:rPr>
        <w:t xml:space="preserve"> John Rh</w:t>
      </w:r>
      <w:r>
        <w:rPr>
          <w:rFonts w:eastAsia="SimSun" w:cs="Times New Roman" w:ascii="Times New Roman" w:hAnsi="Times New Roman"/>
          <w:b w:val="false"/>
          <w:bCs w:val="false"/>
          <w:i w:val="false"/>
          <w:iCs w:val="false"/>
          <w:caps w:val="false"/>
          <w:smallCaps w:val="false"/>
          <w:color w:val="000000"/>
          <w:spacing w:val="0"/>
          <w:sz w:val="24"/>
          <w:szCs w:val="24"/>
          <w:u w:val="none"/>
        </w:rPr>
        <w:t>ŷ</w:t>
      </w:r>
      <w:r>
        <w:rPr>
          <w:rFonts w:cs="Times New Roman" w:ascii="Times New Roman" w:hAnsi="Times New Roman"/>
          <w:b w:val="false"/>
          <w:bCs w:val="false"/>
          <w:i w:val="false"/>
          <w:iCs w:val="false"/>
          <w:caps w:val="false"/>
          <w:smallCaps w:val="false"/>
          <w:color w:val="000000"/>
          <w:spacing w:val="0"/>
          <w:sz w:val="24"/>
          <w:szCs w:val="24"/>
          <w:u w:val="none"/>
        </w:rPr>
        <w:t>s, perhaps in an attempt to understand the origins of such strange creatures, concluded that the monstrous ‘afanc’ was a term ‘ originally applied to the fairies in their more unlovely aspects’.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5"/>
      </w:r>
      <w:r>
        <w:rPr>
          <w:rFonts w:cs="Times New Roman" w:ascii="Times New Roman" w:hAnsi="Times New Roman"/>
          <w:b w:val="false"/>
          <w:bCs w:val="false"/>
          <w:i w:val="false"/>
          <w:iCs w:val="false"/>
          <w:caps w:val="false"/>
          <w:smallCaps w:val="false"/>
          <w:color w:val="CE181E"/>
          <w:spacing w:val="0"/>
          <w:sz w:val="24"/>
          <w:szCs w:val="24"/>
          <w:u w:val="none"/>
        </w:rPr>
        <w:t xml:space="preserve">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CE181E"/>
          <w:spacing w:val="0"/>
          <w:sz w:val="24"/>
          <w:szCs w:val="24"/>
          <w:u w:val="none"/>
        </w:rPr>
      </w:pPr>
      <w:r>
        <w:rPr>
          <w:rFonts w:cs="Times New Roman" w:ascii="Times New Roman" w:hAnsi="Times New Roman"/>
          <w:b w:val="false"/>
          <w:bCs w:val="false"/>
          <w:i w:val="false"/>
          <w:iCs w:val="false"/>
          <w:caps w:val="false"/>
          <w:smallCaps w:val="false"/>
          <w:color w:val="CE181E"/>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A well known story concerning an afanc was recorded in a letter of 1693, belonging to the antiquary Edward Llwyd.</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6"/>
      </w:r>
      <w:r>
        <w:rPr>
          <w:rFonts w:cs="Times New Roman" w:ascii="Times New Roman" w:hAnsi="Times New Roman"/>
          <w:b w:val="false"/>
          <w:bCs w:val="false"/>
          <w:i w:val="false"/>
          <w:iCs w:val="false"/>
          <w:caps w:val="false"/>
          <w:smallCaps w:val="false"/>
          <w:color w:val="000000"/>
          <w:spacing w:val="0"/>
          <w:sz w:val="24"/>
          <w:szCs w:val="24"/>
          <w:u w:val="none"/>
        </w:rPr>
        <w:t xml:space="preserve">  It tells how an afanc lived in the Conwy river, causing terrible floods and problems locally. It was enticed out of the lake by a young woman who sustained terrible injuries from him as a result. After being bound with iron chains by Ychen Bannog of Hu Gadarn, two magical Oxen pulled it up to Llyn Ffynnon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7"/>
      </w:r>
      <w:r>
        <w:rPr>
          <w:rFonts w:cs="Times New Roman" w:ascii="Times New Roman" w:hAnsi="Times New Roman"/>
          <w:b w:val="false"/>
          <w:bCs w:val="false"/>
          <w:i w:val="false"/>
          <w:iCs w:val="false"/>
          <w:caps w:val="false"/>
          <w:smallCaps w:val="false"/>
          <w:color w:val="000000"/>
          <w:spacing w:val="0"/>
          <w:sz w:val="24"/>
          <w:szCs w:val="24"/>
          <w:u w:val="none"/>
        </w:rPr>
        <w:t xml:space="preserve">  There, the afanc jumped in the lake and killed all the fish! There are other similar stories concerning the dragging of monsters from water by oxen or horses such as the afanc at Llyn Barfog.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8"/>
      </w:r>
      <w:r>
        <w:rPr>
          <w:rFonts w:cs="Times New Roman" w:ascii="Times New Roman" w:hAnsi="Times New Roman"/>
          <w:b w:val="false"/>
          <w:bCs w:val="false"/>
          <w:i w:val="false"/>
          <w:iCs w:val="false"/>
          <w:caps w:val="false"/>
          <w:smallCaps w:val="false"/>
          <w:color w:val="000000"/>
          <w:spacing w:val="0"/>
          <w:sz w:val="24"/>
          <w:szCs w:val="24"/>
          <w:u w:val="none"/>
        </w:rPr>
        <w:t xml:space="preserve"> Such tales are widespread and suggest, like those of the Otherworld or fairy brides, that these are migratory tales, old and well travelled.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79"/>
      </w:r>
      <w:r>
        <w:rPr>
          <w:rFonts w:cs="Times New Roman" w:ascii="Times New Roman" w:hAnsi="Times New Roman"/>
          <w:b w:val="false"/>
          <w:bCs w:val="false"/>
          <w:i w:val="false"/>
          <w:iCs w:val="false"/>
          <w:caps w:val="false"/>
          <w:smallCaps w:val="false"/>
          <w:color w:val="000000"/>
          <w:spacing w:val="0"/>
          <w:sz w:val="24"/>
          <w:szCs w:val="24"/>
          <w:u w:val="none"/>
        </w:rPr>
        <w:t xml:space="preserve">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As these tales were collected and written down, many translated from Welsh into English, it is likely that some of their essence was lost in the delivery and relocation. The Victorian antiquarians appear to have gilded and embellished some of the tales, adding their own interpretations and floating images such as golden boats and faces ‘pale and melancholy’.</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0"/>
      </w:r>
      <w:r>
        <w:rPr>
          <w:rFonts w:cs="Times New Roman" w:ascii="Times New Roman" w:hAnsi="Times New Roman"/>
          <w:b w:val="false"/>
          <w:bCs w:val="false"/>
          <w:i w:val="false"/>
          <w:iCs w:val="false"/>
          <w:caps w:val="false"/>
          <w:smallCaps w:val="false"/>
          <w:color w:val="000000"/>
          <w:spacing w:val="0"/>
          <w:sz w:val="24"/>
          <w:szCs w:val="24"/>
          <w:u w:val="none"/>
        </w:rPr>
        <w:t xml:space="preserve">  The romantic image of ‘the Celt’ was prevalent at this time and, as Juliette Wood writes, ‘the Celtic Twilight seems about to cast its roseate and distorting glow on the folklore itself’.</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1"/>
      </w:r>
      <w:r>
        <w:rPr>
          <w:rFonts w:cs="Times New Roman" w:ascii="Times New Roman" w:hAnsi="Times New Roman"/>
          <w:b w:val="false"/>
          <w:bCs w:val="false"/>
          <w:i w:val="false"/>
          <w:iCs w:val="false"/>
          <w:caps w:val="false"/>
          <w:smallCaps w:val="false"/>
          <w:color w:val="000000"/>
          <w:spacing w:val="0"/>
          <w:sz w:val="24"/>
          <w:szCs w:val="24"/>
          <w:u w:val="none"/>
        </w:rPr>
        <w:t xml:space="preserve">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Some nineteenth century collectors believed that many surviving folk tales,   those with fairy brides in lonely lakes and dangerous creatures lurking in dark rivers, for example, were evidence of ancient mythology and belief.</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82"/>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Their scripting of the tales can make it </w:t>
      </w:r>
      <w:r>
        <w:rPr>
          <w:rFonts w:cs="Times New Roman" w:ascii="Times New Roman" w:hAnsi="Times New Roman"/>
          <w:b w:val="false"/>
          <w:bCs w:val="false"/>
          <w:i w:val="false"/>
          <w:iCs w:val="false"/>
          <w:caps w:val="false"/>
          <w:smallCaps w:val="false"/>
          <w:color w:val="000000"/>
          <w:spacing w:val="0"/>
          <w:sz w:val="24"/>
          <w:szCs w:val="24"/>
          <w:u w:val="none"/>
        </w:rPr>
        <w:t xml:space="preserve">difficult to detect the ‘original’ elements of the story yet without the collectors, many tales would have disappeared and been lost for ever due to the effects of non-conformism, industrialisation and, latterly, the advent of modern technology. We will now briefly consider the progression of the tales into modern society and their impact today.  </w:t>
      </w:r>
    </w:p>
    <w:p>
      <w:pPr>
        <w:pStyle w:val="NormalWeb"/>
        <w:spacing w:lineRule="auto" w:line="480" w:before="0" w:after="0"/>
        <w:ind w:left="0" w:right="34" w:hanging="0"/>
        <w:jc w:val="left"/>
        <w:rPr>
          <w:rFonts w:ascii="Times New Roman" w:hAnsi="Times New Roman" w:cs="Times New Roman"/>
          <w:b/>
          <w:b/>
          <w:bCs/>
          <w:i w:val="false"/>
          <w:i w:val="false"/>
          <w:iCs w:val="false"/>
          <w:caps w:val="false"/>
          <w:smallCaps w:val="false"/>
          <w:color w:val="000000"/>
          <w:spacing w:val="0"/>
          <w:sz w:val="24"/>
          <w:szCs w:val="24"/>
          <w:u w:val="single"/>
        </w:rPr>
      </w:pPr>
      <w:r>
        <w:rPr>
          <w:rFonts w:cs="Times New Roman" w:ascii="Times New Roman" w:hAnsi="Times New Roman"/>
          <w:b/>
          <w:bCs/>
          <w:i w:val="false"/>
          <w:iCs w:val="false"/>
          <w:caps w:val="false"/>
          <w:smallCaps w:val="false"/>
          <w:color w:val="000000"/>
          <w:spacing w:val="0"/>
          <w:sz w:val="24"/>
          <w:szCs w:val="24"/>
          <w:u w:val="single"/>
        </w:rPr>
      </w:r>
    </w:p>
    <w:p>
      <w:pPr>
        <w:pStyle w:val="NormalWeb"/>
        <w:spacing w:lineRule="auto" w:line="480" w:before="0" w:after="0"/>
        <w:ind w:left="0" w:right="34" w:hanging="0"/>
        <w:jc w:val="left"/>
        <w:rPr>
          <w:rFonts w:ascii="Times New Roman" w:hAnsi="Times New Roman"/>
        </w:rPr>
      </w:pPr>
      <w:r>
        <w:rPr>
          <w:rFonts w:cs="Times New Roman" w:ascii="Times New Roman" w:hAnsi="Times New Roman"/>
          <w:b/>
          <w:bCs/>
          <w:i w:val="false"/>
          <w:iCs w:val="false"/>
          <w:caps w:val="false"/>
          <w:smallCaps w:val="false"/>
          <w:color w:val="000000"/>
          <w:spacing w:val="0"/>
          <w:sz w:val="24"/>
          <w:szCs w:val="24"/>
          <w:u w:val="single"/>
        </w:rPr>
        <w:t>The folk tale and modern society</w:t>
      </w:r>
    </w:p>
    <w:p>
      <w:pPr>
        <w:pStyle w:val="NormalWeb"/>
        <w:spacing w:lineRule="auto" w:line="480" w:before="0" w:after="0"/>
        <w:ind w:left="0" w:right="34"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ab/>
        <w:t xml:space="preserve">Water tales of lake and river are part of the broader genre of folk stories in the Welsh tradition and so it is necessary to look more generally at the relationship between the folk tale and modern society. Folk tales continued to be transmitted from generation to generation throughout Wales well into the last century. Neighbours would gather in each others house to keep company as they worked everyday tasks such as knitting and carding wool. Such </w:t>
      </w:r>
      <w:r>
        <w:rPr>
          <w:rFonts w:cs="Times New Roman" w:ascii="Times New Roman" w:hAnsi="Times New Roman"/>
          <w:b w:val="false"/>
          <w:bCs w:val="false"/>
          <w:i/>
          <w:iCs/>
          <w:caps w:val="false"/>
          <w:smallCaps w:val="false"/>
          <w:color w:val="000000"/>
          <w:spacing w:val="0"/>
          <w:sz w:val="24"/>
          <w:szCs w:val="24"/>
          <w:u w:val="none"/>
        </w:rPr>
        <w:t>pilnos</w:t>
      </w:r>
      <w:r>
        <w:rPr>
          <w:rFonts w:cs="Times New Roman" w:ascii="Times New Roman" w:hAnsi="Times New Roman"/>
          <w:b w:val="false"/>
          <w:bCs w:val="false"/>
          <w:i w:val="false"/>
          <w:iCs w:val="false"/>
          <w:caps w:val="false"/>
          <w:smallCaps w:val="false"/>
          <w:color w:val="000000"/>
          <w:spacing w:val="0"/>
          <w:sz w:val="24"/>
          <w:szCs w:val="24"/>
          <w:u w:val="none"/>
        </w:rPr>
        <w:t xml:space="preserve"> (or peeling nights, which may have got the name from the preparation of rushlights) were an opportunity to share news and tell tales.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3"/>
      </w:r>
      <w:r>
        <w:rPr>
          <w:rFonts w:cs="Times New Roman" w:ascii="Times New Roman" w:hAnsi="Times New Roman"/>
          <w:b w:val="false"/>
          <w:bCs w:val="false"/>
          <w:i w:val="false"/>
          <w:iCs w:val="false"/>
          <w:caps w:val="false"/>
          <w:smallCaps w:val="false"/>
          <w:color w:val="000000"/>
          <w:spacing w:val="0"/>
          <w:sz w:val="24"/>
          <w:szCs w:val="24"/>
          <w:u w:val="none"/>
        </w:rPr>
        <w:t xml:space="preserve"> Trevor M. Owen, curator of the Welsh Folk Museum, now St Fagans National History Museum, wrote that it was ‘the purely oral tradition, however, which flourished at these fireside meetings’.</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4"/>
      </w:r>
      <w:r>
        <w:rPr>
          <w:rFonts w:cs="Times New Roman" w:ascii="Times New Roman" w:hAnsi="Times New Roman"/>
          <w:b w:val="false"/>
          <w:bCs w:val="false"/>
          <w:i w:val="false"/>
          <w:iCs w:val="false"/>
          <w:caps w:val="false"/>
          <w:smallCaps w:val="false"/>
          <w:color w:val="000000"/>
          <w:spacing w:val="0"/>
          <w:sz w:val="24"/>
          <w:szCs w:val="24"/>
          <w:u w:val="none"/>
        </w:rPr>
        <w:t xml:space="preserve"> Such occasions became </w:t>
      </w:r>
      <w:r>
        <w:rPr>
          <w:rFonts w:cs="Times New Roman" w:ascii="Times New Roman" w:hAnsi="Times New Roman"/>
          <w:b w:val="false"/>
          <w:bCs w:val="false"/>
          <w:i/>
          <w:iCs/>
          <w:caps w:val="false"/>
          <w:smallCaps w:val="false"/>
          <w:color w:val="000000"/>
          <w:spacing w:val="0"/>
          <w:sz w:val="24"/>
          <w:szCs w:val="24"/>
          <w:u w:val="none"/>
        </w:rPr>
        <w:t>Noson Lawen,</w:t>
      </w:r>
      <w:r>
        <w:rPr>
          <w:rFonts w:cs="Times New Roman" w:ascii="Times New Roman" w:hAnsi="Times New Roman"/>
          <w:b w:val="false"/>
          <w:bCs w:val="false"/>
          <w:i w:val="false"/>
          <w:iCs w:val="false"/>
          <w:caps w:val="false"/>
          <w:smallCaps w:val="false"/>
          <w:color w:val="000000"/>
          <w:spacing w:val="0"/>
          <w:sz w:val="24"/>
          <w:szCs w:val="24"/>
          <w:u w:val="none"/>
        </w:rPr>
        <w:t xml:space="preserve"> or merry nights, where the community gathered to sing, share riddles and the storyteller would have the best seat, keeping the old tales alive albeit to a dwindling audience.</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5"/>
      </w:r>
      <w:r>
        <w:rPr>
          <w:rFonts w:cs="Times New Roman" w:ascii="Times New Roman" w:hAnsi="Times New Roman"/>
          <w:b w:val="false"/>
          <w:bCs w:val="false"/>
          <w:i w:val="false"/>
          <w:iCs w:val="false"/>
          <w:caps w:val="false"/>
          <w:smallCaps w:val="false"/>
          <w:color w:val="000000"/>
          <w:spacing w:val="0"/>
          <w:sz w:val="24"/>
          <w:szCs w:val="24"/>
          <w:u w:val="none"/>
        </w:rPr>
        <w:t xml:space="preserve"> With changes in religious practice and employment sweeping across Wales, an air of ‘respectability’ pervaded. Old traditions were subscribed to an unenlightened past, ‘a past that was ignorant and superstitious and in bondage to sin’.</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6"/>
      </w:r>
      <w:r>
        <w:rPr>
          <w:rFonts w:cs="Times New Roman" w:ascii="Times New Roman" w:hAnsi="Times New Roman"/>
          <w:b w:val="false"/>
          <w:bCs w:val="false"/>
          <w:i w:val="false"/>
          <w:iCs w:val="false"/>
          <w:caps w:val="false"/>
          <w:smallCaps w:val="false"/>
          <w:color w:val="000000"/>
          <w:spacing w:val="0"/>
          <w:sz w:val="24"/>
          <w:szCs w:val="24"/>
          <w:u w:val="none"/>
        </w:rPr>
        <w:t xml:space="preserve"> The Welsh folklorist, T. Gwynn Jones, wrote: </w:t>
      </w:r>
    </w:p>
    <w:p>
      <w:pPr>
        <w:pStyle w:val="NormalWeb"/>
        <w:spacing w:lineRule="auto" w:line="480" w:before="0" w:after="0"/>
        <w:ind w:left="0" w:right="34" w:hanging="0"/>
        <w:jc w:val="both"/>
        <w:rPr>
          <w:rFonts w:ascii="Times New Roman" w:hAnsi="Times New Roman" w:cs="Times New Roman"/>
          <w:b w:val="false"/>
          <w:b w:val="false"/>
          <w:bCs w:val="false"/>
          <w:i w:val="false"/>
          <w:i w:val="false"/>
          <w:iCs w:val="false"/>
          <w:caps w:val="false"/>
          <w:smallCaps w:val="false"/>
          <w:color w:val="000000"/>
          <w:spacing w:val="0"/>
          <w:sz w:val="24"/>
          <w:szCs w:val="24"/>
          <w:u w:val="none"/>
        </w:rPr>
      </w:pPr>
      <w:r>
        <w:rPr>
          <w:rFonts w:cs="Times New Roman" w:ascii="Times New Roman" w:hAnsi="Times New Roman"/>
          <w:b w:val="false"/>
          <w:bCs w:val="false"/>
          <w:i w:val="false"/>
          <w:iCs w:val="false"/>
          <w:caps w:val="false"/>
          <w:smallCaps w:val="false"/>
          <w:color w:val="000000"/>
          <w:spacing w:val="0"/>
          <w:sz w:val="24"/>
          <w:szCs w:val="24"/>
          <w:u w:val="none"/>
        </w:rPr>
      </w:r>
    </w:p>
    <w:p>
      <w:pPr>
        <w:pStyle w:val="NormalWeb"/>
        <w:widowControl/>
        <w:overflowPunct w:val="false"/>
        <w:bidi w:val="0"/>
        <w:spacing w:lineRule="auto" w:line="240" w:before="0" w:after="0"/>
        <w:ind w:left="510" w:right="1077" w:hanging="0"/>
        <w:jc w:val="both"/>
        <w:rPr/>
      </w:pPr>
      <w:r>
        <w:rPr>
          <w:rFonts w:cs="Times New Roman" w:ascii="Times New Roman" w:hAnsi="Times New Roman"/>
          <w:b w:val="false"/>
          <w:bCs w:val="false"/>
          <w:i w:val="false"/>
          <w:iCs w:val="false"/>
          <w:caps w:val="false"/>
          <w:smallCaps w:val="false"/>
          <w:color w:val="000000"/>
          <w:spacing w:val="0"/>
          <w:sz w:val="24"/>
          <w:szCs w:val="24"/>
          <w:u w:val="none"/>
        </w:rPr>
        <w:t>‘</w:t>
      </w:r>
      <w:r>
        <w:rPr>
          <w:rFonts w:cs="Times New Roman" w:ascii="Times New Roman" w:hAnsi="Times New Roman"/>
          <w:b w:val="false"/>
          <w:bCs w:val="false"/>
          <w:i w:val="false"/>
          <w:iCs w:val="false"/>
          <w:caps w:val="false"/>
          <w:smallCaps w:val="false"/>
          <w:color w:val="000000"/>
          <w:spacing w:val="0"/>
          <w:sz w:val="24"/>
          <w:szCs w:val="24"/>
          <w:u w:val="none"/>
        </w:rPr>
        <w:t xml:space="preserve">My own father used to tell stories and sing songs for us when we were very young, but later, having come under the influence of the religious activities of the time, he gave up the practice, considering it to be sinful...Thus, throughout the district, a mass of such material was for ever lost’. </w:t>
      </w:r>
      <w:r>
        <w:rPr>
          <w:rStyle w:val="FootnoteAnchor"/>
          <w:rStyle w:val="FootnoteAnchor"/>
          <w:rFonts w:cs="Times New Roman" w:ascii="Times New Roman" w:hAnsi="Times New Roman"/>
          <w:b w:val="false"/>
          <w:bCs w:val="false"/>
          <w:i w:val="false"/>
          <w:iCs w:val="false"/>
          <w:caps w:val="false"/>
          <w:smallCaps w:val="false"/>
          <w:color w:val="000000"/>
          <w:spacing w:val="0"/>
          <w:sz w:val="24"/>
          <w:szCs w:val="24"/>
          <w:u w:val="none"/>
        </w:rPr>
        <w:footnoteReference w:id="87"/>
      </w:r>
    </w:p>
    <w:p>
      <w:pPr>
        <w:pStyle w:val="NormalWeb"/>
        <w:widowControl/>
        <w:overflowPunct w:val="false"/>
        <w:bidi w:val="0"/>
        <w:spacing w:lineRule="auto" w:line="240" w:before="0" w:after="0"/>
        <w:ind w:left="51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24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 xml:space="preserve">Many people left the countryside and moved into urban areas, leaving the lakes and rivers behind, depleting whole areas of the rural workforce. </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88"/>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The Welsh language was under threat, old traditions were frowned upon. With musical and bardic traditions deteriorating, Welsh tradition and culture was in danger.</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89"/>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There remained, however, some interest in the Welsh traditions and scholars such as Edward Lhuyd were already collecting examples of folk customs and traditions in the seventeenth century.</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0"/>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In the eighteenth and the nineteenth centuries collectors such as Sir John Rh</w:t>
      </w:r>
      <w:r>
        <w:rPr>
          <w:rStyle w:val="FootnoteAnchor"/>
          <w:rFonts w:eastAsia="SimSun"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ŷs were making important studies and collections of Welsh narrative, assembling tales from all over Wales. Another collector, Iolo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Morganwy, has influenced many </w:t>
      </w:r>
      <w:r>
        <w:rPr>
          <w:rStyle w:val="FootnoteAnchor"/>
          <w:rFonts w:eastAsia="SimSun"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modern revivals of supposed traditions.</w:t>
      </w:r>
      <w:r>
        <w:rPr>
          <w:rStyle w:val="FootnoteAnchor"/>
          <w:rStyle w:val="FootnoteAnchor"/>
          <w:rFonts w:eastAsia="SimSun"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1"/>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Unfortunately, it is unclear how reliable his accounts are as they can be confused and, at times, very lyrical reinforcing the need for caution when interpreting what appear to be faithful reproductions of original tales. Many appear embossed and many ‘lovelorn shepherds abound’ reflecting a romantic vision of the past </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2"/>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Morganwy invented the Gorsedd Ceremony which continues at the National Eisteddfod each year and has influenced the practices of many modern druids but it would appear that he had a rather idealized vision of a Welsh past that cannot be substantiated.</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3"/>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But, unique to Wales was the collecting of folklore through the local eisteddfod competitions. Here individuals could submit collections of folk song and lore, and invaluable resource for collectors. John Rh</w:t>
      </w:r>
      <w:r>
        <w:rPr>
          <w:rStyle w:val="FootnoteAnchor"/>
          <w:rFonts w:eastAsia="SimSun"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ŷ</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s was himself an adjudicator at the National event.</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4"/>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Folk tales were preserved and retold, not only through the</w:t>
      </w:r>
      <w:r>
        <w:rPr>
          <w:rStyle w:val="FootnoteAnchor"/>
          <w:rFonts w:cs="Times New Roman" w:ascii="Times New Roman" w:hAnsi="Times New Roman"/>
          <w:b w:val="false"/>
          <w:bCs w:val="false"/>
          <w:i/>
          <w:iCs/>
          <w:caps w:val="false"/>
          <w:smallCaps w:val="false"/>
          <w:color w:val="000000"/>
          <w:spacing w:val="0"/>
          <w:position w:val="0"/>
          <w:sz w:val="24"/>
          <w:sz w:val="24"/>
          <w:szCs w:val="24"/>
          <w:u w:val="none"/>
          <w:vertAlign w:val="baseline"/>
        </w:rPr>
        <w:t xml:space="preserve"> Noson Lawen </w:t>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but also during community celebrations, many evolving around religious events and fairs. In the eighteenth and nineteenth centuries it was custom for people to go up to Llyn y Fan Fach on the first Sunday in August to see its water boiling, heralding ‘the approach of the Lake lady and her oxen.’</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5"/>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Such gatherings were popular at this time of Lammas, a traditional time for celebrating harvest and summer </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6"/>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They may be examples, perhaps an echo, of much older traditions of pre – Christian veneration and ritual, as many sites across the internet suggest but there is little evidence to substantiate this. Fortunately, many tale locations continue to be visited and walked upon, places for picnics and exploration rather than awe and the supernatural.</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Sadly, many sites have disappeared or been forgotten, along with their stories. A recent visit to Llangorse Lake gave little indication of its rich history and on such a day in high summer, there is little remaining of the liminal Otherworld of the old tales. Yet as the old traditions have lapsed, some of the stories have been retold and reprinted. Different versions of tales abound concerning lakes and rivers, surviving both orally and in print, the oral storytelling tradition continues to thrive in places.</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7"/>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The modern storytellers keep the old tales alive although they are more likely to be heard in a pub rather than at a neighbours hearth side.</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There is also a strong oral tradition of song and ballads, serious collections did not really start until the mid eighteenth century when they began to appear in eisteddfods.</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8"/>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Songs specifically related to folk tales about lakes and rivers are hard to find and it may be that the spoken work was deemed preferable for their telling or, the songs may not have survived but more research is required in this area. Old songs are being re discovered and re vitalised by modern folk singers and collectors ensuring the survival of traditional works.</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99"/>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David Roy Saer, a research assistant at the ‘Welsh Folk Museum’ in 1963, collected and recorded folk songs from all over Wales providing an important corpus of material.</w:t>
      </w:r>
      <w:r>
        <w:rPr>
          <w:rStyle w:val="FootnoteAncho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footnoteReference w:id="100"/>
      </w: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1077" w:hanging="0"/>
        <w:jc w:val="both"/>
        <w:rPr/>
      </w:pPr>
      <w:r>
        <w:rPr>
          <w:rStyle w:val="FootnoteAnchor"/>
          <w:rFonts w:cs="Times New Roman" w:ascii="Times New Roman" w:hAnsi="Times New Roman"/>
          <w:b/>
          <w:bCs/>
          <w:i w:val="false"/>
          <w:iCs w:val="false"/>
          <w:caps w:val="false"/>
          <w:smallCaps w:val="false"/>
          <w:color w:val="000000"/>
          <w:spacing w:val="0"/>
          <w:position w:val="0"/>
          <w:sz w:val="24"/>
          <w:sz w:val="24"/>
          <w:szCs w:val="24"/>
          <w:u w:val="single"/>
          <w:vertAlign w:val="baseline"/>
        </w:rPr>
        <w:t>Conclusion</w:t>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In the past rivers and lakes were seen as liminal and potentially dangerous places, often assigned spiritual identities and assignations. Their important role in sustaining us, physically and spiritually, is represented by the richness of the tales that still survive. We have seen how their folk tales have a rich and diverse history. Some can trace elements back to a medieval past and others, their orality suggesting an even older pedigree. It is clear that the passage of time has shaped and honed many and, in some cases, obliterated some of their details. Some are unique. Others have wide spread and international motifs that can be found in other stories around the world indicating that they have travelled many miles. But Welsh tales contain elements of legendary accounts making them difficult to classify and maintaining their unique quality. They give us names and accounts which may have changed over time but have been enjoyed and retold for centuries. We cannot know how many have been lost or forgotten and we must be indebted to the collectors that took time to seek out the ‘holders’ of these tales before they faded for ever. Although the oral tradition has faded, it still survives and folk tales continue to be an important source of inspiration within Welsh culture and enjoyed by many.</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480" w:before="0" w:after="0"/>
        <w:ind w:left="0" w:right="0" w:hanging="0"/>
        <w:jc w:val="both"/>
        <w:rPr/>
      </w:pPr>
      <w:r>
        <w:rPr>
          <w:rStyle w:val="FootnoteAnchor"/>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ab/>
        <w:t xml:space="preserve">Our ancestors had a symbiotic relationship with the elements, whether through supernatural or practical means, which continued until recent times. Maybe this is why we still return to Llangorse Lake for picnics, walk along the river Conwy, climb high for ‘that’ view from Llyn y Fan Fach and hurry upon Llyn Gwernyn in fear of the Green Man of the mists. The tales remind us, perhaps, of what may have been lost but what can still be found within the lakes and rivers of Wales.  People will always have a need for water, hopefully they will also need stories too. </w:t>
      </w:r>
    </w:p>
    <w:p>
      <w:pPr>
        <w:pStyle w:val="NormalWeb"/>
        <w:widowControl/>
        <w:overflowPunct w:val="false"/>
        <w:bidi w:val="0"/>
        <w:spacing w:lineRule="auto" w:line="480" w:before="0" w:after="0"/>
        <w:ind w:left="0" w:right="1077" w:hanging="0"/>
        <w:jc w:val="both"/>
        <w:rPr>
          <w:rStyle w:val="FootnoteAnchor"/>
          <w:rFonts w:ascii="Times New Roman" w:hAnsi="Times New Roman"/>
        </w:rPr>
      </w:pPr>
      <w:r>
        <w:rPr>
          <w:rFonts w:ascii="Times New Roman" w:hAnsi="Times New Roman"/>
        </w:rPr>
      </w:r>
    </w:p>
    <w:p>
      <w:pPr>
        <w:pStyle w:val="NormalWeb"/>
        <w:widowControl/>
        <w:overflowPunct w:val="false"/>
        <w:bidi w:val="0"/>
        <w:spacing w:lineRule="auto" w:line="240" w:before="0" w:after="0"/>
        <w:ind w:left="0" w:right="1077" w:hanging="0"/>
        <w:jc w:val="both"/>
        <w:rPr>
          <w:rStyle w:val="FootnoteAnchor"/>
          <w:rFonts w:ascii="Times New Roman" w:hAnsi="Times New Roman"/>
        </w:rPr>
      </w:pPr>
      <w:r>
        <w:rPr>
          <w:rFonts w:ascii="Times New Roman" w:hAnsi="Times New Roman"/>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8"/>
          <w:szCs w:val="28"/>
          <w:u w:val="single"/>
        </w:rPr>
      </w:pPr>
      <w:r>
        <w:rPr/>
      </w:r>
    </w:p>
    <w:p>
      <w:pPr>
        <w:pStyle w:val="Normal"/>
        <w:rPr/>
      </w:pPr>
      <w:r>
        <w:rPr>
          <w:rFonts w:ascii="Times New Roman" w:hAnsi="Times New Roman"/>
          <w:b/>
          <w:bCs/>
          <w:sz w:val="28"/>
          <w:szCs w:val="28"/>
          <w:u w:val="single"/>
        </w:rPr>
        <w:t>Bibliography</w:t>
      </w:r>
    </w:p>
    <w:p>
      <w:pPr>
        <w:pStyle w:val="Normal"/>
        <w:rPr>
          <w:rFonts w:ascii="Times New Roman" w:hAnsi="Times New Roman"/>
          <w:b/>
          <w:b/>
          <w:bCs/>
          <w:sz w:val="28"/>
          <w:szCs w:val="28"/>
          <w:u w:val="single"/>
        </w:rPr>
      </w:pPr>
      <w:r>
        <w:rPr/>
      </w:r>
    </w:p>
    <w:p>
      <w:pPr>
        <w:pStyle w:val="Normal"/>
        <w:rPr>
          <w:rFonts w:ascii="Times New Roman" w:hAnsi="Times New Roman"/>
          <w:b/>
          <w:b/>
          <w:bCs/>
          <w:sz w:val="28"/>
          <w:szCs w:val="28"/>
          <w:u w:val="single"/>
        </w:rPr>
      </w:pPr>
      <w:r>
        <w:rPr>
          <w:rFonts w:ascii="Times New Roman" w:hAnsi="Times New Roman"/>
          <w:b/>
          <w:bCs/>
          <w:sz w:val="28"/>
          <w:szCs w:val="28"/>
          <w:u w:val="single"/>
        </w:rPr>
      </w:r>
    </w:p>
    <w:p>
      <w:pPr>
        <w:pStyle w:val="Normal"/>
        <w:rPr>
          <w:rFonts w:ascii="Times New Roman" w:hAnsi="Times New Roman"/>
          <w:b/>
          <w:b/>
          <w:bCs/>
          <w:sz w:val="24"/>
          <w:szCs w:val="24"/>
          <w:u w:val="single"/>
        </w:rPr>
      </w:pPr>
      <w:r>
        <w:rPr>
          <w:rFonts w:ascii="Times New Roman" w:hAnsi="Times New Roman"/>
          <w:b/>
          <w:bCs/>
          <w:u w:val="single"/>
        </w:rPr>
        <w:t>Printed Primary Sources</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eastAsia="Calibri" w:cs="Times New Roman" w:ascii="Times New Roman" w:hAnsi="Times New Roman"/>
          <w:b w:val="false"/>
          <w:bCs w:val="false"/>
          <w:i/>
          <w:iCs/>
          <w:sz w:val="24"/>
          <w:szCs w:val="24"/>
          <w:u w:val="none"/>
        </w:rPr>
        <w:t xml:space="preserve">The Anglo-Saxon Chronicle, </w:t>
      </w:r>
      <w:r>
        <w:rPr>
          <w:rFonts w:eastAsia="Calibri" w:cs="Times New Roman" w:ascii="Times New Roman" w:hAnsi="Times New Roman"/>
          <w:b w:val="false"/>
          <w:bCs w:val="false"/>
          <w:i w:val="false"/>
          <w:iCs w:val="false"/>
          <w:sz w:val="24"/>
          <w:szCs w:val="24"/>
          <w:u w:val="none"/>
        </w:rPr>
        <w:t>translated by G. N. Garmonsway, (London: J. M Dent &amp; Sons, 1972)</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Geoffrey of Monmouth, </w:t>
      </w:r>
      <w:r>
        <w:rPr>
          <w:rStyle w:val="FootnoteCharacters"/>
          <w:rFonts w:ascii="Times New Roman" w:hAnsi="Times New Roman"/>
          <w:b w:val="false"/>
          <w:bCs w:val="false"/>
          <w:i/>
          <w:iCs/>
          <w:position w:val="0"/>
          <w:sz w:val="24"/>
          <w:sz w:val="24"/>
          <w:szCs w:val="24"/>
          <w:u w:val="none"/>
          <w:vertAlign w:val="baseline"/>
        </w:rPr>
        <w:t xml:space="preserve">The History of the Kings of Britain, </w:t>
      </w:r>
      <w:r>
        <w:rPr>
          <w:rStyle w:val="FootnoteCharacters"/>
          <w:rFonts w:ascii="Times New Roman" w:hAnsi="Times New Roman"/>
          <w:b w:val="false"/>
          <w:bCs w:val="false"/>
          <w:i w:val="false"/>
          <w:iCs w:val="false"/>
          <w:position w:val="0"/>
          <w:sz w:val="24"/>
          <w:sz w:val="24"/>
          <w:szCs w:val="24"/>
          <w:u w:val="none"/>
          <w:vertAlign w:val="baseline"/>
        </w:rPr>
        <w:t>translated by Thorpe, L (Harmondsworth: Penguin Book, 1978)</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b w:val="false"/>
          <w:bCs w:val="false"/>
          <w:sz w:val="24"/>
          <w:szCs w:val="24"/>
          <w:u w:val="none"/>
        </w:rPr>
        <w:t xml:space="preserve">Gerald of Wales, </w:t>
      </w:r>
      <w:r>
        <w:rPr>
          <w:rFonts w:ascii="Times New Roman" w:hAnsi="Times New Roman"/>
          <w:b w:val="false"/>
          <w:bCs w:val="false"/>
          <w:i/>
          <w:iCs/>
          <w:sz w:val="24"/>
          <w:szCs w:val="24"/>
          <w:u w:val="none"/>
        </w:rPr>
        <w:t xml:space="preserve">The Journey through Wales/The Description of Wales, </w:t>
      </w:r>
      <w:r>
        <w:rPr>
          <w:rFonts w:ascii="Times New Roman" w:hAnsi="Times New Roman"/>
          <w:b w:val="false"/>
          <w:bCs w:val="false"/>
          <w:i w:val="false"/>
          <w:iCs w:val="false"/>
          <w:sz w:val="24"/>
          <w:szCs w:val="24"/>
          <w:u w:val="none"/>
        </w:rPr>
        <w:t>translated by Lewis Thorpe, (Harmondsworth: Penguin Books, 1978)</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rFonts w:ascii="Times New Roman" w:hAnsi="Times New Roman"/>
          <w:sz w:val="24"/>
          <w:szCs w:val="24"/>
        </w:rPr>
      </w:pPr>
      <w:r>
        <w:rPr>
          <w:rFonts w:cs="Times New Roman" w:ascii="Times New Roman" w:hAnsi="Times New Roman"/>
          <w:b w:val="false"/>
          <w:bCs w:val="false"/>
          <w:i/>
          <w:iCs/>
          <w:caps w:val="false"/>
          <w:smallCaps w:val="false"/>
          <w:color w:val="000000"/>
          <w:spacing w:val="0"/>
          <w:sz w:val="24"/>
          <w:szCs w:val="24"/>
          <w:u w:val="none"/>
        </w:rPr>
        <w:t xml:space="preserve">Trioedd Ynys Prydein, </w:t>
      </w:r>
      <w:r>
        <w:rPr>
          <w:rFonts w:cs="Times New Roman" w:ascii="Times New Roman" w:hAnsi="Times New Roman"/>
          <w:b w:val="false"/>
          <w:bCs w:val="false"/>
          <w:i w:val="false"/>
          <w:iCs w:val="false"/>
          <w:caps w:val="false"/>
          <w:smallCaps w:val="false"/>
          <w:color w:val="000000"/>
          <w:spacing w:val="0"/>
          <w:sz w:val="24"/>
          <w:szCs w:val="24"/>
          <w:u w:val="none"/>
        </w:rPr>
        <w:t>ed. R. Bromwich, fourth edn</w:t>
      </w:r>
      <w:r>
        <w:rPr>
          <w:rFonts w:cs="Times New Roman" w:ascii="Times New Roman" w:hAnsi="Times New Roman"/>
          <w:b w:val="false"/>
          <w:bCs w:val="false"/>
          <w:i/>
          <w:iCs/>
          <w:caps w:val="false"/>
          <w:smallCaps w:val="false"/>
          <w:color w:val="000000"/>
          <w:spacing w:val="0"/>
          <w:sz w:val="24"/>
          <w:szCs w:val="24"/>
          <w:u w:val="none"/>
        </w:rPr>
        <w:t xml:space="preserve"> </w:t>
      </w:r>
      <w:r>
        <w:rPr>
          <w:rFonts w:cs="Times New Roman" w:ascii="Times New Roman" w:hAnsi="Times New Roman"/>
          <w:b w:val="false"/>
          <w:bCs w:val="false"/>
          <w:i w:val="false"/>
          <w:iCs w:val="false"/>
          <w:caps w:val="false"/>
          <w:smallCaps w:val="false"/>
          <w:color w:val="000000"/>
          <w:spacing w:val="0"/>
          <w:sz w:val="24"/>
          <w:szCs w:val="24"/>
          <w:u w:val="none"/>
        </w:rPr>
        <w:t>(Wiltshire: University of Wales Press, 2014)</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rFonts w:ascii="Times New Roman" w:hAnsi="Times New Roman"/>
          <w:b/>
          <w:b/>
          <w:bCs/>
          <w:u w:val="single"/>
        </w:rPr>
      </w:pPr>
      <w:r>
        <w:rPr>
          <w:rFonts w:ascii="Times New Roman" w:hAnsi="Times New Roman"/>
          <w:b/>
          <w:bCs/>
          <w:u w:val="single"/>
        </w:rPr>
      </w:r>
    </w:p>
    <w:p>
      <w:pPr>
        <w:pStyle w:val="Normal"/>
        <w:rPr>
          <w:rFonts w:ascii="Times New Roman" w:hAnsi="Times New Roman"/>
          <w:b/>
          <w:b/>
          <w:bCs/>
          <w:sz w:val="24"/>
          <w:szCs w:val="24"/>
          <w:u w:val="single"/>
        </w:rPr>
      </w:pPr>
      <w:r>
        <w:rPr>
          <w:rFonts w:ascii="Times New Roman" w:hAnsi="Times New Roman"/>
          <w:b/>
          <w:bCs/>
          <w:u w:val="single"/>
        </w:rPr>
        <w:t>Secondary Sources</w:t>
      </w:r>
    </w:p>
    <w:p>
      <w:pPr>
        <w:pStyle w:val="Normal"/>
        <w:rPr>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Benwell,  G. and Waugh, A., </w:t>
      </w:r>
      <w:r>
        <w:rPr>
          <w:rStyle w:val="FootnoteCharacters"/>
          <w:rFonts w:ascii="Times New Roman" w:hAnsi="Times New Roman"/>
          <w:b w:val="false"/>
          <w:bCs w:val="false"/>
          <w:i/>
          <w:iCs/>
          <w:position w:val="0"/>
          <w:sz w:val="24"/>
          <w:sz w:val="24"/>
          <w:szCs w:val="24"/>
          <w:u w:val="none"/>
          <w:vertAlign w:val="baseline"/>
        </w:rPr>
        <w:t xml:space="preserve">Sea Enchantress </w:t>
      </w:r>
      <w:r>
        <w:rPr>
          <w:rStyle w:val="FootnoteCharacters"/>
          <w:rFonts w:ascii="Times New Roman" w:hAnsi="Times New Roman"/>
          <w:b w:val="false"/>
          <w:bCs w:val="false"/>
          <w:i w:val="false"/>
          <w:iCs w:val="false"/>
          <w:position w:val="0"/>
          <w:sz w:val="24"/>
          <w:sz w:val="24"/>
          <w:szCs w:val="24"/>
          <w:u w:val="none"/>
          <w:vertAlign w:val="baseline"/>
        </w:rPr>
        <w:t>(London: Hutchinson, 1961)</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hyperlink r:id="rId3">
        <w:r>
          <w:rPr>
            <w:rStyle w:val="FootnoteCharacters"/>
            <w:rFonts w:ascii="Times New Roman" w:hAnsi="Times New Roman"/>
            <w:position w:val="0"/>
            <w:sz w:val="24"/>
            <w:sz w:val="24"/>
            <w:vertAlign w:val="baseline"/>
          </w:rPr>
          <w:t>http://cabinetofcuriosities.moonfruit.com/contact/4578432148</w:t>
        </w:r>
      </w:hyperlink>
      <w:hyperlink r:id="rId4">
        <w:r>
          <w:rPr>
            <w:rStyle w:val="FootnoteCharacters"/>
            <w:rFonts w:ascii="Times New Roman" w:hAnsi="Times New Roman"/>
            <w:position w:val="0"/>
            <w:sz w:val="24"/>
            <w:sz w:val="24"/>
            <w:vertAlign w:val="baseline"/>
          </w:rPr>
          <w:t xml:space="preserve"> &lt; Accessed: </w:t>
        </w:r>
      </w:hyperlink>
      <w:r>
        <w:rPr>
          <w:rStyle w:val="FootnoteCharacters"/>
          <w:rFonts w:ascii="Times New Roman" w:hAnsi="Times New Roman"/>
          <w:position w:val="0"/>
          <w:sz w:val="24"/>
          <w:sz w:val="24"/>
          <w:vertAlign w:val="baseline"/>
        </w:rPr>
        <w:t xml:space="preserve">20 January 2019 </w:t>
      </w:r>
      <w:r>
        <w:rPr>
          <w:rStyle w:val="FootnoteCharacters"/>
          <w:rFonts w:ascii="Times New Roman" w:hAnsi="Times New Roman"/>
          <w:position w:val="0"/>
          <w:sz w:val="24"/>
          <w:sz w:val="24"/>
          <w:vertAlign w:val="baseline"/>
        </w:rPr>
        <w:t>&gt;</w:t>
      </w:r>
    </w:p>
    <w:p>
      <w:pPr>
        <w:pStyle w:val="Normal"/>
        <w:rPr>
          <w:rStyle w:val="FootnoteCharacters"/>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b w:val="false"/>
          <w:bCs w:val="false"/>
          <w:sz w:val="24"/>
          <w:szCs w:val="24"/>
          <w:u w:val="none"/>
        </w:rPr>
        <w:t>Campbell,  E and Lane, A., ‘Llangorse: A 10</w:t>
      </w:r>
      <w:r>
        <w:rPr>
          <w:rFonts w:ascii="Times New Roman" w:hAnsi="Times New Roman"/>
          <w:b w:val="false"/>
          <w:bCs w:val="false"/>
          <w:sz w:val="24"/>
          <w:szCs w:val="24"/>
          <w:u w:val="none"/>
          <w:vertAlign w:val="superscript"/>
        </w:rPr>
        <w:t>th</w:t>
      </w:r>
      <w:r>
        <w:rPr>
          <w:rFonts w:ascii="Times New Roman" w:hAnsi="Times New Roman"/>
          <w:b w:val="false"/>
          <w:bCs w:val="false"/>
          <w:sz w:val="24"/>
          <w:szCs w:val="24"/>
          <w:u w:val="none"/>
        </w:rPr>
        <w:t xml:space="preserve"> century royal crannog in Wales’, </w:t>
      </w:r>
      <w:r>
        <w:rPr>
          <w:rFonts w:ascii="Times New Roman" w:hAnsi="Times New Roman"/>
          <w:b w:val="false"/>
          <w:bCs w:val="false"/>
          <w:i/>
          <w:iCs/>
          <w:sz w:val="24"/>
          <w:szCs w:val="24"/>
          <w:u w:val="none"/>
        </w:rPr>
        <w:t>Antiquity,</w:t>
      </w:r>
      <w:r>
        <w:rPr>
          <w:rFonts w:ascii="Times New Roman" w:hAnsi="Times New Roman"/>
          <w:b w:val="false"/>
          <w:bCs w:val="false"/>
          <w:i w:val="false"/>
          <w:iCs w:val="false"/>
          <w:sz w:val="24"/>
          <w:szCs w:val="24"/>
          <w:u w:val="none"/>
        </w:rPr>
        <w:t xml:space="preserve"> 63: 238, (Mar 1989), pp. 675-681</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pPr>
      <w:r>
        <w:rPr>
          <w:rFonts w:ascii="Times New Roman" w:hAnsi="Times New Roman"/>
          <w:b w:val="false"/>
          <w:bCs/>
          <w:i w:val="false"/>
          <w:caps w:val="false"/>
          <w:smallCaps w:val="false"/>
          <w:color w:val="333333"/>
          <w:spacing w:val="0"/>
          <w:sz w:val="24"/>
          <w:szCs w:val="24"/>
          <w:u w:val="none"/>
        </w:rPr>
        <w:t>Constantine, M., ‘Songs and Stones: Iolo Morganwg (1747-1826), Mason and Bard’.</w:t>
      </w:r>
      <w:r>
        <w:rPr>
          <w:rFonts w:ascii="Times New Roman" w:hAnsi="Times New Roman"/>
          <w:b w:val="false"/>
          <w:bCs/>
          <w:i/>
          <w:color w:val="333333"/>
          <w:spacing w:val="0"/>
          <w:sz w:val="24"/>
          <w:szCs w:val="24"/>
          <w:u w:val="none"/>
        </w:rPr>
        <w:t>The Eighteenth Century,</w:t>
      </w:r>
      <w:r>
        <w:rPr>
          <w:rFonts w:ascii="Times New Roman" w:hAnsi="Times New Roman"/>
          <w:b w:val="false"/>
          <w:bCs/>
          <w:i w:val="false"/>
          <w:iCs w:val="false"/>
          <w:color w:val="333333"/>
          <w:spacing w:val="0"/>
          <w:sz w:val="24"/>
          <w:szCs w:val="24"/>
          <w:u w:val="none"/>
        </w:rPr>
        <w:t>47:</w:t>
      </w:r>
      <w:r>
        <w:rPr>
          <w:rFonts w:ascii="Times New Roman" w:hAnsi="Times New Roman"/>
          <w:b w:val="false"/>
          <w:bCs/>
          <w:i w:val="false"/>
          <w:iCs w:val="false"/>
          <w:caps w:val="false"/>
          <w:smallCaps w:val="false"/>
          <w:color w:val="333333"/>
          <w:spacing w:val="0"/>
          <w:sz w:val="24"/>
          <w:szCs w:val="24"/>
          <w:u w:val="none"/>
        </w:rPr>
        <w:t>2/3, (2</w:t>
      </w:r>
      <w:r>
        <w:rPr>
          <w:rFonts w:ascii="Times New Roman" w:hAnsi="Times New Roman"/>
          <w:b w:val="false"/>
          <w:bCs/>
          <w:i w:val="false"/>
          <w:caps w:val="false"/>
          <w:smallCaps w:val="false"/>
          <w:color w:val="333333"/>
          <w:spacing w:val="0"/>
          <w:sz w:val="24"/>
          <w:szCs w:val="24"/>
          <w:u w:val="none"/>
        </w:rPr>
        <w:t>006). pp. 233-351. Retrieved from http://www.jstor.org/stable/41468</w:t>
      </w:r>
      <w:r>
        <w:rPr>
          <w:rFonts w:ascii="Times New Roman" w:hAnsi="Times New Roman"/>
          <w:b w:val="false"/>
          <w:bCs w:val="false"/>
          <w:i w:val="false"/>
          <w:caps w:val="false"/>
          <w:smallCaps w:val="false"/>
          <w:color w:val="333333"/>
          <w:spacing w:val="0"/>
          <w:sz w:val="24"/>
          <w:szCs w:val="24"/>
          <w:u w:val="none"/>
        </w:rPr>
        <w:t>001</w:t>
      </w:r>
      <w:r>
        <w:rPr>
          <w:rFonts w:ascii="Times New Roman" w:hAnsi="Times New Roman"/>
          <w:b w:val="false"/>
          <w:bCs w:val="false"/>
          <w:sz w:val="24"/>
          <w:szCs w:val="24"/>
          <w:u w:val="none"/>
        </w:rPr>
        <w:t xml:space="preserve"> </w:t>
      </w:r>
      <w:r>
        <w:rPr>
          <w:rStyle w:val="FootnoteCharacters"/>
          <w:rFonts w:ascii="Times New Roman" w:hAnsi="Times New Roman"/>
          <w:b w:val="false"/>
          <w:bCs w:val="false"/>
          <w:position w:val="0"/>
          <w:sz w:val="24"/>
          <w:sz w:val="24"/>
          <w:szCs w:val="24"/>
          <w:u w:val="none"/>
          <w:vertAlign w:val="baseline"/>
        </w:rPr>
        <w:t xml:space="preserve">&lt; Accessed: </w:t>
      </w:r>
      <w:r>
        <w:rPr>
          <w:rStyle w:val="FootnoteCharacters"/>
          <w:rFonts w:ascii="Times New Roman" w:hAnsi="Times New Roman"/>
          <w:b w:val="false"/>
          <w:bCs w:val="false"/>
          <w:position w:val="0"/>
          <w:sz w:val="24"/>
          <w:sz w:val="24"/>
          <w:szCs w:val="24"/>
          <w:u w:val="none"/>
          <w:vertAlign w:val="baseline"/>
        </w:rPr>
        <w:t xml:space="preserve">20 January 2019 </w:t>
      </w:r>
      <w:r>
        <w:rPr>
          <w:rStyle w:val="FootnoteCharacters"/>
          <w:rFonts w:ascii="Times New Roman" w:hAnsi="Times New Roman"/>
          <w:b w:val="false"/>
          <w:bCs w:val="false"/>
          <w:position w:val="0"/>
          <w:sz w:val="24"/>
          <w:sz w:val="24"/>
          <w:szCs w:val="24"/>
          <w:u w:val="none"/>
          <w:vertAlign w:val="baseline"/>
        </w:rPr>
        <w:t>&gt;</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Corbett Harris, M.,  </w:t>
      </w:r>
      <w:r>
        <w:rPr>
          <w:rStyle w:val="FootnoteCharacters"/>
          <w:rFonts w:ascii="Times New Roman" w:hAnsi="Times New Roman"/>
          <w:b w:val="false"/>
          <w:bCs w:val="false"/>
          <w:i/>
          <w:iCs/>
          <w:position w:val="0"/>
          <w:sz w:val="24"/>
          <w:sz w:val="24"/>
          <w:szCs w:val="24"/>
          <w:u w:val="none"/>
          <w:vertAlign w:val="baseline"/>
        </w:rPr>
        <w:t xml:space="preserve">Crafts, Customs and Legends of Wales </w:t>
      </w:r>
      <w:r>
        <w:rPr>
          <w:rStyle w:val="FootnoteCharacters"/>
          <w:rFonts w:ascii="Times New Roman" w:hAnsi="Times New Roman"/>
          <w:b w:val="false"/>
          <w:bCs w:val="false"/>
          <w:i w:val="false"/>
          <w:iCs w:val="false"/>
          <w:position w:val="0"/>
          <w:sz w:val="24"/>
          <w:sz w:val="24"/>
          <w:szCs w:val="24"/>
          <w:u w:val="none"/>
          <w:vertAlign w:val="baseline"/>
        </w:rPr>
        <w:t>(Surrey: Biddle Ltd, 1980)</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Davies, J. Ceredig.,</w:t>
      </w:r>
      <w:r>
        <w:rPr>
          <w:rStyle w:val="FootnoteCharacters"/>
          <w:rFonts w:ascii="Times New Roman" w:hAnsi="Times New Roman"/>
          <w:b w:val="false"/>
          <w:bCs w:val="false"/>
          <w:i/>
          <w:iCs/>
          <w:position w:val="0"/>
          <w:sz w:val="24"/>
          <w:sz w:val="24"/>
          <w:szCs w:val="24"/>
          <w:u w:val="none"/>
          <w:vertAlign w:val="baseline"/>
        </w:rPr>
        <w:t xml:space="preserve"> Welsh Folk Lore of West and Mid Wales </w:t>
      </w:r>
      <w:r>
        <w:rPr>
          <w:rStyle w:val="FootnoteCharacters"/>
          <w:rFonts w:ascii="Times New Roman" w:hAnsi="Times New Roman"/>
          <w:b w:val="false"/>
          <w:bCs w:val="false"/>
          <w:i w:val="false"/>
          <w:iCs w:val="false"/>
          <w:position w:val="0"/>
          <w:sz w:val="24"/>
          <w:sz w:val="24"/>
          <w:szCs w:val="24"/>
          <w:u w:val="none"/>
          <w:vertAlign w:val="baseline"/>
        </w:rPr>
        <w:t>(Aberystwyth: Welsh Gazette, Bridge Street, 1911)</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Davies, J, </w:t>
      </w:r>
      <w:r>
        <w:rPr>
          <w:rStyle w:val="FootnoteCharacters"/>
          <w:rFonts w:ascii="Times New Roman" w:hAnsi="Times New Roman"/>
          <w:b w:val="false"/>
          <w:bCs w:val="false"/>
          <w:i/>
          <w:iCs/>
          <w:position w:val="0"/>
          <w:sz w:val="24"/>
          <w:sz w:val="24"/>
          <w:szCs w:val="24"/>
          <w:u w:val="none"/>
          <w:vertAlign w:val="baseline"/>
        </w:rPr>
        <w:t xml:space="preserve">A History of Wales </w:t>
      </w:r>
      <w:r>
        <w:rPr>
          <w:rStyle w:val="FootnoteCharacters"/>
          <w:rFonts w:ascii="Times New Roman" w:hAnsi="Times New Roman"/>
          <w:b w:val="false"/>
          <w:bCs w:val="false"/>
          <w:i w:val="false"/>
          <w:iCs w:val="false"/>
          <w:position w:val="0"/>
          <w:sz w:val="24"/>
          <w:sz w:val="24"/>
          <w:szCs w:val="24"/>
          <w:u w:val="none"/>
          <w:vertAlign w:val="baseline"/>
        </w:rPr>
        <w:t>(London: Penguin, 2007)</w:t>
      </w:r>
    </w:p>
    <w:p>
      <w:pPr>
        <w:pStyle w:val="Normal"/>
        <w:rPr>
          <w:rStyle w:val="FootnoteCharacters"/>
          <w:rFonts w:ascii="Times New Roman" w:hAnsi="Times New Roman"/>
          <w:b w:val="false"/>
          <w:b w:val="false"/>
          <w:bCs w:val="false"/>
          <w:i w:val="false"/>
          <w:i w:val="false"/>
          <w:iCs w:val="false"/>
          <w:position w:val="0"/>
          <w:sz w:val="24"/>
          <w:sz w:val="24"/>
          <w:szCs w:val="24"/>
          <w:u w:val="none"/>
          <w:vertAlign w:val="baseline"/>
        </w:rPr>
      </w:pPr>
      <w:r>
        <w:rPr/>
      </w:r>
    </w:p>
    <w:p>
      <w:pPr>
        <w:pStyle w:val="Normal"/>
        <w:rPr>
          <w:rStyle w:val="FootnoteCharacters"/>
          <w:rFonts w:ascii="Times New Roman" w:hAnsi="Times New Roman"/>
          <w:b w:val="false"/>
          <w:b w:val="false"/>
          <w:bCs w:val="false"/>
          <w:i w:val="false"/>
          <w:i w:val="false"/>
          <w:iCs w:val="false"/>
          <w:position w:val="0"/>
          <w:sz w:val="24"/>
          <w:sz w:val="24"/>
          <w:szCs w:val="24"/>
          <w:u w:val="none"/>
          <w:vertAlign w:val="baseline"/>
        </w:rPr>
      </w:pPr>
      <w:r>
        <w:rPr/>
      </w:r>
    </w:p>
    <w:p>
      <w:pPr>
        <w:pStyle w:val="Normal"/>
        <w:rPr>
          <w:rFonts w:ascii="Times New Roman" w:hAnsi="Times New Roman"/>
        </w:rPr>
      </w:pPr>
      <w:r>
        <w:rPr>
          <w:rFonts w:ascii="Times New Roman" w:hAnsi="Times New Roman"/>
          <w:b w:val="false"/>
          <w:bCs w:val="false"/>
          <w:i w:val="false"/>
          <w:iCs w:val="false"/>
          <w:sz w:val="24"/>
          <w:szCs w:val="24"/>
          <w:u w:val="none"/>
        </w:rPr>
        <w:t xml:space="preserve">Davies,  S, ‘Storytelling in Medieval Wales’, </w:t>
      </w:r>
      <w:r>
        <w:rPr>
          <w:rFonts w:ascii="Times New Roman" w:hAnsi="Times New Roman"/>
          <w:b w:val="false"/>
          <w:bCs w:val="false"/>
          <w:i/>
          <w:iCs/>
          <w:sz w:val="24"/>
          <w:szCs w:val="24"/>
          <w:u w:val="none"/>
        </w:rPr>
        <w:t>Oral Tradition</w:t>
      </w:r>
      <w:r>
        <w:rPr>
          <w:rFonts w:ascii="Times New Roman" w:hAnsi="Times New Roman"/>
          <w:b w:val="false"/>
          <w:bCs w:val="false"/>
          <w:i w:val="false"/>
          <w:iCs w:val="false"/>
          <w:sz w:val="24"/>
          <w:szCs w:val="24"/>
          <w:u w:val="none"/>
        </w:rPr>
        <w:t>, 7:2 (1992)</w:t>
      </w:r>
    </w:p>
    <w:p>
      <w:pPr>
        <w:pStyle w:val="Normal"/>
        <w:rPr>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Davies, S, </w:t>
      </w:r>
      <w:r>
        <w:rPr>
          <w:rStyle w:val="FootnoteCharacters"/>
          <w:rFonts w:ascii="Times New Roman" w:hAnsi="Times New Roman"/>
          <w:b w:val="false"/>
          <w:bCs w:val="false"/>
          <w:i/>
          <w:iCs/>
          <w:position w:val="0"/>
          <w:sz w:val="24"/>
          <w:sz w:val="24"/>
          <w:szCs w:val="24"/>
          <w:u w:val="none"/>
          <w:vertAlign w:val="baseline"/>
        </w:rPr>
        <w:t xml:space="preserve">The Mabinogion </w:t>
      </w:r>
      <w:r>
        <w:rPr>
          <w:rStyle w:val="FootnoteCharacters"/>
          <w:rFonts w:ascii="Times New Roman" w:hAnsi="Times New Roman"/>
          <w:b w:val="false"/>
          <w:bCs w:val="false"/>
          <w:i w:val="false"/>
          <w:iCs w:val="false"/>
          <w:position w:val="0"/>
          <w:sz w:val="24"/>
          <w:sz w:val="24"/>
          <w:szCs w:val="24"/>
          <w:u w:val="none"/>
          <w:vertAlign w:val="baseline"/>
        </w:rPr>
        <w:t>(Oxford: Oxford University Press, 2007)</w:t>
      </w:r>
    </w:p>
    <w:p>
      <w:pPr>
        <w:pStyle w:val="Normal"/>
        <w:rPr>
          <w:rStyle w:val="FootnoteCharacters"/>
          <w:rFonts w:ascii="Times New Roman" w:hAnsi="Times New Roman"/>
          <w:b w:val="false"/>
          <w:b w:val="false"/>
          <w:bCs w:val="false"/>
          <w:i/>
          <w:i/>
          <w:iCs/>
          <w:position w:val="0"/>
          <w:sz w:val="24"/>
          <w:sz w:val="24"/>
          <w:szCs w:val="24"/>
          <w:u w:val="none"/>
          <w:vertAlign w:val="baseline"/>
        </w:rPr>
      </w:pPr>
      <w:r>
        <w:rPr/>
      </w:r>
    </w:p>
    <w:p>
      <w:pPr>
        <w:pStyle w:val="Normal"/>
        <w:rPr>
          <w:rStyle w:val="FootnoteCharacters"/>
          <w:rFonts w:ascii="Times New Roman" w:hAnsi="Times New Roman"/>
          <w:b w:val="false"/>
          <w:b w:val="false"/>
          <w:bCs w:val="false"/>
          <w:i w:val="false"/>
          <w:i w:val="false"/>
          <w:iCs w:val="false"/>
          <w:position w:val="0"/>
          <w:sz w:val="24"/>
          <w:sz w:val="24"/>
          <w:szCs w:val="24"/>
          <w:u w:val="none"/>
          <w:vertAlign w:val="baseline"/>
        </w:rPr>
      </w:pPr>
      <w:r>
        <w:rPr/>
      </w:r>
    </w:p>
    <w:p>
      <w:pPr>
        <w:pStyle w:val="Normal"/>
        <w:rPr/>
      </w:pPr>
      <w:r>
        <w:rPr>
          <w:rStyle w:val="FootnoteCharacters"/>
          <w:rFonts w:ascii="Times New Roman" w:hAnsi="Times New Roman"/>
          <w:b w:val="false"/>
          <w:bCs w:val="false"/>
          <w:i/>
          <w:iCs/>
          <w:position w:val="0"/>
          <w:sz w:val="24"/>
          <w:sz w:val="24"/>
          <w:szCs w:val="24"/>
          <w:u w:val="none"/>
          <w:vertAlign w:val="baseline"/>
        </w:rPr>
        <w:t xml:space="preserve">Sacred Narrative, </w:t>
      </w:r>
      <w:r>
        <w:rPr>
          <w:rStyle w:val="FootnoteCharacters"/>
          <w:rFonts w:ascii="Times New Roman" w:hAnsi="Times New Roman"/>
          <w:b w:val="false"/>
          <w:bCs w:val="false"/>
          <w:i w:val="false"/>
          <w:iCs w:val="false"/>
          <w:position w:val="0"/>
          <w:sz w:val="24"/>
          <w:sz w:val="24"/>
          <w:szCs w:val="24"/>
          <w:u w:val="none"/>
          <w:vertAlign w:val="baseline"/>
        </w:rPr>
        <w:t>ed. A. Dundes (London: University of California Press, 1984)</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Evans, A.J. and Nettleship, J &amp; Perry, S., </w:t>
      </w:r>
      <w:r>
        <w:rPr>
          <w:rStyle w:val="FootnoteCharacters"/>
          <w:rFonts w:ascii="Times New Roman" w:hAnsi="Times New Roman"/>
          <w:b w:val="false"/>
          <w:bCs w:val="false"/>
          <w:i/>
          <w:iCs w:val="false"/>
          <w:position w:val="0"/>
          <w:sz w:val="24"/>
          <w:sz w:val="24"/>
          <w:szCs w:val="24"/>
          <w:u w:val="none"/>
          <w:vertAlign w:val="baseline"/>
        </w:rPr>
        <w:t>Linn Liuan/Llynn Llyw</w:t>
      </w:r>
      <w:r>
        <w:rPr>
          <w:rStyle w:val="FootnoteCharacters"/>
          <w:rFonts w:ascii="Times New Roman" w:hAnsi="Times New Roman"/>
          <w:b w:val="false"/>
          <w:bCs w:val="false"/>
          <w:i w:val="false"/>
          <w:iCs w:val="false"/>
          <w:position w:val="0"/>
          <w:sz w:val="24"/>
          <w:sz w:val="24"/>
          <w:szCs w:val="24"/>
          <w:u w:val="none"/>
          <w:vertAlign w:val="baseline"/>
        </w:rPr>
        <w:t xml:space="preserve">: The Wondrous Lake of the </w:t>
      </w:r>
      <w:r>
        <w:rPr>
          <w:rStyle w:val="FootnoteCharacters"/>
          <w:rFonts w:ascii="Times New Roman" w:hAnsi="Times New Roman"/>
          <w:b w:val="false"/>
          <w:bCs w:val="false"/>
          <w:i/>
          <w:iCs w:val="false"/>
          <w:position w:val="0"/>
          <w:sz w:val="24"/>
          <w:sz w:val="24"/>
          <w:szCs w:val="24"/>
          <w:u w:val="none"/>
          <w:vertAlign w:val="baseline"/>
        </w:rPr>
        <w:t xml:space="preserve">Historia Brittonum's de Mirabilibus Britanniae </w:t>
      </w:r>
      <w:r>
        <w:rPr>
          <w:rStyle w:val="FootnoteCharacters"/>
          <w:rFonts w:ascii="Times New Roman" w:hAnsi="Times New Roman"/>
          <w:b w:val="false"/>
          <w:bCs w:val="false"/>
          <w:i w:val="false"/>
          <w:iCs w:val="false"/>
          <w:position w:val="0"/>
          <w:sz w:val="24"/>
          <w:sz w:val="24"/>
          <w:szCs w:val="24"/>
          <w:u w:val="none"/>
          <w:vertAlign w:val="baseline"/>
        </w:rPr>
        <w:t xml:space="preserve">and </w:t>
      </w:r>
      <w:r>
        <w:rPr>
          <w:rStyle w:val="FootnoteCharacters"/>
          <w:rFonts w:ascii="Times New Roman" w:hAnsi="Times New Roman"/>
          <w:b w:val="false"/>
          <w:bCs w:val="false"/>
          <w:i/>
          <w:iCs w:val="false"/>
          <w:position w:val="0"/>
          <w:sz w:val="24"/>
          <w:sz w:val="24"/>
          <w:szCs w:val="24"/>
          <w:u w:val="none"/>
          <w:vertAlign w:val="baseline"/>
        </w:rPr>
        <w:t>Culhwch ac Olwen</w:t>
      </w:r>
      <w:r>
        <w:rPr>
          <w:rStyle w:val="FootnoteCharacters"/>
          <w:rFonts w:ascii="Times New Roman" w:hAnsi="Times New Roman"/>
          <w:b w:val="false"/>
          <w:bCs w:val="false"/>
          <w:i w:val="false"/>
          <w:iCs w:val="false"/>
          <w:position w:val="0"/>
          <w:sz w:val="24"/>
          <w:sz w:val="24"/>
          <w:szCs w:val="24"/>
          <w:u w:val="none"/>
          <w:vertAlign w:val="baseline"/>
        </w:rPr>
        <w:t>, Folklore, (2008),  119:3, pp. 295-318, DOI: 10.1080/00155870802352236</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i w:val="false"/>
          <w:iCs w:val="false"/>
          <w:caps w:val="false"/>
          <w:smallCaps w:val="false"/>
          <w:color w:val="333333"/>
          <w:spacing w:val="0"/>
          <w:position w:val="0"/>
          <w:sz w:val="24"/>
          <w:sz w:val="24"/>
          <w:szCs w:val="24"/>
          <w:u w:val="none"/>
          <w:vertAlign w:val="baseline"/>
        </w:rPr>
        <w:t>Graves, A. P. and Williams. J. L., “Welsh Folk-Song Collections.”</w:t>
      </w:r>
      <w:r>
        <w:rPr>
          <w:rStyle w:val="FootnoteCharacters"/>
          <w:rFonts w:ascii="Times New Roman" w:hAnsi="Times New Roman"/>
          <w:b w:val="false"/>
          <w:bCs/>
          <w:i/>
          <w:iCs w:val="false"/>
          <w:color w:val="333333"/>
          <w:spacing w:val="0"/>
          <w:position w:val="0"/>
          <w:sz w:val="24"/>
          <w:sz w:val="24"/>
          <w:szCs w:val="24"/>
          <w:u w:val="none"/>
          <w:vertAlign w:val="baseline"/>
        </w:rPr>
        <w:t>The Celtic Review</w:t>
      </w:r>
      <w:r>
        <w:rPr>
          <w:rStyle w:val="FootnoteCharacters"/>
          <w:rFonts w:ascii="Times New Roman" w:hAnsi="Times New Roman"/>
          <w:b w:val="false"/>
          <w:bCs/>
          <w:i w:val="false"/>
          <w:iCs w:val="false"/>
          <w:caps w:val="false"/>
          <w:smallCaps w:val="false"/>
          <w:color w:val="333333"/>
          <w:spacing w:val="0"/>
          <w:position w:val="0"/>
          <w:sz w:val="24"/>
          <w:sz w:val="24"/>
          <w:szCs w:val="24"/>
          <w:u w:val="none"/>
          <w:vertAlign w:val="baseline"/>
        </w:rPr>
        <w:t xml:space="preserve">, vol. 6, no. 23, 1910, pp. 207–213. JSTOR, </w:t>
      </w:r>
      <w:hyperlink r:id="rId5">
        <w:r>
          <w:rPr>
            <w:rStyle w:val="FootnoteCharacters"/>
            <w:rFonts w:ascii="Times New Roman" w:hAnsi="Times New Roman"/>
            <w:b w:val="false"/>
            <w:bCs/>
            <w:i w:val="false"/>
            <w:iCs w:val="false"/>
            <w:caps w:val="false"/>
            <w:smallCaps w:val="false"/>
            <w:color w:val="333333"/>
            <w:spacing w:val="0"/>
            <w:position w:val="0"/>
            <w:sz w:val="24"/>
            <w:sz w:val="24"/>
            <w:szCs w:val="24"/>
            <w:u w:val="none"/>
            <w:vertAlign w:val="baseline"/>
          </w:rPr>
          <w:t>www.jstor.org/stable/30070020</w:t>
        </w:r>
      </w:hyperlink>
      <w:r>
        <w:rPr>
          <w:rStyle w:val="FootnoteCharacters"/>
          <w:rFonts w:ascii="Times New Roman" w:hAnsi="Times New Roman"/>
          <w:b w:val="false"/>
          <w:bCs/>
          <w:i w:val="false"/>
          <w:iCs w:val="false"/>
          <w:caps w:val="false"/>
          <w:smallCaps w:val="false"/>
          <w:color w:val="333333"/>
          <w:spacing w:val="0"/>
          <w:position w:val="0"/>
          <w:sz w:val="24"/>
          <w:sz w:val="24"/>
          <w:szCs w:val="24"/>
          <w:u w:val="none"/>
          <w:vertAlign w:val="baseline"/>
        </w:rPr>
        <w:t xml:space="preserve">, &lt; Accessed: </w:t>
      </w:r>
      <w:r>
        <w:rPr>
          <w:rStyle w:val="FootnoteCharacters"/>
          <w:rFonts w:ascii="Times New Roman" w:hAnsi="Times New Roman"/>
          <w:b w:val="false"/>
          <w:bCs/>
          <w:i w:val="false"/>
          <w:iCs w:val="false"/>
          <w:caps w:val="false"/>
          <w:smallCaps w:val="false"/>
          <w:color w:val="333333"/>
          <w:spacing w:val="0"/>
          <w:position w:val="0"/>
          <w:sz w:val="24"/>
          <w:sz w:val="24"/>
          <w:szCs w:val="24"/>
          <w:u w:val="none"/>
          <w:vertAlign w:val="baseline"/>
        </w:rPr>
        <w:t xml:space="preserve">20 January 2019 </w:t>
      </w:r>
      <w:r>
        <w:rPr>
          <w:rStyle w:val="FootnoteCharacters"/>
          <w:rFonts w:ascii="Times New Roman" w:hAnsi="Times New Roman"/>
          <w:b w:val="false"/>
          <w:bCs/>
          <w:i w:val="false"/>
          <w:iCs w:val="false"/>
          <w:caps w:val="false"/>
          <w:smallCaps w:val="false"/>
          <w:color w:val="333333"/>
          <w:spacing w:val="0"/>
          <w:position w:val="0"/>
          <w:sz w:val="24"/>
          <w:sz w:val="24"/>
          <w:szCs w:val="24"/>
          <w:u w:val="none"/>
          <w:vertAlign w:val="baseline"/>
        </w:rPr>
        <w:t>&gt;</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333333"/>
          <w:spacing w:val="0"/>
          <w:position w:val="0"/>
          <w:sz w:val="24"/>
          <w:sz w:val="24"/>
          <w:szCs w:val="24"/>
          <w:u w:val="none"/>
          <w:vertAlign w:val="baseline"/>
        </w:rPr>
        <w:t xml:space="preserve">Graves, A., &amp; Williams, J., Welsh Folk-Song Collections. </w:t>
      </w:r>
      <w:r>
        <w:rPr>
          <w:rStyle w:val="FootnoteCharacters"/>
          <w:rFonts w:ascii="Times New Roman" w:hAnsi="Times New Roman"/>
          <w:b w:val="false"/>
          <w:bCs w:val="false"/>
          <w:i/>
          <w:iCs w:val="false"/>
          <w:caps w:val="false"/>
          <w:smallCaps w:val="false"/>
          <w:color w:val="333333"/>
          <w:spacing w:val="0"/>
          <w:position w:val="0"/>
          <w:sz w:val="24"/>
          <w:sz w:val="24"/>
          <w:szCs w:val="24"/>
          <w:u w:val="none"/>
          <w:vertAlign w:val="baseline"/>
        </w:rPr>
        <w:t>The Celtic Review,</w:t>
      </w:r>
      <w:r>
        <w:rPr>
          <w:rStyle w:val="FootnoteCharacters"/>
          <w:rFonts w:ascii="Times New Roman" w:hAnsi="Times New Roman"/>
          <w:b w:val="false"/>
          <w:bCs w:val="false"/>
          <w:i w:val="false"/>
          <w:iCs w:val="false"/>
          <w:caps w:val="false"/>
          <w:smallCaps w:val="false"/>
          <w:color w:val="333333"/>
          <w:spacing w:val="0"/>
          <w:position w:val="0"/>
          <w:sz w:val="24"/>
          <w:sz w:val="24"/>
          <w:szCs w:val="24"/>
          <w:u w:val="none"/>
          <w:vertAlign w:val="baseline"/>
        </w:rPr>
        <w:t xml:space="preserve">  (1910). </w:t>
      </w:r>
      <w:r>
        <w:rPr>
          <w:rStyle w:val="FootnoteCharacters"/>
          <w:rFonts w:ascii="Times New Roman" w:hAnsi="Times New Roman"/>
          <w:b w:val="false"/>
          <w:bCs w:val="false"/>
          <w:i/>
          <w:iCs w:val="false"/>
          <w:caps w:val="false"/>
          <w:smallCaps w:val="false"/>
          <w:color w:val="333333"/>
          <w:spacing w:val="0"/>
          <w:position w:val="0"/>
          <w:sz w:val="24"/>
          <w:sz w:val="24"/>
          <w:szCs w:val="24"/>
          <w:u w:val="none"/>
          <w:vertAlign w:val="baseline"/>
        </w:rPr>
        <w:t>6:</w:t>
      </w:r>
      <w:r>
        <w:rPr>
          <w:rStyle w:val="FootnoteCharacters"/>
          <w:rFonts w:ascii="Times New Roman" w:hAnsi="Times New Roman"/>
          <w:b w:val="false"/>
          <w:bCs w:val="false"/>
          <w:i w:val="false"/>
          <w:iCs w:val="false"/>
          <w:caps w:val="false"/>
          <w:smallCaps w:val="false"/>
          <w:color w:val="333333"/>
          <w:spacing w:val="0"/>
          <w:position w:val="0"/>
          <w:sz w:val="24"/>
          <w:sz w:val="24"/>
          <w:szCs w:val="24"/>
          <w:u w:val="none"/>
          <w:vertAlign w:val="baseline"/>
        </w:rPr>
        <w:t xml:space="preserve">23, 207-213. doi:10.2307/30070020 pp. 207–213. </w:t>
      </w:r>
      <w:r>
        <w:rPr>
          <w:rStyle w:val="FootnoteCharacters"/>
          <w:rFonts w:ascii="Times New Roman" w:hAnsi="Times New Roman"/>
          <w:b w:val="false"/>
          <w:bCs w:val="false"/>
          <w:i w:val="false"/>
          <w:iCs w:val="false"/>
          <w:color w:val="333333"/>
          <w:spacing w:val="0"/>
          <w:position w:val="0"/>
          <w:sz w:val="24"/>
          <w:sz w:val="24"/>
          <w:szCs w:val="24"/>
          <w:u w:val="none"/>
          <w:vertAlign w:val="baseline"/>
        </w:rPr>
        <w:t>JSTOR</w:t>
      </w:r>
      <w:r>
        <w:rPr>
          <w:rStyle w:val="FootnoteCharacters"/>
          <w:rFonts w:ascii="Times New Roman" w:hAnsi="Times New Roman"/>
          <w:b w:val="false"/>
          <w:bCs w:val="false"/>
          <w:i w:val="false"/>
          <w:iCs w:val="false"/>
          <w:caps w:val="false"/>
          <w:smallCaps w:val="false"/>
          <w:color w:val="333333"/>
          <w:spacing w:val="0"/>
          <w:position w:val="0"/>
          <w:sz w:val="24"/>
          <w:sz w:val="24"/>
          <w:szCs w:val="24"/>
          <w:u w:val="none"/>
          <w:vertAlign w:val="baseline"/>
        </w:rPr>
        <w:t>, www.jstor.org/stable/30070020,</w:t>
      </w:r>
      <w:r>
        <w:rPr>
          <w:rStyle w:val="FootnoteCharacters"/>
          <w:rFonts w:ascii="Times New Roman" w:hAnsi="Times New Roman"/>
          <w:b w:val="false"/>
          <w:bCs w:val="false"/>
          <w:i w:val="false"/>
          <w:iCs w:val="false"/>
          <w:position w:val="0"/>
          <w:sz w:val="24"/>
          <w:sz w:val="24"/>
          <w:szCs w:val="24"/>
          <w:u w:val="none"/>
          <w:vertAlign w:val="baseline"/>
        </w:rPr>
        <w:t xml:space="preserve"> &lt; Accessed: </w:t>
      </w:r>
      <w:r>
        <w:rPr>
          <w:rStyle w:val="FootnoteCharacters"/>
          <w:rFonts w:ascii="Times New Roman" w:hAnsi="Times New Roman"/>
          <w:b w:val="false"/>
          <w:bCs w:val="false"/>
          <w:i w:val="false"/>
          <w:iCs w:val="false"/>
          <w:position w:val="0"/>
          <w:sz w:val="24"/>
          <w:sz w:val="24"/>
          <w:szCs w:val="24"/>
          <w:u w:val="none"/>
          <w:vertAlign w:val="baseline"/>
        </w:rPr>
        <w:t xml:space="preserve">20 January 2019 </w:t>
      </w:r>
      <w:r>
        <w:rPr>
          <w:rStyle w:val="FootnoteCharacters"/>
          <w:rFonts w:ascii="Times New Roman" w:hAnsi="Times New Roman"/>
          <w:b w:val="false"/>
          <w:bCs w:val="false"/>
          <w:i w:val="false"/>
          <w:iCs w:val="false"/>
          <w:position w:val="0"/>
          <w:sz w:val="24"/>
          <w:sz w:val="24"/>
          <w:szCs w:val="24"/>
          <w:u w:val="none"/>
          <w:vertAlign w:val="baseline"/>
        </w:rPr>
        <w:t>&gt;</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Hutton, R., </w:t>
      </w:r>
      <w:r>
        <w:rPr>
          <w:rStyle w:val="FootnoteCharacters"/>
          <w:rFonts w:ascii="Times New Roman" w:hAnsi="Times New Roman"/>
          <w:b w:val="false"/>
          <w:bCs w:val="false"/>
          <w:i/>
          <w:iCs/>
          <w:position w:val="0"/>
          <w:sz w:val="24"/>
          <w:sz w:val="24"/>
          <w:szCs w:val="24"/>
          <w:u w:val="none"/>
          <w:vertAlign w:val="baseline"/>
        </w:rPr>
        <w:t xml:space="preserve">The Stations of the Sun, </w:t>
      </w:r>
      <w:r>
        <w:rPr>
          <w:rStyle w:val="FootnoteCharacters"/>
          <w:rFonts w:ascii="Times New Roman" w:hAnsi="Times New Roman"/>
          <w:b w:val="false"/>
          <w:bCs w:val="false"/>
          <w:i w:val="false"/>
          <w:iCs w:val="false"/>
          <w:position w:val="0"/>
          <w:sz w:val="24"/>
          <w:sz w:val="24"/>
          <w:szCs w:val="24"/>
          <w:u w:val="none"/>
          <w:vertAlign w:val="baseline"/>
        </w:rPr>
        <w:t>(Oxford: Oxford University Press, 1996)</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Jackson, K., </w:t>
      </w:r>
      <w:r>
        <w:rPr>
          <w:rStyle w:val="FootnoteCharacters"/>
          <w:rFonts w:ascii="Times New Roman" w:hAnsi="Times New Roman"/>
          <w:b w:val="false"/>
          <w:bCs w:val="false"/>
          <w:i/>
          <w:iCs/>
          <w:position w:val="0"/>
          <w:sz w:val="24"/>
          <w:sz w:val="24"/>
          <w:szCs w:val="24"/>
          <w:u w:val="none"/>
          <w:vertAlign w:val="baseline"/>
        </w:rPr>
        <w:t xml:space="preserve">The International Popular Tale and Early Welsh Tradition </w:t>
      </w:r>
      <w:r>
        <w:rPr>
          <w:rStyle w:val="FootnoteCharacters"/>
          <w:rFonts w:ascii="Times New Roman" w:hAnsi="Times New Roman"/>
          <w:b w:val="false"/>
          <w:bCs w:val="false"/>
          <w:i w:val="false"/>
          <w:iCs w:val="false"/>
          <w:position w:val="0"/>
          <w:sz w:val="24"/>
          <w:sz w:val="24"/>
          <w:szCs w:val="24"/>
          <w:u w:val="none"/>
          <w:vertAlign w:val="baseline"/>
        </w:rPr>
        <w:t>(Cardiff: University of Wales Press, 1961)</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 xml:space="preserve">Jones, F., </w:t>
      </w:r>
      <w:r>
        <w:rPr>
          <w:rStyle w:val="FootnoteCharacters"/>
          <w:rFonts w:ascii="Times New Roman" w:hAnsi="Times New Roman"/>
          <w:b w:val="false"/>
          <w:bCs w:val="false"/>
          <w:i/>
          <w:iCs/>
          <w:caps w:val="false"/>
          <w:smallCaps w:val="false"/>
          <w:color w:val="373A3C"/>
          <w:spacing w:val="0"/>
          <w:position w:val="0"/>
          <w:sz w:val="24"/>
          <w:sz w:val="24"/>
          <w:szCs w:val="24"/>
          <w:u w:val="none"/>
          <w:vertAlign w:val="baseline"/>
        </w:rPr>
        <w:t>The Holy Wells of Wales</w:t>
      </w: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 (Cardiff: University of Wales Press, reprinted 1992)</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 xml:space="preserve">Kingshill, S.  and Westwood, J., </w:t>
      </w:r>
      <w:r>
        <w:rPr>
          <w:rStyle w:val="FootnoteCharacters"/>
          <w:rFonts w:ascii="Times New Roman" w:hAnsi="Times New Roman"/>
          <w:b w:val="false"/>
          <w:bCs w:val="false"/>
          <w:i/>
          <w:iCs/>
          <w:caps w:val="false"/>
          <w:smallCaps w:val="false"/>
          <w:color w:val="373A3C"/>
          <w:spacing w:val="0"/>
          <w:position w:val="0"/>
          <w:sz w:val="24"/>
          <w:sz w:val="24"/>
          <w:szCs w:val="24"/>
          <w:u w:val="none"/>
          <w:vertAlign w:val="baseline"/>
        </w:rPr>
        <w:t xml:space="preserve">The Fabled Coast: Legends and Traditions From Around the Shores of Britain and Ireland </w:t>
      </w: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(London: Random House books, 2012)</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000000"/>
          <w:spacing w:val="0"/>
          <w:position w:val="0"/>
          <w:sz w:val="24"/>
          <w:sz w:val="24"/>
          <w:szCs w:val="24"/>
          <w:u w:val="none"/>
          <w:vertAlign w:val="baseline"/>
        </w:rPr>
        <w:t>Leather, E.,</w:t>
      </w:r>
      <w:r>
        <w:rPr>
          <w:rStyle w:val="FootnoteCharacters"/>
          <w:rFonts w:ascii="Times New Roman" w:hAnsi="Times New Roman"/>
          <w:b w:val="false"/>
          <w:bCs w:val="false"/>
          <w:i/>
          <w:iCs/>
          <w:caps w:val="false"/>
          <w:smallCaps w:val="false"/>
          <w:color w:val="000000"/>
          <w:spacing w:val="0"/>
          <w:position w:val="0"/>
          <w:sz w:val="24"/>
          <w:sz w:val="24"/>
          <w:szCs w:val="24"/>
          <w:u w:val="none"/>
          <w:vertAlign w:val="baseline"/>
        </w:rPr>
        <w:t xml:space="preserve">The Folklore of Herefordshire </w:t>
      </w:r>
      <w:r>
        <w:rPr>
          <w:rStyle w:val="FootnoteCharacters"/>
          <w:rFonts w:ascii="Times New Roman" w:hAnsi="Times New Roman"/>
          <w:b w:val="false"/>
          <w:bCs w:val="false"/>
          <w:i w:val="false"/>
          <w:iCs w:val="false"/>
          <w:caps w:val="false"/>
          <w:smallCaps w:val="false"/>
          <w:color w:val="000000"/>
          <w:spacing w:val="0"/>
          <w:position w:val="0"/>
          <w:sz w:val="24"/>
          <w:sz w:val="24"/>
          <w:szCs w:val="24"/>
          <w:u w:val="none"/>
          <w:vertAlign w:val="baseline"/>
        </w:rPr>
        <w:t>(Hereford: Lapridge Publications, 1992)</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The Legend of Savaddan Lake, </w:t>
      </w:r>
      <w:r>
        <w:rPr>
          <w:rStyle w:val="FootnoteCharacters"/>
          <w:rFonts w:cs="Times New Roman" w:ascii="Times New Roman" w:hAnsi="Times New Roman"/>
          <w:b w:val="false"/>
          <w:bCs w:val="false"/>
          <w:i/>
          <w:iCs/>
          <w:caps w:val="false"/>
          <w:smallCaps w:val="false"/>
          <w:color w:val="000000"/>
          <w:spacing w:val="0"/>
          <w:position w:val="0"/>
          <w:sz w:val="24"/>
          <w:sz w:val="24"/>
          <w:szCs w:val="24"/>
          <w:u w:val="none"/>
          <w:vertAlign w:val="baseline"/>
        </w:rPr>
        <w:t>Folklore,</w:t>
      </w:r>
      <w:r>
        <w:rPr>
          <w:rStyle w:val="FootnoteCharacters"/>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 (1908), 19:4 pp.459-466</w:t>
      </w:r>
    </w:p>
    <w:p>
      <w:pPr>
        <w:pStyle w:val="Normal"/>
        <w:rPr>
          <w:rStyle w:val="FootnoteCharacters"/>
          <w:position w:val="0"/>
          <w:sz w:val="24"/>
          <w:vertAlign w:val="baseline"/>
        </w:rPr>
      </w:pPr>
      <w:r>
        <w:rPr>
          <w:rFonts w:ascii="Times New Roman" w:hAnsi="Times New Roman"/>
        </w:rPr>
      </w:r>
    </w:p>
    <w:p>
      <w:pPr>
        <w:pStyle w:val="Normal"/>
        <w:rPr>
          <w:rStyle w:val="FootnoteCharacters"/>
          <w:position w:val="0"/>
          <w:sz w:val="24"/>
          <w:vertAlign w:val="baseline"/>
        </w:rPr>
      </w:pPr>
      <w:r>
        <w:rPr>
          <w:rFonts w:ascii="Times New Roman" w:hAnsi="Times New Roman"/>
        </w:rPr>
      </w:r>
    </w:p>
    <w:p>
      <w:pPr>
        <w:pStyle w:val="Normal"/>
        <w:rPr/>
      </w:pPr>
      <w:hyperlink r:id="rId6">
        <w:r>
          <w:rPr>
            <w:rStyle w:val="FootnoteCharacters"/>
            <w:rFonts w:ascii="Times New Roman" w:hAnsi="Times New Roman"/>
            <w:position w:val="0"/>
            <w:sz w:val="24"/>
            <w:vertAlign w:val="baseline"/>
          </w:rPr>
          <w:t>https://museum.wales/collections/folksongs/</w:t>
        </w:r>
      </w:hyperlink>
      <w:r>
        <w:rPr>
          <w:rStyle w:val="FootnoteCharacters"/>
          <w:rFonts w:ascii="Times New Roman" w:hAnsi="Times New Roman"/>
          <w:position w:val="0"/>
          <w:sz w:val="24"/>
          <w:vertAlign w:val="baseline"/>
        </w:rPr>
        <w:t xml:space="preserve"> </w:t>
      </w:r>
      <w:bookmarkStart w:id="0" w:name="__DdeLink__4113_417083100"/>
      <w:r>
        <w:rPr>
          <w:rStyle w:val="FootnoteCharacters"/>
          <w:rFonts w:ascii="Times New Roman" w:hAnsi="Times New Roman"/>
          <w:position w:val="0"/>
          <w:sz w:val="24"/>
          <w:sz w:val="24"/>
          <w:vertAlign w:val="baseline"/>
        </w:rPr>
        <w:t xml:space="preserve">&lt; Accessed: </w:t>
      </w:r>
      <w:r>
        <w:rPr>
          <w:rStyle w:val="FootnoteCharacters"/>
          <w:rFonts w:ascii="Times New Roman" w:hAnsi="Times New Roman"/>
          <w:position w:val="0"/>
          <w:sz w:val="24"/>
          <w:sz w:val="24"/>
          <w:vertAlign w:val="baseline"/>
        </w:rPr>
        <w:t xml:space="preserve">20 January 2019 </w:t>
      </w:r>
      <w:r>
        <w:rPr>
          <w:rStyle w:val="FootnoteCharacters"/>
          <w:rFonts w:ascii="Times New Roman" w:hAnsi="Times New Roman"/>
          <w:position w:val="0"/>
          <w:sz w:val="24"/>
          <w:sz w:val="24"/>
          <w:vertAlign w:val="baseline"/>
        </w:rPr>
        <w:t>&gt;</w:t>
      </w:r>
      <w:bookmarkEnd w:id="0"/>
    </w:p>
    <w:p>
      <w:pPr>
        <w:pStyle w:val="Normal"/>
        <w:rPr>
          <w:rStyle w:val="FootnoteCharacters"/>
          <w:position w:val="0"/>
          <w:sz w:val="24"/>
          <w:vertAlign w:val="baseline"/>
        </w:rPr>
      </w:pPr>
      <w:r>
        <w:rPr>
          <w:rFonts w:ascii="Times New Roman" w:hAnsi="Times New Roman"/>
        </w:rPr>
      </w:r>
    </w:p>
    <w:p>
      <w:pPr>
        <w:pStyle w:val="Normal"/>
        <w:rPr>
          <w:rStyle w:val="FootnoteCharacters"/>
          <w:position w:val="0"/>
          <w:sz w:val="24"/>
          <w:vertAlign w:val="baseline"/>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 xml:space="preserve">Owen, T. M., </w:t>
      </w:r>
      <w:r>
        <w:rPr>
          <w:rStyle w:val="FootnoteCharacters"/>
          <w:rFonts w:ascii="Times New Roman" w:hAnsi="Times New Roman"/>
          <w:b w:val="false"/>
          <w:bCs w:val="false"/>
          <w:i/>
          <w:iCs/>
          <w:caps w:val="false"/>
          <w:smallCaps w:val="false"/>
          <w:color w:val="373A3C"/>
          <w:spacing w:val="0"/>
          <w:position w:val="0"/>
          <w:sz w:val="24"/>
          <w:sz w:val="24"/>
          <w:szCs w:val="24"/>
          <w:u w:val="none"/>
          <w:vertAlign w:val="baseline"/>
        </w:rPr>
        <w:t xml:space="preserve">The Customs and Traditions of Wales </w:t>
      </w: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(Cardiff: University of Wales Press, 2016)</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 xml:space="preserve">Mackenzie. W., </w:t>
      </w:r>
      <w:r>
        <w:rPr>
          <w:rStyle w:val="FootnoteCharacters"/>
          <w:rFonts w:ascii="Times New Roman" w:hAnsi="Times New Roman"/>
          <w:b w:val="false"/>
          <w:bCs w:val="false"/>
          <w:i/>
          <w:iCs/>
          <w:caps w:val="false"/>
          <w:smallCaps w:val="false"/>
          <w:color w:val="373A3C"/>
          <w:spacing w:val="0"/>
          <w:position w:val="0"/>
          <w:sz w:val="24"/>
          <w:sz w:val="24"/>
          <w:szCs w:val="24"/>
          <w:u w:val="none"/>
          <w:vertAlign w:val="baseline"/>
        </w:rPr>
        <w:t xml:space="preserve">Old Skye Tales </w:t>
      </w: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(Edinburgh: Birlinn Ltd, 2002)</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 xml:space="preserve">Mackillop, J., </w:t>
      </w:r>
      <w:r>
        <w:rPr>
          <w:rStyle w:val="FootnoteCharacters"/>
          <w:rFonts w:ascii="Times New Roman" w:hAnsi="Times New Roman"/>
          <w:b w:val="false"/>
          <w:bCs w:val="false"/>
          <w:i/>
          <w:iCs/>
          <w:caps w:val="false"/>
          <w:smallCaps w:val="false"/>
          <w:color w:val="373A3C"/>
          <w:spacing w:val="0"/>
          <w:position w:val="0"/>
          <w:sz w:val="24"/>
          <w:sz w:val="24"/>
          <w:szCs w:val="24"/>
          <w:u w:val="none"/>
          <w:vertAlign w:val="baseline"/>
        </w:rPr>
        <w:t xml:space="preserve">Dictionary of Celtic Mythology </w:t>
      </w:r>
      <w:r>
        <w:rPr>
          <w:rStyle w:val="FootnoteCharacters"/>
          <w:rFonts w:ascii="Times New Roman" w:hAnsi="Times New Roman"/>
          <w:b w:val="false"/>
          <w:bCs w:val="false"/>
          <w:i w:val="false"/>
          <w:iCs w:val="false"/>
          <w:caps w:val="false"/>
          <w:smallCaps w:val="false"/>
          <w:color w:val="373A3C"/>
          <w:spacing w:val="0"/>
          <w:position w:val="0"/>
          <w:sz w:val="24"/>
          <w:sz w:val="24"/>
          <w:szCs w:val="24"/>
          <w:u w:val="none"/>
          <w:vertAlign w:val="baseline"/>
        </w:rPr>
        <w:t>(Oxford: Oxford University Press, 1998)</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North, R. J., </w:t>
      </w:r>
      <w:r>
        <w:rPr>
          <w:rStyle w:val="FootnoteCharacters"/>
          <w:rFonts w:ascii="Times New Roman" w:hAnsi="Times New Roman"/>
          <w:b w:val="false"/>
          <w:bCs w:val="false"/>
          <w:i/>
          <w:iCs/>
          <w:position w:val="0"/>
          <w:sz w:val="24"/>
          <w:sz w:val="24"/>
          <w:szCs w:val="24"/>
          <w:u w:val="none"/>
          <w:vertAlign w:val="baseline"/>
        </w:rPr>
        <w:t xml:space="preserve">Sunken Cities </w:t>
      </w:r>
      <w:r>
        <w:rPr>
          <w:rStyle w:val="FootnoteCharacters"/>
          <w:rFonts w:ascii="Times New Roman" w:hAnsi="Times New Roman"/>
          <w:b w:val="false"/>
          <w:bCs w:val="false"/>
          <w:i w:val="false"/>
          <w:iCs w:val="false"/>
          <w:position w:val="0"/>
          <w:sz w:val="24"/>
          <w:sz w:val="24"/>
          <w:szCs w:val="24"/>
          <w:u w:val="none"/>
          <w:vertAlign w:val="baseline"/>
        </w:rPr>
        <w:t>(Cardiff: University of Wales Press, 1957)</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Palmer, R., </w:t>
      </w:r>
      <w:r>
        <w:rPr>
          <w:rStyle w:val="FootnoteCharacters"/>
          <w:rFonts w:ascii="Times New Roman" w:hAnsi="Times New Roman"/>
          <w:b w:val="false"/>
          <w:bCs w:val="false"/>
          <w:i/>
          <w:iCs/>
          <w:position w:val="0"/>
          <w:sz w:val="24"/>
          <w:sz w:val="24"/>
          <w:szCs w:val="24"/>
          <w:u w:val="none"/>
          <w:vertAlign w:val="baseline"/>
        </w:rPr>
        <w:t xml:space="preserve">The Folklore of (old) Monmouthshire, </w:t>
      </w:r>
      <w:r>
        <w:rPr>
          <w:rStyle w:val="FootnoteCharacters"/>
          <w:rFonts w:ascii="Times New Roman" w:hAnsi="Times New Roman"/>
          <w:b w:val="false"/>
          <w:bCs w:val="false"/>
          <w:i w:val="false"/>
          <w:iCs w:val="false"/>
          <w:position w:val="0"/>
          <w:sz w:val="24"/>
          <w:sz w:val="24"/>
          <w:szCs w:val="24"/>
          <w:u w:val="none"/>
          <w:vertAlign w:val="baseline"/>
        </w:rPr>
        <w:t>(Herefordshire: Logaston Press, 1998)</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Parry – Jones,  D., </w:t>
      </w:r>
      <w:r>
        <w:rPr>
          <w:rStyle w:val="FootnoteCharacters"/>
          <w:rFonts w:ascii="Times New Roman" w:hAnsi="Times New Roman"/>
          <w:b w:val="false"/>
          <w:bCs w:val="false"/>
          <w:i/>
          <w:iCs/>
          <w:position w:val="0"/>
          <w:sz w:val="24"/>
          <w:sz w:val="24"/>
          <w:szCs w:val="24"/>
          <w:u w:val="none"/>
          <w:vertAlign w:val="baseline"/>
        </w:rPr>
        <w:t xml:space="preserve">Welsh Legends and Fairy Lore, </w:t>
      </w:r>
      <w:r>
        <w:rPr>
          <w:rStyle w:val="FootnoteCharacters"/>
          <w:rFonts w:ascii="Times New Roman" w:hAnsi="Times New Roman"/>
          <w:b w:val="false"/>
          <w:bCs w:val="false"/>
          <w:i w:val="false"/>
          <w:iCs w:val="false"/>
          <w:position w:val="0"/>
          <w:sz w:val="24"/>
          <w:sz w:val="24"/>
          <w:szCs w:val="24"/>
          <w:u w:val="none"/>
          <w:vertAlign w:val="baseline"/>
        </w:rPr>
        <w:t>(London: W. Clowes and Sons Ltd, 1953)</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Rh</w:t>
      </w:r>
      <w:r>
        <w:rPr>
          <w:rStyle w:val="FootnoteCharacters"/>
          <w:rFonts w:eastAsia="Calibri" w:cs="Times New Roman" w:ascii="Times New Roman" w:hAnsi="Times New Roman"/>
          <w:b w:val="false"/>
          <w:bCs w:val="false"/>
          <w:i w:val="false"/>
          <w:iCs w:val="false"/>
          <w:position w:val="0"/>
          <w:sz w:val="24"/>
          <w:sz w:val="24"/>
          <w:szCs w:val="24"/>
          <w:u w:val="none"/>
          <w:vertAlign w:val="baseline"/>
        </w:rPr>
        <w:t xml:space="preserve">ŷs, J., </w:t>
      </w:r>
      <w:r>
        <w:rPr>
          <w:rStyle w:val="FootnoteCharacters"/>
          <w:rFonts w:eastAsia="Calibri" w:cs="Times New Roman" w:ascii="Times New Roman" w:hAnsi="Times New Roman"/>
          <w:b w:val="false"/>
          <w:bCs w:val="false"/>
          <w:i/>
          <w:iCs/>
          <w:position w:val="0"/>
          <w:sz w:val="24"/>
          <w:sz w:val="24"/>
          <w:szCs w:val="24"/>
          <w:u w:val="none"/>
          <w:vertAlign w:val="baseline"/>
        </w:rPr>
        <w:t xml:space="preserve">Celtic Folklore, Welsh and Manx </w:t>
      </w:r>
      <w:r>
        <w:rPr>
          <w:rStyle w:val="FootnoteCharacters"/>
          <w:rFonts w:eastAsia="Calibri" w:cs="Times New Roman" w:ascii="Times New Roman" w:hAnsi="Times New Roman"/>
          <w:b w:val="false"/>
          <w:bCs w:val="false"/>
          <w:i w:val="false"/>
          <w:iCs w:val="false"/>
          <w:position w:val="0"/>
          <w:sz w:val="24"/>
          <w:sz w:val="24"/>
          <w:szCs w:val="24"/>
          <w:u w:val="none"/>
          <w:vertAlign w:val="baseline"/>
        </w:rPr>
        <w:t>(Hawaii: University Press of the Pacific, 2004)</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Sikes, W., </w:t>
      </w:r>
      <w:r>
        <w:rPr>
          <w:rStyle w:val="FootnoteCharacters"/>
          <w:rFonts w:ascii="Times New Roman" w:hAnsi="Times New Roman"/>
          <w:b w:val="false"/>
          <w:bCs w:val="false"/>
          <w:i/>
          <w:iCs/>
          <w:position w:val="0"/>
          <w:sz w:val="24"/>
          <w:sz w:val="24"/>
          <w:szCs w:val="24"/>
          <w:u w:val="none"/>
          <w:vertAlign w:val="baseline"/>
        </w:rPr>
        <w:t xml:space="preserve">British Goblins: The Realm of Fairy </w:t>
      </w:r>
      <w:r>
        <w:rPr>
          <w:rStyle w:val="FootnoteCharacters"/>
          <w:rFonts w:ascii="Times New Roman" w:hAnsi="Times New Roman"/>
          <w:b w:val="false"/>
          <w:bCs w:val="false"/>
          <w:i w:val="false"/>
          <w:iCs w:val="false"/>
          <w:position w:val="0"/>
          <w:sz w:val="24"/>
          <w:sz w:val="24"/>
          <w:szCs w:val="24"/>
          <w:u w:val="none"/>
          <w:vertAlign w:val="baseline"/>
        </w:rPr>
        <w:t>(Llanerch: Llanerch Publishers, 1991)</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cs="Times New Roman" w:ascii="Times New Roman" w:hAnsi="Times New Roman"/>
          <w:b w:val="false"/>
          <w:bCs w:val="false"/>
          <w:i w:val="false"/>
          <w:iCs w:val="false"/>
          <w:position w:val="0"/>
          <w:sz w:val="24"/>
          <w:sz w:val="24"/>
          <w:szCs w:val="24"/>
          <w:u w:val="none"/>
          <w:vertAlign w:val="baseline"/>
        </w:rPr>
        <w:t>Sims-Williams, P., ‘</w:t>
      </w:r>
      <w:r>
        <w:rPr>
          <w:rStyle w:val="FootnoteCharacters"/>
          <w:rFonts w:cs="Times New Roman" w:ascii="Times New Roman" w:hAnsi="Times New Roman"/>
          <w:b w:val="false"/>
          <w:bCs w:val="false"/>
          <w:i/>
          <w:iCs w:val="false"/>
          <w:position w:val="0"/>
          <w:sz w:val="24"/>
          <w:sz w:val="24"/>
          <w:szCs w:val="24"/>
          <w:u w:val="none"/>
          <w:vertAlign w:val="baseline"/>
        </w:rPr>
        <w:t>Kaer Sidi</w:t>
      </w:r>
      <w:r>
        <w:rPr>
          <w:rStyle w:val="FootnoteCharacters"/>
          <w:rFonts w:cs="Times New Roman" w:ascii="Times New Roman" w:hAnsi="Times New Roman"/>
          <w:b w:val="false"/>
          <w:bCs w:val="false"/>
          <w:i w:val="false"/>
          <w:iCs w:val="false"/>
          <w:position w:val="0"/>
          <w:sz w:val="24"/>
          <w:sz w:val="24"/>
          <w:szCs w:val="24"/>
          <w:u w:val="none"/>
          <w:vertAlign w:val="baseline"/>
        </w:rPr>
        <w:t xml:space="preserve"> and Other Otherworld Terms’, </w:t>
      </w:r>
      <w:r>
        <w:rPr>
          <w:rStyle w:val="FootnoteCharacters"/>
          <w:rFonts w:cs="Times New Roman" w:ascii="Times New Roman" w:hAnsi="Times New Roman"/>
          <w:b w:val="false"/>
          <w:bCs w:val="false"/>
          <w:i/>
          <w:iCs w:val="false"/>
          <w:position w:val="0"/>
          <w:sz w:val="24"/>
          <w:sz w:val="24"/>
          <w:szCs w:val="24"/>
          <w:u w:val="none"/>
          <w:vertAlign w:val="baseline"/>
        </w:rPr>
        <w:t xml:space="preserve">Cambrian Medieval Studies’, </w:t>
      </w:r>
      <w:r>
        <w:rPr>
          <w:rStyle w:val="FootnoteCharacters"/>
          <w:rFonts w:cs="Times New Roman" w:ascii="Times New Roman" w:hAnsi="Times New Roman"/>
          <w:b w:val="false"/>
          <w:bCs w:val="false"/>
          <w:i w:val="false"/>
          <w:iCs w:val="false"/>
          <w:position w:val="0"/>
          <w:sz w:val="24"/>
          <w:sz w:val="24"/>
          <w:szCs w:val="24"/>
          <w:u w:val="none"/>
          <w:vertAlign w:val="baseline"/>
        </w:rPr>
        <w:t>36 (Winter 1988) pp. 1-38</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cs="Times New Roman" w:ascii="Times New Roman" w:hAnsi="Times New Roman"/>
          <w:b w:val="false"/>
          <w:bCs w:val="false"/>
          <w:i w:val="false"/>
          <w:iCs w:val="false"/>
          <w:position w:val="0"/>
          <w:sz w:val="24"/>
          <w:sz w:val="24"/>
          <w:szCs w:val="24"/>
          <w:u w:val="none"/>
          <w:vertAlign w:val="baseline"/>
        </w:rPr>
        <w:t xml:space="preserve">Stevenson. P., </w:t>
      </w:r>
      <w:r>
        <w:rPr>
          <w:rStyle w:val="FootnoteCharacters"/>
          <w:rFonts w:cs="Times New Roman" w:ascii="Times New Roman" w:hAnsi="Times New Roman"/>
          <w:b w:val="false"/>
          <w:bCs w:val="false"/>
          <w:i/>
          <w:iCs/>
          <w:position w:val="0"/>
          <w:sz w:val="24"/>
          <w:sz w:val="24"/>
          <w:szCs w:val="24"/>
          <w:u w:val="none"/>
          <w:vertAlign w:val="baseline"/>
        </w:rPr>
        <w:t xml:space="preserve">Welsh Folk Tales, </w:t>
      </w:r>
      <w:r>
        <w:rPr>
          <w:rStyle w:val="FootnoteCharacters"/>
          <w:rFonts w:cs="Times New Roman" w:ascii="Times New Roman" w:hAnsi="Times New Roman"/>
          <w:b w:val="false"/>
          <w:bCs w:val="false"/>
          <w:i w:val="false"/>
          <w:iCs w:val="false"/>
          <w:position w:val="0"/>
          <w:sz w:val="24"/>
          <w:sz w:val="24"/>
          <w:szCs w:val="24"/>
          <w:u w:val="none"/>
          <w:vertAlign w:val="baseline"/>
        </w:rPr>
        <w:t>(Gloucestershire: The History Press, 2017)</w:t>
      </w:r>
    </w:p>
    <w:p>
      <w:pPr>
        <w:pStyle w:val="Normal"/>
        <w:rPr>
          <w:rStyle w:val="FootnoteCharacters"/>
          <w:rFonts w:ascii="Times New Roman" w:hAnsi="Times New Roman" w:cs="Times New Roman"/>
          <w:b w:val="false"/>
          <w:b w:val="false"/>
          <w:bCs w:val="false"/>
          <w:i w:val="false"/>
          <w:i w:val="false"/>
          <w:iCs w:val="false"/>
          <w:position w:val="0"/>
          <w:sz w:val="24"/>
          <w:sz w:val="24"/>
          <w:szCs w:val="24"/>
          <w:u w:val="none"/>
          <w:vertAlign w:val="baseline"/>
        </w:rPr>
      </w:pPr>
      <w:r>
        <w:rPr/>
      </w:r>
    </w:p>
    <w:p>
      <w:pPr>
        <w:pStyle w:val="Normal"/>
        <w:rPr>
          <w:rStyle w:val="FootnoteCharacters"/>
          <w:rFonts w:ascii="Times New Roman" w:hAnsi="Times New Roman" w:cs="Times New Roman"/>
          <w:b w:val="false"/>
          <w:b w:val="false"/>
          <w:bCs w:val="false"/>
          <w:i w:val="false"/>
          <w:i w:val="false"/>
          <w:iCs w:val="false"/>
          <w:position w:val="0"/>
          <w:sz w:val="24"/>
          <w:sz w:val="24"/>
          <w:szCs w:val="24"/>
          <w:u w:val="none"/>
          <w:vertAlign w:val="baseline"/>
        </w:rPr>
      </w:pPr>
      <w:r>
        <w:rPr/>
      </w:r>
    </w:p>
    <w:p>
      <w:pPr>
        <w:pStyle w:val="Normal"/>
        <w:rPr/>
      </w:pPr>
      <w:hyperlink r:id="rId7">
        <w:r>
          <w:rPr>
            <w:rStyle w:val="FootnoteCharacters"/>
            <w:rFonts w:ascii="Times New Roman" w:hAnsi="Times New Roman"/>
            <w:position w:val="0"/>
            <w:sz w:val="24"/>
            <w:vertAlign w:val="baseline"/>
          </w:rPr>
          <w:t>http://cabinetofcuriosities.moonfruit.com/contact/4578432148</w:t>
        </w:r>
      </w:hyperlink>
      <w:hyperlink r:id="rId8">
        <w:r>
          <w:rPr>
            <w:rStyle w:val="FootnoteCharacters"/>
            <w:rFonts w:ascii="Times New Roman" w:hAnsi="Times New Roman"/>
            <w:position w:val="0"/>
            <w:sz w:val="24"/>
            <w:vertAlign w:val="baseline"/>
          </w:rPr>
          <w:t xml:space="preserve">. </w:t>
        </w:r>
      </w:hyperlink>
      <w:r>
        <w:rPr>
          <w:rStyle w:val="FootnoteCharacters"/>
          <w:rFonts w:ascii="Times New Roman" w:hAnsi="Times New Roman"/>
          <w:position w:val="0"/>
          <w:sz w:val="24"/>
          <w:sz w:val="24"/>
          <w:vertAlign w:val="baseline"/>
        </w:rPr>
        <w:t xml:space="preserve">&lt; Accessed: </w:t>
      </w:r>
      <w:r>
        <w:rPr>
          <w:rStyle w:val="FootnoteCharacters"/>
          <w:rFonts w:ascii="Times New Roman" w:hAnsi="Times New Roman"/>
          <w:position w:val="0"/>
          <w:sz w:val="24"/>
          <w:sz w:val="24"/>
          <w:vertAlign w:val="baseline"/>
        </w:rPr>
        <w:t xml:space="preserve">20 January 2019 </w:t>
      </w:r>
      <w:r>
        <w:rPr>
          <w:rStyle w:val="FootnoteCharacters"/>
          <w:rFonts w:ascii="Times New Roman" w:hAnsi="Times New Roman"/>
          <w:position w:val="0"/>
          <w:sz w:val="24"/>
          <w:sz w:val="24"/>
          <w:vertAlign w:val="baseline"/>
        </w:rPr>
        <w:t>&gt;</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cs="Times New Roman"/>
          <w:b w:val="false"/>
          <w:b w:val="false"/>
          <w:bCs w:val="false"/>
          <w:i w:val="false"/>
          <w:i w:val="false"/>
          <w:iCs w:val="false"/>
          <w:position w:val="0"/>
          <w:sz w:val="24"/>
          <w:sz w:val="24"/>
          <w:szCs w:val="24"/>
          <w:u w:val="none"/>
          <w:vertAlign w:val="baseline"/>
        </w:rPr>
      </w:pPr>
      <w:r>
        <w:rPr/>
      </w:r>
    </w:p>
    <w:p>
      <w:pPr>
        <w:pStyle w:val="Normal"/>
        <w:rPr/>
      </w:pPr>
      <w:r>
        <w:rPr>
          <w:rStyle w:val="FootnoteCharacters"/>
          <w:rFonts w:cs="Times New Roman" w:ascii="Times New Roman" w:hAnsi="Times New Roman"/>
          <w:b w:val="false"/>
          <w:bCs w:val="false"/>
          <w:i w:val="false"/>
          <w:iCs w:val="false"/>
          <w:position w:val="0"/>
          <w:sz w:val="24"/>
          <w:sz w:val="24"/>
          <w:szCs w:val="24"/>
          <w:u w:val="none"/>
          <w:vertAlign w:val="baseline"/>
        </w:rPr>
        <w:t>Stephens, W.,</w:t>
      </w:r>
      <w:r>
        <w:rPr>
          <w:rStyle w:val="FootnoteCharacters"/>
          <w:rFonts w:cs="Times New Roman" w:ascii="Times New Roman" w:hAnsi="Times New Roman"/>
          <w:b w:val="false"/>
          <w:bCs w:val="false"/>
          <w:i/>
          <w:iCs/>
          <w:position w:val="0"/>
          <w:sz w:val="24"/>
          <w:sz w:val="24"/>
          <w:szCs w:val="24"/>
          <w:u w:val="none"/>
          <w:vertAlign w:val="baseline"/>
        </w:rPr>
        <w:t xml:space="preserve">The Severn </w:t>
      </w:r>
      <w:r>
        <w:rPr>
          <w:rStyle w:val="FootnoteCharacters"/>
          <w:rFonts w:cs="Times New Roman" w:ascii="Times New Roman" w:hAnsi="Times New Roman"/>
          <w:b w:val="false"/>
          <w:bCs w:val="false"/>
          <w:i w:val="false"/>
          <w:iCs w:val="false"/>
          <w:position w:val="0"/>
          <w:sz w:val="24"/>
          <w:sz w:val="24"/>
          <w:szCs w:val="24"/>
          <w:u w:val="none"/>
          <w:vertAlign w:val="baseline"/>
        </w:rPr>
        <w:t>(London: Muller, Blond &amp; White Ltd, 1986)</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Wood, J., ‘Classifying Folk Narrative Using the Type/Motif Method’, </w:t>
      </w:r>
      <w:r>
        <w:rPr>
          <w:rStyle w:val="FootnoteCharacters"/>
          <w:rFonts w:ascii="Times New Roman" w:hAnsi="Times New Roman"/>
          <w:b w:val="false"/>
          <w:bCs w:val="false"/>
          <w:i/>
          <w:iCs/>
          <w:position w:val="0"/>
          <w:sz w:val="24"/>
          <w:sz w:val="24"/>
          <w:szCs w:val="24"/>
          <w:u w:val="none"/>
          <w:vertAlign w:val="baseline"/>
        </w:rPr>
        <w:t xml:space="preserve">Folk Life, </w:t>
      </w:r>
      <w:r>
        <w:rPr>
          <w:rStyle w:val="FootnoteCharacters"/>
          <w:rFonts w:ascii="Times New Roman" w:hAnsi="Times New Roman"/>
          <w:b w:val="false"/>
          <w:bCs w:val="false"/>
          <w:i w:val="false"/>
          <w:iCs w:val="false"/>
          <w:position w:val="0"/>
          <w:sz w:val="24"/>
          <w:sz w:val="24"/>
          <w:szCs w:val="24"/>
          <w:u w:val="none"/>
          <w:vertAlign w:val="baseline"/>
        </w:rPr>
        <w:t>27:1 (1988), pp. 95 – 103</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Wood, J., Folk Narrative Research in Wales at the Beginning of the Twentieth Century: The Influence of John Rhŷs (1840–1916), </w:t>
      </w:r>
      <w:r>
        <w:rPr>
          <w:rStyle w:val="FootnoteCharacters"/>
          <w:rFonts w:ascii="Times New Roman" w:hAnsi="Times New Roman"/>
          <w:b w:val="false"/>
          <w:bCs w:val="false"/>
          <w:i/>
          <w:iCs/>
          <w:position w:val="0"/>
          <w:sz w:val="24"/>
          <w:sz w:val="24"/>
          <w:szCs w:val="24"/>
          <w:u w:val="none"/>
          <w:vertAlign w:val="baseline"/>
        </w:rPr>
        <w:t>Folklore,</w:t>
      </w:r>
      <w:r>
        <w:rPr>
          <w:rStyle w:val="FootnoteCharacters"/>
          <w:rFonts w:ascii="Times New Roman" w:hAnsi="Times New Roman"/>
          <w:b w:val="false"/>
          <w:bCs w:val="false"/>
          <w:i w:val="false"/>
          <w:iCs w:val="false"/>
          <w:position w:val="0"/>
          <w:sz w:val="24"/>
          <w:sz w:val="24"/>
          <w:szCs w:val="24"/>
          <w:u w:val="none"/>
          <w:vertAlign w:val="baseline"/>
        </w:rPr>
        <w:t xml:space="preserve"> 116:3 (2005), pp. 325 -321</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ascii="Times New Roman" w:hAnsi="Times New Roman"/>
          <w:b w:val="false"/>
          <w:bCs w:val="false"/>
          <w:i w:val="false"/>
          <w:iCs w:val="false"/>
          <w:position w:val="0"/>
          <w:sz w:val="24"/>
          <w:sz w:val="24"/>
          <w:szCs w:val="24"/>
          <w:u w:val="none"/>
          <w:vertAlign w:val="baseline"/>
        </w:rPr>
        <w:t xml:space="preserve">Wood, J. The Fairy Bride Legend in Wales, </w:t>
      </w:r>
      <w:r>
        <w:rPr>
          <w:rStyle w:val="FootnoteCharacters"/>
          <w:rFonts w:ascii="Times New Roman" w:hAnsi="Times New Roman"/>
          <w:b w:val="false"/>
          <w:bCs w:val="false"/>
          <w:i/>
          <w:iCs/>
          <w:position w:val="0"/>
          <w:sz w:val="24"/>
          <w:sz w:val="24"/>
          <w:szCs w:val="24"/>
          <w:u w:val="none"/>
          <w:vertAlign w:val="baseline"/>
        </w:rPr>
        <w:t xml:space="preserve">Folklore, </w:t>
      </w:r>
      <w:r>
        <w:rPr>
          <w:rStyle w:val="FootnoteCharacters"/>
          <w:rFonts w:ascii="Times New Roman" w:hAnsi="Times New Roman"/>
          <w:b w:val="false"/>
          <w:bCs w:val="false"/>
          <w:i w:val="false"/>
          <w:iCs w:val="false"/>
          <w:position w:val="0"/>
          <w:sz w:val="24"/>
          <w:sz w:val="24"/>
          <w:szCs w:val="24"/>
          <w:u w:val="none"/>
          <w:vertAlign w:val="baseline"/>
        </w:rPr>
        <w:t>103:1 (1992), pp. 56-72</w:t>
      </w:r>
    </w:p>
    <w:p>
      <w:pPr>
        <w:pStyle w:val="Normal"/>
        <w:rPr>
          <w:rStyle w:val="FootnoteCharacters"/>
          <w:rFonts w:ascii="Times New Roman" w:hAnsi="Times New Roman"/>
        </w:rPr>
      </w:pPr>
      <w:r>
        <w:rPr>
          <w:rFonts w:ascii="Times New Roman" w:hAnsi="Times New Roman"/>
        </w:rPr>
      </w:r>
    </w:p>
    <w:p>
      <w:pPr>
        <w:pStyle w:val="Normal"/>
        <w:rPr>
          <w:rStyle w:val="FootnoteCharacters"/>
          <w:rFonts w:ascii="Times New Roman" w:hAnsi="Times New Roman"/>
        </w:rPr>
      </w:pPr>
      <w:r>
        <w:rPr>
          <w:rFonts w:ascii="Times New Roman" w:hAnsi="Times New Roman"/>
        </w:rPr>
      </w:r>
    </w:p>
    <w:p>
      <w:pPr>
        <w:pStyle w:val="Normal"/>
        <w:rPr/>
      </w:pPr>
      <w:r>
        <w:rPr>
          <w:rStyle w:val="FootnoteCharacters"/>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 xml:space="preserve">Zipes, J., </w:t>
      </w:r>
      <w:r>
        <w:rPr>
          <w:rStyle w:val="FootnoteCharacters"/>
          <w:rFonts w:cs="Times New Roman" w:ascii="Times New Roman" w:hAnsi="Times New Roman"/>
          <w:b w:val="false"/>
          <w:bCs w:val="false"/>
          <w:i/>
          <w:iCs/>
          <w:caps w:val="false"/>
          <w:smallCaps w:val="false"/>
          <w:color w:val="000000"/>
          <w:spacing w:val="0"/>
          <w:position w:val="0"/>
          <w:sz w:val="24"/>
          <w:sz w:val="24"/>
          <w:szCs w:val="24"/>
          <w:u w:val="none"/>
          <w:vertAlign w:val="baseline"/>
        </w:rPr>
        <w:t xml:space="preserve">The Oxford Companion to Fairy Tales. The Western fairy tale tradition from medieval to modern </w:t>
      </w:r>
      <w:r>
        <w:rPr>
          <w:rStyle w:val="FootnoteCharacters"/>
          <w:rFonts w:cs="Times New Roman" w:ascii="Times New Roman" w:hAnsi="Times New Roman"/>
          <w:b w:val="false"/>
          <w:bCs w:val="false"/>
          <w:i w:val="false"/>
          <w:iCs w:val="false"/>
          <w:caps w:val="false"/>
          <w:smallCaps w:val="false"/>
          <w:color w:val="000000"/>
          <w:spacing w:val="0"/>
          <w:position w:val="0"/>
          <w:sz w:val="24"/>
          <w:sz w:val="24"/>
          <w:szCs w:val="24"/>
          <w:u w:val="none"/>
          <w:vertAlign w:val="baseline"/>
        </w:rPr>
        <w:t>(Oxford: Oxford University press, 2000)</w:t>
      </w:r>
    </w:p>
    <w:p>
      <w:pPr>
        <w:pStyle w:val="Normal"/>
        <w:rPr>
          <w:rFonts w:ascii="Times New Roman" w:hAnsi="Times New Roman"/>
        </w:rPr>
      </w:pPr>
      <w:r>
        <w:rPr>
          <w:rFonts w:ascii="Times New Roman" w:hAnsi="Times New Roman"/>
        </w:rPr>
      </w:r>
    </w:p>
    <w:p>
      <w:pPr>
        <w:pStyle w:val="Normal"/>
        <w:rPr>
          <w:rFonts w:ascii="Times New Roman" w:hAnsi="Times New Roman"/>
        </w:rPr>
      </w:pPr>
      <w:r>
        <w:rPr>
          <w:rFonts w:ascii="Times New Roman" w:hAnsi="Times New Roman"/>
        </w:rPr>
      </w:r>
    </w:p>
    <w:p>
      <w:pPr>
        <w:pStyle w:val="Normal"/>
        <w:rPr/>
      </w:pPr>
      <w:r>
        <w:rPr/>
      </w:r>
    </w:p>
    <w:sectPr>
      <w:footerReference w:type="default" r:id="rId9"/>
      <w:footnotePr>
        <w:numFmt w:val="decimal"/>
      </w:footnotePr>
      <w:type w:val="nextPage"/>
      <w:pgSz w:w="12240" w:h="15840"/>
      <w:pgMar w:left="1440" w:right="1440" w:header="0" w:top="1440" w:footer="720" w:bottom="1440" w:gutter="0"/>
      <w:pgNumType w:start="1"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ahoma">
    <w:charset w:val="00"/>
    <w:family w:val="roman"/>
    <w:pitch w:val="variable"/>
  </w:font>
  <w:font w:name="Calibri">
    <w:charset w:val="00"/>
    <w:family w:val="roman"/>
    <w:pitch w:val="variable"/>
  </w:font>
  <w:font w:name="Trebuchet MS">
    <w:charset w:val="00"/>
    <w:family w:val="roman"/>
    <w:pitch w:val="variable"/>
  </w:font>
  <w:font w:name="Symbol">
    <w:charset w:val="00"/>
    <w:family w:val="roman"/>
    <w:pitch w:val="variable"/>
  </w:font>
  <w:font w:name="Wingdings">
    <w:charset w:val="00"/>
    <w:family w:val="roman"/>
    <w:pitch w:val="variable"/>
  </w:font>
  <w:font w:name="Courier New">
    <w:charset w:val="00"/>
    <w:family w:val="roman"/>
    <w:pitch w:val="variable"/>
  </w:font>
  <w:font w:name="Albertus">
    <w:charset w:val="00"/>
    <w:family w:val="roman"/>
    <w:pitch w:val="variable"/>
  </w:font>
  <w:font w:name="Liberation Sans">
    <w:altName w:val="Arial"/>
    <w:charset w:val="00"/>
    <w:family w:val="roman"/>
    <w:pitch w:val="variable"/>
  </w:font>
  <w:font w:name="Georgia">
    <w:charset w:val="00"/>
    <w:family w:val="roman"/>
    <w:pitch w:val="variable"/>
  </w:font>
  <w:font w:name="Times New Roman">
    <w:charset w:val="01"/>
    <w:family w:val="roman"/>
    <w:pitch w:val="variable"/>
  </w:font>
  <w:font w:name="ArialUnicodeMS">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jc w:val="center"/>
      <w:rPr/>
    </w:pPr>
    <w:r>
      <w:rPr>
        <w:rFonts w:cs="Trebuchet MS" w:ascii="ArialUnicodeMS" w:hAnsi="ArialUnicodeMS"/>
        <w:sz w:val="20"/>
        <w:szCs w:val="18"/>
      </w:rPr>
      <w:fldChar w:fldCharType="begin"/>
    </w:r>
    <w:r>
      <w:rPr>
        <w:sz w:val="20"/>
        <w:szCs w:val="18"/>
        <w:rFonts w:cs="Trebuchet MS" w:ascii="ArialUnicodeMS" w:hAnsi="ArialUnicodeMS"/>
      </w:rPr>
      <w:instrText> PAGE </w:instrText>
    </w:r>
    <w:r>
      <w:rPr>
        <w:sz w:val="20"/>
        <w:szCs w:val="18"/>
        <w:rFonts w:cs="Trebuchet MS" w:ascii="ArialUnicodeMS" w:hAnsi="ArialUnicodeMS"/>
      </w:rPr>
      <w:fldChar w:fldCharType="separate"/>
    </w:r>
    <w:r>
      <w:rPr>
        <w:sz w:val="20"/>
        <w:szCs w:val="18"/>
        <w:rFonts w:cs="Trebuchet MS" w:ascii="ArialUnicodeMS" w:hAnsi="ArialUnicodeMS"/>
      </w:rPr>
      <w:t>27</w:t>
    </w:r>
    <w:r>
      <w:rPr>
        <w:sz w:val="20"/>
        <w:szCs w:val="18"/>
        <w:rFonts w:cs="Trebuchet MS" w:ascii="ArialUnicodeMS" w:hAnsi="ArialUnicodeMS"/>
      </w:rPr>
      <w:fldChar w:fldCharType="end"/>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rPr/>
      </w:pPr>
      <w:r>
        <w:rPr>
          <w:rStyle w:val="FootnoteCharacters"/>
        </w:rPr>
        <w:footnoteRef/>
      </w:r>
      <w:r>
        <w:rPr>
          <w:rStyle w:val="FootnoteCharacters"/>
        </w:rPr>
        <w:tab/>
      </w:r>
      <w:r>
        <w:rPr>
          <w:rStyle w:val="FootnoteCharacters"/>
        </w:rPr>
        <w:tab/>
        <w:tab/>
        <w:tab/>
      </w:r>
      <w:r>
        <w:rPr/>
        <w:t xml:space="preserve">S. Davies, ‘Storytelling in Medieval Wales’, </w:t>
      </w:r>
      <w:r>
        <w:rPr>
          <w:i/>
          <w:iCs/>
        </w:rPr>
        <w:t>Oral Tradition</w:t>
      </w:r>
      <w:r>
        <w:rPr>
          <w:i w:val="false"/>
          <w:iCs w:val="false"/>
        </w:rPr>
        <w:t xml:space="preserve">, 7:2 (1992), p. 233. Although the original purpose of the </w:t>
      </w:r>
      <w:r>
        <w:rPr>
          <w:i/>
          <w:iCs/>
        </w:rPr>
        <w:t xml:space="preserve">cyfarwydd </w:t>
      </w:r>
      <w:r>
        <w:rPr>
          <w:i w:val="false"/>
          <w:iCs w:val="false"/>
        </w:rPr>
        <w:t>may have been the preserve of history and genealogies for example, this may have developed in later times into one of storyteller, the keeper of lore.</w:t>
      </w:r>
    </w:p>
  </w:footnote>
  <w:footnote w:id="3">
    <w:p>
      <w:pPr>
        <w:pStyle w:val="Footnote"/>
        <w:rPr/>
      </w:pPr>
      <w:r>
        <w:rPr>
          <w:rStyle w:val="FootnoteCharacters"/>
        </w:rPr>
        <w:footnoteRef/>
      </w:r>
      <w:r>
        <w:rPr>
          <w:rStyle w:val="FootnoteCharacters"/>
        </w:rPr>
        <w:tab/>
      </w:r>
      <w:r>
        <w:rPr>
          <w:rStyle w:val="FootnoteCharacters"/>
        </w:rPr>
        <w:tab/>
        <w:tab/>
        <w:tab/>
      </w:r>
      <w:r>
        <w:rPr/>
        <w:t>K. Jackson,</w:t>
      </w:r>
      <w:bookmarkStart w:id="1" w:name="__DdeLink__327_26016827121"/>
      <w:r>
        <w:rPr/>
        <w:t xml:space="preserve"> </w:t>
      </w:r>
      <w:r>
        <w:rPr>
          <w:i/>
          <w:iCs/>
        </w:rPr>
        <w:t>The International Popular Tale</w:t>
      </w:r>
      <w:bookmarkEnd w:id="1"/>
      <w:r>
        <w:rPr>
          <w:i/>
          <w:iCs/>
        </w:rPr>
        <w:t xml:space="preserve"> and Early Welsh Tradition </w:t>
      </w:r>
      <w:r>
        <w:rPr>
          <w:i w:val="false"/>
          <w:iCs w:val="false"/>
        </w:rPr>
        <w:t>(Cardiff: University of Wales Press, 1961), p.4. Jackson considered the use of the term ‘folklore’ rather patronizing, being used by educated and literary people to describe the stories of the ‘rural poor’ who were seen as less sophisticated but towards whom they had a somewhat ‘romantic attitude’. He preferred to call them ‘popular tales’.</w:t>
      </w:r>
    </w:p>
  </w:footnote>
  <w:footnote w:id="4">
    <w:p>
      <w:pPr>
        <w:pStyle w:val="Footnote"/>
        <w:rPr/>
      </w:pPr>
      <w:r>
        <w:rPr>
          <w:rStyle w:val="FootnoteCharacters"/>
        </w:rPr>
        <w:footnoteRef/>
      </w:r>
      <w:r>
        <w:rPr>
          <w:rStyle w:val="FootnoteCharacters"/>
        </w:rPr>
        <w:tab/>
      </w:r>
      <w:r>
        <w:rPr>
          <w:rStyle w:val="FootnoteCharacters"/>
        </w:rPr>
        <w:tab/>
        <w:tab/>
        <w:tab/>
      </w:r>
      <w:r>
        <w:rPr/>
        <w:t xml:space="preserve">J. Zipes, </w:t>
      </w:r>
      <w:r>
        <w:rPr>
          <w:i/>
          <w:iCs/>
        </w:rPr>
        <w:t xml:space="preserve">The Oxford Companion to Fairy Tales. The Western fairy tale tradition from medieval to modern </w:t>
      </w:r>
      <w:r>
        <w:rPr>
          <w:i w:val="false"/>
          <w:iCs w:val="false"/>
        </w:rPr>
        <w:t>(Oxford: Oxford University Press, 2000), p. 167.</w:t>
      </w:r>
    </w:p>
  </w:footnote>
  <w:footnote w:id="5">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See </w:t>
      </w:r>
      <w:r>
        <w:rPr>
          <w:position w:val="0"/>
          <w:sz w:val="20"/>
          <w:sz w:val="20"/>
          <w:vertAlign w:val="baseline"/>
        </w:rPr>
        <w:t>J. Woo</w:t>
      </w:r>
      <w:r>
        <w:rPr/>
        <w:t xml:space="preserve">d, ‘Classifying Folk Narrative Using the Type/Motif Method’, </w:t>
      </w:r>
      <w:r>
        <w:rPr>
          <w:i/>
          <w:iCs/>
        </w:rPr>
        <w:t xml:space="preserve">Folk Life, </w:t>
      </w:r>
      <w:r>
        <w:rPr>
          <w:i w:val="false"/>
          <w:iCs w:val="false"/>
        </w:rPr>
        <w:t>27:1 (1988), pp. 95 – 103. Antti Aarne and Stith Thompson each produced systems for the international classification and organization of folk narrative.</w:t>
      </w:r>
    </w:p>
  </w:footnote>
  <w:footnote w:id="6">
    <w:p>
      <w:pPr>
        <w:pStyle w:val="Footnote"/>
        <w:rPr/>
      </w:pPr>
      <w:r>
        <w:rPr>
          <w:rStyle w:val="FootnoteCharacters"/>
        </w:rPr>
        <w:footnoteRef/>
      </w:r>
      <w:r>
        <w:rPr>
          <w:rStyle w:val="FootnoteCharacters"/>
        </w:rPr>
        <w:tab/>
      </w:r>
      <w:r>
        <w:rPr>
          <w:rStyle w:val="FootnoteCharacters"/>
        </w:rPr>
        <w:tab/>
        <w:tab/>
        <w:tab/>
      </w:r>
      <w:r>
        <w:rPr>
          <w:sz w:val="20"/>
        </w:rPr>
        <w:t xml:space="preserve">J. Wood, Folk ‘Narrative Research in Wales at the Beginning of the Twentieth Century: The Influence of John Rhŷs (1840–1916)’, </w:t>
      </w:r>
      <w:r>
        <w:rPr>
          <w:i/>
          <w:iCs/>
          <w:sz w:val="20"/>
        </w:rPr>
        <w:t>Folklore,</w:t>
      </w:r>
      <w:r>
        <w:rPr>
          <w:sz w:val="20"/>
        </w:rPr>
        <w:t xml:space="preserve"> 116:3 (2005), p 330. M</w:t>
      </w:r>
      <w:r>
        <w:rPr>
          <w:rFonts w:cs="Times New Roman"/>
          <w:b w:val="false"/>
          <w:bCs w:val="false"/>
          <w:i w:val="false"/>
          <w:iCs w:val="false"/>
          <w:caps w:val="false"/>
          <w:smallCaps w:val="false"/>
          <w:color w:val="000000"/>
          <w:spacing w:val="0"/>
          <w:sz w:val="20"/>
          <w:szCs w:val="20"/>
          <w:u w:val="none"/>
        </w:rPr>
        <w:t>any tales may also demonstrate and ‘reinforce’ cultural beliefs. The same could also be said of folk songs.</w:t>
      </w:r>
    </w:p>
  </w:footnote>
  <w:footnote w:id="7">
    <w:p>
      <w:pPr>
        <w:pStyle w:val="Footnote"/>
        <w:rPr/>
      </w:pPr>
      <w:r>
        <w:rPr>
          <w:rStyle w:val="FootnoteCharacters"/>
        </w:rPr>
        <w:footnoteRef/>
      </w:r>
      <w:r>
        <w:rPr>
          <w:rStyle w:val="FootnoteCharacters"/>
        </w:rPr>
        <w:tab/>
      </w:r>
      <w:r>
        <w:rPr>
          <w:rStyle w:val="FootnoteCharacters"/>
        </w:rPr>
        <w:tab/>
        <w:tab/>
        <w:tab/>
      </w:r>
      <w:r>
        <w:rPr/>
        <w:t xml:space="preserve">K. Jackson,  </w:t>
      </w:r>
      <w:r>
        <w:rPr>
          <w:i/>
          <w:iCs/>
        </w:rPr>
        <w:t xml:space="preserve">The International Popular Tale, </w:t>
      </w:r>
      <w:r>
        <w:rPr>
          <w:i w:val="false"/>
          <w:iCs w:val="false"/>
        </w:rPr>
        <w:t>p. 48. Or Llyn y Fan Fach, an international tale and cataloged in Thompson’s Motif/Index.</w:t>
      </w:r>
    </w:p>
  </w:footnote>
  <w:footnote w:id="8">
    <w:p>
      <w:pPr>
        <w:pStyle w:val="Footnote"/>
        <w:rPr/>
      </w:pPr>
      <w:r>
        <w:rPr>
          <w:rStyle w:val="FootnoteCharacters"/>
        </w:rPr>
        <w:footnoteRef/>
      </w:r>
      <w:r>
        <w:rPr>
          <w:rStyle w:val="FootnoteCharacters"/>
        </w:rPr>
        <w:tab/>
      </w:r>
      <w:r>
        <w:rPr>
          <w:rStyle w:val="FootnoteCharacters"/>
        </w:rPr>
        <w:tab/>
        <w:tab/>
        <w:tab/>
      </w:r>
      <w:r>
        <w:rPr/>
        <w:t xml:space="preserve">M. Green, </w:t>
      </w:r>
      <w:r>
        <w:rPr>
          <w:i/>
          <w:iCs/>
        </w:rPr>
        <w:t xml:space="preserve">The Gods of the Celts </w:t>
      </w:r>
      <w:r>
        <w:rPr>
          <w:i w:val="false"/>
          <w:iCs w:val="false"/>
        </w:rPr>
        <w:t>(Gloucestershire: Alan Sutton Publishing Ltd, 1993), pp. 141-145. Ritual deposition of objects of great value such as swords and cauldrons suggest great veneration and respect for such places, implying a sacred and important role of water within early societies.</w:t>
      </w:r>
    </w:p>
  </w:footnote>
  <w:footnote w:id="9">
    <w:p>
      <w:pPr>
        <w:pStyle w:val="Footnote"/>
        <w:rPr/>
      </w:pPr>
      <w:r>
        <w:rPr>
          <w:rStyle w:val="FootnoteCharacters"/>
        </w:rPr>
        <w:footnoteRef/>
      </w:r>
      <w:r>
        <w:rPr>
          <w:rStyle w:val="FootnoteCharacters"/>
        </w:rPr>
        <w:tab/>
      </w:r>
      <w:r>
        <w:rPr>
          <w:rStyle w:val="FootnoteCharacters"/>
        </w:rPr>
        <w:tab/>
        <w:tab/>
        <w:tab/>
      </w:r>
      <w:r>
        <w:rPr/>
        <w:t xml:space="preserve">M. Green, </w:t>
      </w:r>
      <w:r>
        <w:rPr>
          <w:i/>
          <w:iCs/>
        </w:rPr>
        <w:t xml:space="preserve">Dictionary of Celtic Myth and Legend  </w:t>
      </w:r>
      <w:r>
        <w:rPr>
          <w:i w:val="false"/>
          <w:iCs w:val="false"/>
        </w:rPr>
        <w:t>(London: Thames and Hudson Ltd, 1992), pp. 134 – 135. The lake of Llyn Cerrig Bach contains deposits from between the 2</w:t>
      </w:r>
      <w:r>
        <w:rPr>
          <w:i w:val="false"/>
          <w:iCs w:val="false"/>
          <w:vertAlign w:val="superscript"/>
        </w:rPr>
        <w:t>nd</w:t>
      </w:r>
      <w:r>
        <w:rPr>
          <w:i w:val="false"/>
          <w:iCs w:val="false"/>
        </w:rPr>
        <w:t xml:space="preserve"> century BCE and the 1</w:t>
      </w:r>
      <w:r>
        <w:rPr>
          <w:i w:val="false"/>
          <w:iCs w:val="false"/>
          <w:vertAlign w:val="superscript"/>
        </w:rPr>
        <w:t>st</w:t>
      </w:r>
      <w:r>
        <w:rPr>
          <w:i w:val="false"/>
          <w:iCs w:val="false"/>
        </w:rPr>
        <w:t xml:space="preserve"> century, CE, suggesting that this site received offerings for a considerable period. The objects from Llyn Fawr are from around 650 – 600 BCE.</w:t>
      </w:r>
    </w:p>
  </w:footnote>
  <w:footnote w:id="10">
    <w:p>
      <w:pPr>
        <w:pStyle w:val="Footnote"/>
        <w:rPr/>
      </w:pPr>
      <w:r>
        <w:rPr>
          <w:rStyle w:val="FootnoteCharacters"/>
        </w:rPr>
        <w:footnoteRef/>
      </w:r>
      <w:r>
        <w:rPr>
          <w:rStyle w:val="FootnoteCharacters"/>
        </w:rPr>
        <w:tab/>
      </w:r>
      <w:r>
        <w:rPr>
          <w:rStyle w:val="FootnoteCharacters"/>
        </w:rPr>
        <w:tab/>
        <w:tab/>
        <w:tab/>
      </w:r>
      <w:r>
        <w:rPr/>
        <w:t>Ibid., pp. 166 -167.</w:t>
      </w:r>
    </w:p>
  </w:footnote>
  <w:footnote w:id="11">
    <w:p>
      <w:pPr>
        <w:pStyle w:val="Footnote"/>
        <w:rPr/>
      </w:pPr>
      <w:r>
        <w:rPr>
          <w:rStyle w:val="FootnoteCharacters"/>
        </w:rPr>
        <w:footnoteRef/>
      </w:r>
      <w:r>
        <w:rPr>
          <w:rStyle w:val="FootnoteCharacters"/>
        </w:rPr>
        <w:tab/>
      </w:r>
      <w:r>
        <w:rPr>
          <w:rStyle w:val="FootnoteCharacters"/>
        </w:rPr>
        <w:tab/>
        <w:tab/>
        <w:tab/>
      </w:r>
      <w:r>
        <w:rPr/>
        <w:t xml:space="preserve">P. Sims-Williams, </w:t>
      </w:r>
      <w:bookmarkStart w:id="2" w:name="_Hlk4799586781"/>
      <w:r>
        <w:rPr/>
        <w:t>‘</w:t>
      </w:r>
      <w:r>
        <w:rPr>
          <w:i/>
        </w:rPr>
        <w:t xml:space="preserve">Kaer Sidi </w:t>
      </w:r>
      <w:r>
        <w:rPr/>
        <w:t>a</w:t>
      </w:r>
      <w:r>
        <w:rPr>
          <w:sz w:val="20"/>
          <w:szCs w:val="20"/>
        </w:rPr>
        <w:t xml:space="preserve">nd Other Otherworld Terms’, </w:t>
      </w:r>
      <w:bookmarkEnd w:id="2"/>
      <w:r>
        <w:rPr>
          <w:rStyle w:val="FootnoteCharacters"/>
          <w:rFonts w:cs="Times New Roman" w:ascii="Times New Roman" w:hAnsi="Times New Roman"/>
          <w:b w:val="false"/>
          <w:bCs w:val="false"/>
          <w:i w:val="false"/>
          <w:iCs w:val="false"/>
          <w:position w:val="0"/>
          <w:sz w:val="20"/>
          <w:sz w:val="20"/>
          <w:szCs w:val="20"/>
          <w:u w:val="none"/>
          <w:vertAlign w:val="baseline"/>
        </w:rPr>
        <w:t xml:space="preserve"> </w:t>
      </w:r>
      <w:r>
        <w:rPr>
          <w:rStyle w:val="FootnoteCharacters"/>
          <w:rFonts w:cs="Times New Roman" w:ascii="Times New Roman" w:hAnsi="Times New Roman"/>
          <w:b w:val="false"/>
          <w:bCs w:val="false"/>
          <w:i/>
          <w:iCs w:val="false"/>
          <w:position w:val="0"/>
          <w:sz w:val="20"/>
          <w:sz w:val="20"/>
          <w:szCs w:val="20"/>
          <w:u w:val="none"/>
          <w:vertAlign w:val="baseline"/>
        </w:rPr>
        <w:t xml:space="preserve">Cambrian Medieval Studies’, </w:t>
      </w:r>
      <w:r>
        <w:rPr>
          <w:rStyle w:val="FootnoteCharacters"/>
          <w:rFonts w:cs="Times New Roman" w:ascii="Times New Roman" w:hAnsi="Times New Roman"/>
          <w:b w:val="false"/>
          <w:bCs w:val="false"/>
          <w:i w:val="false"/>
          <w:iCs w:val="false"/>
          <w:position w:val="0"/>
          <w:sz w:val="20"/>
          <w:sz w:val="20"/>
          <w:szCs w:val="20"/>
          <w:u w:val="none"/>
          <w:vertAlign w:val="baseline"/>
        </w:rPr>
        <w:t xml:space="preserve">36 (Winter 1988) pp. 1 – 38, </w:t>
      </w:r>
      <w:r>
        <w:rPr>
          <w:sz w:val="20"/>
          <w:szCs w:val="20"/>
        </w:rPr>
        <w:t>p. 5.</w:t>
      </w:r>
    </w:p>
  </w:footnote>
  <w:footnote w:id="12">
    <w:p>
      <w:pPr>
        <w:pStyle w:val="Footnote"/>
        <w:rPr/>
      </w:pPr>
      <w:r>
        <w:rPr>
          <w:rStyle w:val="FootnoteCharacters"/>
        </w:rPr>
        <w:footnoteRef/>
      </w:r>
      <w:r>
        <w:rPr>
          <w:rStyle w:val="FootnoteCharacters"/>
        </w:rPr>
        <w:tab/>
      </w:r>
      <w:r>
        <w:rPr>
          <w:rStyle w:val="FootnoteCharacters"/>
        </w:rPr>
        <w:tab/>
        <w:tab/>
        <w:tab/>
      </w:r>
      <w:r>
        <w:rPr>
          <w:sz w:val="20"/>
        </w:rPr>
        <w:t>J. Wood, ‘Folk Narrative Research in Wales’, p. 333.</w:t>
      </w:r>
    </w:p>
  </w:footnote>
  <w:footnote w:id="13">
    <w:p>
      <w:pPr>
        <w:pStyle w:val="Footnote"/>
        <w:rPr/>
      </w:pPr>
      <w:r>
        <w:rPr>
          <w:rStyle w:val="FootnoteCharacters"/>
        </w:rPr>
        <w:footnoteRef/>
      </w:r>
      <w:r>
        <w:rPr>
          <w:rStyle w:val="FootnoteCharacters"/>
        </w:rPr>
        <w:tab/>
      </w:r>
      <w:r>
        <w:rPr>
          <w:rStyle w:val="FootnoteCharacters"/>
        </w:rPr>
        <w:tab/>
        <w:tab/>
        <w:tab/>
      </w:r>
      <w:r>
        <w:rPr/>
        <w:t>Ibid., p. 332.</w:t>
      </w:r>
    </w:p>
  </w:footnote>
  <w:footnote w:id="14">
    <w:p>
      <w:pPr>
        <w:pStyle w:val="Footnote"/>
        <w:rPr/>
      </w:pPr>
      <w:r>
        <w:rPr>
          <w:rStyle w:val="FootnoteCharacters"/>
        </w:rPr>
        <w:footnoteRef/>
      </w:r>
      <w:r>
        <w:rPr>
          <w:rStyle w:val="FootnoteCharacters"/>
        </w:rPr>
        <w:tab/>
      </w:r>
      <w:r>
        <w:rPr>
          <w:rStyle w:val="FootnoteCharacters"/>
        </w:rPr>
        <w:tab/>
        <w:tab/>
        <w:tab/>
      </w:r>
      <w:r>
        <w:rPr/>
        <w:t>J. Rh</w:t>
      </w:r>
      <w:r>
        <w:rPr>
          <w:rFonts w:eastAsia="Calibri" w:cs="Times New Roman"/>
        </w:rPr>
        <w:t xml:space="preserve">ŷs, </w:t>
      </w:r>
      <w:r>
        <w:rPr>
          <w:rFonts w:eastAsia="Calibri" w:cs="Times New Roman"/>
          <w:i/>
          <w:iCs/>
        </w:rPr>
        <w:t xml:space="preserve">Celtic Folklore, Welsh and Manx </w:t>
      </w:r>
      <w:r>
        <w:rPr>
          <w:rFonts w:eastAsia="Calibri" w:cs="Times New Roman"/>
          <w:i w:val="false"/>
          <w:iCs w:val="false"/>
        </w:rPr>
        <w:t>(Hawaii: University Press of the Pacific, 2004) p. 17. Rhŷs felt that it was important to study such tales to facilitate an understanding of the history and inheritance of the Welsh people. He collected from all over Wales from both written and oral sources.</w:t>
      </w:r>
    </w:p>
  </w:footnote>
  <w:footnote w:id="15">
    <w:p>
      <w:pPr>
        <w:pStyle w:val="Footnote"/>
        <w:rPr/>
      </w:pPr>
      <w:r>
        <w:rPr>
          <w:rStyle w:val="FootnoteCharacters"/>
        </w:rPr>
        <w:footnoteRef/>
      </w:r>
      <w:r>
        <w:rPr>
          <w:rStyle w:val="FootnoteCharacters"/>
        </w:rPr>
        <w:tab/>
      </w:r>
      <w:r>
        <w:rPr>
          <w:rStyle w:val="FootnoteCharacters"/>
        </w:rPr>
        <w:tab/>
        <w:tab/>
        <w:tab/>
      </w:r>
      <w:r>
        <w:rPr/>
        <w:t xml:space="preserve">W. Sikes, </w:t>
      </w:r>
      <w:r>
        <w:rPr>
          <w:i/>
          <w:iCs/>
        </w:rPr>
        <w:t xml:space="preserve">British Goblins: The Realm of Faerie </w:t>
      </w:r>
      <w:r>
        <w:rPr>
          <w:i w:val="false"/>
          <w:iCs w:val="false"/>
        </w:rPr>
        <w:t xml:space="preserve">(Felinfach: Llanerch Publishers, facsimile reprint of 1880 edition, 1991), pp. 38 – 45. Sikes believed that these stories were echoes of an ‘ancient mythology’ and that the fairies were remnants of nature spirits, an idea popular at this time and still persists in some quarters today. </w:t>
      </w:r>
    </w:p>
  </w:footnote>
  <w:footnote w:id="16">
    <w:p>
      <w:pPr>
        <w:pStyle w:val="Footnote"/>
        <w:rPr/>
      </w:pPr>
      <w:r>
        <w:rPr>
          <w:rStyle w:val="FootnoteCharacters"/>
        </w:rPr>
        <w:footnoteRef/>
      </w:r>
      <w:r>
        <w:rPr>
          <w:rStyle w:val="FootnoteCharacters"/>
        </w:rPr>
        <w:tab/>
      </w:r>
      <w:r>
        <w:rPr>
          <w:rStyle w:val="FootnoteCharacters"/>
        </w:rPr>
        <w:tab/>
        <w:tab/>
        <w:tab/>
      </w:r>
      <w:r>
        <w:rPr/>
        <w:t xml:space="preserve">J. Wood, </w:t>
      </w:r>
      <w:r>
        <w:rPr>
          <w:sz w:val="20"/>
        </w:rPr>
        <w:t>Folk Narrative Research in Wales, p. 333.</w:t>
      </w:r>
    </w:p>
  </w:footnote>
  <w:footnote w:id="17">
    <w:p>
      <w:pPr>
        <w:pStyle w:val="Footnote"/>
        <w:rPr/>
      </w:pPr>
      <w:r>
        <w:rPr>
          <w:rStyle w:val="FootnoteCharacters"/>
        </w:rPr>
        <w:footnoteRef/>
      </w:r>
      <w:r>
        <w:rPr>
          <w:rStyle w:val="FootnoteCharacters"/>
        </w:rPr>
        <w:tab/>
      </w:r>
      <w:r>
        <w:rPr>
          <w:rStyle w:val="FootnoteCharacters"/>
        </w:rPr>
        <w:tab/>
        <w:tab/>
        <w:tab/>
      </w:r>
      <w:r>
        <w:rPr>
          <w:sz w:val="20"/>
          <w:szCs w:val="20"/>
        </w:rPr>
        <w:t xml:space="preserve">J. Wood, </w:t>
      </w:r>
      <w:r>
        <w:rPr>
          <w:rStyle w:val="FootnoteCharacters"/>
          <w:b w:val="false"/>
          <w:bCs w:val="false"/>
          <w:i w:val="false"/>
          <w:iCs w:val="false"/>
          <w:position w:val="0"/>
          <w:sz w:val="20"/>
          <w:sz w:val="20"/>
          <w:szCs w:val="20"/>
          <w:u w:val="none"/>
          <w:vertAlign w:val="baseline"/>
        </w:rPr>
        <w:t xml:space="preserve"> The Fairy Bride Legend in Wales, </w:t>
      </w:r>
      <w:r>
        <w:rPr>
          <w:rStyle w:val="FootnoteCharacters"/>
          <w:b w:val="false"/>
          <w:bCs w:val="false"/>
          <w:i/>
          <w:iCs/>
          <w:position w:val="0"/>
          <w:sz w:val="20"/>
          <w:sz w:val="20"/>
          <w:szCs w:val="20"/>
          <w:u w:val="none"/>
          <w:vertAlign w:val="baseline"/>
        </w:rPr>
        <w:t xml:space="preserve">Folklore, </w:t>
      </w:r>
      <w:r>
        <w:rPr>
          <w:rStyle w:val="FootnoteCharacters"/>
          <w:b w:val="false"/>
          <w:bCs w:val="false"/>
          <w:i w:val="false"/>
          <w:iCs w:val="false"/>
          <w:position w:val="0"/>
          <w:sz w:val="20"/>
          <w:sz w:val="20"/>
          <w:szCs w:val="20"/>
          <w:u w:val="none"/>
          <w:vertAlign w:val="baseline"/>
        </w:rPr>
        <w:t>103:1 (1992), p. 56. The first evidence of a connection to the legendary Physicians of Myddfai  is in a printed version from 1861 suggesting this part of the tale may be a later add on. pp. 64 -65. This more recent version tells how the physicians were descended from the lady of the lake who taught their ancestor her healing lore</w:t>
      </w:r>
    </w:p>
  </w:footnote>
  <w:footnote w:id="18">
    <w:p>
      <w:pPr>
        <w:pStyle w:val="Footnote"/>
        <w:rPr/>
      </w:pPr>
      <w:r>
        <w:rPr>
          <w:rStyle w:val="FootnoteCharacters"/>
        </w:rPr>
        <w:footnoteRef/>
      </w:r>
      <w:r>
        <w:rPr>
          <w:rStyle w:val="FootnoteCharacters"/>
        </w:rPr>
        <w:tab/>
      </w:r>
      <w:r>
        <w:rPr>
          <w:rStyle w:val="FootnoteCharacters"/>
        </w:rPr>
        <w:tab/>
        <w:tab/>
        <w:tab/>
      </w:r>
      <w:r>
        <w:rPr/>
        <w:t>Ibid., p. 60.</w:t>
      </w:r>
    </w:p>
  </w:footnote>
  <w:footnote w:id="19">
    <w:p>
      <w:pPr>
        <w:pStyle w:val="Footnote"/>
        <w:rPr/>
      </w:pPr>
      <w:r>
        <w:rPr>
          <w:rStyle w:val="FootnoteCharacters"/>
        </w:rPr>
        <w:footnoteRef/>
      </w:r>
      <w:r>
        <w:rPr>
          <w:rStyle w:val="FootnoteCharacters"/>
        </w:rPr>
        <w:tab/>
      </w:r>
      <w:r>
        <w:rPr>
          <w:rStyle w:val="FootnoteCharacters"/>
        </w:rPr>
        <w:tab/>
        <w:tab/>
        <w:tab/>
      </w:r>
      <w:r>
        <w:rPr/>
        <w:t>Ibid., p. 66. The specifications often have regional variations.</w:t>
      </w:r>
    </w:p>
  </w:footnote>
  <w:footnote w:id="20">
    <w:p>
      <w:pPr>
        <w:pStyle w:val="Footnote"/>
        <w:rPr/>
      </w:pPr>
      <w:r>
        <w:rPr>
          <w:rStyle w:val="FootnoteCharacters"/>
        </w:rPr>
        <w:footnoteRef/>
      </w:r>
      <w:r>
        <w:rPr>
          <w:rStyle w:val="FootnoteCharacters"/>
        </w:rPr>
        <w:tab/>
      </w:r>
      <w:r>
        <w:rPr>
          <w:rStyle w:val="FootnoteCharacters"/>
        </w:rPr>
        <w:tab/>
        <w:tab/>
        <w:tab/>
      </w:r>
      <w:r>
        <w:rPr/>
        <w:t>Ibid., p. 61.</w:t>
      </w:r>
    </w:p>
  </w:footnote>
  <w:footnote w:id="21">
    <w:p>
      <w:pPr>
        <w:pStyle w:val="Footnote"/>
        <w:rPr/>
      </w:pPr>
      <w:r>
        <w:rPr>
          <w:rStyle w:val="FootnoteCharacters"/>
        </w:rPr>
        <w:footnoteRef/>
      </w:r>
      <w:r>
        <w:rPr>
          <w:rStyle w:val="FootnoteCharacters"/>
        </w:rPr>
        <w:tab/>
      </w:r>
      <w:r>
        <w:rPr>
          <w:rStyle w:val="FootnoteCharacters"/>
        </w:rPr>
        <w:tab/>
        <w:tab/>
        <w:tab/>
      </w:r>
      <w:r>
        <w:rPr/>
        <w:t xml:space="preserve">See D. Parry -Jones, </w:t>
      </w:r>
      <w:r>
        <w:rPr>
          <w:i/>
          <w:iCs/>
        </w:rPr>
        <w:t xml:space="preserve">Welsh Legends and Fairy Lore, </w:t>
      </w:r>
      <w:r>
        <w:rPr>
          <w:i w:val="false"/>
          <w:iCs w:val="false"/>
        </w:rPr>
        <w:t>(London: W. Clowes and Sons Ltd, 1953), pp. 5 – 7.</w:t>
      </w:r>
    </w:p>
  </w:footnote>
  <w:footnote w:id="22">
    <w:p>
      <w:pPr>
        <w:pStyle w:val="Footnote"/>
        <w:rPr/>
      </w:pPr>
      <w:r>
        <w:rPr>
          <w:rStyle w:val="FootnoteCharacters"/>
        </w:rPr>
        <w:footnoteRef/>
      </w:r>
      <w:r>
        <w:rPr>
          <w:rStyle w:val="FootnoteCharacters"/>
        </w:rPr>
        <w:tab/>
      </w:r>
      <w:r>
        <w:rPr>
          <w:rStyle w:val="FootnoteCharacters"/>
        </w:rPr>
        <w:tab/>
        <w:tab/>
        <w:tab/>
      </w:r>
      <w:r>
        <w:rPr/>
        <w:t xml:space="preserve">G. Benwell and A. Waugh, </w:t>
      </w:r>
      <w:r>
        <w:rPr>
          <w:i/>
          <w:iCs/>
        </w:rPr>
        <w:t xml:space="preserve">Sea Enchantress </w:t>
      </w:r>
      <w:r>
        <w:rPr>
          <w:i w:val="false"/>
          <w:iCs w:val="false"/>
        </w:rPr>
        <w:t>(London: Hutchinson, 1961) p. 152.</w:t>
      </w:r>
    </w:p>
  </w:footnote>
  <w:footnote w:id="23">
    <w:p>
      <w:pPr>
        <w:pStyle w:val="Footnote"/>
        <w:rPr/>
      </w:pPr>
      <w:r>
        <w:rPr>
          <w:rStyle w:val="FootnoteCharacters"/>
        </w:rPr>
        <w:footnoteRef/>
      </w:r>
      <w:r>
        <w:rPr>
          <w:rStyle w:val="FootnoteCharacters"/>
        </w:rPr>
        <w:tab/>
      </w:r>
      <w:r>
        <w:rPr>
          <w:rStyle w:val="FootnoteCharacters"/>
        </w:rPr>
        <w:tab/>
        <w:tab/>
        <w:tab/>
      </w:r>
      <w:r>
        <w:rPr/>
        <w:t xml:space="preserve">W. Sikes,  </w:t>
      </w:r>
      <w:r>
        <w:rPr>
          <w:i/>
          <w:iCs/>
        </w:rPr>
        <w:t xml:space="preserve">British Goblins, </w:t>
      </w:r>
      <w:r>
        <w:rPr>
          <w:i w:val="false"/>
          <w:iCs w:val="false"/>
        </w:rPr>
        <w:t xml:space="preserve"> p. 34.</w:t>
      </w:r>
    </w:p>
  </w:footnote>
  <w:footnote w:id="24">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Ibid., </w:t>
      </w:r>
      <w:r>
        <w:rPr>
          <w:i/>
          <w:iCs/>
          <w:position w:val="0"/>
          <w:sz w:val="20"/>
          <w:sz w:val="20"/>
          <w:vertAlign w:val="baseline"/>
        </w:rPr>
        <w:t xml:space="preserve"> </w:t>
      </w:r>
      <w:r>
        <w:rPr>
          <w:i w:val="false"/>
          <w:iCs w:val="false"/>
          <w:position w:val="0"/>
          <w:sz w:val="20"/>
          <w:sz w:val="20"/>
          <w:vertAlign w:val="baseline"/>
        </w:rPr>
        <w:t xml:space="preserve"> p</w:t>
      </w:r>
      <w:r>
        <w:rPr>
          <w:i w:val="false"/>
          <w:iCs w:val="false"/>
        </w:rPr>
        <w:t>. 35-36.</w:t>
      </w:r>
    </w:p>
  </w:footnote>
  <w:footnote w:id="25">
    <w:p>
      <w:pPr>
        <w:pStyle w:val="Footnote"/>
        <w:rPr/>
      </w:pPr>
      <w:r>
        <w:rPr>
          <w:rStyle w:val="FootnoteCharacters"/>
        </w:rPr>
        <w:footnoteRef/>
      </w:r>
      <w:r>
        <w:rPr>
          <w:rStyle w:val="FootnoteCharacters"/>
        </w:rPr>
        <w:tab/>
      </w:r>
      <w:r>
        <w:rPr>
          <w:rStyle w:val="FootnoteCharacters"/>
        </w:rPr>
        <w:tab/>
        <w:tab/>
        <w:tab/>
      </w:r>
      <w:r>
        <w:rPr/>
        <w:t xml:space="preserve">D. Parry-Jones, </w:t>
      </w:r>
      <w:r>
        <w:rPr>
          <w:i/>
          <w:iCs/>
        </w:rPr>
        <w:t xml:space="preserve">Welsh Legends, </w:t>
      </w:r>
      <w:r>
        <w:rPr>
          <w:i w:val="false"/>
          <w:iCs w:val="false"/>
        </w:rPr>
        <w:t>p. 97.</w:t>
      </w:r>
    </w:p>
  </w:footnote>
  <w:footnote w:id="26">
    <w:p>
      <w:pPr>
        <w:pStyle w:val="Footnote"/>
        <w:rPr/>
      </w:pPr>
      <w:r>
        <w:rPr>
          <w:rStyle w:val="FootnoteCharacters"/>
        </w:rPr>
        <w:footnoteRef/>
      </w:r>
      <w:r>
        <w:rPr>
          <w:rStyle w:val="FootnoteCharacters"/>
        </w:rPr>
        <w:tab/>
      </w:r>
      <w:r>
        <w:rPr>
          <w:rStyle w:val="FootnoteCharacters"/>
        </w:rPr>
        <w:tab/>
        <w:tab/>
        <w:tab/>
      </w:r>
      <w:r>
        <w:rPr/>
        <w:t xml:space="preserve">W. Sikes, </w:t>
      </w:r>
      <w:r>
        <w:rPr>
          <w:i/>
          <w:iCs/>
        </w:rPr>
        <w:t xml:space="preserve">British Goblins, </w:t>
      </w:r>
      <w:r>
        <w:rPr>
          <w:i w:val="false"/>
          <w:iCs w:val="false"/>
        </w:rPr>
        <w:t>pp. 36-37.</w:t>
      </w:r>
    </w:p>
  </w:footnote>
  <w:footnote w:id="27">
    <w:p>
      <w:pPr>
        <w:pStyle w:val="Footnote"/>
        <w:rPr/>
      </w:pPr>
      <w:r>
        <w:rPr>
          <w:rStyle w:val="FootnoteCharacters"/>
        </w:rPr>
        <w:footnoteRef/>
      </w:r>
      <w:r>
        <w:rPr>
          <w:rStyle w:val="FootnoteCharacters"/>
        </w:rPr>
        <w:tab/>
      </w:r>
      <w:r>
        <w:rPr>
          <w:rStyle w:val="FootnoteCharacters"/>
        </w:rPr>
        <w:tab/>
        <w:tab/>
        <w:tab/>
      </w:r>
      <w:r>
        <w:rPr/>
        <w:t xml:space="preserve">J. Mackillop, </w:t>
      </w:r>
      <w:r>
        <w:rPr>
          <w:i/>
          <w:iCs/>
        </w:rPr>
        <w:t xml:space="preserve">Dictionary of Celtic Mythology </w:t>
      </w:r>
      <w:r>
        <w:rPr>
          <w:i w:val="false"/>
          <w:iCs w:val="false"/>
        </w:rPr>
        <w:t>(Oxford: Oxford University Press, 1998), p. 4.</w:t>
      </w:r>
    </w:p>
  </w:footnote>
  <w:footnote w:id="28">
    <w:p>
      <w:pPr>
        <w:pStyle w:val="Footnote"/>
        <w:rPr/>
      </w:pPr>
      <w:r>
        <w:rPr>
          <w:rStyle w:val="FootnoteCharacters"/>
        </w:rPr>
        <w:footnoteRef/>
      </w:r>
      <w:r>
        <w:rPr>
          <w:rStyle w:val="FootnoteCharacters"/>
        </w:rPr>
        <w:tab/>
      </w:r>
      <w:r>
        <w:rPr>
          <w:rStyle w:val="FootnoteCharacters"/>
        </w:rPr>
        <w:tab/>
        <w:tab/>
        <w:tab/>
      </w:r>
      <w:r>
        <w:rPr/>
        <w:t xml:space="preserve">J. Rhys, </w:t>
      </w:r>
      <w:r>
        <w:rPr>
          <w:i/>
          <w:iCs/>
        </w:rPr>
        <w:t>Celtic Folklore,</w:t>
      </w:r>
      <w:r>
        <w:rPr>
          <w:i w:val="false"/>
          <w:iCs w:val="false"/>
        </w:rPr>
        <w:t xml:space="preserve"> p. 142.</w:t>
      </w:r>
    </w:p>
  </w:footnote>
  <w:footnote w:id="29">
    <w:p>
      <w:pPr>
        <w:pStyle w:val="Footnote"/>
        <w:rPr/>
      </w:pPr>
      <w:r>
        <w:rPr>
          <w:rStyle w:val="FootnoteCharacters"/>
        </w:rPr>
        <w:footnoteRef/>
      </w:r>
      <w:r>
        <w:rPr>
          <w:rStyle w:val="FootnoteCharacters"/>
        </w:rPr>
        <w:tab/>
      </w:r>
      <w:r>
        <w:rPr>
          <w:rStyle w:val="FootnoteCharacters"/>
        </w:rPr>
        <w:tab/>
        <w:tab/>
        <w:tab/>
      </w:r>
      <w:r>
        <w:rPr/>
        <w:t xml:space="preserve">Ibid. The creature is also described as a dragon or serpent in modern translations. </w:t>
      </w:r>
    </w:p>
  </w:footnote>
  <w:footnote w:id="30">
    <w:p>
      <w:pPr>
        <w:pStyle w:val="Footnote"/>
        <w:rPr/>
      </w:pPr>
      <w:r>
        <w:rPr>
          <w:rStyle w:val="FootnoteCharacters"/>
        </w:rPr>
        <w:footnoteRef/>
      </w:r>
      <w:r>
        <w:rPr>
          <w:rStyle w:val="FootnoteCharacters"/>
        </w:rPr>
        <w:tab/>
      </w:r>
      <w:r>
        <w:rPr>
          <w:rStyle w:val="FootnoteCharacters"/>
        </w:rPr>
        <w:tab/>
        <w:tab/>
        <w:tab/>
      </w:r>
      <w:r>
        <w:rPr/>
        <w:t xml:space="preserve">M. Corbett Harris </w:t>
      </w:r>
      <w:r>
        <w:rPr>
          <w:i/>
          <w:iCs/>
        </w:rPr>
        <w:t xml:space="preserve">Crafts, Customs and Legends of Wales </w:t>
      </w:r>
      <w:r>
        <w:rPr>
          <w:i w:val="false"/>
          <w:iCs w:val="false"/>
        </w:rPr>
        <w:t>(Surrey: Biddle Ltd, 1980), pp. 90-91.</w:t>
      </w:r>
    </w:p>
  </w:footnote>
  <w:footnote w:id="31">
    <w:p>
      <w:pPr>
        <w:pStyle w:val="Footnote"/>
        <w:rPr/>
      </w:pPr>
      <w:r>
        <w:rPr>
          <w:rStyle w:val="FootnoteCharacters"/>
        </w:rPr>
        <w:footnoteRef/>
      </w:r>
      <w:r>
        <w:rPr>
          <w:rStyle w:val="FootnoteCharacters"/>
        </w:rPr>
        <w:tab/>
      </w:r>
      <w:r>
        <w:rPr>
          <w:rStyle w:val="FootnoteCharacters"/>
        </w:rPr>
        <w:tab/>
        <w:tab/>
        <w:tab/>
      </w:r>
      <w:r>
        <w:rPr/>
        <w:t xml:space="preserve">Ibid., p.91-92. </w:t>
      </w:r>
    </w:p>
  </w:footnote>
  <w:footnote w:id="32">
    <w:p>
      <w:pPr>
        <w:pStyle w:val="Footnote"/>
        <w:rPr/>
      </w:pPr>
      <w:r>
        <w:rPr>
          <w:rStyle w:val="FootnoteCharacters"/>
        </w:rPr>
        <w:footnoteRef/>
      </w:r>
      <w:r>
        <w:rPr>
          <w:rStyle w:val="FootnoteCharacters"/>
        </w:rPr>
        <w:tab/>
      </w:r>
      <w:r>
        <w:rPr>
          <w:rStyle w:val="FootnoteCharacters"/>
        </w:rPr>
        <w:tab/>
        <w:tab/>
        <w:tab/>
      </w:r>
      <w:r>
        <w:rPr/>
        <w:t>Ibid., p. 87.</w:t>
      </w:r>
    </w:p>
  </w:footnote>
  <w:footnote w:id="33">
    <w:p>
      <w:pPr>
        <w:pStyle w:val="Footnote"/>
        <w:rPr/>
      </w:pPr>
      <w:r>
        <w:rPr>
          <w:rStyle w:val="FootnoteCharacters"/>
        </w:rPr>
        <w:footnoteRef/>
      </w:r>
      <w:r>
        <w:rPr>
          <w:rStyle w:val="FootnoteCharacters"/>
        </w:rPr>
        <w:tab/>
      </w:r>
      <w:r>
        <w:rPr>
          <w:rStyle w:val="FootnoteCharacters"/>
        </w:rPr>
        <w:tab/>
        <w:tab/>
        <w:tab/>
      </w:r>
      <w:r>
        <w:rPr/>
        <w:t xml:space="preserve">Ibid., p. 103. </w:t>
      </w:r>
      <w:r>
        <w:rPr>
          <w:i w:val="false"/>
          <w:iCs w:val="false"/>
        </w:rPr>
        <w:t xml:space="preserve">‘The hour is come’, a warning cry,  is heard in other folktales and may be from the New Testament, ‘The hour has come that the son of man should be glorified’, John 12:23. </w:t>
      </w:r>
      <w:r>
        <w:rPr>
          <w:rFonts w:cs="Times New Roman"/>
          <w:b w:val="false"/>
          <w:bCs w:val="false"/>
          <w:i w:val="false"/>
          <w:iCs w:val="false"/>
          <w:caps w:val="false"/>
          <w:smallCaps w:val="false"/>
          <w:color w:val="000000"/>
          <w:spacing w:val="0"/>
          <w:sz w:val="20"/>
          <w:szCs w:val="20"/>
          <w:u w:val="none"/>
        </w:rPr>
        <w:t xml:space="preserve">Llyn Cynwch has an eerie ghost that rises out of the water crying ‘ The hour has come but not the man!’ See M. Corbett Harris, </w:t>
      </w:r>
      <w:r>
        <w:rPr>
          <w:rFonts w:cs="Times New Roman"/>
          <w:b w:val="false"/>
          <w:bCs w:val="false"/>
          <w:i/>
          <w:iCs/>
          <w:caps w:val="false"/>
          <w:smallCaps w:val="false"/>
          <w:color w:val="000000"/>
          <w:spacing w:val="0"/>
          <w:sz w:val="20"/>
          <w:szCs w:val="20"/>
          <w:u w:val="none"/>
        </w:rPr>
        <w:t>Crafts, Customs,</w:t>
      </w:r>
      <w:r>
        <w:rPr>
          <w:rFonts w:cs="Times New Roman"/>
          <w:b w:val="false"/>
          <w:bCs w:val="false"/>
          <w:i w:val="false"/>
          <w:iCs w:val="false"/>
          <w:caps w:val="false"/>
          <w:smallCaps w:val="false"/>
          <w:color w:val="000000"/>
          <w:spacing w:val="0"/>
          <w:sz w:val="20"/>
          <w:szCs w:val="20"/>
          <w:u w:val="none"/>
        </w:rPr>
        <w:t xml:space="preserve"> p. 91. Similar warnings are familiar in other tales across Wales.</w:t>
      </w:r>
    </w:p>
  </w:footnote>
  <w:footnote w:id="34">
    <w:p>
      <w:pPr>
        <w:pStyle w:val="Footnote"/>
        <w:rPr/>
      </w:pPr>
      <w:r>
        <w:rPr>
          <w:rStyle w:val="FootnoteCharacters"/>
        </w:rPr>
        <w:footnoteRef/>
      </w:r>
      <w:r>
        <w:rPr>
          <w:rStyle w:val="FootnoteCharacters"/>
        </w:rPr>
        <w:tab/>
      </w:r>
      <w:r>
        <w:rPr>
          <w:rStyle w:val="FootnoteCharacters"/>
        </w:rPr>
        <w:tab/>
        <w:tab/>
        <w:tab/>
      </w:r>
      <w:r>
        <w:rPr/>
        <w:t xml:space="preserve">M. Corbett Harris, </w:t>
      </w:r>
      <w:r>
        <w:rPr>
          <w:i/>
          <w:iCs/>
        </w:rPr>
        <w:t xml:space="preserve">Crafts, Customs, </w:t>
      </w:r>
      <w:r>
        <w:rPr>
          <w:i w:val="false"/>
          <w:iCs w:val="false"/>
        </w:rPr>
        <w:t xml:space="preserve">pp. 86-87. </w:t>
      </w:r>
    </w:p>
  </w:footnote>
  <w:footnote w:id="35">
    <w:p>
      <w:pPr>
        <w:pStyle w:val="Footnote"/>
        <w:rPr/>
      </w:pPr>
      <w:r>
        <w:rPr>
          <w:rStyle w:val="FootnoteCharacters"/>
        </w:rPr>
        <w:footnoteRef/>
      </w:r>
      <w:r>
        <w:rPr>
          <w:rStyle w:val="FootnoteCharacters"/>
        </w:rPr>
        <w:tab/>
      </w:r>
      <w:r>
        <w:rPr>
          <w:rStyle w:val="FootnoteCharacters"/>
        </w:rPr>
        <w:tab/>
        <w:tab/>
      </w:r>
      <w:r>
        <w:rPr/>
        <w:tab/>
        <w:t xml:space="preserve">J. Rhys, </w:t>
      </w:r>
      <w:r>
        <w:rPr>
          <w:i/>
          <w:iCs/>
        </w:rPr>
        <w:t xml:space="preserve">Celtic Folklore, </w:t>
      </w:r>
      <w:r>
        <w:rPr>
          <w:i w:val="false"/>
          <w:iCs w:val="false"/>
        </w:rPr>
        <w:t>p. 419.</w:t>
      </w:r>
    </w:p>
  </w:footnote>
  <w:footnote w:id="36">
    <w:p>
      <w:pPr>
        <w:pStyle w:val="Footnote"/>
        <w:rPr/>
      </w:pPr>
      <w:r>
        <w:rPr>
          <w:rStyle w:val="FootnoteCharacters"/>
        </w:rPr>
        <w:footnoteRef/>
      </w:r>
      <w:r>
        <w:rPr>
          <w:rStyle w:val="FootnoteCharacters"/>
        </w:rPr>
        <w:tab/>
      </w:r>
      <w:r>
        <w:rPr>
          <w:rStyle w:val="FootnoteCharacters"/>
        </w:rPr>
        <w:tab/>
        <w:tab/>
        <w:tab/>
      </w:r>
      <w:r>
        <w:rPr>
          <w:position w:val="0"/>
          <w:sz w:val="20"/>
          <w:sz w:val="20"/>
          <w:vertAlign w:val="baseline"/>
        </w:rPr>
        <w:t>J.</w:t>
      </w:r>
      <w:r>
        <w:rPr/>
        <w:t xml:space="preserve"> Cerridig Davies, </w:t>
      </w:r>
      <w:r>
        <w:rPr>
          <w:i/>
          <w:iCs/>
        </w:rPr>
        <w:t xml:space="preserve"> Welsh Folklore, </w:t>
      </w:r>
      <w:r>
        <w:rPr>
          <w:i w:val="false"/>
          <w:iCs w:val="false"/>
        </w:rPr>
        <w:t>pp. 307-308, The ruins may sometimes be seen beneath the surfa</w:t>
      </w:r>
      <w:r>
        <w:rPr>
          <w:i w:val="false"/>
          <w:iCs w:val="false"/>
          <w:sz w:val="18"/>
          <w:szCs w:val="18"/>
        </w:rPr>
        <w:t xml:space="preserve">ce. </w:t>
      </w:r>
      <w:r>
        <w:rPr>
          <w:i w:val="false"/>
          <w:iCs w:val="false"/>
        </w:rPr>
        <w:t xml:space="preserve"> Even today, Llyn Barfog is also believed to be bottomless, according to a local shepherd who lives nearby. pers. comm.</w:t>
      </w:r>
    </w:p>
  </w:footnote>
  <w:footnote w:id="37">
    <w:p>
      <w:pPr>
        <w:pStyle w:val="Footnote"/>
        <w:rPr/>
      </w:pPr>
      <w:r>
        <w:rPr>
          <w:rStyle w:val="FootnoteCharacters"/>
        </w:rPr>
        <w:footnoteRef/>
      </w:r>
      <w:r>
        <w:rPr>
          <w:rStyle w:val="FootnoteCharacters"/>
        </w:rPr>
        <w:tab/>
      </w:r>
      <w:r>
        <w:rPr>
          <w:rStyle w:val="FootnoteCharacters"/>
        </w:rPr>
        <w:tab/>
        <w:tab/>
      </w:r>
      <w:r>
        <w:rPr>
          <w:rStyle w:val="FootnoteCharacters"/>
          <w:position w:val="0"/>
          <w:sz w:val="20"/>
          <w:sz w:val="20"/>
          <w:vertAlign w:val="baseline"/>
        </w:rPr>
        <w:tab/>
        <w:t>Ibid., p. 308.</w:t>
      </w:r>
    </w:p>
  </w:footnote>
  <w:footnote w:id="38">
    <w:p>
      <w:pPr>
        <w:pStyle w:val="Footnote"/>
        <w:rPr/>
      </w:pPr>
      <w:r>
        <w:rPr>
          <w:rStyle w:val="FootnoteCharacters"/>
        </w:rPr>
        <w:footnoteRef/>
      </w:r>
      <w:r>
        <w:rPr>
          <w:rStyle w:val="FootnoteCharacters"/>
        </w:rPr>
        <w:tab/>
      </w:r>
      <w:r>
        <w:rPr>
          <w:rStyle w:val="FootnoteCharacters"/>
        </w:rPr>
        <w:tab/>
        <w:tab/>
      </w:r>
      <w:r>
        <w:rPr/>
        <w:tab/>
        <w:t xml:space="preserve">M. Corbett Harris, </w:t>
      </w:r>
      <w:r>
        <w:rPr>
          <w:i/>
          <w:iCs/>
        </w:rPr>
        <w:t xml:space="preserve">Crafts, Customs, </w:t>
      </w:r>
      <w:r>
        <w:rPr>
          <w:i w:val="false"/>
          <w:iCs w:val="false"/>
        </w:rPr>
        <w:t>p. 89.</w:t>
      </w:r>
    </w:p>
  </w:footnote>
  <w:footnote w:id="39">
    <w:p>
      <w:pPr>
        <w:pStyle w:val="Footnote"/>
        <w:rPr/>
      </w:pPr>
      <w:r>
        <w:rPr>
          <w:rStyle w:val="FootnoteCharacters"/>
        </w:rPr>
        <w:footnoteRef/>
      </w:r>
      <w:r>
        <w:rPr>
          <w:rStyle w:val="FootnoteCharacters"/>
        </w:rPr>
        <w:tab/>
      </w:r>
      <w:r>
        <w:rPr>
          <w:rStyle w:val="FootnoteCharacters"/>
        </w:rPr>
        <w:tab/>
        <w:tab/>
        <w:tab/>
      </w:r>
      <w:r>
        <w:rPr/>
        <w:t>S. Kingshill and J. Westwood ,</w:t>
      </w:r>
      <w:r>
        <w:rPr>
          <w:i/>
          <w:iCs/>
        </w:rPr>
        <w:t>The Fab</w:t>
      </w:r>
      <w:r>
        <w:rPr>
          <w:i/>
          <w:iCs/>
          <w:position w:val="0"/>
          <w:sz w:val="20"/>
          <w:sz w:val="20"/>
          <w:szCs w:val="20"/>
          <w:vertAlign w:val="baseline"/>
        </w:rPr>
        <w:t xml:space="preserve">led Coast: Legends and Traditions From Around the Shores of Britain and Ireland </w:t>
      </w:r>
      <w:r>
        <w:rPr>
          <w:i w:val="false"/>
          <w:iCs w:val="false"/>
          <w:position w:val="0"/>
          <w:sz w:val="20"/>
          <w:sz w:val="20"/>
          <w:szCs w:val="20"/>
          <w:vertAlign w:val="baseline"/>
        </w:rPr>
        <w:t xml:space="preserve">(London: Random House Books, 2012), pp. 24-25. The lost lands of Atlantis is a well known and enduring myth. It's origins are obscure and it has clearly traveled serving as a prototype for other tales. </w:t>
      </w:r>
      <w:r>
        <w:rPr>
          <w:rFonts w:cs="Times New Roman" w:ascii="Times New Roman" w:hAnsi="Times New Roman"/>
          <w:b w:val="false"/>
          <w:bCs w:val="false"/>
          <w:i w:val="false"/>
          <w:iCs w:val="false"/>
          <w:caps w:val="false"/>
          <w:smallCaps w:val="false"/>
          <w:color w:val="000000"/>
          <w:spacing w:val="0"/>
          <w:position w:val="0"/>
          <w:sz w:val="20"/>
          <w:sz w:val="20"/>
          <w:szCs w:val="20"/>
          <w:u w:val="none"/>
          <w:vertAlign w:val="baseline"/>
        </w:rPr>
        <w:t>Although such stories are usually about coastal areas we cannot be sure whether similar stories migrated inland but given their wide distributions around coastal areas it is possible.</w:t>
      </w:r>
    </w:p>
  </w:footnote>
  <w:footnote w:id="40">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M. Corbett Harris, </w:t>
      </w:r>
      <w:r>
        <w:rPr>
          <w:rStyle w:val="FootnoteCharacters"/>
          <w:i/>
          <w:iCs/>
          <w:position w:val="0"/>
          <w:sz w:val="20"/>
          <w:sz w:val="20"/>
          <w:vertAlign w:val="baseline"/>
        </w:rPr>
        <w:t xml:space="preserve">Crafts, Customs and Legends, </w:t>
      </w:r>
      <w:r>
        <w:rPr>
          <w:position w:val="0"/>
          <w:sz w:val="20"/>
          <w:sz w:val="20"/>
          <w:vertAlign w:val="baseline"/>
        </w:rPr>
        <w:t>p. 89.</w:t>
      </w:r>
    </w:p>
  </w:footnote>
  <w:footnote w:id="41">
    <w:p>
      <w:pPr>
        <w:pStyle w:val="Footnote"/>
        <w:rPr/>
      </w:pPr>
      <w:r>
        <w:rPr>
          <w:rStyle w:val="FootnoteCharacters"/>
        </w:rPr>
        <w:footnoteRef/>
      </w:r>
      <w:r>
        <w:rPr>
          <w:rStyle w:val="FootnoteCharacters"/>
        </w:rPr>
        <w:tab/>
      </w:r>
      <w:r>
        <w:rPr>
          <w:rStyle w:val="FootnoteCharacters"/>
        </w:rPr>
        <w:tab/>
        <w:tab/>
        <w:tab/>
      </w:r>
      <w:r>
        <w:rPr/>
        <w:t xml:space="preserve">D. Parry – Jones, </w:t>
      </w:r>
      <w:r>
        <w:rPr>
          <w:i/>
          <w:iCs/>
        </w:rPr>
        <w:t xml:space="preserve">Welsh Legends, </w:t>
      </w:r>
      <w:r>
        <w:rPr>
          <w:i w:val="false"/>
          <w:iCs w:val="false"/>
        </w:rPr>
        <w:t xml:space="preserve">p 94-95. For an in depth analysis of lake inundations see F. J. North, </w:t>
      </w:r>
      <w:r>
        <w:rPr>
          <w:i/>
          <w:iCs/>
        </w:rPr>
        <w:t xml:space="preserve">Sunken Cities </w:t>
      </w:r>
      <w:r>
        <w:rPr>
          <w:i w:val="false"/>
          <w:iCs w:val="false"/>
        </w:rPr>
        <w:t>(Cardiff: University of Wales Press, 1957), pp. 94-146.</w:t>
      </w:r>
    </w:p>
  </w:footnote>
  <w:footnote w:id="42">
    <w:p>
      <w:pPr>
        <w:pStyle w:val="Footnote"/>
        <w:rPr/>
      </w:pPr>
      <w:r>
        <w:rPr>
          <w:rStyle w:val="FootnoteCharacters"/>
        </w:rPr>
        <w:footnoteRef/>
      </w:r>
      <w:r>
        <w:rPr>
          <w:rStyle w:val="FootnoteCharacters"/>
        </w:rPr>
        <w:tab/>
      </w:r>
      <w:r>
        <w:rPr>
          <w:rStyle w:val="FootnoteCharacters"/>
        </w:rPr>
        <w:tab/>
        <w:tab/>
        <w:tab/>
      </w:r>
      <w:r>
        <w:rPr/>
        <w:t>Ibid., pp. 98-103. Mr Dovaston was a local man but it is impossible how much of his poem actually relates to local tradition. A tale regarding an inundation has been known here since the sixteenth century but quite different from the later ballad. In F. J. North, Sunken</w:t>
      </w:r>
      <w:r>
        <w:rPr>
          <w:i/>
          <w:iCs/>
        </w:rPr>
        <w:t xml:space="preserve"> Cities</w:t>
      </w:r>
      <w:r>
        <w:rPr>
          <w:i w:val="false"/>
          <w:iCs w:val="false"/>
        </w:rPr>
        <w:t>, p. 120.</w:t>
      </w:r>
    </w:p>
  </w:footnote>
  <w:footnote w:id="43">
    <w:p>
      <w:pPr>
        <w:pStyle w:val="Footnote"/>
        <w:rPr/>
      </w:pPr>
      <w:r>
        <w:rPr>
          <w:rStyle w:val="FootnoteCharacters"/>
        </w:rPr>
        <w:footnoteRef/>
      </w:r>
      <w:r>
        <w:rPr>
          <w:rStyle w:val="FootnoteCharacters"/>
        </w:rPr>
        <w:tab/>
      </w:r>
      <w:r>
        <w:rPr>
          <w:rStyle w:val="FootnoteCharacters"/>
        </w:rPr>
        <w:tab/>
        <w:tab/>
        <w:tab/>
      </w:r>
      <w:r>
        <w:rPr/>
        <w:t>In most inundation stories it is the ninth generation.</w:t>
      </w:r>
    </w:p>
  </w:footnote>
  <w:footnote w:id="44">
    <w:p>
      <w:pPr>
        <w:pStyle w:val="Footnote"/>
        <w:rPr/>
      </w:pPr>
      <w:r>
        <w:rPr>
          <w:rStyle w:val="FootnoteCharacters"/>
        </w:rPr>
        <w:footnoteRef/>
      </w:r>
      <w:r>
        <w:rPr>
          <w:rStyle w:val="FootnoteCharacters"/>
        </w:rPr>
        <w:tab/>
      </w:r>
      <w:r>
        <w:rPr>
          <w:rStyle w:val="FootnoteCharacters"/>
        </w:rPr>
        <w:tab/>
        <w:tab/>
        <w:tab/>
      </w:r>
      <w:r>
        <w:rPr>
          <w:sz w:val="20"/>
          <w:szCs w:val="20"/>
        </w:rPr>
        <w:t xml:space="preserve">For this version see The Legend of Savaddan Lake, </w:t>
      </w:r>
      <w:r>
        <w:rPr>
          <w:i/>
          <w:iCs/>
          <w:sz w:val="20"/>
          <w:szCs w:val="20"/>
        </w:rPr>
        <w:t>Folklore,</w:t>
      </w:r>
      <w:r>
        <w:rPr>
          <w:sz w:val="20"/>
          <w:szCs w:val="20"/>
        </w:rPr>
        <w:t xml:space="preserve"> (1908), 19:4, pp. 459-466.</w:t>
      </w:r>
    </w:p>
  </w:footnote>
  <w:footnote w:id="45">
    <w:p>
      <w:pPr>
        <w:pStyle w:val="Footnote"/>
        <w:rPr/>
      </w:pPr>
      <w:r>
        <w:rPr>
          <w:rStyle w:val="FootnoteCharacters"/>
        </w:rPr>
        <w:footnoteRef/>
      </w:r>
      <w:r>
        <w:rPr>
          <w:rStyle w:val="FootnoteCharacters"/>
        </w:rPr>
        <w:tab/>
      </w:r>
      <w:r>
        <w:rPr>
          <w:rStyle w:val="FootnoteCharacters"/>
        </w:rPr>
        <w:tab/>
        <w:tab/>
        <w:tab/>
      </w:r>
      <w:r>
        <w:rPr/>
        <w:t xml:space="preserve">D. Parry-Jones, </w:t>
      </w:r>
      <w:r>
        <w:rPr>
          <w:i/>
          <w:iCs/>
        </w:rPr>
        <w:t xml:space="preserve">Welsh Legends, </w:t>
      </w:r>
      <w:r>
        <w:rPr>
          <w:i w:val="false"/>
          <w:iCs w:val="false"/>
        </w:rPr>
        <w:t xml:space="preserve">p 94. </w:t>
      </w:r>
    </w:p>
  </w:footnote>
  <w:footnote w:id="46">
    <w:p>
      <w:pPr>
        <w:pStyle w:val="Footnote"/>
        <w:rPr/>
      </w:pPr>
      <w:r>
        <w:rPr>
          <w:rStyle w:val="FootnoteCharacters"/>
        </w:rPr>
        <w:footnoteRef/>
      </w:r>
      <w:r>
        <w:rPr>
          <w:rStyle w:val="FootnoteCharacters"/>
        </w:rPr>
        <w:tab/>
      </w:r>
      <w:r>
        <w:rPr>
          <w:rStyle w:val="FootnoteCharacters"/>
        </w:rPr>
        <w:tab/>
        <w:tab/>
        <w:tab/>
      </w:r>
      <w:r>
        <w:rPr/>
        <w:t xml:space="preserve">Brychan was the founder of the kingdom of Brychieniog, which is the area around Llangorse. See J. Price, </w:t>
      </w:r>
      <w:r>
        <w:rPr>
          <w:i/>
          <w:iCs/>
        </w:rPr>
        <w:t xml:space="preserve">A History of Wales </w:t>
      </w:r>
      <w:r>
        <w:rPr>
          <w:i w:val="false"/>
          <w:iCs w:val="false"/>
        </w:rPr>
        <w:t>(London: Penguin Books, 2007)</w:t>
      </w:r>
      <w:r>
        <w:rPr>
          <w:i/>
          <w:iCs/>
        </w:rPr>
        <w:t xml:space="preserve">, </w:t>
      </w:r>
      <w:r>
        <w:rPr>
          <w:i w:val="false"/>
          <w:iCs w:val="false"/>
        </w:rPr>
        <w:t>p. 51.</w:t>
      </w:r>
    </w:p>
  </w:footnote>
  <w:footnote w:id="47">
    <w:p>
      <w:pPr>
        <w:pStyle w:val="Footnote"/>
        <w:rPr/>
      </w:pPr>
      <w:r>
        <w:rPr>
          <w:rStyle w:val="FootnoteCharacters"/>
        </w:rPr>
        <w:footnoteRef/>
      </w:r>
      <w:r>
        <w:rPr>
          <w:rStyle w:val="FootnoteCharacters"/>
        </w:rPr>
        <w:tab/>
      </w:r>
      <w:r>
        <w:rPr>
          <w:rStyle w:val="FootnoteCharacters"/>
        </w:rPr>
        <w:tab/>
        <w:tab/>
        <w:tab/>
      </w:r>
      <w:r>
        <w:rPr>
          <w:sz w:val="20"/>
          <w:szCs w:val="20"/>
        </w:rPr>
        <w:t xml:space="preserve">J. Wood, </w:t>
      </w:r>
      <w:r>
        <w:rPr>
          <w:rStyle w:val="FootnoteCharacters"/>
          <w:b w:val="false"/>
          <w:bCs w:val="false"/>
          <w:i w:val="false"/>
          <w:iCs w:val="false"/>
          <w:position w:val="0"/>
          <w:sz w:val="20"/>
          <w:sz w:val="20"/>
          <w:szCs w:val="20"/>
          <w:u w:val="none"/>
          <w:vertAlign w:val="baseline"/>
        </w:rPr>
        <w:t xml:space="preserve"> ‘The Fairy Bride Legend’, pp, 57-58.</w:t>
      </w:r>
    </w:p>
  </w:footnote>
  <w:footnote w:id="48">
    <w:p>
      <w:pPr>
        <w:pStyle w:val="Footnote"/>
        <w:rPr/>
      </w:pPr>
      <w:r>
        <w:rPr>
          <w:rStyle w:val="FootnoteCharacters"/>
        </w:rPr>
        <w:footnoteRef/>
      </w:r>
      <w:r>
        <w:rPr>
          <w:rStyle w:val="FootnoteCharacters"/>
        </w:rPr>
        <w:tab/>
      </w:r>
      <w:r>
        <w:rPr>
          <w:rStyle w:val="FootnoteCharacters"/>
        </w:rPr>
        <w:tab/>
        <w:tab/>
        <w:tab/>
      </w:r>
      <w:r>
        <w:rPr/>
        <w:t xml:space="preserve">Gerald of Wales, </w:t>
      </w:r>
      <w:r>
        <w:rPr>
          <w:i/>
          <w:iCs/>
        </w:rPr>
        <w:t xml:space="preserve">The Journey through Wales/The Description of Wales, </w:t>
      </w:r>
      <w:r>
        <w:rPr>
          <w:i w:val="false"/>
          <w:iCs w:val="false"/>
        </w:rPr>
        <w:t xml:space="preserve">translated by Lewis Thorpe, (Harmondsworth: Penguin Books, 1978), pp.93-95. </w:t>
      </w:r>
    </w:p>
  </w:footnote>
  <w:footnote w:id="49">
    <w:p>
      <w:pPr>
        <w:pStyle w:val="Footnote"/>
        <w:rPr/>
      </w:pPr>
      <w:r>
        <w:rPr>
          <w:rStyle w:val="FootnoteCharacters"/>
        </w:rPr>
        <w:footnoteRef/>
      </w:r>
      <w:r>
        <w:rPr>
          <w:rStyle w:val="FootnoteCharacters"/>
        </w:rPr>
        <w:tab/>
      </w:r>
      <w:r>
        <w:rPr>
          <w:rStyle w:val="FootnoteCharacters"/>
        </w:rPr>
        <w:tab/>
        <w:tab/>
        <w:tab/>
      </w:r>
      <w:r>
        <w:rPr/>
        <w:t>Ibid., p. 95.</w:t>
      </w:r>
    </w:p>
  </w:footnote>
  <w:footnote w:id="50">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E. </w:t>
      </w:r>
      <w:r>
        <w:rPr>
          <w:rStyle w:val="FootnoteCharacters"/>
          <w:b w:val="false"/>
          <w:bCs w:val="false"/>
          <w:position w:val="0"/>
          <w:sz w:val="20"/>
          <w:sz w:val="20"/>
          <w:szCs w:val="20"/>
          <w:u w:val="none"/>
          <w:vertAlign w:val="baseline"/>
        </w:rPr>
        <w:t xml:space="preserve">Campbell and A. Lane, ‘Llangorse: A 10th century royal crannog in Wales’, </w:t>
      </w:r>
      <w:r>
        <w:rPr>
          <w:rStyle w:val="FootnoteCharacters"/>
          <w:b w:val="false"/>
          <w:bCs w:val="false"/>
          <w:i/>
          <w:iCs/>
          <w:position w:val="0"/>
          <w:sz w:val="20"/>
          <w:sz w:val="20"/>
          <w:szCs w:val="20"/>
          <w:u w:val="none"/>
          <w:vertAlign w:val="baseline"/>
        </w:rPr>
        <w:t>Antiquity,</w:t>
      </w:r>
      <w:r>
        <w:rPr>
          <w:rStyle w:val="FootnoteCharacters"/>
          <w:b w:val="false"/>
          <w:bCs w:val="false"/>
          <w:i w:val="false"/>
          <w:iCs w:val="false"/>
          <w:position w:val="0"/>
          <w:sz w:val="20"/>
          <w:sz w:val="20"/>
          <w:szCs w:val="20"/>
          <w:u w:val="none"/>
          <w:vertAlign w:val="baseline"/>
        </w:rPr>
        <w:t xml:space="preserve"> 63: 238, (Mar 1989), pp. 675-681, p. 680.</w:t>
      </w:r>
    </w:p>
  </w:footnote>
  <w:footnote w:id="51">
    <w:p>
      <w:pPr>
        <w:pStyle w:val="Footnote"/>
        <w:rPr/>
      </w:pPr>
      <w:r>
        <w:rPr>
          <w:rStyle w:val="FootnoteCharacters"/>
        </w:rPr>
        <w:footnoteRef/>
      </w:r>
      <w:r>
        <w:rPr>
          <w:rStyle w:val="FootnoteCharacters"/>
        </w:rPr>
        <w:tab/>
      </w:r>
      <w:r>
        <w:rPr>
          <w:rStyle w:val="FootnoteCharacters"/>
        </w:rPr>
        <w:tab/>
        <w:tab/>
        <w:tab/>
      </w:r>
      <w:r>
        <w:rPr/>
        <w:t xml:space="preserve">The Anglo Saxon Chronicle tells us that in 916 CE </w:t>
      </w:r>
      <w:r>
        <w:rPr>
          <w:rFonts w:eastAsia="Calibri" w:cs="Times New Roman"/>
        </w:rPr>
        <w:t xml:space="preserve">Æthelflæd’s army ‘stormed </w:t>
      </w:r>
      <w:r>
        <w:rPr>
          <w:rFonts w:eastAsia="Calibri" w:cs="Times New Roman"/>
          <w:i/>
          <w:iCs/>
        </w:rPr>
        <w:t>Brecenmanmere</w:t>
      </w:r>
      <w:r>
        <w:rPr>
          <w:rFonts w:eastAsia="Calibri" w:cs="Times New Roman"/>
          <w:i w:val="false"/>
          <w:iCs w:val="false"/>
        </w:rPr>
        <w:t xml:space="preserve"> and captured the wife of the queen.</w:t>
      </w:r>
      <w:r>
        <w:rPr>
          <w:rFonts w:eastAsia="Calibri" w:cs="Times New Roman"/>
          <w:i w:val="false"/>
          <w:iCs w:val="false"/>
          <w:sz w:val="20"/>
          <w:szCs w:val="20"/>
        </w:rPr>
        <w:t xml:space="preserve"> </w:t>
      </w:r>
      <w:r>
        <w:rPr>
          <w:rFonts w:eastAsia="Calibri" w:cs="Times New Roman"/>
          <w:b w:val="false"/>
          <w:bCs w:val="false"/>
          <w:i/>
          <w:iCs/>
          <w:sz w:val="20"/>
          <w:szCs w:val="20"/>
          <w:u w:val="none"/>
        </w:rPr>
        <w:t xml:space="preserve">The Anglo-Saxon Chronicle, </w:t>
      </w:r>
      <w:r>
        <w:rPr>
          <w:rFonts w:eastAsia="Calibri" w:cs="Times New Roman"/>
          <w:b w:val="false"/>
          <w:bCs w:val="false"/>
          <w:i w:val="false"/>
          <w:iCs w:val="false"/>
          <w:sz w:val="20"/>
          <w:szCs w:val="20"/>
          <w:u w:val="none"/>
        </w:rPr>
        <w:t>translated by G. N. Garmonsway, (London: J. M Dent &amp; Sons, 1972), p. 100.</w:t>
      </w:r>
    </w:p>
  </w:footnote>
  <w:footnote w:id="52">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For example, t</w:t>
      </w:r>
      <w:r>
        <w:rPr>
          <w:position w:val="0"/>
          <w:sz w:val="20"/>
          <w:sz w:val="20"/>
          <w:vertAlign w:val="baseline"/>
        </w:rPr>
        <w:t xml:space="preserve">here </w:t>
      </w:r>
      <w:r>
        <w:rPr/>
        <w:t xml:space="preserve">is a story concerning an inundated town at Kenfig Pool  collected by Iolo Morganwy (1747-1826). Some believe he adapted this tale from the Llyn Syfaddon legends, F. J. North,  </w:t>
      </w:r>
      <w:r>
        <w:rPr>
          <w:i/>
          <w:iCs/>
        </w:rPr>
        <w:t>Sunken Cities,</w:t>
      </w:r>
      <w:r>
        <w:rPr>
          <w:i w:val="false"/>
          <w:iCs w:val="false"/>
        </w:rPr>
        <w:t xml:space="preserve"> p. 102. Iolo Morganwy collected  much Welsh folklore but it can be d</w:t>
      </w:r>
      <w:r>
        <w:rPr>
          <w:i w:val="false"/>
          <w:iCs w:val="false"/>
          <w:sz w:val="20"/>
          <w:szCs w:val="20"/>
        </w:rPr>
        <w:t xml:space="preserve">ifficult to determined how accurate are his accounts and which come from his ‘invented’ vision of the past. See M. </w:t>
      </w:r>
      <w:r>
        <w:rPr>
          <w:b w:val="false"/>
          <w:i w:val="false"/>
          <w:iCs w:val="false"/>
          <w:caps w:val="false"/>
          <w:smallCaps w:val="false"/>
          <w:color w:val="333333"/>
          <w:spacing w:val="0"/>
          <w:sz w:val="20"/>
          <w:szCs w:val="20"/>
        </w:rPr>
        <w:t xml:space="preserve">Constantine, M., Songs and Stones: Iolo Morganwg (1747-1826), Mason and Bard, </w:t>
      </w:r>
      <w:r>
        <w:rPr>
          <w:b w:val="false"/>
          <w:i/>
          <w:iCs w:val="false"/>
          <w:color w:val="333333"/>
          <w:spacing w:val="0"/>
          <w:sz w:val="20"/>
          <w:szCs w:val="20"/>
        </w:rPr>
        <w:t>The Eighteenth Century,</w:t>
      </w:r>
      <w:r>
        <w:rPr>
          <w:b w:val="false"/>
          <w:i w:val="false"/>
          <w:iCs w:val="false"/>
          <w:caps w:val="false"/>
          <w:smallCaps w:val="false"/>
          <w:color w:val="333333"/>
          <w:spacing w:val="0"/>
          <w:sz w:val="20"/>
          <w:szCs w:val="20"/>
        </w:rPr>
        <w:t xml:space="preserve"> </w:t>
      </w:r>
      <w:r>
        <w:rPr>
          <w:b w:val="false"/>
          <w:i w:val="false"/>
          <w:iCs w:val="false"/>
          <w:color w:val="333333"/>
          <w:spacing w:val="0"/>
          <w:sz w:val="20"/>
          <w:szCs w:val="20"/>
        </w:rPr>
        <w:t xml:space="preserve">47: </w:t>
      </w:r>
      <w:r>
        <w:rPr>
          <w:b w:val="false"/>
          <w:i w:val="false"/>
          <w:iCs w:val="false"/>
          <w:caps w:val="false"/>
          <w:smallCaps w:val="false"/>
          <w:color w:val="333333"/>
          <w:spacing w:val="0"/>
          <w:sz w:val="20"/>
          <w:szCs w:val="20"/>
        </w:rPr>
        <w:t>2/3, (2006). pp. 233-251. Retrieved from http://www.jstor.org/stable/41468001.</w:t>
      </w:r>
    </w:p>
  </w:footnote>
  <w:footnote w:id="53">
    <w:p>
      <w:pPr>
        <w:pStyle w:val="Footnote"/>
        <w:rPr/>
      </w:pPr>
      <w:r>
        <w:rPr>
          <w:rStyle w:val="FootnoteCharacters"/>
        </w:rPr>
        <w:footnoteRef/>
      </w:r>
      <w:r>
        <w:rPr>
          <w:rStyle w:val="FootnoteCharacters"/>
        </w:rPr>
        <w:tab/>
      </w:r>
      <w:r>
        <w:rPr>
          <w:rStyle w:val="FootnoteCharacters"/>
        </w:rPr>
        <w:tab/>
        <w:tab/>
        <w:tab/>
      </w:r>
      <w:r>
        <w:rPr/>
        <w:t xml:space="preserve">F. J. North, </w:t>
      </w:r>
      <w:r>
        <w:rPr>
          <w:i/>
          <w:iCs/>
        </w:rPr>
        <w:t xml:space="preserve">Sunken Cities, </w:t>
      </w:r>
      <w:r>
        <w:rPr>
          <w:i w:val="false"/>
          <w:iCs w:val="false"/>
        </w:rPr>
        <w:t>p. 118.</w:t>
      </w:r>
    </w:p>
  </w:footnote>
  <w:footnote w:id="54">
    <w:p>
      <w:pPr>
        <w:pStyle w:val="Footnote"/>
        <w:rPr/>
      </w:pPr>
      <w:r>
        <w:rPr>
          <w:rStyle w:val="FootnoteCharacters"/>
        </w:rPr>
        <w:footnoteRef/>
      </w:r>
      <w:r>
        <w:rPr>
          <w:rStyle w:val="FootnoteCharacters"/>
        </w:rPr>
        <w:tab/>
      </w:r>
      <w:r>
        <w:rPr>
          <w:rStyle w:val="FootnoteCharacters"/>
        </w:rPr>
        <w:tab/>
        <w:tab/>
        <w:tab/>
      </w:r>
      <w:r>
        <w:rPr/>
        <w:t>Ibid., pp. 106-110.</w:t>
      </w:r>
    </w:p>
  </w:footnote>
  <w:footnote w:id="55">
    <w:p>
      <w:pPr>
        <w:pStyle w:val="Footnote"/>
        <w:rPr/>
      </w:pPr>
      <w:r>
        <w:rPr>
          <w:rStyle w:val="FootnoteCharacters"/>
        </w:rPr>
        <w:footnoteRef/>
      </w:r>
      <w:r>
        <w:rPr>
          <w:rStyle w:val="FootnoteCharacters"/>
        </w:rPr>
        <w:tab/>
      </w:r>
      <w:r>
        <w:rPr>
          <w:rStyle w:val="FootnoteCharacters"/>
        </w:rPr>
        <w:tab/>
        <w:tab/>
        <w:tab/>
      </w:r>
      <w:r>
        <w:rPr/>
        <w:t xml:space="preserve">M. Green, </w:t>
      </w:r>
      <w:r>
        <w:rPr>
          <w:i/>
          <w:iCs/>
        </w:rPr>
        <w:t xml:space="preserve">Dictionary of Celtic Myth, </w:t>
      </w:r>
      <w:r>
        <w:rPr>
          <w:i w:val="false"/>
          <w:iCs w:val="false"/>
        </w:rPr>
        <w:t>p. 178.</w:t>
      </w:r>
    </w:p>
  </w:footnote>
  <w:footnote w:id="56">
    <w:p>
      <w:pPr>
        <w:pStyle w:val="Footnote"/>
        <w:rPr/>
      </w:pPr>
      <w:r>
        <w:rPr>
          <w:rStyle w:val="FootnoteCharacters"/>
        </w:rPr>
        <w:footnoteRef/>
      </w:r>
      <w:r>
        <w:rPr>
          <w:rStyle w:val="FootnoteCharacters"/>
        </w:rPr>
        <w:tab/>
      </w:r>
      <w:r>
        <w:rPr>
          <w:rStyle w:val="FootnoteCharacters"/>
        </w:rPr>
        <w:tab/>
        <w:tab/>
      </w:r>
      <w:r>
        <w:rPr/>
        <w:tab/>
        <w:t xml:space="preserve">In Shropshire the river is still referred to, by some, as simply ‘Severn’. It is Britain's longest river and many battles have been fought here. See W. Stephens, </w:t>
      </w:r>
      <w:r>
        <w:rPr>
          <w:i/>
          <w:iCs/>
        </w:rPr>
        <w:t xml:space="preserve">The Severn </w:t>
      </w:r>
      <w:r>
        <w:rPr>
          <w:i w:val="false"/>
          <w:iCs w:val="false"/>
        </w:rPr>
        <w:t>(London: Muller, Blond &amp; White Ltd, 1986).</w:t>
      </w:r>
    </w:p>
  </w:footnote>
  <w:footnote w:id="57">
    <w:p>
      <w:pPr>
        <w:pStyle w:val="Footnote"/>
        <w:rPr/>
      </w:pPr>
      <w:r>
        <w:rPr>
          <w:rStyle w:val="FootnoteCharacters"/>
        </w:rPr>
        <w:footnoteRef/>
      </w:r>
      <w:r>
        <w:rPr>
          <w:rStyle w:val="FootnoteCharacters"/>
        </w:rPr>
        <w:tab/>
      </w:r>
      <w:r>
        <w:rPr>
          <w:rStyle w:val="FootnoteCharacters"/>
        </w:rPr>
        <w:tab/>
        <w:tab/>
        <w:tab/>
      </w:r>
      <w:r>
        <w:rPr>
          <w:rFonts w:cs="Times New Roman"/>
          <w:b w:val="false"/>
          <w:bCs w:val="false"/>
          <w:i/>
          <w:iCs/>
          <w:caps w:val="false"/>
          <w:smallCaps w:val="false"/>
          <w:color w:val="000000"/>
          <w:spacing w:val="0"/>
          <w:sz w:val="20"/>
          <w:szCs w:val="20"/>
          <w:u w:val="none"/>
        </w:rPr>
        <w:t xml:space="preserve">Trioedd Ynys Prydein, </w:t>
      </w:r>
      <w:r>
        <w:rPr>
          <w:rFonts w:cs="Times New Roman"/>
          <w:b w:val="false"/>
          <w:bCs w:val="false"/>
          <w:i w:val="false"/>
          <w:iCs w:val="false"/>
          <w:caps w:val="false"/>
          <w:smallCaps w:val="false"/>
          <w:color w:val="000000"/>
          <w:spacing w:val="0"/>
          <w:sz w:val="20"/>
          <w:szCs w:val="20"/>
          <w:u w:val="none"/>
        </w:rPr>
        <w:t>ed. R. Bromwich, fourth edn</w:t>
      </w:r>
      <w:r>
        <w:rPr>
          <w:rFonts w:cs="Times New Roman"/>
          <w:b w:val="false"/>
          <w:bCs w:val="false"/>
          <w:i/>
          <w:iCs/>
          <w:caps w:val="false"/>
          <w:smallCaps w:val="false"/>
          <w:color w:val="000000"/>
          <w:spacing w:val="0"/>
          <w:sz w:val="20"/>
          <w:szCs w:val="20"/>
          <w:u w:val="none"/>
        </w:rPr>
        <w:t xml:space="preserve"> </w:t>
      </w:r>
      <w:r>
        <w:rPr>
          <w:rFonts w:cs="Times New Roman"/>
          <w:b w:val="false"/>
          <w:bCs w:val="false"/>
          <w:i w:val="false"/>
          <w:iCs w:val="false"/>
          <w:caps w:val="false"/>
          <w:smallCaps w:val="false"/>
          <w:color w:val="000000"/>
          <w:spacing w:val="0"/>
          <w:sz w:val="20"/>
          <w:szCs w:val="20"/>
          <w:u w:val="none"/>
        </w:rPr>
        <w:t>(Wiltshire: University of Wales Press, 2014). p. 192, Three Defilement's of the Severn. The first defilement appears to be due to a battle concerning Cadwallon about 630 CE. The following two are difficult to decipher..</w:t>
      </w:r>
    </w:p>
  </w:footnote>
  <w:footnote w:id="58">
    <w:p>
      <w:pPr>
        <w:pStyle w:val="Footnote"/>
        <w:rPr/>
      </w:pPr>
      <w:r>
        <w:rPr>
          <w:rStyle w:val="FootnoteCharacters"/>
        </w:rPr>
        <w:footnoteRef/>
      </w:r>
      <w:r>
        <w:rPr>
          <w:rStyle w:val="FootnoteCharacters"/>
        </w:rPr>
        <w:tab/>
      </w:r>
      <w:r>
        <w:rPr>
          <w:rStyle w:val="FootnoteCharacters"/>
        </w:rPr>
        <w:tab/>
        <w:tab/>
        <w:tab/>
      </w:r>
      <w:r>
        <w:rPr>
          <w:rStyle w:val="FootnoteCharacters"/>
          <w:b w:val="false"/>
          <w:bCs w:val="false"/>
          <w:i w:val="false"/>
          <w:iCs w:val="false"/>
          <w:position w:val="0"/>
          <w:sz w:val="20"/>
          <w:sz w:val="20"/>
          <w:szCs w:val="20"/>
          <w:u w:val="none"/>
          <w:vertAlign w:val="baseline"/>
        </w:rPr>
        <w:t xml:space="preserve">Geoffrey of Monmouth, </w:t>
      </w:r>
      <w:r>
        <w:rPr>
          <w:rStyle w:val="FootnoteCharacters"/>
          <w:b w:val="false"/>
          <w:bCs w:val="false"/>
          <w:i/>
          <w:iCs/>
          <w:position w:val="0"/>
          <w:sz w:val="20"/>
          <w:sz w:val="20"/>
          <w:szCs w:val="20"/>
          <w:u w:val="none"/>
          <w:vertAlign w:val="baseline"/>
        </w:rPr>
        <w:t xml:space="preserve">The History of the Kings of Britain, </w:t>
      </w:r>
      <w:r>
        <w:rPr>
          <w:rStyle w:val="FootnoteCharacters"/>
          <w:b w:val="false"/>
          <w:bCs w:val="false"/>
          <w:i w:val="false"/>
          <w:iCs w:val="false"/>
          <w:position w:val="0"/>
          <w:sz w:val="20"/>
          <w:sz w:val="20"/>
          <w:szCs w:val="20"/>
          <w:u w:val="none"/>
          <w:vertAlign w:val="baseline"/>
        </w:rPr>
        <w:t>translated by Thorpe, L (Harmondsworth: Penguin Book, 1978), pp. 76-77.</w:t>
      </w:r>
    </w:p>
  </w:footnote>
  <w:footnote w:id="59">
    <w:p>
      <w:pPr>
        <w:pStyle w:val="Footnote"/>
        <w:rPr/>
      </w:pPr>
      <w:r>
        <w:rPr>
          <w:rStyle w:val="FootnoteCharacters"/>
        </w:rPr>
        <w:footnoteRef/>
      </w:r>
      <w:r>
        <w:rPr>
          <w:rStyle w:val="FootnoteCharacters"/>
        </w:rPr>
        <w:tab/>
      </w:r>
      <w:r>
        <w:rPr>
          <w:rStyle w:val="FootnoteCharacters"/>
        </w:rPr>
        <w:tab/>
        <w:tab/>
        <w:tab/>
      </w:r>
      <w:r>
        <w:rPr/>
        <w:t>Ibid., p. 77.</w:t>
      </w:r>
    </w:p>
  </w:footnote>
  <w:footnote w:id="60">
    <w:p>
      <w:pPr>
        <w:pStyle w:val="Footnote"/>
        <w:rPr/>
      </w:pPr>
      <w:r>
        <w:rPr>
          <w:rStyle w:val="FootnoteCharacters"/>
        </w:rPr>
        <w:footnoteRef/>
      </w:r>
      <w:r>
        <w:rPr>
          <w:rStyle w:val="FootnoteCharacters"/>
        </w:rPr>
        <w:tab/>
      </w:r>
      <w:r>
        <w:rPr>
          <w:rStyle w:val="FootnoteCharacters"/>
        </w:rPr>
        <w:tab/>
        <w:tab/>
        <w:tab/>
      </w:r>
      <w:r>
        <w:rPr/>
        <w:t xml:space="preserve">J. Cerridig Davies, </w:t>
      </w:r>
      <w:r>
        <w:rPr>
          <w:i/>
          <w:iCs/>
        </w:rPr>
        <w:t xml:space="preserve">Welsh Folk-Lore, </w:t>
      </w:r>
      <w:r>
        <w:rPr>
          <w:i w:val="false"/>
          <w:iCs w:val="false"/>
        </w:rPr>
        <w:t>pp. 311-312.</w:t>
      </w:r>
    </w:p>
  </w:footnote>
  <w:footnote w:id="61">
    <w:p>
      <w:pPr>
        <w:pStyle w:val="Footnote"/>
        <w:rPr/>
      </w:pPr>
      <w:r>
        <w:rPr>
          <w:rStyle w:val="FootnoteCharacters"/>
        </w:rPr>
        <w:footnoteRef/>
      </w:r>
      <w:r>
        <w:rPr>
          <w:rStyle w:val="FootnoteCharacters"/>
        </w:rPr>
        <w:tab/>
      </w:r>
      <w:r>
        <w:rPr>
          <w:rStyle w:val="FootnoteCharacters"/>
        </w:rPr>
        <w:tab/>
        <w:tab/>
      </w:r>
      <w:r>
        <w:rPr/>
        <w:tab/>
        <w:t>Ibid., p. 310. This is a popular tale, often re told and adapted.</w:t>
      </w:r>
    </w:p>
  </w:footnote>
  <w:footnote w:id="62">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Andrew J. Evans, John Nettleship &amp; Steven Perry, </w:t>
      </w:r>
      <w:r>
        <w:rPr>
          <w:i/>
          <w:position w:val="0"/>
          <w:sz w:val="20"/>
          <w:sz w:val="20"/>
          <w:vertAlign w:val="baseline"/>
        </w:rPr>
        <w:t>Linn Liuan/Llynn Llyw</w:t>
      </w:r>
      <w:r>
        <w:rPr>
          <w:position w:val="0"/>
          <w:sz w:val="20"/>
          <w:sz w:val="20"/>
          <w:vertAlign w:val="baseline"/>
        </w:rPr>
        <w:t xml:space="preserve">: The Wondrous Lake of the </w:t>
      </w:r>
      <w:r>
        <w:rPr>
          <w:i/>
          <w:position w:val="0"/>
          <w:sz w:val="20"/>
          <w:sz w:val="20"/>
          <w:vertAlign w:val="baseline"/>
        </w:rPr>
        <w:t xml:space="preserve">Historia Brittonum's de Mirabilibus Britanniae </w:t>
      </w:r>
      <w:r>
        <w:rPr>
          <w:position w:val="0"/>
          <w:sz w:val="20"/>
          <w:sz w:val="20"/>
          <w:vertAlign w:val="baseline"/>
        </w:rPr>
        <w:t xml:space="preserve">and </w:t>
      </w:r>
      <w:r>
        <w:rPr>
          <w:i/>
          <w:position w:val="0"/>
          <w:sz w:val="20"/>
          <w:sz w:val="20"/>
          <w:vertAlign w:val="baseline"/>
        </w:rPr>
        <w:t>Culhwch ac Olwen</w:t>
      </w:r>
      <w:r>
        <w:rPr>
          <w:position w:val="0"/>
          <w:sz w:val="20"/>
          <w:sz w:val="20"/>
          <w:vertAlign w:val="baseline"/>
        </w:rPr>
        <w:t xml:space="preserve">, Folklore </w:t>
      </w:r>
      <w:r>
        <w:rPr>
          <w:rStyle w:val="FootnoteCharacters"/>
          <w:position w:val="0"/>
          <w:sz w:val="20"/>
          <w:sz w:val="20"/>
          <w:vertAlign w:val="baseline"/>
        </w:rPr>
        <w:t xml:space="preserve"> (2008),  </w:t>
      </w:r>
      <w:r>
        <w:rPr>
          <w:position w:val="0"/>
          <w:sz w:val="20"/>
          <w:sz w:val="20"/>
          <w:vertAlign w:val="baseline"/>
        </w:rPr>
        <w:t>119:3, pp. 295-318, DOI: 10.1080/00155870802352236. It may have disappeared due to changes in the Severn Estuary below causing it to silt up, submerging the lake. p. 306.</w:t>
      </w:r>
      <w:r>
        <w:rPr>
          <w:rStyle w:val="FootnoteCharacters"/>
          <w:position w:val="0"/>
          <w:sz w:val="20"/>
          <w:sz w:val="20"/>
          <w:vertAlign w:val="baseline"/>
        </w:rPr>
        <w:tab/>
      </w:r>
    </w:p>
  </w:footnote>
  <w:footnote w:id="63">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I</w:t>
      </w:r>
      <w:r>
        <w:rPr/>
        <w:t>bid., p. 299.</w:t>
      </w:r>
    </w:p>
  </w:footnote>
  <w:footnote w:id="64">
    <w:p>
      <w:pPr>
        <w:pStyle w:val="Footnote"/>
        <w:rPr/>
      </w:pPr>
      <w:r>
        <w:rPr>
          <w:rStyle w:val="FootnoteCharacters"/>
        </w:rPr>
        <w:footnoteRef/>
      </w:r>
      <w:r>
        <w:rPr>
          <w:rStyle w:val="FootnoteCharacters"/>
        </w:rPr>
        <w:tab/>
      </w:r>
      <w:r>
        <w:rPr>
          <w:rStyle w:val="FootnoteCharacters"/>
        </w:rPr>
        <w:tab/>
        <w:tab/>
        <w:tab/>
      </w:r>
      <w:r>
        <w:rPr/>
        <w:t xml:space="preserve">S. Davies, </w:t>
      </w:r>
      <w:r>
        <w:rPr>
          <w:i/>
          <w:iCs/>
        </w:rPr>
        <w:t xml:space="preserve">The Mabinogion </w:t>
      </w:r>
      <w:r>
        <w:rPr>
          <w:i w:val="false"/>
          <w:iCs w:val="false"/>
        </w:rPr>
        <w:t>(Oxford: Oxford University Press, 2007), pp. 204-205.</w:t>
      </w:r>
    </w:p>
  </w:footnote>
  <w:footnote w:id="65">
    <w:p>
      <w:pPr>
        <w:pStyle w:val="Footnote"/>
        <w:rPr/>
      </w:pPr>
      <w:r>
        <w:rPr>
          <w:rStyle w:val="FootnoteCharacters"/>
        </w:rPr>
        <w:footnoteRef/>
      </w:r>
      <w:r>
        <w:rPr>
          <w:rStyle w:val="FootnoteCharacters"/>
        </w:rPr>
        <w:tab/>
      </w:r>
      <w:r>
        <w:rPr>
          <w:rStyle w:val="FootnoteCharacters"/>
        </w:rPr>
        <w:tab/>
        <w:tab/>
        <w:tab/>
      </w:r>
      <w:r>
        <w:rPr/>
        <w:t xml:space="preserve">J. Evans et al, </w:t>
      </w:r>
      <w:r>
        <w:rPr>
          <w:i/>
          <w:iCs/>
        </w:rPr>
        <w:t>Linn Liuan</w:t>
      </w:r>
      <w:r>
        <w:rPr/>
        <w:t>, p. 311.</w:t>
      </w:r>
    </w:p>
  </w:footnote>
  <w:footnote w:id="66">
    <w:p>
      <w:pPr>
        <w:pStyle w:val="Footnote"/>
        <w:rPr/>
      </w:pPr>
      <w:r>
        <w:rPr>
          <w:rStyle w:val="FootnoteCharacters"/>
        </w:rPr>
        <w:footnoteRef/>
      </w:r>
      <w:r>
        <w:rPr>
          <w:rStyle w:val="FootnoteCharacters"/>
        </w:rPr>
        <w:tab/>
      </w:r>
      <w:r>
        <w:rPr>
          <w:rStyle w:val="FootnoteCharacters"/>
        </w:rPr>
        <w:tab/>
        <w:tab/>
        <w:tab/>
      </w:r>
      <w:r>
        <w:rPr/>
        <w:t xml:space="preserve">Gerald of Wales, </w:t>
      </w:r>
      <w:r>
        <w:rPr>
          <w:i/>
          <w:iCs/>
        </w:rPr>
        <w:t xml:space="preserve">The Journey Through Wales, </w:t>
      </w:r>
      <w:r>
        <w:rPr>
          <w:i w:val="false"/>
          <w:iCs w:val="false"/>
        </w:rPr>
        <w:t xml:space="preserve">p. 198. Certainly at the time of his writing was great unsettlement throughout Wales and the Marches. See J. Davies, </w:t>
      </w:r>
      <w:r>
        <w:rPr>
          <w:i/>
          <w:iCs/>
        </w:rPr>
        <w:t xml:space="preserve">A History of Wales, </w:t>
      </w:r>
      <w:r>
        <w:rPr>
          <w:i w:val="false"/>
          <w:iCs w:val="false"/>
        </w:rPr>
        <w:t>pp.128-132.</w:t>
      </w:r>
    </w:p>
  </w:footnote>
  <w:footnote w:id="67">
    <w:p>
      <w:pPr>
        <w:pStyle w:val="Footnote"/>
        <w:rPr/>
      </w:pPr>
      <w:r>
        <w:rPr>
          <w:rStyle w:val="FootnoteCharacters"/>
        </w:rPr>
        <w:footnoteRef/>
      </w:r>
      <w:r>
        <w:rPr>
          <w:rStyle w:val="FootnoteCharacters"/>
        </w:rPr>
        <w:tab/>
      </w:r>
      <w:r>
        <w:rPr>
          <w:rStyle w:val="FootnoteCharacters"/>
        </w:rPr>
        <w:tab/>
        <w:tab/>
        <w:tab/>
      </w:r>
      <w:r>
        <w:rPr/>
        <w:t>J. Rh</w:t>
      </w:r>
      <w:r>
        <w:rPr>
          <w:rFonts w:eastAsia="Calibri" w:cs="Times New Roman"/>
        </w:rPr>
        <w:t xml:space="preserve">ŷs, </w:t>
      </w:r>
      <w:r>
        <w:rPr>
          <w:rFonts w:eastAsia="Calibri" w:cs="Times New Roman"/>
          <w:i/>
          <w:iCs/>
        </w:rPr>
        <w:t xml:space="preserve">Celtic Folklore, </w:t>
      </w:r>
      <w:r>
        <w:rPr>
          <w:rFonts w:eastAsia="Calibri" w:cs="Times New Roman"/>
          <w:i w:val="false"/>
          <w:iCs w:val="false"/>
        </w:rPr>
        <w:t>p. 441.</w:t>
      </w:r>
    </w:p>
  </w:footnote>
  <w:footnote w:id="68">
    <w:p>
      <w:pPr>
        <w:pStyle w:val="Footnote"/>
        <w:rPr/>
      </w:pPr>
      <w:r>
        <w:rPr>
          <w:rStyle w:val="FootnoteCharacters"/>
        </w:rPr>
        <w:footnoteRef/>
      </w:r>
      <w:r>
        <w:rPr>
          <w:rStyle w:val="FootnoteCharacters"/>
        </w:rPr>
        <w:tab/>
      </w:r>
      <w:r>
        <w:rPr>
          <w:rStyle w:val="FootnoteCharacters"/>
        </w:rPr>
        <w:tab/>
        <w:tab/>
        <w:tab/>
      </w:r>
      <w:r>
        <w:rPr/>
        <w:t xml:space="preserve">G. Benwell and A. Waugh, </w:t>
      </w:r>
      <w:r>
        <w:rPr>
          <w:i/>
          <w:iCs/>
        </w:rPr>
        <w:t xml:space="preserve">Sea Enchantress, </w:t>
      </w:r>
      <w:r>
        <w:rPr>
          <w:i w:val="false"/>
          <w:iCs w:val="false"/>
        </w:rPr>
        <w:t>p. 60. The folklorists maintain that ‘ the Dee’ means ‘the goddess’ but do not identify their evidence for this.</w:t>
      </w:r>
    </w:p>
  </w:footnote>
  <w:footnote w:id="69">
    <w:p>
      <w:pPr>
        <w:pStyle w:val="Footnote"/>
        <w:rPr/>
      </w:pPr>
      <w:r>
        <w:rPr>
          <w:rStyle w:val="FootnoteCharacters"/>
        </w:rPr>
        <w:footnoteRef/>
      </w:r>
      <w:r>
        <w:rPr>
          <w:rStyle w:val="FootnoteCharacters"/>
        </w:rPr>
        <w:tab/>
      </w:r>
      <w:r>
        <w:rPr>
          <w:rStyle w:val="FootnoteCharacters"/>
        </w:rPr>
        <w:tab/>
        <w:tab/>
        <w:tab/>
      </w:r>
      <w:r>
        <w:rPr/>
        <w:t xml:space="preserve">M. Corbett Harris, </w:t>
      </w:r>
      <w:r>
        <w:rPr>
          <w:i/>
          <w:iCs/>
        </w:rPr>
        <w:t xml:space="preserve">Crafts, Customs, </w:t>
      </w:r>
      <w:r>
        <w:rPr>
          <w:i w:val="false"/>
          <w:iCs w:val="false"/>
        </w:rPr>
        <w:t>p. 90.</w:t>
      </w:r>
    </w:p>
  </w:footnote>
  <w:footnote w:id="70">
    <w:p>
      <w:pPr>
        <w:pStyle w:val="Footnote"/>
        <w:rPr/>
      </w:pPr>
      <w:r>
        <w:rPr>
          <w:rStyle w:val="FootnoteCharacters"/>
        </w:rPr>
        <w:footnoteRef/>
      </w:r>
      <w:r>
        <w:rPr>
          <w:rStyle w:val="FootnoteCharacters"/>
        </w:rPr>
        <w:tab/>
      </w:r>
      <w:r>
        <w:rPr>
          <w:rStyle w:val="FootnoteCharacters"/>
        </w:rPr>
        <w:tab/>
        <w:tab/>
        <w:tab/>
      </w:r>
      <w:r>
        <w:rPr/>
        <w:t xml:space="preserve">R. Palmer, </w:t>
      </w:r>
      <w:r>
        <w:rPr>
          <w:i/>
          <w:iCs/>
        </w:rPr>
        <w:t xml:space="preserve">The Folklore of (old) Monmouthshire, </w:t>
      </w:r>
      <w:r>
        <w:rPr>
          <w:i w:val="false"/>
          <w:iCs w:val="false"/>
        </w:rPr>
        <w:t>(Herefordshire: Logaston Press, 1998), pp. 113 -114.</w:t>
      </w:r>
    </w:p>
  </w:footnote>
  <w:footnote w:id="71">
    <w:p>
      <w:pPr>
        <w:pStyle w:val="Footnote"/>
        <w:rPr/>
      </w:pPr>
      <w:r>
        <w:rPr>
          <w:rStyle w:val="FootnoteCharacters"/>
        </w:rPr>
        <w:footnoteRef/>
      </w:r>
      <w:r>
        <w:rPr>
          <w:rStyle w:val="FootnoteCharacters"/>
        </w:rPr>
        <w:tab/>
      </w:r>
      <w:r>
        <w:rPr>
          <w:rStyle w:val="FootnoteCharacters"/>
        </w:rPr>
        <w:tab/>
        <w:tab/>
        <w:tab/>
      </w:r>
      <w:r>
        <w:rPr/>
        <w:t xml:space="preserve">J. Simpson, </w:t>
      </w:r>
      <w:r>
        <w:rPr>
          <w:i/>
          <w:iCs/>
        </w:rPr>
        <w:t xml:space="preserve">Folklore of the Welsh Marches </w:t>
      </w:r>
      <w:r>
        <w:rPr>
          <w:i w:val="false"/>
          <w:iCs w:val="false"/>
        </w:rPr>
        <w:t>(Wiltshire: B. T. Batsford, 2003), p.82.</w:t>
      </w:r>
    </w:p>
  </w:footnote>
  <w:footnote w:id="72">
    <w:p>
      <w:pPr>
        <w:pStyle w:val="Footnote"/>
        <w:rPr/>
      </w:pPr>
      <w:r>
        <w:rPr>
          <w:rStyle w:val="FootnoteCharacters"/>
        </w:rPr>
        <w:footnoteRef/>
      </w:r>
      <w:r>
        <w:rPr>
          <w:rStyle w:val="FootnoteCharacters"/>
        </w:rPr>
        <w:tab/>
      </w:r>
      <w:r>
        <w:rPr>
          <w:rStyle w:val="FootnoteCharacters"/>
        </w:rPr>
        <w:tab/>
        <w:tab/>
        <w:tab/>
      </w:r>
      <w:r>
        <w:rPr/>
        <w:t xml:space="preserve">Corbett Harris, </w:t>
      </w:r>
      <w:r>
        <w:rPr>
          <w:i/>
          <w:iCs/>
        </w:rPr>
        <w:t xml:space="preserve">Crafts, Customs, </w:t>
      </w:r>
      <w:r>
        <w:rPr>
          <w:i w:val="false"/>
          <w:iCs w:val="false"/>
        </w:rPr>
        <w:t xml:space="preserve">p. 86. </w:t>
      </w:r>
    </w:p>
  </w:footnote>
  <w:footnote w:id="73">
    <w:p>
      <w:pPr>
        <w:pStyle w:val="Footnote"/>
        <w:rPr/>
      </w:pPr>
      <w:r>
        <w:rPr>
          <w:rStyle w:val="FootnoteCharacters"/>
        </w:rPr>
        <w:footnoteRef/>
      </w:r>
      <w:r>
        <w:rPr>
          <w:rStyle w:val="FootnoteCharacters"/>
        </w:rPr>
        <w:tab/>
      </w:r>
      <w:r>
        <w:rPr>
          <w:rStyle w:val="FootnoteCharacters"/>
        </w:rPr>
        <w:tab/>
        <w:tab/>
        <w:tab/>
      </w:r>
      <w:r>
        <w:rPr/>
        <w:t xml:space="preserve">J. Rhŷs, </w:t>
      </w:r>
      <w:r>
        <w:rPr>
          <w:i/>
          <w:iCs/>
        </w:rPr>
        <w:t xml:space="preserve">Celtic Folklore, </w:t>
      </w:r>
      <w:r>
        <w:rPr>
          <w:i w:val="false"/>
          <w:iCs w:val="false"/>
        </w:rPr>
        <w:t xml:space="preserve">p. 131. </w:t>
      </w:r>
    </w:p>
  </w:footnote>
  <w:footnote w:id="74">
    <w:p>
      <w:pPr>
        <w:pStyle w:val="Footnote"/>
        <w:rPr/>
      </w:pPr>
      <w:r>
        <w:rPr>
          <w:rStyle w:val="FootnoteCharacters"/>
        </w:rPr>
        <w:footnoteRef/>
      </w:r>
      <w:r>
        <w:rPr>
          <w:rStyle w:val="FootnoteCharacters"/>
        </w:rPr>
        <w:tab/>
      </w:r>
      <w:r>
        <w:rPr>
          <w:rStyle w:val="FootnoteCharacters"/>
        </w:rPr>
        <w:tab/>
        <w:tab/>
        <w:tab/>
      </w:r>
      <w:r>
        <w:rPr/>
        <w:t>Ibid., p. 201.</w:t>
      </w:r>
    </w:p>
  </w:footnote>
  <w:footnote w:id="75">
    <w:p>
      <w:pPr>
        <w:pStyle w:val="Footnote"/>
        <w:rPr/>
      </w:pPr>
      <w:r>
        <w:rPr>
          <w:rStyle w:val="FootnoteCharacters"/>
        </w:rPr>
        <w:footnoteRef/>
      </w:r>
      <w:r>
        <w:rPr>
          <w:rStyle w:val="FootnoteCharacters"/>
        </w:rPr>
        <w:tab/>
      </w:r>
      <w:r>
        <w:rPr>
          <w:rStyle w:val="FootnoteCharacters"/>
        </w:rPr>
        <w:tab/>
        <w:tab/>
        <w:tab/>
      </w:r>
      <w:r>
        <w:rPr/>
        <w:t>Ibid., p. 433.</w:t>
      </w:r>
    </w:p>
  </w:footnote>
  <w:footnote w:id="76">
    <w:p>
      <w:pPr>
        <w:pStyle w:val="Footnote"/>
        <w:rPr/>
      </w:pPr>
      <w:r>
        <w:rPr>
          <w:rStyle w:val="FootnoteCharacters"/>
        </w:rPr>
        <w:footnoteRef/>
      </w:r>
      <w:r>
        <w:rPr>
          <w:rStyle w:val="FootnoteCharacters"/>
        </w:rPr>
        <w:tab/>
      </w:r>
      <w:r>
        <w:rPr>
          <w:rStyle w:val="FootnoteCharacters"/>
        </w:rPr>
        <w:tab/>
        <w:tab/>
        <w:tab/>
      </w:r>
      <w:r>
        <w:rPr/>
        <w:t xml:space="preserve">D. Parry-Jones, </w:t>
      </w:r>
      <w:r>
        <w:rPr>
          <w:i/>
          <w:iCs/>
        </w:rPr>
        <w:t xml:space="preserve">Welsh Legends, </w:t>
      </w:r>
      <w:r>
        <w:rPr>
          <w:i w:val="false"/>
          <w:iCs w:val="false"/>
        </w:rPr>
        <w:t>pp. 90 -92.</w:t>
      </w:r>
    </w:p>
  </w:footnote>
  <w:footnote w:id="77">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The afanc is enticed out of his lair and falls asleep with his head in the maiden’s lap. </w:t>
      </w:r>
      <w:r>
        <w:rPr/>
        <w:t xml:space="preserve"> </w:t>
      </w:r>
      <w:r>
        <w:rPr>
          <w:rStyle w:val="FootnoteCharacters"/>
          <w:position w:val="0"/>
          <w:sz w:val="20"/>
          <w:sz w:val="20"/>
          <w:vertAlign w:val="baseline"/>
        </w:rPr>
        <w:t xml:space="preserve">This is  similar to some of the Scottish kelpie tales of Scotland. Kelpies are water horses that can take human form and are found in lochs , rivers or the sea. </w:t>
      </w:r>
      <w:r>
        <w:rPr/>
        <w:t xml:space="preserve">See W. Mackenzie, </w:t>
      </w:r>
      <w:r>
        <w:rPr>
          <w:i/>
          <w:iCs/>
        </w:rPr>
        <w:t xml:space="preserve">Old Skye Tales </w:t>
      </w:r>
      <w:r>
        <w:rPr>
          <w:i w:val="false"/>
          <w:iCs w:val="false"/>
        </w:rPr>
        <w:t>(Edinburgh: Birlinn Ltd, 2002), p. 50. A woman met a handsome man who fell asleep with his head in her lap. She looked down and saw grains of sand in his black hair and realized he was a kelpie. But in this tale she escaped, unharmed.</w:t>
      </w:r>
    </w:p>
  </w:footnote>
  <w:footnote w:id="78">
    <w:p>
      <w:pPr>
        <w:pStyle w:val="Footnote"/>
        <w:rPr/>
      </w:pPr>
      <w:r>
        <w:rPr>
          <w:rStyle w:val="FootnoteCharacters"/>
        </w:rPr>
        <w:footnoteRef/>
      </w:r>
      <w:r>
        <w:rPr>
          <w:rStyle w:val="FootnoteCharacters"/>
        </w:rPr>
        <w:tab/>
      </w:r>
      <w:r>
        <w:rPr>
          <w:rStyle w:val="FootnoteCharacters"/>
        </w:rPr>
        <w:tab/>
        <w:tab/>
        <w:tab/>
      </w:r>
      <w:r>
        <w:rPr/>
        <w:t xml:space="preserve">D. Parry-Jones, </w:t>
      </w:r>
      <w:r>
        <w:rPr>
          <w:i/>
          <w:iCs/>
        </w:rPr>
        <w:t xml:space="preserve">Welsh Legends, </w:t>
      </w:r>
      <w:r>
        <w:rPr>
          <w:i w:val="false"/>
          <w:iCs w:val="false"/>
        </w:rPr>
        <w:t>p 92.</w:t>
      </w:r>
    </w:p>
  </w:footnote>
  <w:footnote w:id="79">
    <w:p>
      <w:pPr>
        <w:pStyle w:val="Footnote"/>
        <w:rPr/>
      </w:pPr>
      <w:r>
        <w:rPr>
          <w:rStyle w:val="FootnoteCharacters"/>
        </w:rPr>
        <w:footnoteRef/>
      </w:r>
      <w:r>
        <w:rPr>
          <w:rStyle w:val="FootnoteCharacters"/>
        </w:rPr>
        <w:tab/>
      </w:r>
      <w:r>
        <w:rPr>
          <w:rStyle w:val="FootnoteCharacters"/>
        </w:rPr>
        <w:tab/>
        <w:tab/>
        <w:tab/>
      </w:r>
      <w:r>
        <w:rPr/>
        <w:t>For an example see the Mermaid of Marden, a Herefordshire tale of oxen dragging a sleeping mermaid, from the river Lugg, se</w:t>
      </w:r>
      <w:r>
        <w:rPr>
          <w:color w:val="000000"/>
        </w:rPr>
        <w:t xml:space="preserve">e E. Leather, </w:t>
      </w:r>
      <w:r>
        <w:rPr>
          <w:i/>
          <w:iCs/>
          <w:color w:val="000000"/>
        </w:rPr>
        <w:t xml:space="preserve">The Folklore of Herefordshire </w:t>
      </w:r>
      <w:r>
        <w:rPr>
          <w:i w:val="false"/>
          <w:iCs w:val="false"/>
          <w:color w:val="000000"/>
          <w:sz w:val="20"/>
          <w:szCs w:val="20"/>
        </w:rPr>
        <w:t>(</w:t>
      </w:r>
      <w:r>
        <w:rPr>
          <w:rStyle w:val="FootnoteCharacters"/>
          <w:b w:val="false"/>
          <w:bCs w:val="false"/>
          <w:i w:val="false"/>
          <w:iCs w:val="false"/>
          <w:caps w:val="false"/>
          <w:smallCaps w:val="false"/>
          <w:color w:val="000000"/>
          <w:spacing w:val="0"/>
          <w:position w:val="0"/>
          <w:sz w:val="20"/>
          <w:sz w:val="20"/>
          <w:szCs w:val="20"/>
          <w:u w:val="none"/>
          <w:vertAlign w:val="baseline"/>
        </w:rPr>
        <w:t>Hereford: Lapridge Publications, 1992)</w:t>
      </w:r>
      <w:r>
        <w:rPr>
          <w:i w:val="false"/>
          <w:iCs w:val="false"/>
          <w:color w:val="000000"/>
          <w:sz w:val="20"/>
          <w:szCs w:val="20"/>
        </w:rPr>
        <w:t xml:space="preserve"> pp. 1</w:t>
      </w:r>
      <w:r>
        <w:rPr>
          <w:i w:val="false"/>
          <w:iCs w:val="false"/>
          <w:color w:val="000000"/>
        </w:rPr>
        <w:t>68-169.</w:t>
      </w:r>
    </w:p>
  </w:footnote>
  <w:footnote w:id="80">
    <w:p>
      <w:pPr>
        <w:pStyle w:val="Footnote"/>
        <w:rPr/>
      </w:pPr>
      <w:r>
        <w:rPr>
          <w:rStyle w:val="FootnoteCharacters"/>
        </w:rPr>
        <w:footnoteRef/>
      </w:r>
      <w:r>
        <w:rPr>
          <w:rStyle w:val="FootnoteCharacters"/>
        </w:rPr>
        <w:tab/>
      </w:r>
      <w:r>
        <w:rPr>
          <w:rStyle w:val="FootnoteCharacters"/>
        </w:rPr>
        <w:tab/>
        <w:tab/>
        <w:tab/>
      </w:r>
      <w:r>
        <w:rPr/>
        <w:t xml:space="preserve">For an ‘elaborate’ form of the Llyn y Fan Fach tale see W. Sikes, </w:t>
      </w:r>
      <w:r>
        <w:rPr>
          <w:i/>
          <w:iCs/>
        </w:rPr>
        <w:t xml:space="preserve">British Goblins, </w:t>
      </w:r>
      <w:r>
        <w:rPr>
          <w:i w:val="false"/>
          <w:iCs w:val="false"/>
        </w:rPr>
        <w:t>pp. 41 -44.</w:t>
      </w:r>
    </w:p>
  </w:footnote>
  <w:footnote w:id="81">
    <w:p>
      <w:pPr>
        <w:pStyle w:val="Footnote"/>
        <w:rPr/>
      </w:pPr>
      <w:r>
        <w:rPr>
          <w:rStyle w:val="FootnoteCharacters"/>
        </w:rPr>
        <w:footnoteRef/>
      </w:r>
      <w:r>
        <w:rPr>
          <w:rStyle w:val="FootnoteCharacters"/>
        </w:rPr>
        <w:tab/>
      </w:r>
      <w:r>
        <w:rPr>
          <w:rStyle w:val="FootnoteCharacters"/>
        </w:rPr>
        <w:tab/>
        <w:tab/>
        <w:tab/>
      </w:r>
      <w:r>
        <w:rPr/>
        <w:t>J. Wood, The Fairy Bride Legend, p. 56.</w:t>
      </w:r>
    </w:p>
  </w:footnote>
  <w:footnote w:id="82">
    <w:p>
      <w:pPr>
        <w:pStyle w:val="Footnote"/>
        <w:rPr/>
      </w:pPr>
      <w:r>
        <w:rPr>
          <w:rStyle w:val="FootnoteCharacters"/>
        </w:rPr>
        <w:footnoteRef/>
      </w:r>
      <w:r>
        <w:rPr>
          <w:rStyle w:val="FootnoteCharacters"/>
        </w:rPr>
        <w:tab/>
      </w:r>
      <w:r>
        <w:rPr>
          <w:rStyle w:val="FootnoteCharacters"/>
        </w:rPr>
        <w:tab/>
        <w:tab/>
      </w:r>
      <w:r>
        <w:rPr>
          <w:rStyle w:val="FootnoteCharacters"/>
          <w:position w:val="0"/>
          <w:sz w:val="20"/>
          <w:sz w:val="20"/>
          <w:vertAlign w:val="baseline"/>
        </w:rPr>
        <w:tab/>
        <w:t>Trevor. M. Owen,</w:t>
      </w:r>
      <w:r>
        <w:rPr>
          <w:rStyle w:val="FootnoteCharacters"/>
          <w:i/>
          <w:iCs/>
          <w:position w:val="0"/>
          <w:sz w:val="20"/>
          <w:sz w:val="20"/>
          <w:vertAlign w:val="baseline"/>
        </w:rPr>
        <w:t xml:space="preserve"> The Customs and Traditions of Wales </w:t>
      </w:r>
      <w:r>
        <w:rPr>
          <w:rStyle w:val="FootnoteCharacters"/>
          <w:i w:val="false"/>
          <w:iCs w:val="false"/>
          <w:position w:val="0"/>
          <w:sz w:val="20"/>
          <w:sz w:val="20"/>
          <w:vertAlign w:val="baseline"/>
        </w:rPr>
        <w:t xml:space="preserve">(Wiltshire: CPI Anthony Rowe, 2016),    </w:t>
      </w:r>
      <w:r>
        <w:rPr/>
        <w:t xml:space="preserve"> pp. 157-158.</w:t>
      </w:r>
    </w:p>
  </w:footnote>
  <w:footnote w:id="83">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Ibid.</w:t>
      </w:r>
      <w:r>
        <w:rPr>
          <w:i w:val="false"/>
          <w:iCs w:val="false"/>
        </w:rPr>
        <w:t>, pp. 48-50.</w:t>
      </w:r>
    </w:p>
  </w:footnote>
  <w:footnote w:id="84">
    <w:p>
      <w:pPr>
        <w:pStyle w:val="Footnote"/>
        <w:rPr/>
      </w:pPr>
      <w:r>
        <w:rPr>
          <w:rStyle w:val="FootnoteCharacters"/>
        </w:rPr>
        <w:footnoteRef/>
      </w:r>
      <w:r>
        <w:rPr>
          <w:rStyle w:val="FootnoteCharacters"/>
        </w:rPr>
        <w:tab/>
      </w:r>
      <w:r>
        <w:rPr>
          <w:rStyle w:val="FootnoteCharacters"/>
        </w:rPr>
        <w:tab/>
        <w:tab/>
      </w:r>
      <w:r>
        <w:rPr>
          <w:rStyle w:val="FootnoteCharacters"/>
          <w:position w:val="0"/>
          <w:sz w:val="20"/>
          <w:sz w:val="20"/>
          <w:vertAlign w:val="baseline"/>
        </w:rPr>
        <w:tab/>
        <w:t>Ib</w:t>
      </w:r>
      <w:r>
        <w:rPr>
          <w:position w:val="0"/>
          <w:sz w:val="20"/>
          <w:sz w:val="20"/>
          <w:vertAlign w:val="baseline"/>
        </w:rPr>
        <w:t>i</w:t>
      </w:r>
      <w:r>
        <w:rPr/>
        <w:t xml:space="preserve">d., p. 49. See also J. Rhŷs, </w:t>
      </w:r>
      <w:r>
        <w:rPr>
          <w:i/>
          <w:iCs/>
        </w:rPr>
        <w:t xml:space="preserve">Celtic Folklore, </w:t>
      </w:r>
      <w:r>
        <w:rPr>
          <w:i w:val="false"/>
          <w:iCs w:val="false"/>
        </w:rPr>
        <w:t>pp. 214 -215.</w:t>
      </w:r>
    </w:p>
  </w:footnote>
  <w:footnote w:id="85">
    <w:p>
      <w:pPr>
        <w:pStyle w:val="Footnote"/>
        <w:rPr/>
      </w:pPr>
      <w:r>
        <w:rPr>
          <w:rStyle w:val="FootnoteCharacters"/>
        </w:rPr>
        <w:footnoteRef/>
      </w:r>
      <w:r>
        <w:rPr>
          <w:rStyle w:val="FootnoteCharacters"/>
        </w:rPr>
        <w:tab/>
      </w:r>
      <w:r>
        <w:rPr>
          <w:rStyle w:val="FootnoteCharacters"/>
        </w:rPr>
        <w:tab/>
        <w:tab/>
        <w:tab/>
      </w:r>
      <w:r>
        <w:rPr/>
        <w:t xml:space="preserve">Ibid. </w:t>
      </w:r>
    </w:p>
  </w:footnote>
  <w:footnote w:id="86">
    <w:p>
      <w:pPr>
        <w:pStyle w:val="Footnote"/>
        <w:rPr/>
      </w:pPr>
      <w:r>
        <w:rPr>
          <w:rStyle w:val="FootnoteCharacters"/>
        </w:rPr>
        <w:footnoteRef/>
      </w:r>
      <w:r>
        <w:rPr>
          <w:rStyle w:val="FootnoteCharacters"/>
        </w:rPr>
        <w:tab/>
      </w:r>
      <w:r>
        <w:rPr>
          <w:rStyle w:val="FootnoteCharacters"/>
        </w:rPr>
        <w:tab/>
        <w:tab/>
        <w:tab/>
      </w:r>
      <w:r>
        <w:rPr/>
        <w:t xml:space="preserve">D. Parry-Jones, </w:t>
      </w:r>
      <w:r>
        <w:rPr>
          <w:i/>
          <w:iCs/>
        </w:rPr>
        <w:t xml:space="preserve">Welsh Legends, </w:t>
      </w:r>
      <w:r>
        <w:rPr>
          <w:i w:val="false"/>
          <w:iCs w:val="false"/>
        </w:rPr>
        <w:t xml:space="preserve">p. 3. </w:t>
      </w:r>
    </w:p>
  </w:footnote>
  <w:footnote w:id="87">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Ibid.,</w:t>
      </w:r>
      <w:r>
        <w:rPr>
          <w:i/>
          <w:iCs/>
          <w:position w:val="0"/>
          <w:sz w:val="20"/>
          <w:sz w:val="20"/>
          <w:vertAlign w:val="baseline"/>
        </w:rPr>
        <w:t xml:space="preserve"> </w:t>
      </w:r>
      <w:r>
        <w:rPr>
          <w:i w:val="false"/>
          <w:iCs w:val="false"/>
          <w:position w:val="0"/>
          <w:sz w:val="20"/>
          <w:sz w:val="20"/>
          <w:vertAlign w:val="baseline"/>
        </w:rPr>
        <w:t>pp</w:t>
      </w:r>
      <w:r>
        <w:rPr>
          <w:i w:val="false"/>
          <w:iCs w:val="false"/>
        </w:rPr>
        <w:t>. 3-4.</w:t>
      </w:r>
    </w:p>
  </w:footnote>
  <w:footnote w:id="88">
    <w:p>
      <w:pPr>
        <w:pStyle w:val="Footnote"/>
        <w:rPr/>
      </w:pPr>
      <w:r>
        <w:rPr>
          <w:rStyle w:val="FootnoteCharacters"/>
        </w:rPr>
        <w:footnoteRef/>
      </w:r>
      <w:r>
        <w:rPr>
          <w:rStyle w:val="FootnoteCharacters"/>
        </w:rPr>
        <w:tab/>
      </w:r>
      <w:r>
        <w:rPr>
          <w:rStyle w:val="FootnoteCharacters"/>
        </w:rPr>
        <w:tab/>
        <w:tab/>
        <w:tab/>
      </w:r>
      <w:r>
        <w:rPr/>
        <w:t xml:space="preserve">Davies,  J. </w:t>
      </w:r>
      <w:r>
        <w:rPr>
          <w:i/>
          <w:iCs/>
        </w:rPr>
        <w:t xml:space="preserve">A History of Wales, </w:t>
      </w:r>
      <w:r>
        <w:rPr>
          <w:i w:val="false"/>
          <w:iCs w:val="false"/>
          <w:u w:val="none"/>
        </w:rPr>
        <w:t>p. 322. As industrialization increased many people migrated not only to towns but to other countries. Wales became important for the production of metals and fuels attracting many into towns and cities. See pp. 314-322.</w:t>
      </w:r>
    </w:p>
  </w:footnote>
  <w:footnote w:id="89">
    <w:p>
      <w:pPr>
        <w:pStyle w:val="Footnote"/>
        <w:rPr/>
      </w:pPr>
      <w:r>
        <w:rPr>
          <w:rStyle w:val="FootnoteCharacters"/>
        </w:rPr>
        <w:footnoteRef/>
      </w:r>
      <w:r>
        <w:rPr>
          <w:rStyle w:val="FootnoteCharacters"/>
        </w:rPr>
        <w:tab/>
      </w:r>
      <w:r>
        <w:rPr>
          <w:rStyle w:val="FootnoteCharacters"/>
        </w:rPr>
        <w:tab/>
        <w:tab/>
        <w:tab/>
      </w:r>
      <w:r>
        <w:rPr/>
        <w:t>Ibid., pp. 295-296.</w:t>
      </w:r>
    </w:p>
  </w:footnote>
  <w:footnote w:id="90">
    <w:p>
      <w:pPr>
        <w:pStyle w:val="Footnote"/>
        <w:rPr/>
      </w:pPr>
      <w:r>
        <w:rPr>
          <w:rStyle w:val="FootnoteCharacters"/>
        </w:rPr>
        <w:footnoteRef/>
      </w:r>
      <w:r>
        <w:rPr>
          <w:rStyle w:val="FootnoteCharacters"/>
        </w:rPr>
        <w:tab/>
      </w:r>
      <w:r>
        <w:rPr>
          <w:rStyle w:val="FootnoteCharacters"/>
        </w:rPr>
        <w:tab/>
        <w:tab/>
        <w:tab/>
      </w:r>
      <w:r>
        <w:rPr/>
        <w:t xml:space="preserve">T. M. Owens, </w:t>
      </w:r>
      <w:r>
        <w:rPr>
          <w:i/>
          <w:iCs/>
        </w:rPr>
        <w:t xml:space="preserve">The Customs and Traditions, </w:t>
      </w:r>
      <w:r>
        <w:rPr>
          <w:i w:val="false"/>
          <w:iCs w:val="false"/>
        </w:rPr>
        <w:t>pp. 153-154.</w:t>
      </w:r>
    </w:p>
  </w:footnote>
  <w:footnote w:id="91">
    <w:p>
      <w:pPr>
        <w:pStyle w:val="Footnote"/>
        <w:rPr/>
      </w:pPr>
      <w:r>
        <w:rPr>
          <w:rStyle w:val="FootnoteCharacters"/>
        </w:rPr>
        <w:footnoteRef/>
      </w:r>
      <w:r>
        <w:rPr>
          <w:rStyle w:val="FootnoteCharacters"/>
        </w:rPr>
        <w:tab/>
      </w:r>
      <w:r>
        <w:rPr>
          <w:rStyle w:val="FootnoteCharacters"/>
        </w:rPr>
        <w:tab/>
        <w:tab/>
        <w:tab/>
      </w:r>
      <w:r>
        <w:rPr/>
        <w:t>J. Wood. Classifying Folk Narrative, p. 335.</w:t>
      </w:r>
    </w:p>
  </w:footnote>
  <w:footnote w:id="92">
    <w:p>
      <w:pPr>
        <w:pStyle w:val="Footnote"/>
        <w:rPr/>
      </w:pPr>
      <w:r>
        <w:rPr>
          <w:rStyle w:val="FootnoteCharacters"/>
        </w:rPr>
        <w:footnoteRef/>
      </w:r>
      <w:r>
        <w:rPr>
          <w:rStyle w:val="FootnoteCharacters"/>
        </w:rPr>
        <w:tab/>
      </w:r>
      <w:r>
        <w:rPr>
          <w:rStyle w:val="FootnoteCharacters"/>
        </w:rPr>
        <w:tab/>
        <w:tab/>
        <w:tab/>
      </w:r>
      <w:r>
        <w:rPr>
          <w:sz w:val="20"/>
          <w:szCs w:val="20"/>
          <w:u w:val="none"/>
        </w:rPr>
        <w:t xml:space="preserve">M. A. Constantine, </w:t>
      </w:r>
      <w:r>
        <w:rPr>
          <w:b w:val="false"/>
          <w:bCs/>
          <w:i w:val="false"/>
          <w:caps w:val="false"/>
          <w:smallCaps w:val="false"/>
          <w:color w:val="333333"/>
          <w:spacing w:val="0"/>
          <w:sz w:val="20"/>
          <w:szCs w:val="20"/>
          <w:u w:val="none"/>
        </w:rPr>
        <w:t xml:space="preserve">Songs and Stones: Iolo Morganwg (1747-1826), Mason and Bard. </w:t>
      </w:r>
      <w:r>
        <w:rPr>
          <w:b w:val="false"/>
          <w:bCs/>
          <w:i/>
          <w:color w:val="333333"/>
          <w:spacing w:val="0"/>
          <w:sz w:val="20"/>
          <w:szCs w:val="20"/>
          <w:u w:val="none"/>
        </w:rPr>
        <w:t>The Eighteenth Century,</w:t>
      </w:r>
      <w:r>
        <w:rPr>
          <w:b/>
          <w:bCs/>
          <w:i w:val="false"/>
          <w:iCs w:val="false"/>
          <w:caps w:val="false"/>
          <w:smallCaps w:val="false"/>
          <w:color w:val="333333"/>
          <w:spacing w:val="0"/>
          <w:sz w:val="20"/>
          <w:szCs w:val="20"/>
          <w:u w:val="none"/>
        </w:rPr>
        <w:t xml:space="preserve"> </w:t>
      </w:r>
      <w:r>
        <w:rPr>
          <w:b w:val="false"/>
          <w:bCs/>
          <w:i w:val="false"/>
          <w:iCs w:val="false"/>
          <w:color w:val="333333"/>
          <w:spacing w:val="0"/>
          <w:sz w:val="20"/>
          <w:szCs w:val="20"/>
          <w:u w:val="none"/>
        </w:rPr>
        <w:t>47:</w:t>
      </w:r>
      <w:r>
        <w:rPr>
          <w:b w:val="false"/>
          <w:bCs/>
          <w:i w:val="false"/>
          <w:iCs w:val="false"/>
          <w:caps w:val="false"/>
          <w:smallCaps w:val="false"/>
          <w:color w:val="333333"/>
          <w:spacing w:val="0"/>
          <w:sz w:val="20"/>
          <w:szCs w:val="20"/>
          <w:u w:val="none"/>
        </w:rPr>
        <w:t xml:space="preserve">2/3, </w:t>
      </w:r>
      <w:r>
        <w:rPr>
          <w:b w:val="false"/>
          <w:bCs/>
          <w:i w:val="false"/>
          <w:caps w:val="false"/>
          <w:smallCaps w:val="false"/>
          <w:color w:val="333333"/>
          <w:spacing w:val="0"/>
          <w:sz w:val="20"/>
          <w:szCs w:val="20"/>
          <w:u w:val="none"/>
        </w:rPr>
        <w:t>2006, p. 293.</w:t>
      </w:r>
    </w:p>
  </w:footnote>
  <w:footnote w:id="93">
    <w:p>
      <w:pPr>
        <w:pStyle w:val="Footnote"/>
        <w:rPr/>
      </w:pPr>
      <w:r>
        <w:rPr>
          <w:rStyle w:val="FootnoteCharacters"/>
        </w:rPr>
        <w:footnoteRef/>
      </w:r>
      <w:r>
        <w:rPr>
          <w:rStyle w:val="FootnoteCharacters"/>
        </w:rPr>
        <w:tab/>
      </w:r>
      <w:r>
        <w:rPr>
          <w:rStyle w:val="FootnoteCharacters"/>
        </w:rPr>
        <w:tab/>
        <w:tab/>
        <w:tab/>
      </w:r>
      <w:r>
        <w:rPr/>
        <w:t xml:space="preserve">Ibid., pp. </w:t>
      </w:r>
      <w:r>
        <w:rPr>
          <w:b w:val="false"/>
          <w:bCs/>
          <w:i w:val="false"/>
          <w:caps w:val="false"/>
          <w:smallCaps w:val="false"/>
          <w:color w:val="333333"/>
          <w:spacing w:val="0"/>
          <w:sz w:val="20"/>
          <w:szCs w:val="20"/>
          <w:u w:val="none"/>
        </w:rPr>
        <w:t>p. 233-351.</w:t>
      </w:r>
    </w:p>
  </w:footnote>
  <w:footnote w:id="94">
    <w:p>
      <w:pPr>
        <w:pStyle w:val="Footnote"/>
        <w:rPr/>
      </w:pPr>
      <w:r>
        <w:rPr>
          <w:rStyle w:val="FootnoteCharacters"/>
        </w:rPr>
        <w:footnoteRef/>
      </w:r>
      <w:r>
        <w:rPr>
          <w:rStyle w:val="FootnoteCharacters"/>
        </w:rPr>
        <w:tab/>
      </w:r>
      <w:r>
        <w:rPr>
          <w:rStyle w:val="FootnoteCharacters"/>
        </w:rPr>
        <w:tab/>
        <w:tab/>
        <w:tab/>
      </w:r>
      <w:r>
        <w:rPr/>
        <w:t xml:space="preserve">T. M. Owens, </w:t>
      </w:r>
      <w:r>
        <w:rPr>
          <w:i/>
          <w:iCs/>
        </w:rPr>
        <w:t xml:space="preserve">The Customs and Traditions, </w:t>
      </w:r>
      <w:r>
        <w:rPr>
          <w:i w:val="false"/>
          <w:iCs w:val="false"/>
        </w:rPr>
        <w:t>p.158.</w:t>
      </w:r>
    </w:p>
  </w:footnote>
  <w:footnote w:id="95">
    <w:p>
      <w:pPr>
        <w:pStyle w:val="Footnote"/>
        <w:rPr/>
      </w:pPr>
      <w:r>
        <w:rPr>
          <w:rStyle w:val="FootnoteCharacters"/>
        </w:rPr>
        <w:footnoteRef/>
      </w:r>
      <w:r>
        <w:rPr>
          <w:rStyle w:val="FootnoteCharacters"/>
        </w:rPr>
        <w:tab/>
      </w:r>
      <w:r>
        <w:rPr>
          <w:rStyle w:val="FootnoteCharacters"/>
        </w:rPr>
        <w:tab/>
        <w:tab/>
        <w:tab/>
      </w:r>
      <w:r>
        <w:rPr/>
        <w:t>Ceredig Davies,  Welsh</w:t>
      </w:r>
      <w:r>
        <w:rPr>
          <w:i/>
          <w:iCs/>
        </w:rPr>
        <w:t xml:space="preserve"> Folk-Lore, </w:t>
      </w:r>
      <w:r>
        <w:rPr>
          <w:i w:val="false"/>
          <w:iCs w:val="false"/>
        </w:rPr>
        <w:t xml:space="preserve">p.102. </w:t>
      </w:r>
    </w:p>
  </w:footnote>
  <w:footnote w:id="96">
    <w:p>
      <w:pPr>
        <w:pStyle w:val="Footnote"/>
        <w:rPr/>
      </w:pPr>
      <w:r>
        <w:rPr>
          <w:rStyle w:val="FootnoteCharacters"/>
        </w:rPr>
        <w:footnoteRef/>
      </w:r>
      <w:r>
        <w:rPr>
          <w:rStyle w:val="FootnoteCharacters"/>
        </w:rPr>
        <w:tab/>
      </w:r>
      <w:r>
        <w:rPr>
          <w:rStyle w:val="FootnoteCharacters"/>
        </w:rPr>
        <w:tab/>
        <w:tab/>
        <w:tab/>
      </w:r>
      <w:r>
        <w:rPr/>
        <w:t xml:space="preserve">R. Hutton, </w:t>
      </w:r>
      <w:r>
        <w:rPr>
          <w:i/>
          <w:iCs/>
        </w:rPr>
        <w:t xml:space="preserve">The Stations of the Sun, </w:t>
      </w:r>
      <w:r>
        <w:rPr>
          <w:i w:val="false"/>
          <w:iCs w:val="false"/>
        </w:rPr>
        <w:t xml:space="preserve">(Oxford: Oxford University Press, 1996), p. 331. </w:t>
      </w:r>
      <w:r>
        <w:rPr>
          <w:rStyle w:val="FootnoteAnchor"/>
          <w:rFonts w:cs="Times New Roman"/>
          <w:b w:val="false"/>
          <w:bCs w:val="false"/>
          <w:i w:val="false"/>
          <w:iCs w:val="false"/>
          <w:caps w:val="false"/>
          <w:smallCaps w:val="false"/>
          <w:color w:val="000000"/>
          <w:spacing w:val="0"/>
          <w:position w:val="0"/>
          <w:sz w:val="20"/>
          <w:sz w:val="20"/>
          <w:szCs w:val="20"/>
          <w:u w:val="none"/>
          <w:vertAlign w:val="baseline"/>
        </w:rPr>
        <w:t>Lammas has been an important date across Britain since the Middle Ages, at least, and a time for feasting and fairs.</w:t>
      </w:r>
    </w:p>
  </w:footnote>
  <w:footnote w:id="97">
    <w:p>
      <w:pPr>
        <w:pStyle w:val="Footnote"/>
        <w:rPr/>
      </w:pPr>
      <w:r>
        <w:rPr>
          <w:rStyle w:val="FootnoteCharacters"/>
        </w:rPr>
        <w:footnoteRef/>
      </w:r>
      <w:r>
        <w:rPr>
          <w:rStyle w:val="FootnoteCharacters"/>
        </w:rPr>
        <w:tab/>
      </w:r>
      <w:r>
        <w:rPr>
          <w:rStyle w:val="FootnoteCharacters"/>
        </w:rPr>
        <w:tab/>
        <w:tab/>
        <w:tab/>
      </w:r>
      <w:r>
        <w:rPr/>
        <w:t xml:space="preserve">P. Stevenson, </w:t>
      </w:r>
      <w:r>
        <w:rPr>
          <w:i/>
          <w:iCs/>
        </w:rPr>
        <w:t xml:space="preserve">Welsh Folk Tales, </w:t>
      </w:r>
      <w:r>
        <w:rPr>
          <w:i w:val="false"/>
          <w:iCs w:val="false"/>
        </w:rPr>
        <w:t xml:space="preserve">(Gloucestershire: The History Press, 2017). A re telling of many tales or </w:t>
      </w:r>
      <w:r>
        <w:rPr>
          <w:i/>
          <w:iCs/>
        </w:rPr>
        <w:t>chwedlau including</w:t>
      </w:r>
      <w:r>
        <w:rPr>
          <w:i w:val="false"/>
          <w:iCs w:val="false"/>
        </w:rPr>
        <w:t xml:space="preserve"> lake and river tales. Also, http://cabinetofcuriosities.moonfruit.com/contact/4578432148.</w:t>
      </w:r>
    </w:p>
  </w:footnote>
  <w:footnote w:id="98">
    <w:p>
      <w:pPr>
        <w:pStyle w:val="Footnote"/>
        <w:rPr/>
      </w:pPr>
      <w:r>
        <w:rPr>
          <w:rStyle w:val="FootnoteCharacters"/>
        </w:rPr>
        <w:footnoteRef/>
      </w:r>
      <w:r>
        <w:rPr>
          <w:rStyle w:val="FootnoteCharacters"/>
        </w:rPr>
        <w:tab/>
      </w:r>
      <w:r>
        <w:rPr>
          <w:rStyle w:val="FootnoteCharacters"/>
        </w:rPr>
        <w:tab/>
        <w:tab/>
        <w:tab/>
      </w:r>
      <w:r>
        <w:rPr>
          <w:rStyle w:val="FootnoteCharacters"/>
          <w:b w:val="false"/>
          <w:bCs w:val="false"/>
          <w:i w:val="false"/>
          <w:iCs w:val="false"/>
          <w:caps w:val="false"/>
          <w:smallCaps w:val="false"/>
          <w:color w:val="333333"/>
          <w:spacing w:val="0"/>
          <w:position w:val="0"/>
          <w:sz w:val="20"/>
          <w:sz w:val="20"/>
          <w:szCs w:val="20"/>
          <w:u w:val="none"/>
          <w:vertAlign w:val="baseline"/>
        </w:rPr>
        <w:t xml:space="preserve">Graves, A., &amp; Williams, J. (1910). Welsh Folk-Song Collections. </w:t>
      </w:r>
      <w:r>
        <w:rPr>
          <w:rStyle w:val="FootnoteCharacters"/>
          <w:b w:val="false"/>
          <w:bCs w:val="false"/>
          <w:i/>
          <w:iCs w:val="false"/>
          <w:caps w:val="false"/>
          <w:smallCaps w:val="false"/>
          <w:color w:val="333333"/>
          <w:spacing w:val="0"/>
          <w:position w:val="0"/>
          <w:sz w:val="20"/>
          <w:sz w:val="20"/>
          <w:szCs w:val="20"/>
          <w:u w:val="none"/>
          <w:vertAlign w:val="baseline"/>
        </w:rPr>
        <w:t>The Celtic Review,</w:t>
      </w:r>
      <w:r>
        <w:rPr>
          <w:rStyle w:val="FootnoteCharacters"/>
          <w:b w:val="false"/>
          <w:bCs w:val="false"/>
          <w:i w:val="false"/>
          <w:iCs w:val="false"/>
          <w:caps w:val="false"/>
          <w:smallCaps w:val="false"/>
          <w:color w:val="333333"/>
          <w:spacing w:val="0"/>
          <w:position w:val="0"/>
          <w:sz w:val="20"/>
          <w:sz w:val="20"/>
          <w:szCs w:val="20"/>
          <w:u w:val="none"/>
          <w:vertAlign w:val="baseline"/>
        </w:rPr>
        <w:t xml:space="preserve"> </w:t>
      </w:r>
      <w:r>
        <w:rPr>
          <w:rStyle w:val="FootnoteCharacters"/>
          <w:b w:val="false"/>
          <w:bCs w:val="false"/>
          <w:i/>
          <w:iCs w:val="false"/>
          <w:caps w:val="false"/>
          <w:smallCaps w:val="false"/>
          <w:color w:val="333333"/>
          <w:spacing w:val="0"/>
          <w:position w:val="0"/>
          <w:sz w:val="20"/>
          <w:sz w:val="20"/>
          <w:szCs w:val="20"/>
          <w:u w:val="none"/>
          <w:vertAlign w:val="baseline"/>
        </w:rPr>
        <w:t>6</w:t>
      </w:r>
      <w:r>
        <w:rPr>
          <w:rStyle w:val="FootnoteCharacters"/>
          <w:b w:val="false"/>
          <w:bCs w:val="false"/>
          <w:i w:val="false"/>
          <w:iCs w:val="false"/>
          <w:caps w:val="false"/>
          <w:smallCaps w:val="false"/>
          <w:color w:val="333333"/>
          <w:spacing w:val="0"/>
          <w:position w:val="0"/>
          <w:sz w:val="20"/>
          <w:sz w:val="20"/>
          <w:szCs w:val="20"/>
          <w:u w:val="none"/>
          <w:vertAlign w:val="baseline"/>
        </w:rPr>
        <w:t xml:space="preserve">(23), 207-213. doi:10.2307/30070020. </w:t>
      </w:r>
    </w:p>
  </w:footnote>
  <w:footnote w:id="99">
    <w:p>
      <w:pPr>
        <w:pStyle w:val="Footnote"/>
        <w:rPr/>
      </w:pPr>
      <w:r>
        <w:rPr>
          <w:rStyle w:val="FootnoteCharacters"/>
        </w:rPr>
        <w:footnoteRef/>
      </w:r>
      <w:r>
        <w:rPr>
          <w:rStyle w:val="FootnoteCharacters"/>
        </w:rPr>
        <w:tab/>
      </w:r>
      <w:r>
        <w:rPr>
          <w:rStyle w:val="FootnoteCharacters"/>
        </w:rPr>
        <w:tab/>
        <w:tab/>
        <w:tab/>
      </w:r>
      <w:r>
        <w:rPr>
          <w:rStyle w:val="FootnoteCharacters"/>
          <w:position w:val="0"/>
          <w:sz w:val="20"/>
          <w:sz w:val="20"/>
          <w:vertAlign w:val="baseline"/>
        </w:rPr>
        <w:t xml:space="preserve">See Owen Shiers, folk singer and collectors, </w:t>
      </w:r>
      <w:r>
        <w:rPr>
          <w:rFonts w:cs="Trebuchet MS"/>
          <w:sz w:val="20"/>
          <w:szCs w:val="18"/>
        </w:rPr>
        <w:t>http://cynefinmusic.wales/en/about</w:t>
      </w:r>
    </w:p>
  </w:footnote>
  <w:footnote w:id="100">
    <w:p>
      <w:pPr>
        <w:pStyle w:val="Footnote"/>
        <w:rPr/>
      </w:pPr>
      <w:r>
        <w:rPr>
          <w:rStyle w:val="FootnoteCharacters"/>
        </w:rPr>
        <w:footnoteRef/>
      </w:r>
      <w:r>
        <w:rPr>
          <w:rStyle w:val="FootnoteCharacters"/>
        </w:rPr>
        <w:tab/>
      </w:r>
      <w:r>
        <w:rPr>
          <w:rStyle w:val="FootnoteCharacters"/>
        </w:rPr>
        <w:tab/>
        <w:tab/>
        <w:tab/>
      </w:r>
      <w:r>
        <w:rPr/>
        <w:t>https://museum.wales/collections/folksongs/</w:t>
      </w:r>
    </w:p>
  </w:footnote>
</w:footnote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40"/>
  <w:defaultTabStop w:val="720"/>
  <w:footnotePr>
    <w:numFmt w:val="decimal"/>
    <w:footnote w:id="0"/>
    <w:footnote w:id="1"/>
  </w:footnotePr>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w:kern w:val="2"/>
        <w:sz w:val="20"/>
        <w:szCs w:val="24"/>
        <w:lang w:val="en-GB" w:eastAsia="zh-CN" w:bidi="hi-IN"/>
      </w:rPr>
    </w:rPrDefault>
    <w:pPrDefault>
      <w:pPr/>
    </w:pPrDefault>
  </w:docDefaults>
  <w:style w:type="paragraph" w:styleId="Normal">
    <w:name w:val="Normal"/>
    <w:qFormat/>
    <w:pPr>
      <w:widowControl/>
      <w:overflowPunct w:val="false"/>
      <w:bidi w:val="0"/>
      <w:jc w:val="left"/>
    </w:pPr>
    <w:rPr>
      <w:rFonts w:ascii="Liberation Serif" w:hAnsi="Liberation Serif" w:eastAsia="SimSun" w:cs="Arial"/>
      <w:color w:val="auto"/>
      <w:kern w:val="2"/>
      <w:sz w:val="24"/>
      <w:szCs w:val="24"/>
      <w:lang w:val="en-GB" w:eastAsia="zh-CN" w:bidi="hi-IN"/>
    </w:rPr>
  </w:style>
  <w:style w:type="paragraph" w:styleId="Heading1">
    <w:name w:val="Heading 1"/>
    <w:basedOn w:val="Normal"/>
    <w:next w:val="Normal"/>
    <w:qFormat/>
    <w:pPr>
      <w:keepNext w:val="true"/>
      <w:spacing w:before="240" w:after="60"/>
      <w:outlineLvl w:val="0"/>
    </w:pPr>
    <w:rPr>
      <w:rFonts w:ascii="Arial" w:hAnsi="Arial" w:cs="Arial"/>
      <w:b/>
      <w:bCs/>
      <w:kern w:val="2"/>
      <w:sz w:val="32"/>
      <w:szCs w:val="32"/>
    </w:rPr>
  </w:style>
  <w:style w:type="paragraph" w:styleId="Heading2">
    <w:name w:val="Heading 2"/>
    <w:basedOn w:val="Normal"/>
    <w:next w:val="Normal"/>
    <w:qFormat/>
    <w:pPr>
      <w:keepNext w:val="true"/>
      <w:spacing w:before="240" w:after="60"/>
      <w:outlineLvl w:val="1"/>
    </w:pPr>
    <w:rPr>
      <w:rFonts w:ascii="Arial" w:hAnsi="Arial" w:cs="Arial"/>
      <w:b/>
      <w:bCs/>
      <w:i/>
      <w:iCs/>
      <w:sz w:val="28"/>
      <w:szCs w:val="28"/>
    </w:rPr>
  </w:style>
  <w:style w:type="paragraph" w:styleId="Heading3">
    <w:name w:val="Heading 3"/>
    <w:basedOn w:val="Normal"/>
    <w:qFormat/>
    <w:pPr>
      <w:keepNext w:val="true"/>
      <w:ind w:left="720" w:right="0" w:hanging="0"/>
      <w:jc w:val="both"/>
      <w:outlineLvl w:val="2"/>
    </w:pPr>
    <w:rPr>
      <w:rFonts w:ascii="Tahoma" w:hAnsi="Tahoma" w:cs="Tahoma"/>
      <w:b/>
      <w:bCs/>
      <w:sz w:val="20"/>
      <w:szCs w:val="20"/>
    </w:rPr>
  </w:style>
  <w:style w:type="character" w:styleId="Emphasis">
    <w:name w:val="Emphasis"/>
    <w:qFormat/>
    <w:rPr>
      <w:i/>
      <w:iCs/>
    </w:rPr>
  </w:style>
  <w:style w:type="character" w:styleId="Definition">
    <w:name w:val="definition"/>
    <w:qFormat/>
    <w:rPr/>
  </w:style>
  <w:style w:type="character" w:styleId="FootnoteCharacters">
    <w:name w:val="Footnote Characters"/>
    <w:qFormat/>
    <w:rPr>
      <w:vertAlign w:val="superscript"/>
    </w:rPr>
  </w:style>
  <w:style w:type="character" w:styleId="FootnoteTextChar">
    <w:name w:val="Footnote Text Char"/>
    <w:qFormat/>
    <w:rPr>
      <w:rFonts w:ascii="Calibri" w:hAnsi="Calibri" w:eastAsia="Calibri" w:cs="Calibri"/>
    </w:rPr>
  </w:style>
  <w:style w:type="character" w:styleId="InternetLink">
    <w:name w:val="Internet Link"/>
    <w:rPr>
      <w:color w:val="0000FF"/>
      <w:u w:val="single"/>
    </w:rPr>
  </w:style>
  <w:style w:type="character" w:styleId="FooterChar">
    <w:name w:val="Footer Char"/>
    <w:qFormat/>
    <w:rPr>
      <w:sz w:val="24"/>
      <w:szCs w:val="24"/>
      <w:lang w:eastAsia="zh-CN"/>
    </w:rPr>
  </w:style>
  <w:style w:type="character" w:styleId="HeaderChar">
    <w:name w:val="Header Char"/>
    <w:qFormat/>
    <w:rPr>
      <w:rFonts w:ascii="Trebuchet MS" w:hAnsi="Trebuchet MS" w:eastAsia="Calibri" w:cs="Tahoma"/>
      <w:sz w:val="22"/>
    </w:rPr>
  </w:style>
  <w:style w:type="character" w:styleId="BalloonTextChar">
    <w:name w:val="Balloon Text Char"/>
    <w:qFormat/>
    <w:rPr>
      <w:rFonts w:ascii="Tahoma" w:hAnsi="Tahoma" w:cs="Tahoma"/>
      <w:sz w:val="16"/>
      <w:szCs w:val="16"/>
      <w:lang w:eastAsia="zh-CN"/>
    </w:rPr>
  </w:style>
  <w:style w:type="character" w:styleId="CommentSubjectChar">
    <w:name w:val="Comment Subject Char"/>
    <w:qFormat/>
    <w:rPr>
      <w:b/>
      <w:bCs/>
      <w:lang w:eastAsia="zh-CN"/>
    </w:rPr>
  </w:style>
  <w:style w:type="character" w:styleId="CommentTextChar">
    <w:name w:val="Comment Text Char"/>
    <w:qFormat/>
    <w:rPr>
      <w:lang w:eastAsia="zh-CN"/>
    </w:rPr>
  </w:style>
  <w:style w:type="character" w:styleId="CommentReference">
    <w:name w:val="Comment Reference"/>
    <w:qFormat/>
    <w:rPr>
      <w:sz w:val="16"/>
      <w:szCs w:val="16"/>
    </w:rPr>
  </w:style>
  <w:style w:type="character" w:styleId="DefaultParagraphFont">
    <w:name w:val="Default Paragraph Font"/>
    <w:qFormat/>
    <w:rPr/>
  </w:style>
  <w:style w:type="character" w:styleId="WW8NumSt18z0">
    <w:name w:val="WW8NumSt18z0"/>
    <w:qFormat/>
    <w:rPr>
      <w:rFonts w:ascii="Symbol" w:hAnsi="Symbol" w:cs="Symbol"/>
    </w:rPr>
  </w:style>
  <w:style w:type="character" w:styleId="WW8NumSt16z0">
    <w:name w:val="WW8NumSt16z0"/>
    <w:qFormat/>
    <w:rPr>
      <w:rFonts w:ascii="Symbol" w:hAnsi="Symbol" w:cs="Symbol"/>
    </w:rPr>
  </w:style>
  <w:style w:type="character" w:styleId="WW8Num25z2">
    <w:name w:val="WW8Num25z2"/>
    <w:qFormat/>
    <w:rPr>
      <w:rFonts w:ascii="Wingdings" w:hAnsi="Wingdings" w:cs="Wingdings"/>
    </w:rPr>
  </w:style>
  <w:style w:type="character" w:styleId="WW8Num25z1">
    <w:name w:val="WW8Num25z1"/>
    <w:qFormat/>
    <w:rPr>
      <w:rFonts w:ascii="Courier New" w:hAnsi="Courier New" w:cs="Courier New"/>
    </w:rPr>
  </w:style>
  <w:style w:type="character" w:styleId="WW8Num25z0">
    <w:name w:val="WW8Num25z0"/>
    <w:qFormat/>
    <w:rPr>
      <w:rFonts w:ascii="Symbol" w:hAnsi="Symbol" w:cs="Symbol"/>
    </w:rPr>
  </w:style>
  <w:style w:type="character" w:styleId="WW8Num24z0">
    <w:name w:val="WW8Num24z0"/>
    <w:qFormat/>
    <w:rPr>
      <w:rFonts w:ascii="Symbol" w:hAnsi="Symbol" w:cs="Symbol"/>
    </w:rPr>
  </w:style>
  <w:style w:type="character" w:styleId="WW8Num23z2">
    <w:name w:val="WW8Num23z2"/>
    <w:qFormat/>
    <w:rPr>
      <w:rFonts w:ascii="Wingdings" w:hAnsi="Wingdings" w:cs="Wingdings"/>
    </w:rPr>
  </w:style>
  <w:style w:type="character" w:styleId="WW8Num23z1">
    <w:name w:val="WW8Num23z1"/>
    <w:qFormat/>
    <w:rPr>
      <w:rFonts w:ascii="Courier New" w:hAnsi="Courier New" w:cs="Courier New"/>
    </w:rPr>
  </w:style>
  <w:style w:type="character" w:styleId="WW8Num23z0">
    <w:name w:val="WW8Num23z0"/>
    <w:qFormat/>
    <w:rPr>
      <w:rFonts w:ascii="Symbol" w:hAnsi="Symbol" w:cs="Symbol"/>
    </w:rPr>
  </w:style>
  <w:style w:type="character" w:styleId="WW8Num22z2">
    <w:name w:val="WW8Num22z2"/>
    <w:qFormat/>
    <w:rPr>
      <w:rFonts w:ascii="Wingdings" w:hAnsi="Wingdings" w:cs="Wingdings"/>
    </w:rPr>
  </w:style>
  <w:style w:type="character" w:styleId="WW8Num22z1">
    <w:name w:val="WW8Num22z1"/>
    <w:qFormat/>
    <w:rPr>
      <w:rFonts w:ascii="Courier New" w:hAnsi="Courier New" w:cs="Courier New"/>
    </w:rPr>
  </w:style>
  <w:style w:type="character" w:styleId="WW8Num22z0">
    <w:name w:val="WW8Num22z0"/>
    <w:qFormat/>
    <w:rPr>
      <w:rFonts w:ascii="Symbol" w:hAnsi="Symbol" w:cs="Symbol"/>
    </w:rPr>
  </w:style>
  <w:style w:type="character" w:styleId="WW8Num21z8">
    <w:name w:val="WW8Num21z8"/>
    <w:qFormat/>
    <w:rPr/>
  </w:style>
  <w:style w:type="character" w:styleId="WW8Num21z7">
    <w:name w:val="WW8Num21z7"/>
    <w:qFormat/>
    <w:rPr/>
  </w:style>
  <w:style w:type="character" w:styleId="WW8Num21z6">
    <w:name w:val="WW8Num21z6"/>
    <w:qFormat/>
    <w:rPr/>
  </w:style>
  <w:style w:type="character" w:styleId="WW8Num21z5">
    <w:name w:val="WW8Num21z5"/>
    <w:qFormat/>
    <w:rPr/>
  </w:style>
  <w:style w:type="character" w:styleId="WW8Num21z4">
    <w:name w:val="WW8Num21z4"/>
    <w:qFormat/>
    <w:rPr/>
  </w:style>
  <w:style w:type="character" w:styleId="WW8Num21z3">
    <w:name w:val="WW8Num21z3"/>
    <w:qFormat/>
    <w:rPr/>
  </w:style>
  <w:style w:type="character" w:styleId="WW8Num21z2">
    <w:name w:val="WW8Num21z2"/>
    <w:qFormat/>
    <w:rPr/>
  </w:style>
  <w:style w:type="character" w:styleId="WW8Num21z1">
    <w:name w:val="WW8Num21z1"/>
    <w:qFormat/>
    <w:rPr/>
  </w:style>
  <w:style w:type="character" w:styleId="WW8Num21z0">
    <w:name w:val="WW8Num21z0"/>
    <w:qFormat/>
    <w:rPr/>
  </w:style>
  <w:style w:type="character" w:styleId="WW8Num20z3">
    <w:name w:val="WW8Num20z3"/>
    <w:qFormat/>
    <w:rPr>
      <w:rFonts w:ascii="Symbol" w:hAnsi="Symbol" w:cs="Symbol"/>
    </w:rPr>
  </w:style>
  <w:style w:type="character" w:styleId="WW8Num20z2">
    <w:name w:val="WW8Num20z2"/>
    <w:qFormat/>
    <w:rPr>
      <w:rFonts w:ascii="Wingdings" w:hAnsi="Wingdings" w:cs="Wingdings"/>
    </w:rPr>
  </w:style>
  <w:style w:type="character" w:styleId="WW8Num20z1">
    <w:name w:val="WW8Num20z1"/>
    <w:qFormat/>
    <w:rPr>
      <w:rFonts w:ascii="Courier New" w:hAnsi="Courier New" w:cs="Courier New"/>
    </w:rPr>
  </w:style>
  <w:style w:type="character" w:styleId="WW8Num20z0">
    <w:name w:val="WW8Num20z0"/>
    <w:qFormat/>
    <w:rPr>
      <w:rFonts w:ascii="Albertus" w:hAnsi="Albertus" w:cs="Albertus"/>
    </w:rPr>
  </w:style>
  <w:style w:type="character" w:styleId="WW8Num19z2">
    <w:name w:val="WW8Num19z2"/>
    <w:qFormat/>
    <w:rPr>
      <w:rFonts w:ascii="Wingdings" w:hAnsi="Wingdings" w:cs="Wingdings"/>
    </w:rPr>
  </w:style>
  <w:style w:type="character" w:styleId="WW8Num19z1">
    <w:name w:val="WW8Num19z1"/>
    <w:qFormat/>
    <w:rPr>
      <w:rFonts w:ascii="Courier New" w:hAnsi="Courier New" w:cs="Courier New"/>
    </w:rPr>
  </w:style>
  <w:style w:type="character" w:styleId="WW8Num19z0">
    <w:name w:val="WW8Num19z0"/>
    <w:qFormat/>
    <w:rPr>
      <w:rFonts w:ascii="Symbol" w:hAnsi="Symbol" w:cs="Symbol"/>
    </w:rPr>
  </w:style>
  <w:style w:type="character" w:styleId="WW8Num18z0">
    <w:name w:val="WW8Num18z0"/>
    <w:qFormat/>
    <w:rPr>
      <w:rFonts w:ascii="Symbol" w:hAnsi="Symbol" w:cs="Symbol"/>
    </w:rPr>
  </w:style>
  <w:style w:type="character" w:styleId="WW8Num17z2">
    <w:name w:val="WW8Num17z2"/>
    <w:qFormat/>
    <w:rPr>
      <w:rFonts w:ascii="Wingdings" w:hAnsi="Wingdings" w:cs="Wingdings"/>
    </w:rPr>
  </w:style>
  <w:style w:type="character" w:styleId="WW8Num17z1">
    <w:name w:val="WW8Num17z1"/>
    <w:qFormat/>
    <w:rPr>
      <w:rFonts w:ascii="Courier New" w:hAnsi="Courier New" w:cs="Courier New"/>
    </w:rPr>
  </w:style>
  <w:style w:type="character" w:styleId="WW8Num17z0">
    <w:name w:val="WW8Num17z0"/>
    <w:qFormat/>
    <w:rPr>
      <w:rFonts w:ascii="Symbol" w:hAnsi="Symbol" w:cs="Symbol"/>
    </w:rPr>
  </w:style>
  <w:style w:type="character" w:styleId="WW8Num16z0">
    <w:name w:val="WW8Num16z0"/>
    <w:qFormat/>
    <w:rPr>
      <w:rFonts w:ascii="Symbol" w:hAnsi="Symbol" w:cs="Symbol"/>
    </w:rPr>
  </w:style>
  <w:style w:type="character" w:styleId="WW8Num15z2">
    <w:name w:val="WW8Num15z2"/>
    <w:qFormat/>
    <w:rPr>
      <w:rFonts w:ascii="Wingdings" w:hAnsi="Wingdings" w:cs="Wingdings"/>
    </w:rPr>
  </w:style>
  <w:style w:type="character" w:styleId="WW8Num15z1">
    <w:name w:val="WW8Num15z1"/>
    <w:qFormat/>
    <w:rPr>
      <w:rFonts w:ascii="Courier New" w:hAnsi="Courier New" w:cs="Courier New"/>
    </w:rPr>
  </w:style>
  <w:style w:type="character" w:styleId="WW8Num15z0">
    <w:name w:val="WW8Num15z0"/>
    <w:qFormat/>
    <w:rPr>
      <w:rFonts w:ascii="Symbol" w:hAnsi="Symbol" w:cs="Symbol"/>
    </w:rPr>
  </w:style>
  <w:style w:type="character" w:styleId="WW8Num14z0">
    <w:name w:val="WW8Num14z0"/>
    <w:qFormat/>
    <w:rPr>
      <w:rFonts w:ascii="Symbol" w:hAnsi="Symbol" w:cs="Symbol"/>
    </w:rPr>
  </w:style>
  <w:style w:type="character" w:styleId="WW8Num13z0">
    <w:name w:val="WW8Num13z0"/>
    <w:qFormat/>
    <w:rPr>
      <w:rFonts w:ascii="Symbol" w:hAnsi="Symbol" w:cs="Symbol"/>
    </w:rPr>
  </w:style>
  <w:style w:type="character" w:styleId="WW8Num12z0">
    <w:name w:val="WW8Num12z0"/>
    <w:qFormat/>
    <w:rPr>
      <w:rFonts w:ascii="Symbol" w:hAnsi="Symbol" w:cs="Symbol"/>
    </w:rPr>
  </w:style>
  <w:style w:type="character" w:styleId="WW8Num11z8">
    <w:name w:val="WW8Num11z8"/>
    <w:qFormat/>
    <w:rPr/>
  </w:style>
  <w:style w:type="character" w:styleId="WW8Num11z7">
    <w:name w:val="WW8Num11z7"/>
    <w:qFormat/>
    <w:rPr/>
  </w:style>
  <w:style w:type="character" w:styleId="WW8Num11z6">
    <w:name w:val="WW8Num11z6"/>
    <w:qFormat/>
    <w:rPr/>
  </w:style>
  <w:style w:type="character" w:styleId="WW8Num11z5">
    <w:name w:val="WW8Num11z5"/>
    <w:qFormat/>
    <w:rPr/>
  </w:style>
  <w:style w:type="character" w:styleId="WW8Num11z4">
    <w:name w:val="WW8Num11z4"/>
    <w:qFormat/>
    <w:rPr/>
  </w:style>
  <w:style w:type="character" w:styleId="WW8Num11z3">
    <w:name w:val="WW8Num11z3"/>
    <w:qFormat/>
    <w:rPr/>
  </w:style>
  <w:style w:type="character" w:styleId="WW8Num11z2">
    <w:name w:val="WW8Num11z2"/>
    <w:qFormat/>
    <w:rPr/>
  </w:style>
  <w:style w:type="character" w:styleId="WW8Num11z1">
    <w:name w:val="WW8Num11z1"/>
    <w:qFormat/>
    <w:rPr/>
  </w:style>
  <w:style w:type="character" w:styleId="WW8Num11z0">
    <w:name w:val="WW8Num11z0"/>
    <w:qFormat/>
    <w:rPr>
      <w:sz w:val="20"/>
    </w:rPr>
  </w:style>
  <w:style w:type="character" w:styleId="WW8Num10z8">
    <w:name w:val="WW8Num10z8"/>
    <w:qFormat/>
    <w:rPr/>
  </w:style>
  <w:style w:type="character" w:styleId="WW8Num10z7">
    <w:name w:val="WW8Num10z7"/>
    <w:qFormat/>
    <w:rPr/>
  </w:style>
  <w:style w:type="character" w:styleId="WW8Num10z6">
    <w:name w:val="WW8Num10z6"/>
    <w:qFormat/>
    <w:rPr/>
  </w:style>
  <w:style w:type="character" w:styleId="WW8Num10z5">
    <w:name w:val="WW8Num10z5"/>
    <w:qFormat/>
    <w:rPr/>
  </w:style>
  <w:style w:type="character" w:styleId="WW8Num10z4">
    <w:name w:val="WW8Num10z4"/>
    <w:qFormat/>
    <w:rPr/>
  </w:style>
  <w:style w:type="character" w:styleId="WW8Num10z3">
    <w:name w:val="WW8Num10z3"/>
    <w:qFormat/>
    <w:rPr/>
  </w:style>
  <w:style w:type="character" w:styleId="WW8Num10z2">
    <w:name w:val="WW8Num10z2"/>
    <w:qFormat/>
    <w:rPr/>
  </w:style>
  <w:style w:type="character" w:styleId="WW8Num10z1">
    <w:name w:val="WW8Num10z1"/>
    <w:qFormat/>
    <w:rPr/>
  </w:style>
  <w:style w:type="character" w:styleId="WW8Num10z0">
    <w:name w:val="WW8Num10z0"/>
    <w:qFormat/>
    <w:rPr/>
  </w:style>
  <w:style w:type="character" w:styleId="WW8Num9z2">
    <w:name w:val="WW8Num9z2"/>
    <w:qFormat/>
    <w:rPr>
      <w:rFonts w:ascii="Wingdings" w:hAnsi="Wingdings" w:cs="Wingdings"/>
    </w:rPr>
  </w:style>
  <w:style w:type="character" w:styleId="WW8Num9z1">
    <w:name w:val="WW8Num9z1"/>
    <w:qFormat/>
    <w:rPr>
      <w:rFonts w:ascii="Courier New" w:hAnsi="Courier New" w:cs="Courier New"/>
    </w:rPr>
  </w:style>
  <w:style w:type="character" w:styleId="WW8Num9z0">
    <w:name w:val="WW8Num9z0"/>
    <w:qFormat/>
    <w:rPr>
      <w:rFonts w:ascii="Symbol" w:hAnsi="Symbol" w:cs="Symbol"/>
    </w:rPr>
  </w:style>
  <w:style w:type="character" w:styleId="WW8Num8z8">
    <w:name w:val="WW8Num8z8"/>
    <w:qFormat/>
    <w:rPr/>
  </w:style>
  <w:style w:type="character" w:styleId="WW8Num8z7">
    <w:name w:val="WW8Num8z7"/>
    <w:qFormat/>
    <w:rPr/>
  </w:style>
  <w:style w:type="character" w:styleId="WW8Num8z6">
    <w:name w:val="WW8Num8z6"/>
    <w:qFormat/>
    <w:rPr/>
  </w:style>
  <w:style w:type="character" w:styleId="WW8Num8z5">
    <w:name w:val="WW8Num8z5"/>
    <w:qFormat/>
    <w:rPr/>
  </w:style>
  <w:style w:type="character" w:styleId="WW8Num8z4">
    <w:name w:val="WW8Num8z4"/>
    <w:qFormat/>
    <w:rPr/>
  </w:style>
  <w:style w:type="character" w:styleId="WW8Num8z3">
    <w:name w:val="WW8Num8z3"/>
    <w:qFormat/>
    <w:rPr/>
  </w:style>
  <w:style w:type="character" w:styleId="WW8Num8z2">
    <w:name w:val="WW8Num8z2"/>
    <w:qFormat/>
    <w:rPr/>
  </w:style>
  <w:style w:type="character" w:styleId="WW8Num8z1">
    <w:name w:val="WW8Num8z1"/>
    <w:qFormat/>
    <w:rPr/>
  </w:style>
  <w:style w:type="character" w:styleId="WW8Num8z0">
    <w:name w:val="WW8Num8z0"/>
    <w:qFormat/>
    <w:rPr/>
  </w:style>
  <w:style w:type="character" w:styleId="WW8Num7z2">
    <w:name w:val="WW8Num7z2"/>
    <w:qFormat/>
    <w:rPr>
      <w:rFonts w:ascii="Wingdings" w:hAnsi="Wingdings" w:cs="Wingdings"/>
    </w:rPr>
  </w:style>
  <w:style w:type="character" w:styleId="WW8Num7z1">
    <w:name w:val="WW8Num7z1"/>
    <w:qFormat/>
    <w:rPr>
      <w:rFonts w:ascii="Courier New" w:hAnsi="Courier New" w:cs="Courier New"/>
    </w:rPr>
  </w:style>
  <w:style w:type="character" w:styleId="WW8Num7z0">
    <w:name w:val="WW8Num7z0"/>
    <w:qFormat/>
    <w:rPr>
      <w:rFonts w:ascii="Symbol" w:hAnsi="Symbol" w:cs="Symbol"/>
    </w:rPr>
  </w:style>
  <w:style w:type="character" w:styleId="WW8Num6z2">
    <w:name w:val="WW8Num6z2"/>
    <w:qFormat/>
    <w:rPr>
      <w:rFonts w:ascii="Wingdings" w:hAnsi="Wingdings" w:cs="Wingdings"/>
    </w:rPr>
  </w:style>
  <w:style w:type="character" w:styleId="WW8Num6z1">
    <w:name w:val="WW8Num6z1"/>
    <w:qFormat/>
    <w:rPr>
      <w:rFonts w:ascii="Courier New" w:hAnsi="Courier New" w:cs="Courier New"/>
    </w:rPr>
  </w:style>
  <w:style w:type="character" w:styleId="WW8Num6z0">
    <w:name w:val="WW8Num6z0"/>
    <w:qFormat/>
    <w:rPr>
      <w:rFonts w:ascii="Symbol" w:hAnsi="Symbol" w:cs="Symbol"/>
    </w:rPr>
  </w:style>
  <w:style w:type="character" w:styleId="WW8Num5z8">
    <w:name w:val="WW8Num5z8"/>
    <w:qFormat/>
    <w:rPr/>
  </w:style>
  <w:style w:type="character" w:styleId="WW8Num5z7">
    <w:name w:val="WW8Num5z7"/>
    <w:qFormat/>
    <w:rPr/>
  </w:style>
  <w:style w:type="character" w:styleId="WW8Num5z6">
    <w:name w:val="WW8Num5z6"/>
    <w:qFormat/>
    <w:rPr/>
  </w:style>
  <w:style w:type="character" w:styleId="WW8Num5z5">
    <w:name w:val="WW8Num5z5"/>
    <w:qFormat/>
    <w:rPr/>
  </w:style>
  <w:style w:type="character" w:styleId="WW8Num5z4">
    <w:name w:val="WW8Num5z4"/>
    <w:qFormat/>
    <w:rPr/>
  </w:style>
  <w:style w:type="character" w:styleId="WW8Num5z3">
    <w:name w:val="WW8Num5z3"/>
    <w:qFormat/>
    <w:rPr/>
  </w:style>
  <w:style w:type="character" w:styleId="WW8Num5z2">
    <w:name w:val="WW8Num5z2"/>
    <w:qFormat/>
    <w:rPr/>
  </w:style>
  <w:style w:type="character" w:styleId="WW8Num5z0">
    <w:name w:val="WW8Num5z0"/>
    <w:qFormat/>
    <w:rPr>
      <w:rFonts w:ascii="Symbol" w:hAnsi="Symbol" w:cs="Symbol"/>
    </w:rPr>
  </w:style>
  <w:style w:type="character" w:styleId="WW8Num4z2">
    <w:name w:val="WW8Num4z2"/>
    <w:qFormat/>
    <w:rPr>
      <w:rFonts w:ascii="Wingdings" w:hAnsi="Wingdings" w:cs="Wingdings"/>
    </w:rPr>
  </w:style>
  <w:style w:type="character" w:styleId="WW8Num4z1">
    <w:name w:val="WW8Num4z1"/>
    <w:qFormat/>
    <w:rPr>
      <w:rFonts w:ascii="Courier New" w:hAnsi="Courier New" w:cs="Courier New"/>
    </w:rPr>
  </w:style>
  <w:style w:type="character" w:styleId="WW8Num4z0">
    <w:name w:val="WW8Num4z0"/>
    <w:qFormat/>
    <w:rPr>
      <w:rFonts w:ascii="Symbol" w:hAnsi="Symbol" w:cs="Symbol"/>
    </w:rPr>
  </w:style>
  <w:style w:type="character" w:styleId="WW8Num3z2">
    <w:name w:val="WW8Num3z2"/>
    <w:qFormat/>
    <w:rPr>
      <w:rFonts w:ascii="Wingdings" w:hAnsi="Wingdings" w:cs="Wingdings"/>
    </w:rPr>
  </w:style>
  <w:style w:type="character" w:styleId="WW8Num3z1">
    <w:name w:val="WW8Num3z1"/>
    <w:qFormat/>
    <w:rPr>
      <w:rFonts w:ascii="Courier New" w:hAnsi="Courier New" w:cs="Courier New"/>
    </w:rPr>
  </w:style>
  <w:style w:type="character" w:styleId="WW8Num3z0">
    <w:name w:val="WW8Num3z0"/>
    <w:qFormat/>
    <w:rPr>
      <w:rFonts w:ascii="Symbol" w:hAnsi="Symbol" w:cs="Symbol"/>
    </w:rPr>
  </w:style>
  <w:style w:type="character" w:styleId="WW8Num2z0">
    <w:name w:val="WW8Num2z0"/>
    <w:qFormat/>
    <w:rPr/>
  </w:style>
  <w:style w:type="character" w:styleId="WW8Num1z8">
    <w:name w:val="WW8Num1z8"/>
    <w:qFormat/>
    <w:rPr/>
  </w:style>
  <w:style w:type="character" w:styleId="WW8Num1z7">
    <w:name w:val="WW8Num1z7"/>
    <w:qFormat/>
    <w:rPr/>
  </w:style>
  <w:style w:type="character" w:styleId="WW8Num1z6">
    <w:name w:val="WW8Num1z6"/>
    <w:qFormat/>
    <w:rPr/>
  </w:style>
  <w:style w:type="character" w:styleId="WW8Num1z5">
    <w:name w:val="WW8Num1z5"/>
    <w:qFormat/>
    <w:rPr/>
  </w:style>
  <w:style w:type="character" w:styleId="WW8Num1z4">
    <w:name w:val="WW8Num1z4"/>
    <w:qFormat/>
    <w:rPr/>
  </w:style>
  <w:style w:type="character" w:styleId="WW8Num1z3">
    <w:name w:val="WW8Num1z3"/>
    <w:qFormat/>
    <w:rPr/>
  </w:style>
  <w:style w:type="character" w:styleId="WW8Num1z2">
    <w:name w:val="WW8Num1z2"/>
    <w:qFormat/>
    <w:rPr/>
  </w:style>
  <w:style w:type="character" w:styleId="WW8Num1z1">
    <w:name w:val="WW8Num1z1"/>
    <w:qFormat/>
    <w:rPr/>
  </w:style>
  <w:style w:type="character" w:styleId="WW8Num1z0">
    <w:name w:val="WW8Num1z0"/>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character" w:styleId="ListLabel1">
    <w:name w:val="ListLabel 1"/>
    <w:qFormat/>
    <w:rPr>
      <w:rFonts w:ascii="Times New Roman" w:hAnsi="Times New Roman"/>
      <w:b w:val="false"/>
      <w:bCs w:val="false"/>
      <w:i w:val="false"/>
      <w:iCs w:val="false"/>
      <w:caps w:val="false"/>
      <w:smallCaps w:val="false"/>
      <w:color w:val="000000"/>
      <w:spacing w:val="0"/>
      <w:position w:val="0"/>
      <w:sz w:val="24"/>
      <w:sz w:val="24"/>
      <w:szCs w:val="24"/>
      <w:u w:val="none"/>
      <w:vertAlign w:val="baseline"/>
    </w:rPr>
  </w:style>
  <w:style w:type="character" w:styleId="ListLabel2">
    <w:name w:val="ListLabel 2"/>
    <w:qFormat/>
    <w:rPr>
      <w:rFonts w:ascii="Times New Roman" w:hAnsi="Times New Roman"/>
      <w:b w:val="false"/>
      <w:bCs w:val="false"/>
      <w:i w:val="false"/>
      <w:iCs w:val="false"/>
      <w:caps w:val="false"/>
      <w:smallCaps w:val="false"/>
      <w:color w:val="000000"/>
      <w:spacing w:val="0"/>
      <w:position w:val="0"/>
      <w:sz w:val="24"/>
      <w:sz w:val="24"/>
      <w:szCs w:val="24"/>
      <w:u w:val="none"/>
      <w:vertAlign w:val="baseline"/>
    </w:rPr>
  </w:style>
  <w:style w:type="character" w:styleId="ListLabel3">
    <w:name w:val="ListLabel 3"/>
    <w:qFormat/>
    <w:rPr>
      <w:rFonts w:ascii="Times New Roman" w:hAnsi="Times New Roman"/>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paragraph" w:styleId="Footnote">
    <w:name w:val="Footnote Text"/>
    <w:basedOn w:val="Normal"/>
    <w:pPr/>
    <w:rPr>
      <w:rFonts w:ascii="Calibri" w:hAnsi="Calibri" w:eastAsia="Calibri" w:cs="Times New Roman"/>
      <w:sz w:val="20"/>
      <w:szCs w:val="20"/>
      <w:lang w:val="en-US"/>
    </w:rPr>
  </w:style>
  <w:style w:type="paragraph" w:styleId="Footer">
    <w:name w:val="Footer"/>
    <w:basedOn w:val="Normal"/>
    <w:pPr>
      <w:tabs>
        <w:tab w:val="center" w:pos="4513" w:leader="none"/>
        <w:tab w:val="right" w:pos="9026" w:leader="none"/>
      </w:tabs>
    </w:pPr>
    <w:rPr/>
  </w:style>
  <w:style w:type="paragraph" w:styleId="Header">
    <w:name w:val="Header"/>
    <w:basedOn w:val="Normal"/>
    <w:pPr>
      <w:tabs>
        <w:tab w:val="center" w:pos="4513" w:leader="none"/>
        <w:tab w:val="right" w:pos="9026" w:leader="none"/>
      </w:tabs>
    </w:pPr>
    <w:rPr>
      <w:rFonts w:ascii="Trebuchet MS" w:hAnsi="Trebuchet MS" w:eastAsia="Calibri" w:cs="Tahoma"/>
      <w:sz w:val="22"/>
      <w:szCs w:val="20"/>
    </w:rPr>
  </w:style>
  <w:style w:type="paragraph" w:styleId="BalloonText">
    <w:name w:val="Balloon Text"/>
    <w:basedOn w:val="Normal"/>
    <w:qFormat/>
    <w:pPr/>
    <w:rPr>
      <w:rFonts w:ascii="Tahoma" w:hAnsi="Tahoma" w:cs="Tahoma"/>
      <w:sz w:val="16"/>
      <w:szCs w:val="16"/>
    </w:rPr>
  </w:style>
  <w:style w:type="paragraph" w:styleId="CommentSubject">
    <w:name w:val="Comment Subject"/>
    <w:basedOn w:val="CommentText"/>
    <w:qFormat/>
    <w:pPr/>
    <w:rPr>
      <w:b/>
      <w:bCs/>
    </w:rPr>
  </w:style>
  <w:style w:type="paragraph" w:styleId="CommentText">
    <w:name w:val="Comment Text"/>
    <w:basedOn w:val="Normal"/>
    <w:qFormat/>
    <w:pPr/>
    <w:rPr>
      <w:sz w:val="20"/>
      <w:szCs w:val="20"/>
    </w:rPr>
  </w:style>
  <w:style w:type="paragraph" w:styleId="NormalWeb">
    <w:name w:val="Normal (Web)"/>
    <w:basedOn w:val="Normal"/>
    <w:qFormat/>
    <w:pPr>
      <w:spacing w:before="280" w:after="280"/>
    </w:pPr>
    <w:rPr>
      <w:rFonts w:ascii="Georgia" w:hAnsi="Georgia" w:cs="Georgia"/>
      <w:color w:val="000000"/>
      <w:sz w:val="21"/>
      <w:szCs w:val="21"/>
    </w:rPr>
  </w:style>
  <w:style w:type="numbering" w:styleId="WW8Num1">
    <w:name w:val="WW8Num1"/>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cabinetofcuriosities.moonfruit.com/contact/4578432148" TargetMode="External"/><Relationship Id="rId4" Type="http://schemas.openxmlformats.org/officeDocument/2006/relationships/hyperlink" Target="" TargetMode="External"/><Relationship Id="rId5" Type="http://schemas.openxmlformats.org/officeDocument/2006/relationships/hyperlink" Target="http://www.jstor.org/stable/30070020" TargetMode="External"/><Relationship Id="rId6" Type="http://schemas.openxmlformats.org/officeDocument/2006/relationships/hyperlink" Target="https://museum.wales/collections/folksongs/" TargetMode="External"/><Relationship Id="rId7" Type="http://schemas.openxmlformats.org/officeDocument/2006/relationships/hyperlink" Target="http://cabinetofcuriosities.moonfruit.com/contact/4578432148" TargetMode="External"/><Relationship Id="rId8" Type="http://schemas.openxmlformats.org/officeDocument/2006/relationships/hyperlink" Target="" TargetMode="External"/><Relationship Id="rId9" Type="http://schemas.openxmlformats.org/officeDocument/2006/relationships/footer" Target="footer1.xml"/><Relationship Id="rId10" Type="http://schemas.openxmlformats.org/officeDocument/2006/relationships/footnotes" Target="footnotes.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181</TotalTime>
  <Application>LibreOffice/6.0.4.2$Windows_X86_64 LibreOffice_project/9b0d9b32d5dcda91d2f1a96dc04c645c450872bf</Application>
  <Pages>27</Pages>
  <Words>8263</Words>
  <Characters>41340</Characters>
  <CharactersWithSpaces>49721</CharactersWithSpaces>
  <Paragraphs>222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2019-01-11T09:35:12Z</dcterms:created>
  <dc:creator/>
  <dc:description/>
  <dc:language>en-GB</dc:language>
  <cp:lastModifiedBy/>
  <dcterms:modified xsi:type="dcterms:W3CDTF">2019-01-24T14:04:27Z</dcterms:modified>
  <cp:revision>30</cp:revision>
  <dc:subject/>
  <dc:title/>
</cp:coreProperties>
</file>