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75822" w14:textId="77777777" w:rsidR="00431F8F" w:rsidRPr="00584340" w:rsidRDefault="00431F8F" w:rsidP="001C396C">
      <w:pPr>
        <w:spacing w:line="360" w:lineRule="auto"/>
        <w:jc w:val="both"/>
        <w:rPr>
          <w:rFonts w:cs="Times New Roman"/>
          <w:b/>
          <w:bCs/>
        </w:rPr>
      </w:pPr>
      <w:r w:rsidRPr="00584340">
        <w:rPr>
          <w:rFonts w:cs="Times New Roman"/>
          <w:b/>
          <w:bCs/>
        </w:rPr>
        <w:t>What made ‘criminous clerks’ such a divisive issue between Henry II and Thomas?</w:t>
      </w:r>
    </w:p>
    <w:p w14:paraId="46109094" w14:textId="77777777" w:rsidR="00431F8F" w:rsidRPr="00584340" w:rsidRDefault="00431F8F" w:rsidP="001C396C">
      <w:pPr>
        <w:spacing w:line="360" w:lineRule="auto"/>
        <w:jc w:val="both"/>
        <w:rPr>
          <w:rFonts w:cs="Times New Roman"/>
        </w:rPr>
      </w:pPr>
    </w:p>
    <w:p w14:paraId="1AD80E15" w14:textId="78796FD0" w:rsidR="00431F8F" w:rsidRPr="00584340" w:rsidRDefault="00912434" w:rsidP="001C396C">
      <w:pPr>
        <w:spacing w:line="360" w:lineRule="auto"/>
        <w:ind w:firstLine="720"/>
        <w:jc w:val="both"/>
        <w:rPr>
          <w:rFonts w:cs="Times New Roman"/>
        </w:rPr>
      </w:pPr>
      <w:r w:rsidRPr="00584340">
        <w:rPr>
          <w:rFonts w:cs="Times New Roman"/>
        </w:rPr>
        <w:t xml:space="preserve">When Henry II ascended to the English throne, he inherited a realm emerging from a generation of anarchy. </w:t>
      </w:r>
      <w:r w:rsidRPr="00584340">
        <w:rPr>
          <w:rStyle w:val="FootnoteReference"/>
          <w:rFonts w:cs="Times New Roman"/>
        </w:rPr>
        <w:footnoteReference w:id="2"/>
      </w:r>
      <w:r w:rsidRPr="00584340">
        <w:rPr>
          <w:rFonts w:cs="Times New Roman"/>
        </w:rPr>
        <w:t xml:space="preserve">  </w:t>
      </w:r>
      <w:r w:rsidR="00C159C2" w:rsidRPr="00584340">
        <w:rPr>
          <w:rFonts w:cs="Times New Roman"/>
        </w:rPr>
        <w:t>His realm i</w:t>
      </w:r>
      <w:r w:rsidRPr="00584340">
        <w:rPr>
          <w:rFonts w:cs="Times New Roman"/>
        </w:rPr>
        <w:t xml:space="preserve">mpoverished and lawless with a weakened monarchy and resurgent Church, Henry’s objectives were to rebuild, regain royal control and restore the ‘ancient customs’ so attenuated under Stephen. He was aided in rebuilding the nation by his Chancellor and intimate friend, Thomas Becket who, to his consternation, would later oppose him as Archbishop of Canterbury over a </w:t>
      </w:r>
      <w:r w:rsidR="00041F69" w:rsidRPr="00584340">
        <w:rPr>
          <w:rFonts w:cs="Times New Roman"/>
        </w:rPr>
        <w:t xml:space="preserve">raft of proposed reforms that impinged on Church freedoms. Perhaps the most contentious, and the rock upon which Thomas, and later Henry, would be broken was the matter of how best to deal judicially with ‘criminous </w:t>
      </w:r>
      <w:r w:rsidR="00195524" w:rsidRPr="00584340">
        <w:rPr>
          <w:rFonts w:cs="Times New Roman"/>
        </w:rPr>
        <w:t>clerks’</w:t>
      </w:r>
      <w:r w:rsidR="00041F69" w:rsidRPr="00584340">
        <w:rPr>
          <w:rFonts w:cs="Times New Roman"/>
        </w:rPr>
        <w:t>.</w:t>
      </w:r>
      <w:r w:rsidR="009955DA" w:rsidRPr="00584340">
        <w:rPr>
          <w:rStyle w:val="FootnoteReference"/>
          <w:rFonts w:cs="Times New Roman"/>
        </w:rPr>
        <w:footnoteReference w:id="3"/>
      </w:r>
      <w:r w:rsidR="00041F69" w:rsidRPr="00584340">
        <w:rPr>
          <w:rFonts w:cs="Times New Roman"/>
        </w:rPr>
        <w:t xml:space="preserve"> Greenaway considers this </w:t>
      </w:r>
      <w:r w:rsidR="00431F8F" w:rsidRPr="00584340">
        <w:rPr>
          <w:rFonts w:cs="Times New Roman"/>
        </w:rPr>
        <w:t xml:space="preserve">‘as much a clash of principles as of two masterful personalities’ </w:t>
      </w:r>
      <w:r w:rsidR="00041F69" w:rsidRPr="00584340">
        <w:rPr>
          <w:rFonts w:cs="Times New Roman"/>
        </w:rPr>
        <w:t xml:space="preserve">pursued with </w:t>
      </w:r>
      <w:r w:rsidR="00431F8F" w:rsidRPr="00584340">
        <w:rPr>
          <w:rFonts w:cs="Times New Roman"/>
        </w:rPr>
        <w:t>‘unabated vigour and increasing acrimony’</w:t>
      </w:r>
      <w:r w:rsidR="00041F69" w:rsidRPr="00584340">
        <w:rPr>
          <w:rFonts w:cs="Times New Roman"/>
        </w:rPr>
        <w:t xml:space="preserve"> in a manner ‘</w:t>
      </w:r>
      <w:r w:rsidR="00431F8F" w:rsidRPr="00584340">
        <w:rPr>
          <w:rFonts w:cs="Times New Roman"/>
        </w:rPr>
        <w:t>conditioned and aggravated by the peculiar circumstances of the twelfth century’</w:t>
      </w:r>
      <w:r w:rsidR="00041F69" w:rsidRPr="00584340">
        <w:rPr>
          <w:rFonts w:cs="Times New Roman"/>
        </w:rPr>
        <w:t>.</w:t>
      </w:r>
      <w:r w:rsidR="00041F69" w:rsidRPr="00584340">
        <w:rPr>
          <w:rStyle w:val="FootnoteReference"/>
          <w:rFonts w:cs="Times New Roman"/>
        </w:rPr>
        <w:footnoteReference w:id="4"/>
      </w:r>
      <w:r w:rsidR="00041F69" w:rsidRPr="00584340">
        <w:rPr>
          <w:rFonts w:cs="Times New Roman"/>
        </w:rPr>
        <w:t xml:space="preserve"> This essay </w:t>
      </w:r>
      <w:r w:rsidR="00176FCB" w:rsidRPr="00584340">
        <w:rPr>
          <w:rFonts w:cs="Times New Roman"/>
        </w:rPr>
        <w:t>considers</w:t>
      </w:r>
      <w:r w:rsidR="00041F69" w:rsidRPr="00584340">
        <w:rPr>
          <w:rFonts w:cs="Times New Roman"/>
        </w:rPr>
        <w:t xml:space="preserve"> </w:t>
      </w:r>
      <w:r w:rsidR="00176FCB" w:rsidRPr="00584340">
        <w:rPr>
          <w:rFonts w:cs="Times New Roman"/>
        </w:rPr>
        <w:t xml:space="preserve">the background to the perception </w:t>
      </w:r>
      <w:r w:rsidR="00607AAD" w:rsidRPr="00584340">
        <w:rPr>
          <w:rFonts w:cs="Times New Roman"/>
        </w:rPr>
        <w:t>of ‘</w:t>
      </w:r>
      <w:r w:rsidR="00176FCB" w:rsidRPr="00584340">
        <w:rPr>
          <w:rFonts w:cs="Times New Roman"/>
        </w:rPr>
        <w:t xml:space="preserve">criminous clerks’ as a problem, </w:t>
      </w:r>
      <w:r w:rsidR="005C6937" w:rsidRPr="00584340">
        <w:rPr>
          <w:rFonts w:cs="Times New Roman"/>
        </w:rPr>
        <w:t>discussing</w:t>
      </w:r>
      <w:r w:rsidR="00176FCB" w:rsidRPr="00584340">
        <w:rPr>
          <w:rFonts w:cs="Times New Roman"/>
        </w:rPr>
        <w:t xml:space="preserve"> </w:t>
      </w:r>
      <w:r w:rsidR="0076238B" w:rsidRPr="00584340">
        <w:rPr>
          <w:rFonts w:cs="Times New Roman"/>
        </w:rPr>
        <w:t>the development of the</w:t>
      </w:r>
      <w:r w:rsidR="005C6937" w:rsidRPr="00584340">
        <w:rPr>
          <w:rFonts w:cs="Times New Roman"/>
        </w:rPr>
        <w:t xml:space="preserve"> </w:t>
      </w:r>
      <w:r w:rsidR="00176FCB" w:rsidRPr="00584340">
        <w:rPr>
          <w:rFonts w:cs="Times New Roman"/>
        </w:rPr>
        <w:t>dispute</w:t>
      </w:r>
      <w:r w:rsidR="005C6937" w:rsidRPr="00584340">
        <w:rPr>
          <w:rFonts w:cs="Times New Roman"/>
        </w:rPr>
        <w:t xml:space="preserve"> </w:t>
      </w:r>
      <w:r w:rsidR="0076238B" w:rsidRPr="00584340">
        <w:rPr>
          <w:rFonts w:cs="Times New Roman"/>
        </w:rPr>
        <w:t>and what made it so difficult to resolve</w:t>
      </w:r>
      <w:r w:rsidR="00176FCB" w:rsidRPr="00584340">
        <w:rPr>
          <w:rFonts w:cs="Times New Roman"/>
        </w:rPr>
        <w:t>.</w:t>
      </w:r>
    </w:p>
    <w:p w14:paraId="1E2F9525" w14:textId="77777777" w:rsidR="00607AAD" w:rsidRPr="00584340" w:rsidRDefault="00607AAD" w:rsidP="001C396C">
      <w:pPr>
        <w:spacing w:line="360" w:lineRule="auto"/>
        <w:ind w:firstLine="720"/>
        <w:jc w:val="both"/>
        <w:rPr>
          <w:rFonts w:cs="Times New Roman"/>
        </w:rPr>
      </w:pPr>
    </w:p>
    <w:p w14:paraId="65FD36AF" w14:textId="3EE75C7A" w:rsidR="00907261" w:rsidRDefault="00794E27" w:rsidP="001C396C">
      <w:pPr>
        <w:spacing w:line="360" w:lineRule="auto"/>
        <w:ind w:firstLine="720"/>
        <w:jc w:val="both"/>
        <w:rPr>
          <w:rFonts w:cs="Times New Roman"/>
        </w:rPr>
      </w:pPr>
      <w:r w:rsidRPr="00584340">
        <w:rPr>
          <w:rFonts w:cs="Times New Roman"/>
        </w:rPr>
        <w:t xml:space="preserve">As men educated in the seven liberal arts, </w:t>
      </w:r>
      <w:r w:rsidR="009B08F3">
        <w:rPr>
          <w:rFonts w:cs="Times New Roman"/>
        </w:rPr>
        <w:t>often with university studies in</w:t>
      </w:r>
      <w:r w:rsidR="00D159EF" w:rsidRPr="00584340">
        <w:rPr>
          <w:rFonts w:cs="Times New Roman"/>
        </w:rPr>
        <w:t xml:space="preserve"> medicine, theology or law, </w:t>
      </w:r>
      <w:r w:rsidRPr="00584340">
        <w:rPr>
          <w:rFonts w:cs="Times New Roman"/>
        </w:rPr>
        <w:t>clerks were indispensable to running the machinery of ecclesiastical and civil administration.</w:t>
      </w:r>
      <w:r w:rsidR="00A401C2" w:rsidRPr="00584340">
        <w:rPr>
          <w:rStyle w:val="FootnoteReference"/>
          <w:rFonts w:cs="Times New Roman"/>
        </w:rPr>
        <w:footnoteReference w:id="5"/>
      </w:r>
      <w:r w:rsidRPr="00584340">
        <w:rPr>
          <w:rFonts w:cs="Times New Roman"/>
        </w:rPr>
        <w:t xml:space="preserve"> Bishops ruled their local diocese through a sizeable ‘household of clerks, </w:t>
      </w:r>
      <w:r w:rsidR="00884001" w:rsidRPr="00584340">
        <w:rPr>
          <w:rFonts w:cs="Times New Roman"/>
        </w:rPr>
        <w:t>archdeacons,</w:t>
      </w:r>
      <w:r w:rsidRPr="00584340">
        <w:rPr>
          <w:rFonts w:cs="Times New Roman"/>
        </w:rPr>
        <w:t xml:space="preserve"> and rural deans’.</w:t>
      </w:r>
      <w:r w:rsidRPr="00584340">
        <w:rPr>
          <w:rStyle w:val="FootnoteReference"/>
          <w:rFonts w:cs="Times New Roman"/>
        </w:rPr>
        <w:t xml:space="preserve"> </w:t>
      </w:r>
      <w:r w:rsidRPr="00584340">
        <w:rPr>
          <w:rStyle w:val="FootnoteReference"/>
          <w:rFonts w:cs="Times New Roman"/>
        </w:rPr>
        <w:footnoteReference w:id="6"/>
      </w:r>
      <w:r w:rsidRPr="00584340">
        <w:rPr>
          <w:rFonts w:cs="Times New Roman"/>
        </w:rPr>
        <w:t xml:space="preserve">  Many found their way into secular employment. </w:t>
      </w:r>
      <w:r w:rsidR="00BB0104" w:rsidRPr="00584340">
        <w:rPr>
          <w:rFonts w:cs="Times New Roman"/>
        </w:rPr>
        <w:t>For example, under Thomas, the Chancery included fifty-two secular clerks.</w:t>
      </w:r>
      <w:r w:rsidR="00BB0104" w:rsidRPr="00584340">
        <w:rPr>
          <w:rStyle w:val="FootnoteReference"/>
          <w:rFonts w:cs="Times New Roman"/>
        </w:rPr>
        <w:footnoteReference w:id="7"/>
      </w:r>
      <w:r w:rsidR="00BB0104" w:rsidRPr="00584340">
        <w:rPr>
          <w:rFonts w:cs="Times New Roman"/>
        </w:rPr>
        <w:t xml:space="preserve"> Thomas himself, once a secular </w:t>
      </w:r>
      <w:r w:rsidR="00BB0104" w:rsidRPr="00584340">
        <w:rPr>
          <w:rFonts w:cs="Times New Roman"/>
        </w:rPr>
        <w:lastRenderedPageBreak/>
        <w:t>clerk in Theobald’s household, his studies in Paris were curtailed by his mother’s death, was tutored by his patron, and progressed to study law in Bologna.</w:t>
      </w:r>
      <w:r w:rsidR="00BB0104" w:rsidRPr="00584340">
        <w:rPr>
          <w:rStyle w:val="FootnoteReference"/>
          <w:rFonts w:cs="Times New Roman"/>
        </w:rPr>
        <w:footnoteReference w:id="8"/>
      </w:r>
      <w:r w:rsidR="00BB0104" w:rsidRPr="00584340">
        <w:rPr>
          <w:rFonts w:cs="Times New Roman"/>
        </w:rPr>
        <w:t xml:space="preserve"> Similarly, William Fitzstephen acted as Thomas’ legal counsel at the Council of Northampton, Herbert of Bosham was an expert in theology and John of Salisbury a renowned theologian and classicist who wrote the influential </w:t>
      </w:r>
      <w:r w:rsidR="00BB0104" w:rsidRPr="00584340">
        <w:rPr>
          <w:rFonts w:cs="Times New Roman"/>
          <w:i/>
          <w:iCs/>
        </w:rPr>
        <w:t>Policraticus</w:t>
      </w:r>
      <w:r w:rsidR="00BB0104" w:rsidRPr="00584340">
        <w:rPr>
          <w:rFonts w:cs="Times New Roman"/>
        </w:rPr>
        <w:t>.</w:t>
      </w:r>
      <w:r w:rsidR="00C159C2" w:rsidRPr="00584340">
        <w:rPr>
          <w:rStyle w:val="FootnoteReference"/>
          <w:rFonts w:cs="Times New Roman"/>
        </w:rPr>
        <w:footnoteReference w:id="9"/>
      </w:r>
      <w:r w:rsidR="00BB0104" w:rsidRPr="00584340">
        <w:rPr>
          <w:rFonts w:cs="Times New Roman"/>
        </w:rPr>
        <w:t xml:space="preserve"> </w:t>
      </w:r>
      <w:r w:rsidR="00940B30">
        <w:rPr>
          <w:rFonts w:cs="Times New Roman"/>
        </w:rPr>
        <w:t xml:space="preserve">Clerics </w:t>
      </w:r>
      <w:r w:rsidR="00DD7BE7">
        <w:rPr>
          <w:rFonts w:cs="Times New Roman"/>
        </w:rPr>
        <w:t xml:space="preserve">were expected to </w:t>
      </w:r>
      <w:r w:rsidR="0034419C">
        <w:rPr>
          <w:rFonts w:cs="Times New Roman"/>
        </w:rPr>
        <w:t>epitomise</w:t>
      </w:r>
      <w:r w:rsidR="00DD7BE7">
        <w:rPr>
          <w:rFonts w:cs="Times New Roman"/>
        </w:rPr>
        <w:t xml:space="preserve"> </w:t>
      </w:r>
      <w:r w:rsidR="002F15FC">
        <w:rPr>
          <w:rFonts w:cs="Times New Roman"/>
        </w:rPr>
        <w:t>Christ-like</w:t>
      </w:r>
      <w:r w:rsidR="0034419C">
        <w:rPr>
          <w:rFonts w:cs="Times New Roman"/>
        </w:rPr>
        <w:t xml:space="preserve"> behaviour</w:t>
      </w:r>
      <w:r w:rsidR="00367463">
        <w:rPr>
          <w:rFonts w:cs="Times New Roman"/>
        </w:rPr>
        <w:t xml:space="preserve">, eschewing </w:t>
      </w:r>
      <w:r w:rsidR="002F15FC">
        <w:rPr>
          <w:rFonts w:cs="Times New Roman"/>
        </w:rPr>
        <w:t>violence and other sins</w:t>
      </w:r>
      <w:r w:rsidR="00377116">
        <w:rPr>
          <w:rFonts w:cs="Times New Roman"/>
        </w:rPr>
        <w:t>.</w:t>
      </w:r>
      <w:r w:rsidR="00F60178">
        <w:rPr>
          <w:rStyle w:val="FootnoteReference"/>
          <w:rFonts w:cs="Times New Roman"/>
        </w:rPr>
        <w:footnoteReference w:id="10"/>
      </w:r>
      <w:r w:rsidR="00377116">
        <w:rPr>
          <w:rFonts w:cs="Times New Roman"/>
        </w:rPr>
        <w:t xml:space="preserve"> </w:t>
      </w:r>
      <w:r w:rsidR="000A4623">
        <w:rPr>
          <w:rFonts w:cs="Times New Roman"/>
        </w:rPr>
        <w:t>They enjoyed legal protection, with punishment meted out to those who harmed them.</w:t>
      </w:r>
      <w:r w:rsidR="000A4623">
        <w:rPr>
          <w:rStyle w:val="FootnoteReference"/>
          <w:rFonts w:cs="Times New Roman"/>
        </w:rPr>
        <w:footnoteReference w:id="11"/>
      </w:r>
      <w:r w:rsidR="000A4623">
        <w:rPr>
          <w:rFonts w:cs="Times New Roman"/>
        </w:rPr>
        <w:t xml:space="preserve">  </w:t>
      </w:r>
      <w:r w:rsidR="005969A8">
        <w:rPr>
          <w:rFonts w:cs="Times New Roman"/>
        </w:rPr>
        <w:t>Indeed,</w:t>
      </w:r>
      <w:r w:rsidR="005969A8" w:rsidRPr="00584340">
        <w:rPr>
          <w:rFonts w:cs="Times New Roman"/>
        </w:rPr>
        <w:t xml:space="preserve"> clerics who became involved in crime enjoyed a degree of immunity from secular prosecution and the penalties of death or mutilation reserved for the laity.</w:t>
      </w:r>
      <w:r w:rsidR="005969A8" w:rsidRPr="00584340">
        <w:rPr>
          <w:rStyle w:val="FootnoteReference"/>
          <w:rFonts w:cs="Times New Roman"/>
        </w:rPr>
        <w:footnoteReference w:id="12"/>
      </w:r>
      <w:r w:rsidR="005969A8" w:rsidRPr="00584340">
        <w:rPr>
          <w:rFonts w:cs="Times New Roman"/>
        </w:rPr>
        <w:t xml:space="preserve"> </w:t>
      </w:r>
      <w:r w:rsidR="00875AD7">
        <w:rPr>
          <w:rFonts w:cs="Times New Roman"/>
        </w:rPr>
        <w:t>Although</w:t>
      </w:r>
      <w:r w:rsidR="005610F8">
        <w:rPr>
          <w:rFonts w:cs="Times New Roman"/>
        </w:rPr>
        <w:t xml:space="preserve"> clerical morals were not always the highest</w:t>
      </w:r>
      <w:r w:rsidR="0006345E">
        <w:rPr>
          <w:rFonts w:cs="Times New Roman"/>
        </w:rPr>
        <w:t>, m</w:t>
      </w:r>
      <w:r w:rsidR="005610F8">
        <w:rPr>
          <w:rFonts w:cs="Times New Roman"/>
        </w:rPr>
        <w:t xml:space="preserve">istresses </w:t>
      </w:r>
      <w:r w:rsidR="0006345E">
        <w:rPr>
          <w:rFonts w:cs="Times New Roman"/>
        </w:rPr>
        <w:t xml:space="preserve">and offspring </w:t>
      </w:r>
      <w:r w:rsidR="005610F8">
        <w:rPr>
          <w:rFonts w:cs="Times New Roman"/>
        </w:rPr>
        <w:t>were not unusual</w:t>
      </w:r>
      <w:r w:rsidR="0006345E">
        <w:rPr>
          <w:rFonts w:cs="Times New Roman"/>
        </w:rPr>
        <w:t xml:space="preserve">, </w:t>
      </w:r>
      <w:r w:rsidR="00815759">
        <w:rPr>
          <w:rFonts w:cs="Times New Roman"/>
        </w:rPr>
        <w:t>serious clerical crime against the kings peace would be considered memorable  and heinous.</w:t>
      </w:r>
      <w:r w:rsidR="009600CF">
        <w:rPr>
          <w:rStyle w:val="FootnoteReference"/>
          <w:rFonts w:cs="Times New Roman"/>
        </w:rPr>
        <w:footnoteReference w:id="13"/>
      </w:r>
      <w:r w:rsidR="00A60C04">
        <w:rPr>
          <w:rFonts w:cs="Times New Roman"/>
        </w:rPr>
        <w:t xml:space="preserve"> </w:t>
      </w:r>
    </w:p>
    <w:p w14:paraId="1474B9AF" w14:textId="77777777" w:rsidR="00907261" w:rsidRDefault="00907261" w:rsidP="001C396C">
      <w:pPr>
        <w:spacing w:line="360" w:lineRule="auto"/>
        <w:ind w:firstLine="720"/>
        <w:jc w:val="both"/>
        <w:rPr>
          <w:rFonts w:cs="Times New Roman"/>
        </w:rPr>
      </w:pPr>
    </w:p>
    <w:p w14:paraId="79461822" w14:textId="3E27B5C2" w:rsidR="00607AAD" w:rsidRPr="00584340" w:rsidRDefault="00607AAD" w:rsidP="001C396C">
      <w:pPr>
        <w:spacing w:line="360" w:lineRule="auto"/>
        <w:ind w:firstLine="720"/>
        <w:jc w:val="both"/>
        <w:rPr>
          <w:rFonts w:cs="Times New Roman"/>
        </w:rPr>
      </w:pPr>
      <w:r w:rsidRPr="00584340">
        <w:rPr>
          <w:rFonts w:cs="Times New Roman"/>
        </w:rPr>
        <w:t>William of Newburgh relates the classic description and perceived scale of the problem of ‘criminous clerks’ facing Henry II during the early years of his reign:</w:t>
      </w:r>
    </w:p>
    <w:p w14:paraId="1118D7D3" w14:textId="77777777" w:rsidR="00607AAD" w:rsidRPr="00584340" w:rsidRDefault="00607AAD" w:rsidP="001C396C">
      <w:pPr>
        <w:spacing w:line="360" w:lineRule="auto"/>
        <w:jc w:val="both"/>
        <w:rPr>
          <w:rFonts w:cs="Times New Roman"/>
        </w:rPr>
      </w:pPr>
    </w:p>
    <w:p w14:paraId="5B8CA20B" w14:textId="77777777" w:rsidR="00607AAD" w:rsidRPr="00584340" w:rsidRDefault="00607AAD" w:rsidP="001C396C">
      <w:pPr>
        <w:spacing w:line="360" w:lineRule="auto"/>
        <w:ind w:left="720"/>
        <w:jc w:val="both"/>
        <w:rPr>
          <w:rStyle w:val="rynqvb"/>
          <w:rFonts w:cs="Times New Roman"/>
          <w:lang w:val="en"/>
        </w:rPr>
      </w:pPr>
      <w:r w:rsidRPr="00584340">
        <w:rPr>
          <w:rStyle w:val="rynqvb"/>
          <w:rFonts w:cs="Times New Roman"/>
          <w:lang w:val="en"/>
        </w:rPr>
        <w:t>For the king, who was busy with the care of the kingdom, and ordered the extermination of malefactors without choice, was informed by the judges that many things contrary to public discipline, namely, thefts, kidnappings, murders, were often committed by the clergy, to whom, of course, the power of jurisdiction could not be extended to the laity.</w:t>
      </w:r>
      <w:r w:rsidRPr="00584340">
        <w:rPr>
          <w:rStyle w:val="hwtze"/>
          <w:rFonts w:cs="Times New Roman"/>
          <w:lang w:val="en"/>
        </w:rPr>
        <w:t xml:space="preserve"> </w:t>
      </w:r>
      <w:r w:rsidRPr="00584340">
        <w:rPr>
          <w:rStyle w:val="rynqvb"/>
          <w:rFonts w:cs="Times New Roman"/>
          <w:lang w:val="en"/>
        </w:rPr>
        <w:t>Finally, it is said to have been declared by the audience itself, that more than a hundred murders were committed within the borders of England by the clergy under his reign.</w:t>
      </w:r>
      <w:r w:rsidRPr="00584340">
        <w:rPr>
          <w:rStyle w:val="FootnoteReference"/>
          <w:rFonts w:cs="Times New Roman"/>
          <w:lang w:val="en"/>
        </w:rPr>
        <w:footnoteReference w:id="14"/>
      </w:r>
    </w:p>
    <w:p w14:paraId="238B7C13" w14:textId="77777777" w:rsidR="00BB0104" w:rsidRDefault="00BB0104" w:rsidP="001C396C">
      <w:pPr>
        <w:spacing w:line="360" w:lineRule="auto"/>
        <w:ind w:firstLine="720"/>
        <w:jc w:val="both"/>
        <w:rPr>
          <w:rStyle w:val="rynqvb"/>
          <w:rFonts w:cs="Times New Roman"/>
          <w:lang w:val="en"/>
        </w:rPr>
      </w:pPr>
    </w:p>
    <w:p w14:paraId="0463C67A" w14:textId="190AE4CC" w:rsidR="00451E00" w:rsidRPr="00584340" w:rsidRDefault="00907261" w:rsidP="001C396C">
      <w:pPr>
        <w:spacing w:line="360" w:lineRule="auto"/>
        <w:ind w:firstLine="720"/>
        <w:jc w:val="both"/>
        <w:rPr>
          <w:rStyle w:val="rynqvb"/>
          <w:rFonts w:cs="Times New Roman"/>
          <w:lang w:val="en"/>
        </w:rPr>
      </w:pPr>
      <w:r w:rsidRPr="00584340">
        <w:rPr>
          <w:rFonts w:cs="Times New Roman"/>
        </w:rPr>
        <w:lastRenderedPageBreak/>
        <w:t xml:space="preserve">The extent of the ‘criminous clerks’ problem was questionable. </w:t>
      </w:r>
      <w:r>
        <w:rPr>
          <w:rFonts w:cs="Times New Roman"/>
        </w:rPr>
        <w:t xml:space="preserve">Warren suggests </w:t>
      </w:r>
      <w:r w:rsidRPr="00B34394">
        <w:rPr>
          <w:rFonts w:cs="Times New Roman"/>
        </w:rPr>
        <w:t>that clerks represented one-sixth of the population, although Thomas estimates 1%.</w:t>
      </w:r>
      <w:r w:rsidRPr="00B34394">
        <w:rPr>
          <w:rStyle w:val="FootnoteReference"/>
          <w:rFonts w:cs="Times New Roman"/>
        </w:rPr>
        <w:t xml:space="preserve"> </w:t>
      </w:r>
      <w:r w:rsidRPr="00B34394">
        <w:rPr>
          <w:rStyle w:val="FootnoteReference"/>
          <w:rFonts w:cs="Times New Roman"/>
        </w:rPr>
        <w:footnoteReference w:id="15"/>
      </w:r>
      <w:r w:rsidRPr="00B34394">
        <w:rPr>
          <w:rFonts w:cs="Times New Roman"/>
        </w:rPr>
        <w:t xml:space="preserve">  Howeve</w:t>
      </w:r>
      <w:r w:rsidRPr="00584340">
        <w:rPr>
          <w:rFonts w:cs="Times New Roman"/>
        </w:rPr>
        <w:t>r, a study of early plea rolls between 1194-1208 suggest that clerks accounted for 3.9% of accusations in cases involving violence, although rather higher for rape.</w:t>
      </w:r>
      <w:r w:rsidRPr="00584340">
        <w:rPr>
          <w:rStyle w:val="FootnoteReference"/>
          <w:rFonts w:cs="Times New Roman"/>
        </w:rPr>
        <w:t xml:space="preserve"> </w:t>
      </w:r>
      <w:r w:rsidRPr="00584340">
        <w:rPr>
          <w:rStyle w:val="FootnoteReference"/>
          <w:rFonts w:cs="Times New Roman"/>
        </w:rPr>
        <w:footnoteReference w:id="16"/>
      </w:r>
      <w:r w:rsidRPr="00584340">
        <w:rPr>
          <w:rFonts w:cs="Times New Roman"/>
        </w:rPr>
        <w:t xml:space="preserve"> Of these, half the cases were transferred to ecclesiastical court, a quarter dropped, and a quarter either lost to follow up, settling the case, absconding from justice, being outlawed, transferred to another jurisdiction or cleared. Whilst this series represents accusations rather than convictions, the low rate of clerical cases compared to the rest of the population is striking, although no conclusions can be drawn regarding unreported felonies. Also, since they relate to the reigns of Richard I and John, they may not accurately reflect circumstances in Henry II reign.</w:t>
      </w:r>
      <w:r w:rsidR="00635F34">
        <w:rPr>
          <w:rFonts w:cs="Times New Roman"/>
        </w:rPr>
        <w:t xml:space="preserve"> </w:t>
      </w:r>
      <w:r w:rsidR="00CC1908" w:rsidRPr="00584340">
        <w:rPr>
          <w:rStyle w:val="rynqvb"/>
          <w:rFonts w:cs="Times New Roman"/>
          <w:lang w:val="en"/>
        </w:rPr>
        <w:t>We turn next</w:t>
      </w:r>
      <w:r w:rsidR="00607AAD" w:rsidRPr="00584340">
        <w:rPr>
          <w:rStyle w:val="rynqvb"/>
          <w:rFonts w:cs="Times New Roman"/>
          <w:lang w:val="en"/>
        </w:rPr>
        <w:t xml:space="preserve"> to consider how and why this situation arose and whether Henry was justified in his perception</w:t>
      </w:r>
      <w:r w:rsidR="00451E00" w:rsidRPr="00584340">
        <w:rPr>
          <w:rStyle w:val="rynqvb"/>
          <w:rFonts w:cs="Times New Roman"/>
          <w:lang w:val="en"/>
        </w:rPr>
        <w:t xml:space="preserve"> of ‘criminous clerks’ as a significant problem</w:t>
      </w:r>
      <w:r w:rsidR="00607AAD" w:rsidRPr="00584340">
        <w:rPr>
          <w:rStyle w:val="rynqvb"/>
          <w:rFonts w:cs="Times New Roman"/>
          <w:lang w:val="en"/>
        </w:rPr>
        <w:t>.</w:t>
      </w:r>
    </w:p>
    <w:p w14:paraId="65A2F83A" w14:textId="77777777" w:rsidR="00451E00" w:rsidRPr="00584340" w:rsidRDefault="00451E00" w:rsidP="001C396C">
      <w:pPr>
        <w:spacing w:line="360" w:lineRule="auto"/>
        <w:ind w:firstLine="720"/>
        <w:jc w:val="both"/>
        <w:rPr>
          <w:rStyle w:val="rynqvb"/>
          <w:rFonts w:cs="Times New Roman"/>
          <w:lang w:val="en"/>
        </w:rPr>
      </w:pPr>
    </w:p>
    <w:p w14:paraId="3EE059C7" w14:textId="77BE07F2" w:rsidR="00794E27" w:rsidRPr="00584340" w:rsidRDefault="00794E27" w:rsidP="001C396C">
      <w:pPr>
        <w:spacing w:line="360" w:lineRule="auto"/>
        <w:ind w:firstLine="720"/>
        <w:jc w:val="both"/>
        <w:rPr>
          <w:rFonts w:cs="Times New Roman"/>
          <w:lang w:val="en"/>
        </w:rPr>
      </w:pPr>
      <w:r w:rsidRPr="00584340">
        <w:rPr>
          <w:rFonts w:cs="Times New Roman"/>
        </w:rPr>
        <w:t xml:space="preserve">In England under William I, William Rufus and Henry I, monarchs had largely maintained control over their subjects by might and rule of law, justice being administered locally. </w:t>
      </w:r>
      <w:r w:rsidR="00CC1908" w:rsidRPr="00584340">
        <w:rPr>
          <w:rFonts w:cs="Times New Roman"/>
        </w:rPr>
        <w:t>S</w:t>
      </w:r>
      <w:r w:rsidR="002E64A2" w:rsidRPr="00584340">
        <w:rPr>
          <w:rFonts w:cs="Times New Roman"/>
        </w:rPr>
        <w:t xml:space="preserve">ecular </w:t>
      </w:r>
      <w:r w:rsidRPr="00584340">
        <w:rPr>
          <w:rFonts w:cs="Times New Roman"/>
        </w:rPr>
        <w:t>grievances were dealt with fortnightly in manorial courts</w:t>
      </w:r>
      <w:r w:rsidR="00CC1908" w:rsidRPr="00584340">
        <w:rPr>
          <w:rFonts w:cs="Times New Roman"/>
        </w:rPr>
        <w:t>.</w:t>
      </w:r>
      <w:r w:rsidRPr="00584340">
        <w:rPr>
          <w:rFonts w:cs="Times New Roman"/>
        </w:rPr>
        <w:t xml:space="preserve"> </w:t>
      </w:r>
      <w:r w:rsidR="00CC1908" w:rsidRPr="00584340">
        <w:rPr>
          <w:rFonts w:cs="Times New Roman"/>
        </w:rPr>
        <w:t>T</w:t>
      </w:r>
      <w:r w:rsidRPr="00584340">
        <w:rPr>
          <w:rFonts w:cs="Times New Roman"/>
        </w:rPr>
        <w:t xml:space="preserve">hey also </w:t>
      </w:r>
      <w:r w:rsidR="00CC1908" w:rsidRPr="00584340">
        <w:rPr>
          <w:rFonts w:cs="Times New Roman"/>
        </w:rPr>
        <w:t>heard</w:t>
      </w:r>
      <w:r w:rsidRPr="00584340">
        <w:rPr>
          <w:rFonts w:cs="Times New Roman"/>
        </w:rPr>
        <w:t xml:space="preserve"> minor infractions against the king’s peace, more properly dealt with by the Crown.</w:t>
      </w:r>
      <w:r w:rsidRPr="00584340">
        <w:rPr>
          <w:rStyle w:val="FootnoteReference"/>
          <w:rFonts w:cs="Times New Roman"/>
        </w:rPr>
        <w:footnoteReference w:id="17"/>
      </w:r>
      <w:r w:rsidRPr="00584340">
        <w:rPr>
          <w:rFonts w:cs="Times New Roman"/>
        </w:rPr>
        <w:t xml:space="preserve"> The sheriff’s court, held twice yearly heard ‘offences short of a felony’. Criminal cases appeared before ‘the reeve, priest and four better men’ in shire and hundred courts.</w:t>
      </w:r>
      <w:r w:rsidRPr="00584340">
        <w:rPr>
          <w:rStyle w:val="FootnoteReference"/>
          <w:rFonts w:cs="Times New Roman"/>
        </w:rPr>
        <w:footnoteReference w:id="18"/>
      </w:r>
      <w:r w:rsidRPr="00584340">
        <w:rPr>
          <w:rFonts w:cs="Times New Roman"/>
        </w:rPr>
        <w:t xml:space="preserve"> Meanwhile ‘causes touching the soul’ were dealt with </w:t>
      </w:r>
      <w:r w:rsidR="00DD2674" w:rsidRPr="00584340">
        <w:rPr>
          <w:rFonts w:cs="Times New Roman"/>
        </w:rPr>
        <w:t xml:space="preserve">separately </w:t>
      </w:r>
      <w:r w:rsidRPr="00584340">
        <w:rPr>
          <w:rFonts w:cs="Times New Roman"/>
        </w:rPr>
        <w:t>by ecclesiastical courts, although jurisdiction in matters touching both the soul and the king’s peace might prove contentious.</w:t>
      </w:r>
      <w:r w:rsidRPr="00584340">
        <w:rPr>
          <w:rStyle w:val="FootnoteReference"/>
          <w:rFonts w:cs="Times New Roman"/>
        </w:rPr>
        <w:footnoteReference w:id="19"/>
      </w:r>
      <w:r w:rsidRPr="00584340">
        <w:rPr>
          <w:rFonts w:cs="Times New Roman"/>
        </w:rPr>
        <w:t xml:space="preserve">  </w:t>
      </w:r>
      <w:r w:rsidR="006C442A" w:rsidRPr="00584340">
        <w:rPr>
          <w:rFonts w:cs="Times New Roman"/>
        </w:rPr>
        <w:t>However, Henry I appears to have sanctioned episcopal jurisdiction over clerics ac</w:t>
      </w:r>
      <w:r w:rsidR="002E64A2" w:rsidRPr="00584340">
        <w:rPr>
          <w:rFonts w:cs="Times New Roman"/>
        </w:rPr>
        <w:t>c</w:t>
      </w:r>
      <w:r w:rsidR="006C442A" w:rsidRPr="00584340">
        <w:rPr>
          <w:rFonts w:cs="Times New Roman"/>
        </w:rPr>
        <w:t>used of crimes and misdemeanours.</w:t>
      </w:r>
      <w:r w:rsidR="006C442A" w:rsidRPr="00584340">
        <w:rPr>
          <w:rStyle w:val="FootnoteReference"/>
          <w:rFonts w:cs="Times New Roman"/>
        </w:rPr>
        <w:footnoteReference w:id="20"/>
      </w:r>
      <w:r w:rsidR="006C442A" w:rsidRPr="00584340">
        <w:rPr>
          <w:rFonts w:cs="Times New Roman"/>
        </w:rPr>
        <w:t xml:space="preserve"> Furthermore, in his charter of 1136, Stephen</w:t>
      </w:r>
      <w:r w:rsidR="0086685B" w:rsidRPr="00584340">
        <w:rPr>
          <w:rFonts w:cs="Times New Roman"/>
        </w:rPr>
        <w:t xml:space="preserve"> </w:t>
      </w:r>
      <w:r w:rsidR="006C442A" w:rsidRPr="00584340">
        <w:rPr>
          <w:rFonts w:cs="Times New Roman"/>
        </w:rPr>
        <w:t xml:space="preserve">granted clerical immunity from </w:t>
      </w:r>
      <w:r w:rsidR="006C442A" w:rsidRPr="00584340">
        <w:rPr>
          <w:rFonts w:cs="Times New Roman"/>
        </w:rPr>
        <w:lastRenderedPageBreak/>
        <w:t>secular jurisdiction (</w:t>
      </w:r>
      <w:r w:rsidR="006C442A" w:rsidRPr="00584340">
        <w:rPr>
          <w:rFonts w:cs="Times New Roman"/>
          <w:i/>
          <w:iCs/>
        </w:rPr>
        <w:t>privilegium fori</w:t>
      </w:r>
      <w:r w:rsidR="006C442A" w:rsidRPr="00584340">
        <w:rPr>
          <w:rFonts w:cs="Times New Roman"/>
        </w:rPr>
        <w:t>).</w:t>
      </w:r>
      <w:r w:rsidR="006C442A" w:rsidRPr="00584340">
        <w:rPr>
          <w:rStyle w:val="FootnoteReference"/>
          <w:rFonts w:cs="Times New Roman"/>
        </w:rPr>
        <w:footnoteReference w:id="21"/>
      </w:r>
      <w:r w:rsidR="006C442A" w:rsidRPr="00584340">
        <w:rPr>
          <w:rFonts w:cs="Times New Roman"/>
        </w:rPr>
        <w:t xml:space="preserve"> </w:t>
      </w:r>
      <w:r w:rsidRPr="00584340">
        <w:rPr>
          <w:rFonts w:cs="Times New Roman"/>
        </w:rPr>
        <w:t xml:space="preserve">Ecclesiastical and secular courts </w:t>
      </w:r>
      <w:r w:rsidR="0086685B" w:rsidRPr="00584340">
        <w:rPr>
          <w:rFonts w:cs="Times New Roman"/>
        </w:rPr>
        <w:t>dispensed</w:t>
      </w:r>
      <w:r w:rsidRPr="00584340">
        <w:rPr>
          <w:rFonts w:cs="Times New Roman"/>
        </w:rPr>
        <w:t xml:space="preserve"> justice differently. In administering the king’s justice, secular courts could order execution or mutilation for the most serious crimes. Canon law prevented ecclesiastical courts from such extreme penalties, </w:t>
      </w:r>
      <w:r w:rsidR="00CC1908" w:rsidRPr="00584340">
        <w:rPr>
          <w:rFonts w:cs="Times New Roman"/>
        </w:rPr>
        <w:t>although</w:t>
      </w:r>
      <w:r w:rsidRPr="00584340">
        <w:rPr>
          <w:rFonts w:cs="Times New Roman"/>
        </w:rPr>
        <w:t xml:space="preserve"> before Stephen the cases with which they dealt rarely warranted them. However, Stephen’s disordered reign </w:t>
      </w:r>
      <w:r w:rsidR="00CC1908" w:rsidRPr="00584340">
        <w:rPr>
          <w:rFonts w:cs="Times New Roman"/>
        </w:rPr>
        <w:t>bequeathed</w:t>
      </w:r>
      <w:r w:rsidRPr="00584340">
        <w:rPr>
          <w:rFonts w:cs="Times New Roman"/>
        </w:rPr>
        <w:t xml:space="preserve"> a land plagued with widespread lawlessness and a legion of territorial legal disputes. </w:t>
      </w:r>
    </w:p>
    <w:p w14:paraId="3FE0F957" w14:textId="77777777" w:rsidR="00794E27" w:rsidRPr="00584340" w:rsidRDefault="00794E27" w:rsidP="001C396C">
      <w:pPr>
        <w:spacing w:line="360" w:lineRule="auto"/>
        <w:ind w:firstLine="720"/>
        <w:jc w:val="both"/>
        <w:rPr>
          <w:rFonts w:cs="Times New Roman"/>
        </w:rPr>
      </w:pPr>
    </w:p>
    <w:p w14:paraId="34CA5479" w14:textId="627D4765" w:rsidR="00794E27" w:rsidRPr="00584340" w:rsidRDefault="00794E27" w:rsidP="001C396C">
      <w:pPr>
        <w:spacing w:line="360" w:lineRule="auto"/>
        <w:ind w:firstLine="720"/>
        <w:jc w:val="both"/>
        <w:rPr>
          <w:rFonts w:cs="Times New Roman"/>
        </w:rPr>
      </w:pPr>
      <w:r w:rsidRPr="00584340">
        <w:rPr>
          <w:rFonts w:cs="Times New Roman"/>
        </w:rPr>
        <w:t xml:space="preserve">Throughout Western Christendom, the Gregorian reforms of the eleventh century, marked by the spread of monasticism, and marred by the Investiture Controversy, reinvigorated the administrative, </w:t>
      </w:r>
      <w:r w:rsidR="00B7785E" w:rsidRPr="00584340">
        <w:rPr>
          <w:rFonts w:cs="Times New Roman"/>
        </w:rPr>
        <w:t>hierarchical,</w:t>
      </w:r>
      <w:r w:rsidRPr="00584340">
        <w:rPr>
          <w:rFonts w:cs="Times New Roman"/>
        </w:rPr>
        <w:t xml:space="preserve"> and legislative functions of the Church. </w:t>
      </w:r>
      <w:r w:rsidR="006704DD" w:rsidRPr="00584340">
        <w:rPr>
          <w:rFonts w:cs="Times New Roman"/>
        </w:rPr>
        <w:t>G</w:t>
      </w:r>
      <w:r w:rsidRPr="00584340">
        <w:rPr>
          <w:rFonts w:cs="Times New Roman"/>
        </w:rPr>
        <w:t xml:space="preserve">rowing in power and influence, as arbitrators and law makers, the </w:t>
      </w:r>
      <w:r w:rsidR="006704DD" w:rsidRPr="00584340">
        <w:rPr>
          <w:rFonts w:cs="Times New Roman"/>
        </w:rPr>
        <w:t>C</w:t>
      </w:r>
      <w:r w:rsidRPr="00584340">
        <w:rPr>
          <w:rFonts w:cs="Times New Roman"/>
        </w:rPr>
        <w:t>hurch defined distinct status for her clerics and develop</w:t>
      </w:r>
      <w:r w:rsidR="006704DD" w:rsidRPr="00584340">
        <w:rPr>
          <w:rFonts w:cs="Times New Roman"/>
        </w:rPr>
        <w:t>ed</w:t>
      </w:r>
      <w:r w:rsidRPr="00584340">
        <w:rPr>
          <w:rFonts w:cs="Times New Roman"/>
        </w:rPr>
        <w:t xml:space="preserve"> the role of ecclesiastical jurisprudence.</w:t>
      </w:r>
      <w:r w:rsidRPr="00584340">
        <w:rPr>
          <w:rStyle w:val="FootnoteReference"/>
          <w:rFonts w:cs="Times New Roman"/>
        </w:rPr>
        <w:t xml:space="preserve"> </w:t>
      </w:r>
      <w:r w:rsidRPr="00584340">
        <w:rPr>
          <w:rStyle w:val="FootnoteReference"/>
          <w:rFonts w:cs="Times New Roman"/>
        </w:rPr>
        <w:footnoteReference w:id="22"/>
      </w:r>
      <w:r w:rsidRPr="00584340">
        <w:rPr>
          <w:rFonts w:cs="Times New Roman"/>
        </w:rPr>
        <w:t xml:space="preserve"> In offering systemised, consistent and reliable governance, twelfth-century ecclesiastical courts were well placed to assist overwhelmed civil courts, who relinquished the majority of their clerical caseload to ecclesiastical jurisdiction, including matters touching on the king’s peace.</w:t>
      </w:r>
      <w:r w:rsidRPr="00584340">
        <w:rPr>
          <w:rStyle w:val="FootnoteReference"/>
          <w:rFonts w:cs="Times New Roman"/>
        </w:rPr>
        <w:footnoteReference w:id="23"/>
      </w:r>
      <w:r w:rsidRPr="00584340">
        <w:rPr>
          <w:rFonts w:cs="Times New Roman"/>
        </w:rPr>
        <w:t xml:space="preserve">  However, despite taking on more serious cases, ecclesiastical courts ‘had not yet developed adequate means for dealing with those accused of violent crime’.</w:t>
      </w:r>
      <w:r w:rsidRPr="00584340">
        <w:rPr>
          <w:rStyle w:val="FootnoteReference"/>
          <w:rFonts w:cs="Times New Roman"/>
        </w:rPr>
        <w:footnoteReference w:id="24"/>
      </w:r>
      <w:r w:rsidRPr="00584340">
        <w:rPr>
          <w:rFonts w:cs="Times New Roman"/>
        </w:rPr>
        <w:t xml:space="preserve"> </w:t>
      </w:r>
      <w:r w:rsidR="00451E00" w:rsidRPr="00584340">
        <w:rPr>
          <w:rFonts w:cs="Times New Roman"/>
        </w:rPr>
        <w:t>Most significantly, they could not impose death or mutilation.</w:t>
      </w:r>
      <w:r w:rsidR="008013BD" w:rsidRPr="00584340">
        <w:rPr>
          <w:rStyle w:val="FootnoteReference"/>
          <w:rFonts w:cs="Times New Roman"/>
        </w:rPr>
        <w:footnoteReference w:id="25"/>
      </w:r>
      <w:r w:rsidR="00451E00" w:rsidRPr="00584340">
        <w:rPr>
          <w:rFonts w:cs="Times New Roman"/>
        </w:rPr>
        <w:t xml:space="preserve"> </w:t>
      </w:r>
      <w:r w:rsidR="00FD64D7" w:rsidRPr="00584340">
        <w:rPr>
          <w:rFonts w:cs="Times New Roman"/>
        </w:rPr>
        <w:t>Therefore, potential clerical felons face</w:t>
      </w:r>
      <w:r w:rsidR="0086685B" w:rsidRPr="00584340">
        <w:rPr>
          <w:rFonts w:cs="Times New Roman"/>
        </w:rPr>
        <w:t>d</w:t>
      </w:r>
      <w:r w:rsidR="00FD64D7" w:rsidRPr="00584340">
        <w:rPr>
          <w:rFonts w:cs="Times New Roman"/>
        </w:rPr>
        <w:t xml:space="preserve"> less deterrence from committing serious crimes than the rest.  </w:t>
      </w:r>
      <w:r w:rsidRPr="00584340">
        <w:rPr>
          <w:rFonts w:cs="Times New Roman"/>
        </w:rPr>
        <w:t xml:space="preserve"> </w:t>
      </w:r>
    </w:p>
    <w:p w14:paraId="661DBE3A" w14:textId="77777777" w:rsidR="003F1708" w:rsidRPr="00584340" w:rsidRDefault="003F1708" w:rsidP="001C396C">
      <w:pPr>
        <w:spacing w:line="360" w:lineRule="auto"/>
        <w:ind w:firstLine="720"/>
        <w:jc w:val="both"/>
        <w:rPr>
          <w:rFonts w:cs="Times New Roman"/>
        </w:rPr>
      </w:pPr>
    </w:p>
    <w:p w14:paraId="4F3C78A6" w14:textId="58F7E219" w:rsidR="003F1708" w:rsidRPr="00584340" w:rsidRDefault="003F1708" w:rsidP="001C396C">
      <w:pPr>
        <w:spacing w:line="360" w:lineRule="auto"/>
        <w:ind w:firstLine="720"/>
        <w:jc w:val="both"/>
        <w:rPr>
          <w:rFonts w:cs="Times New Roman"/>
        </w:rPr>
      </w:pPr>
      <w:r w:rsidRPr="00584340">
        <w:rPr>
          <w:rFonts w:cs="Times New Roman"/>
          <w:lang w:val="en"/>
        </w:rPr>
        <w:t>Two cases</w:t>
      </w:r>
      <w:r w:rsidR="00F1454C" w:rsidRPr="00584340">
        <w:rPr>
          <w:rFonts w:cs="Times New Roman"/>
          <w:lang w:val="en"/>
        </w:rPr>
        <w:t xml:space="preserve"> </w:t>
      </w:r>
      <w:r w:rsidR="00F4756F" w:rsidRPr="00584340">
        <w:rPr>
          <w:rFonts w:cs="Times New Roman"/>
          <w:lang w:val="en"/>
        </w:rPr>
        <w:t>highlighted</w:t>
      </w:r>
      <w:r w:rsidRPr="00584340">
        <w:rPr>
          <w:rFonts w:cs="Times New Roman"/>
          <w:lang w:val="en"/>
        </w:rPr>
        <w:t xml:space="preserve"> the need for judicial reform.</w:t>
      </w:r>
      <w:r w:rsidR="00B61FF8" w:rsidRPr="00584340">
        <w:rPr>
          <w:rStyle w:val="FootnoteReference"/>
          <w:rFonts w:cs="Times New Roman"/>
        </w:rPr>
        <w:t xml:space="preserve"> </w:t>
      </w:r>
      <w:r w:rsidR="00B61FF8" w:rsidRPr="00584340">
        <w:rPr>
          <w:rStyle w:val="FootnoteReference"/>
          <w:rFonts w:cs="Times New Roman"/>
        </w:rPr>
        <w:footnoteReference w:id="26"/>
      </w:r>
      <w:r w:rsidR="00B61FF8" w:rsidRPr="00584340">
        <w:rPr>
          <w:rFonts w:cs="Times New Roman"/>
        </w:rPr>
        <w:t xml:space="preserve"> </w:t>
      </w:r>
      <w:r w:rsidRPr="00584340">
        <w:rPr>
          <w:rFonts w:cs="Times New Roman"/>
          <w:lang w:val="en"/>
        </w:rPr>
        <w:t xml:space="preserve"> </w:t>
      </w:r>
      <w:r w:rsidR="00F1454C" w:rsidRPr="00584340">
        <w:rPr>
          <w:rFonts w:cs="Times New Roman"/>
          <w:lang w:val="en"/>
        </w:rPr>
        <w:t xml:space="preserve">When, in Stephen’s reign, Archdeacon, </w:t>
      </w:r>
      <w:r w:rsidRPr="00584340">
        <w:rPr>
          <w:rFonts w:cs="Times New Roman"/>
        </w:rPr>
        <w:t xml:space="preserve">Osbert of Bayeux, </w:t>
      </w:r>
      <w:r w:rsidR="00F1454C" w:rsidRPr="00584340">
        <w:rPr>
          <w:rFonts w:cs="Times New Roman"/>
        </w:rPr>
        <w:t>was</w:t>
      </w:r>
      <w:r w:rsidRPr="00584340">
        <w:rPr>
          <w:rFonts w:cs="Times New Roman"/>
        </w:rPr>
        <w:t xml:space="preserve"> accused of poisoning </w:t>
      </w:r>
      <w:r w:rsidR="00F1454C" w:rsidRPr="00584340">
        <w:rPr>
          <w:rFonts w:cs="Times New Roman"/>
        </w:rPr>
        <w:t xml:space="preserve">William FitzHerbert, </w:t>
      </w:r>
      <w:r w:rsidRPr="00584340">
        <w:rPr>
          <w:rFonts w:cs="Times New Roman"/>
        </w:rPr>
        <w:t xml:space="preserve">Archbishop </w:t>
      </w:r>
      <w:r w:rsidR="00F1454C" w:rsidRPr="00584340">
        <w:rPr>
          <w:rFonts w:cs="Times New Roman"/>
        </w:rPr>
        <w:t>of York</w:t>
      </w:r>
      <w:r w:rsidRPr="00584340">
        <w:rPr>
          <w:rFonts w:cs="Times New Roman"/>
        </w:rPr>
        <w:t>, Archbishop Theobald</w:t>
      </w:r>
      <w:r w:rsidR="00F1454C" w:rsidRPr="00584340">
        <w:rPr>
          <w:rFonts w:cs="Times New Roman"/>
        </w:rPr>
        <w:t xml:space="preserve"> of Canterbury</w:t>
      </w:r>
      <w:r w:rsidRPr="00584340">
        <w:rPr>
          <w:rFonts w:cs="Times New Roman"/>
        </w:rPr>
        <w:t xml:space="preserve"> anticipated a secular trial</w:t>
      </w:r>
      <w:r w:rsidR="00F1454C" w:rsidRPr="00584340">
        <w:rPr>
          <w:rFonts w:cs="Times New Roman"/>
        </w:rPr>
        <w:t>.</w:t>
      </w:r>
      <w:r w:rsidR="00F4756F" w:rsidRPr="00584340">
        <w:rPr>
          <w:rFonts w:cs="Times New Roman"/>
        </w:rPr>
        <w:t xml:space="preserve"> </w:t>
      </w:r>
      <w:r w:rsidR="00E14F61">
        <w:rPr>
          <w:rStyle w:val="FootnoteReference"/>
          <w:rFonts w:cs="Times New Roman"/>
        </w:rPr>
        <w:footnoteReference w:id="27"/>
      </w:r>
      <w:r w:rsidR="00F1454C" w:rsidRPr="00584340">
        <w:rPr>
          <w:rFonts w:cs="Times New Roman"/>
        </w:rPr>
        <w:t xml:space="preserve"> </w:t>
      </w:r>
      <w:r w:rsidR="00200509" w:rsidRPr="00584340">
        <w:rPr>
          <w:rFonts w:cs="Times New Roman"/>
        </w:rPr>
        <w:t>However,</w:t>
      </w:r>
      <w:r w:rsidR="00F1454C" w:rsidRPr="00584340">
        <w:rPr>
          <w:rFonts w:cs="Times New Roman"/>
        </w:rPr>
        <w:t xml:space="preserve"> </w:t>
      </w:r>
      <w:r w:rsidRPr="00584340">
        <w:rPr>
          <w:rFonts w:cs="Times New Roman"/>
        </w:rPr>
        <w:t>in 1156</w:t>
      </w:r>
      <w:r w:rsidR="00F1454C" w:rsidRPr="00584340">
        <w:rPr>
          <w:rFonts w:cs="Times New Roman"/>
        </w:rPr>
        <w:t>, early in his reign,</w:t>
      </w:r>
      <w:r w:rsidRPr="00584340">
        <w:rPr>
          <w:rFonts w:cs="Times New Roman"/>
        </w:rPr>
        <w:t xml:space="preserve"> Henry considered that, since the case involved churchmen, it was better handled according to canon law in ecclesiastical court</w:t>
      </w:r>
      <w:r w:rsidRPr="0022165A">
        <w:rPr>
          <w:rFonts w:cs="Times New Roman"/>
        </w:rPr>
        <w:t>. The case was never resolved</w:t>
      </w:r>
      <w:r w:rsidR="00F1454C" w:rsidRPr="0022165A">
        <w:rPr>
          <w:rFonts w:cs="Times New Roman"/>
        </w:rPr>
        <w:t>.</w:t>
      </w:r>
      <w:r w:rsidRPr="0022165A">
        <w:rPr>
          <w:rFonts w:cs="Times New Roman"/>
        </w:rPr>
        <w:t xml:space="preserve"> </w:t>
      </w:r>
      <w:r w:rsidR="003F052A" w:rsidRPr="0022165A">
        <w:rPr>
          <w:rFonts w:cs="Times New Roman"/>
        </w:rPr>
        <w:t>Perhaps</w:t>
      </w:r>
      <w:r w:rsidR="003F052A" w:rsidRPr="00584340">
        <w:rPr>
          <w:rFonts w:cs="Times New Roman"/>
        </w:rPr>
        <w:t xml:space="preserve"> </w:t>
      </w:r>
      <w:r w:rsidR="00F1454C" w:rsidRPr="00584340">
        <w:rPr>
          <w:rFonts w:cs="Times New Roman"/>
        </w:rPr>
        <w:t xml:space="preserve">Henry’s </w:t>
      </w:r>
      <w:r w:rsidR="003F052A" w:rsidRPr="00584340">
        <w:rPr>
          <w:rFonts w:cs="Times New Roman"/>
        </w:rPr>
        <w:lastRenderedPageBreak/>
        <w:t xml:space="preserve">felt compelled to continue </w:t>
      </w:r>
      <w:r w:rsidRPr="00584340">
        <w:rPr>
          <w:rFonts w:cs="Times New Roman"/>
        </w:rPr>
        <w:t xml:space="preserve">Stephen’s practice whilst he found his feet, </w:t>
      </w:r>
      <w:r w:rsidR="003F052A" w:rsidRPr="00584340">
        <w:rPr>
          <w:rFonts w:cs="Times New Roman"/>
        </w:rPr>
        <w:t xml:space="preserve">whilst he considered more deeply the issues facing his kingdom, </w:t>
      </w:r>
      <w:r w:rsidRPr="00584340">
        <w:rPr>
          <w:rFonts w:cs="Times New Roman"/>
        </w:rPr>
        <w:t xml:space="preserve">before developing </w:t>
      </w:r>
      <w:r w:rsidR="003F052A" w:rsidRPr="00584340">
        <w:rPr>
          <w:rFonts w:cs="Times New Roman"/>
        </w:rPr>
        <w:t>his</w:t>
      </w:r>
      <w:r w:rsidRPr="00584340">
        <w:rPr>
          <w:rFonts w:cs="Times New Roman"/>
        </w:rPr>
        <w:t xml:space="preserve"> </w:t>
      </w:r>
      <w:r w:rsidR="003F052A" w:rsidRPr="00584340">
        <w:rPr>
          <w:rFonts w:cs="Times New Roman"/>
        </w:rPr>
        <w:t>own</w:t>
      </w:r>
      <w:r w:rsidRPr="00584340">
        <w:rPr>
          <w:rFonts w:cs="Times New Roman"/>
        </w:rPr>
        <w:t xml:space="preserve"> judicial reforms. </w:t>
      </w:r>
      <w:r w:rsidR="00CE4C67" w:rsidRPr="00584340">
        <w:rPr>
          <w:rFonts w:cs="Times New Roman"/>
        </w:rPr>
        <w:t>But</w:t>
      </w:r>
      <w:r w:rsidRPr="00584340">
        <w:rPr>
          <w:rFonts w:cs="Times New Roman"/>
        </w:rPr>
        <w:t xml:space="preserve">, by 1158, Henry felt the appropriate place to </w:t>
      </w:r>
      <w:r w:rsidR="00CE4C67" w:rsidRPr="00584340">
        <w:rPr>
          <w:rFonts w:cs="Times New Roman"/>
        </w:rPr>
        <w:t>summon</w:t>
      </w:r>
      <w:r w:rsidRPr="00584340">
        <w:rPr>
          <w:rFonts w:cs="Times New Roman"/>
        </w:rPr>
        <w:t xml:space="preserve"> ‘criminous clerks’ was the secular court. To his annoyance, John, treasurer of York, thwarted Henry’s summons of a rural dean and archdeacon to answer charges of extortion, pleading clerical immunity from secular prosecution.</w:t>
      </w:r>
      <w:r w:rsidR="00426694">
        <w:rPr>
          <w:rStyle w:val="FootnoteReference"/>
          <w:rFonts w:cs="Times New Roman"/>
        </w:rPr>
        <w:footnoteReference w:id="28"/>
      </w:r>
      <w:r w:rsidRPr="00584340">
        <w:rPr>
          <w:rFonts w:cs="Times New Roman"/>
        </w:rPr>
        <w:t xml:space="preserve"> </w:t>
      </w:r>
    </w:p>
    <w:p w14:paraId="0D9438FA" w14:textId="77777777" w:rsidR="003F1708" w:rsidRPr="00584340" w:rsidRDefault="003F1708" w:rsidP="001C396C">
      <w:pPr>
        <w:spacing w:line="360" w:lineRule="auto"/>
        <w:ind w:firstLine="720"/>
        <w:jc w:val="both"/>
        <w:rPr>
          <w:rFonts w:cs="Times New Roman"/>
        </w:rPr>
      </w:pPr>
    </w:p>
    <w:p w14:paraId="238F14EE" w14:textId="51CD4CF9" w:rsidR="004B2A23" w:rsidRPr="00584340" w:rsidRDefault="00B4180A" w:rsidP="001C396C">
      <w:pPr>
        <w:spacing w:line="360" w:lineRule="auto"/>
        <w:ind w:firstLine="720"/>
        <w:jc w:val="both"/>
        <w:rPr>
          <w:rFonts w:cs="Times New Roman"/>
        </w:rPr>
      </w:pPr>
      <w:r w:rsidRPr="00584340">
        <w:rPr>
          <w:rFonts w:cs="Times New Roman"/>
        </w:rPr>
        <w:t xml:space="preserve">However, having identified ‘criminous clerks’, as a problem, </w:t>
      </w:r>
      <w:r w:rsidR="00F450CA" w:rsidRPr="00584340">
        <w:rPr>
          <w:rFonts w:cs="Times New Roman"/>
        </w:rPr>
        <w:t xml:space="preserve">Henry had every reason to expect Thomas’ co-operation in </w:t>
      </w:r>
      <w:r w:rsidRPr="00584340">
        <w:rPr>
          <w:rFonts w:cs="Times New Roman"/>
        </w:rPr>
        <w:t>implementing</w:t>
      </w:r>
      <w:r w:rsidR="00F450CA" w:rsidRPr="00584340">
        <w:rPr>
          <w:rFonts w:cs="Times New Roman"/>
        </w:rPr>
        <w:t xml:space="preserve"> judicial reform, just as he had in other aspects of restoring England to </w:t>
      </w:r>
      <w:r w:rsidRPr="00584340">
        <w:rPr>
          <w:rFonts w:cs="Times New Roman"/>
        </w:rPr>
        <w:t xml:space="preserve">the </w:t>
      </w:r>
      <w:r w:rsidR="00F450CA" w:rsidRPr="00584340">
        <w:rPr>
          <w:rFonts w:cs="Times New Roman"/>
        </w:rPr>
        <w:t>peace, prosperity and rule of law</w:t>
      </w:r>
      <w:r w:rsidR="004B2A23" w:rsidRPr="00584340">
        <w:rPr>
          <w:rFonts w:cs="Times New Roman"/>
        </w:rPr>
        <w:t xml:space="preserve"> enjoyed under Henry I</w:t>
      </w:r>
      <w:r w:rsidR="00F450CA" w:rsidRPr="00584340">
        <w:rPr>
          <w:rFonts w:cs="Times New Roman"/>
        </w:rPr>
        <w:t xml:space="preserve">. As his Chancellor, </w:t>
      </w:r>
      <w:r w:rsidR="005C6937" w:rsidRPr="00584340">
        <w:rPr>
          <w:rFonts w:cs="Times New Roman"/>
        </w:rPr>
        <w:t>Thomas</w:t>
      </w:r>
      <w:r w:rsidR="004B2A23" w:rsidRPr="00584340">
        <w:rPr>
          <w:rFonts w:cs="Times New Roman"/>
        </w:rPr>
        <w:t xml:space="preserve"> </w:t>
      </w:r>
      <w:r w:rsidR="00F450CA" w:rsidRPr="00584340">
        <w:rPr>
          <w:rFonts w:cs="Times New Roman"/>
        </w:rPr>
        <w:t xml:space="preserve">had undertaken his secular role with great dedication: </w:t>
      </w:r>
      <w:r w:rsidR="005C6937" w:rsidRPr="00584340">
        <w:rPr>
          <w:rFonts w:cs="Times New Roman"/>
        </w:rPr>
        <w:t>settling</w:t>
      </w:r>
      <w:r w:rsidR="00F450CA" w:rsidRPr="00584340">
        <w:rPr>
          <w:rFonts w:cs="Times New Roman"/>
        </w:rPr>
        <w:t xml:space="preserve"> disputes over land and titles, rebuilding the Tower of London and other public works, filling vacant bishoprics and abbacies, </w:t>
      </w:r>
      <w:r w:rsidR="004B2A23" w:rsidRPr="00584340">
        <w:rPr>
          <w:rFonts w:cs="Times New Roman"/>
        </w:rPr>
        <w:t xml:space="preserve">leading a crucial and impressive delegation to Louis VII of France to broker royal marriage, and pursuing war on Henry’s behalf in </w:t>
      </w:r>
      <w:r w:rsidR="00183F02" w:rsidRPr="00584340">
        <w:rPr>
          <w:rFonts w:cs="Times New Roman"/>
        </w:rPr>
        <w:t>Toulouse</w:t>
      </w:r>
      <w:r w:rsidR="004B2A23" w:rsidRPr="00584340">
        <w:rPr>
          <w:rFonts w:cs="Times New Roman"/>
        </w:rPr>
        <w:t>.</w:t>
      </w:r>
      <w:r w:rsidR="004B2A23" w:rsidRPr="00584340">
        <w:rPr>
          <w:rStyle w:val="FootnoteReference"/>
          <w:rFonts w:cs="Times New Roman"/>
        </w:rPr>
        <w:footnoteReference w:id="29"/>
      </w:r>
      <w:r w:rsidR="005C6937" w:rsidRPr="00584340">
        <w:rPr>
          <w:rFonts w:cs="Times New Roman"/>
        </w:rPr>
        <w:t xml:space="preserve"> </w:t>
      </w:r>
      <w:r w:rsidR="004B2A23" w:rsidRPr="00584340">
        <w:rPr>
          <w:rFonts w:cs="Times New Roman"/>
        </w:rPr>
        <w:t xml:space="preserve">Therefore, Henry </w:t>
      </w:r>
      <w:r w:rsidR="005C6937" w:rsidRPr="00584340">
        <w:rPr>
          <w:rFonts w:cs="Times New Roman"/>
        </w:rPr>
        <w:t>considered</w:t>
      </w:r>
      <w:r w:rsidR="004B2A23" w:rsidRPr="00584340">
        <w:rPr>
          <w:rFonts w:cs="Times New Roman"/>
        </w:rPr>
        <w:t xml:space="preserve"> that</w:t>
      </w:r>
      <w:r w:rsidR="003F052A" w:rsidRPr="00584340">
        <w:rPr>
          <w:rFonts w:cs="Times New Roman"/>
        </w:rPr>
        <w:t xml:space="preserve"> with Thomas as Archbishop of Canterbury</w:t>
      </w:r>
      <w:r w:rsidR="004B2A23" w:rsidRPr="00584340">
        <w:rPr>
          <w:rFonts w:cs="Times New Roman"/>
        </w:rPr>
        <w:t xml:space="preserve"> </w:t>
      </w:r>
      <w:r w:rsidR="003F052A" w:rsidRPr="00584340">
        <w:rPr>
          <w:rFonts w:cs="Times New Roman"/>
        </w:rPr>
        <w:t xml:space="preserve">their united efforts, like </w:t>
      </w:r>
      <w:r w:rsidR="004B2A23" w:rsidRPr="00584340">
        <w:rPr>
          <w:rFonts w:cs="Times New Roman"/>
        </w:rPr>
        <w:t>William I and Lanfranc</w:t>
      </w:r>
      <w:r w:rsidR="003F052A" w:rsidRPr="00584340">
        <w:rPr>
          <w:rFonts w:cs="Times New Roman"/>
        </w:rPr>
        <w:t xml:space="preserve"> they would pursue the king’s goals, Henry</w:t>
      </w:r>
      <w:r w:rsidR="004B2A23" w:rsidRPr="00584340">
        <w:rPr>
          <w:rFonts w:cs="Times New Roman"/>
        </w:rPr>
        <w:t xml:space="preserve"> having the final say should they disagree.</w:t>
      </w:r>
      <w:r w:rsidRPr="00584340">
        <w:rPr>
          <w:rStyle w:val="FootnoteReference"/>
          <w:rFonts w:cs="Times New Roman"/>
        </w:rPr>
        <w:footnoteReference w:id="30"/>
      </w:r>
      <w:r w:rsidR="004B2A23" w:rsidRPr="00584340">
        <w:rPr>
          <w:rFonts w:cs="Times New Roman"/>
        </w:rPr>
        <w:t xml:space="preserve"> As Grim writes:</w:t>
      </w:r>
    </w:p>
    <w:p w14:paraId="4322BDBC" w14:textId="77777777" w:rsidR="004B2A23" w:rsidRPr="00584340" w:rsidRDefault="004B2A23" w:rsidP="001C396C">
      <w:pPr>
        <w:spacing w:line="360" w:lineRule="auto"/>
        <w:jc w:val="both"/>
        <w:rPr>
          <w:rFonts w:cs="Times New Roman"/>
        </w:rPr>
      </w:pPr>
    </w:p>
    <w:p w14:paraId="26D5B5E2" w14:textId="77777777" w:rsidR="004B2A23" w:rsidRPr="00584340" w:rsidRDefault="004B2A23" w:rsidP="001C396C">
      <w:pPr>
        <w:spacing w:line="360" w:lineRule="auto"/>
        <w:ind w:left="720"/>
        <w:jc w:val="both"/>
        <w:rPr>
          <w:rFonts w:cs="Times New Roman"/>
        </w:rPr>
      </w:pPr>
      <w:r w:rsidRPr="00584340">
        <w:rPr>
          <w:rFonts w:cs="Times New Roman"/>
        </w:rPr>
        <w:t>The king then, thinking that the new archbishop would follow his desire in all things, as before, and obey his orders, bestowed the office of archbishop on him.</w:t>
      </w:r>
      <w:r w:rsidRPr="00584340">
        <w:rPr>
          <w:rStyle w:val="FootnoteReference"/>
          <w:rFonts w:cs="Times New Roman"/>
        </w:rPr>
        <w:footnoteReference w:id="31"/>
      </w:r>
    </w:p>
    <w:p w14:paraId="6FAF57BF" w14:textId="77777777" w:rsidR="004B2A23" w:rsidRPr="00584340" w:rsidRDefault="004B2A23" w:rsidP="001C396C">
      <w:pPr>
        <w:spacing w:line="360" w:lineRule="auto"/>
        <w:ind w:left="720"/>
        <w:jc w:val="both"/>
        <w:rPr>
          <w:rFonts w:cs="Times New Roman"/>
        </w:rPr>
      </w:pPr>
    </w:p>
    <w:p w14:paraId="05BC6CC9" w14:textId="040F5650" w:rsidR="004B2A23" w:rsidRPr="00584340" w:rsidRDefault="004B2A23" w:rsidP="001C396C">
      <w:pPr>
        <w:spacing w:line="360" w:lineRule="auto"/>
        <w:ind w:firstLine="720"/>
        <w:rPr>
          <w:rFonts w:cs="Times New Roman"/>
        </w:rPr>
      </w:pPr>
      <w:r w:rsidRPr="00584340">
        <w:rPr>
          <w:rFonts w:cs="Times New Roman"/>
        </w:rPr>
        <w:t xml:space="preserve">However, Thomas, recognising the potential </w:t>
      </w:r>
      <w:r w:rsidR="00B257A9" w:rsidRPr="00584340">
        <w:rPr>
          <w:rFonts w:cs="Times New Roman"/>
        </w:rPr>
        <w:t xml:space="preserve">for </w:t>
      </w:r>
      <w:r w:rsidR="00B4180A" w:rsidRPr="00584340">
        <w:rPr>
          <w:rFonts w:cs="Times New Roman"/>
        </w:rPr>
        <w:t>Archepiscopal</w:t>
      </w:r>
      <w:r w:rsidR="00B257A9" w:rsidRPr="00584340">
        <w:rPr>
          <w:rFonts w:cs="Times New Roman"/>
        </w:rPr>
        <w:t xml:space="preserve"> ecclesiastical responsibilities </w:t>
      </w:r>
      <w:r w:rsidRPr="00584340">
        <w:rPr>
          <w:rFonts w:cs="Times New Roman"/>
        </w:rPr>
        <w:t>conflict</w:t>
      </w:r>
      <w:r w:rsidR="00B4180A" w:rsidRPr="00584340">
        <w:rPr>
          <w:rFonts w:cs="Times New Roman"/>
        </w:rPr>
        <w:t>ing</w:t>
      </w:r>
      <w:r w:rsidRPr="00584340">
        <w:rPr>
          <w:rFonts w:cs="Times New Roman"/>
        </w:rPr>
        <w:t xml:space="preserve"> </w:t>
      </w:r>
      <w:r w:rsidR="00B257A9" w:rsidRPr="00584340">
        <w:rPr>
          <w:rFonts w:cs="Times New Roman"/>
        </w:rPr>
        <w:t>with his loyalty to Henry</w:t>
      </w:r>
      <w:r w:rsidRPr="00584340">
        <w:rPr>
          <w:rFonts w:cs="Times New Roman"/>
        </w:rPr>
        <w:t xml:space="preserve">, </w:t>
      </w:r>
      <w:r w:rsidR="003F052A" w:rsidRPr="00584340">
        <w:rPr>
          <w:rFonts w:cs="Times New Roman"/>
        </w:rPr>
        <w:t xml:space="preserve">accepted </w:t>
      </w:r>
      <w:r w:rsidR="00B257A9" w:rsidRPr="00584340">
        <w:rPr>
          <w:rFonts w:cs="Times New Roman"/>
        </w:rPr>
        <w:t xml:space="preserve">the </w:t>
      </w:r>
      <w:r w:rsidR="00B4180A" w:rsidRPr="00584340">
        <w:rPr>
          <w:rFonts w:cs="Times New Roman"/>
        </w:rPr>
        <w:t>position</w:t>
      </w:r>
      <w:r w:rsidR="003F052A" w:rsidRPr="00584340">
        <w:rPr>
          <w:rFonts w:cs="Times New Roman"/>
        </w:rPr>
        <w:t xml:space="preserve"> reluctantly</w:t>
      </w:r>
      <w:r w:rsidR="00183F02" w:rsidRPr="00584340">
        <w:rPr>
          <w:rFonts w:cs="Times New Roman"/>
        </w:rPr>
        <w:t xml:space="preserve"> in 1162</w:t>
      </w:r>
      <w:r w:rsidRPr="00584340">
        <w:rPr>
          <w:rFonts w:cs="Times New Roman"/>
        </w:rPr>
        <w:t>.</w:t>
      </w:r>
      <w:r w:rsidRPr="00584340">
        <w:rPr>
          <w:rStyle w:val="FootnoteReference"/>
          <w:rFonts w:cs="Times New Roman"/>
        </w:rPr>
        <w:footnoteReference w:id="32"/>
      </w:r>
      <w:r w:rsidRPr="00584340">
        <w:rPr>
          <w:rFonts w:cs="Times New Roman"/>
        </w:rPr>
        <w:t xml:space="preserve"> </w:t>
      </w:r>
      <w:r w:rsidR="002044F1" w:rsidRPr="00584340">
        <w:rPr>
          <w:rFonts w:cs="Times New Roman"/>
        </w:rPr>
        <w:t xml:space="preserve">Within a few months, to Henry’s annoyance, Thomas resigned his role as Chancellor </w:t>
      </w:r>
      <w:r w:rsidR="002044F1" w:rsidRPr="00584340">
        <w:rPr>
          <w:rFonts w:cs="Times New Roman"/>
        </w:rPr>
        <w:lastRenderedPageBreak/>
        <w:t>to focus on defending the interests of the Church.</w:t>
      </w:r>
      <w:r w:rsidR="002044F1" w:rsidRPr="00584340">
        <w:rPr>
          <w:rStyle w:val="FootnoteReference"/>
          <w:rFonts w:cs="Times New Roman"/>
        </w:rPr>
        <w:footnoteReference w:id="33"/>
      </w:r>
      <w:r w:rsidR="002044F1" w:rsidRPr="00584340">
        <w:rPr>
          <w:rFonts w:cs="Times New Roman"/>
        </w:rPr>
        <w:t xml:space="preserve"> </w:t>
      </w:r>
      <w:r w:rsidR="00183F02" w:rsidRPr="00584340">
        <w:rPr>
          <w:rFonts w:cs="Times New Roman"/>
        </w:rPr>
        <w:t>At</w:t>
      </w:r>
      <w:r w:rsidR="005A2EFC" w:rsidRPr="00584340">
        <w:rPr>
          <w:rFonts w:cs="Times New Roman"/>
        </w:rPr>
        <w:t xml:space="preserve"> Woodstock in July 1163</w:t>
      </w:r>
      <w:r w:rsidR="00B257A9" w:rsidRPr="00584340">
        <w:rPr>
          <w:rFonts w:cs="Times New Roman"/>
        </w:rPr>
        <w:t xml:space="preserve">, </w:t>
      </w:r>
      <w:r w:rsidR="00BE15AB" w:rsidRPr="00584340">
        <w:rPr>
          <w:rFonts w:cs="Times New Roman"/>
        </w:rPr>
        <w:t xml:space="preserve">upholding the interests of landowners including the Church, </w:t>
      </w:r>
      <w:r w:rsidR="005A2EFC" w:rsidRPr="00584340">
        <w:rPr>
          <w:rFonts w:cs="Times New Roman"/>
        </w:rPr>
        <w:t>h</w:t>
      </w:r>
      <w:r w:rsidR="00B257A9" w:rsidRPr="00584340">
        <w:rPr>
          <w:rFonts w:cs="Times New Roman"/>
        </w:rPr>
        <w:t>e opposed Henry</w:t>
      </w:r>
      <w:r w:rsidR="005A2EFC" w:rsidRPr="00584340">
        <w:rPr>
          <w:rFonts w:cs="Times New Roman"/>
        </w:rPr>
        <w:t>’s</w:t>
      </w:r>
      <w:r w:rsidR="00B257A9" w:rsidRPr="00584340">
        <w:rPr>
          <w:rFonts w:cs="Times New Roman"/>
        </w:rPr>
        <w:t xml:space="preserve"> </w:t>
      </w:r>
      <w:r w:rsidR="005A2EFC" w:rsidRPr="00584340">
        <w:rPr>
          <w:rFonts w:cs="Times New Roman"/>
        </w:rPr>
        <w:t>ingenious</w:t>
      </w:r>
      <w:r w:rsidR="00B257A9" w:rsidRPr="00584340">
        <w:rPr>
          <w:rFonts w:cs="Times New Roman"/>
        </w:rPr>
        <w:t xml:space="preserve"> plans to </w:t>
      </w:r>
      <w:r w:rsidR="005A2EFC" w:rsidRPr="00584340">
        <w:rPr>
          <w:rFonts w:cs="Times New Roman"/>
        </w:rPr>
        <w:t>divert locally-derived ‘sheriff’s aid’, simultaneously gaining control over corruption in the sheriff’s courts whilst raising royal revenue without additional taxation.</w:t>
      </w:r>
      <w:r w:rsidR="005A2EFC" w:rsidRPr="00584340">
        <w:rPr>
          <w:rStyle w:val="FootnoteReference"/>
          <w:rFonts w:cs="Times New Roman"/>
        </w:rPr>
        <w:footnoteReference w:id="34"/>
      </w:r>
      <w:r w:rsidR="00B257A9" w:rsidRPr="00584340">
        <w:rPr>
          <w:rFonts w:cs="Times New Roman"/>
        </w:rPr>
        <w:t xml:space="preserve"> </w:t>
      </w:r>
      <w:r w:rsidR="00BE15AB" w:rsidRPr="00584340">
        <w:rPr>
          <w:rFonts w:cs="Times New Roman"/>
        </w:rPr>
        <w:t>Later that month</w:t>
      </w:r>
      <w:r w:rsidRPr="00584340">
        <w:rPr>
          <w:rFonts w:cs="Times New Roman"/>
        </w:rPr>
        <w:t xml:space="preserve">, in a sermon </w:t>
      </w:r>
      <w:r w:rsidR="00BE15AB" w:rsidRPr="00584340">
        <w:rPr>
          <w:rFonts w:cs="Times New Roman"/>
        </w:rPr>
        <w:t xml:space="preserve">witnessed by Henry </w:t>
      </w:r>
      <w:r w:rsidRPr="00584340">
        <w:rPr>
          <w:rFonts w:cs="Times New Roman"/>
        </w:rPr>
        <w:t xml:space="preserve">at Westminster Abbey, Thomas </w:t>
      </w:r>
      <w:r w:rsidR="00653742" w:rsidRPr="00584340">
        <w:rPr>
          <w:rFonts w:cs="Times New Roman"/>
        </w:rPr>
        <w:t xml:space="preserve">reflected on the proper relationship between Church and Princes, expounding the </w:t>
      </w:r>
      <w:r w:rsidRPr="00584340">
        <w:rPr>
          <w:rFonts w:cs="Times New Roman"/>
        </w:rPr>
        <w:t xml:space="preserve">latest theological </w:t>
      </w:r>
      <w:r w:rsidR="00653742" w:rsidRPr="00584340">
        <w:rPr>
          <w:rFonts w:cs="Times New Roman"/>
        </w:rPr>
        <w:t>consideration</w:t>
      </w:r>
      <w:r w:rsidR="00B4180A" w:rsidRPr="00584340">
        <w:rPr>
          <w:rFonts w:cs="Times New Roman"/>
        </w:rPr>
        <w:t>s</w:t>
      </w:r>
      <w:r w:rsidR="00653742" w:rsidRPr="00584340">
        <w:rPr>
          <w:rFonts w:cs="Times New Roman"/>
        </w:rPr>
        <w:t xml:space="preserve"> of</w:t>
      </w:r>
      <w:r w:rsidRPr="00584340">
        <w:rPr>
          <w:rFonts w:cs="Times New Roman"/>
        </w:rPr>
        <w:t xml:space="preserve"> the ‘two swords’ in Luke’s gospel.</w:t>
      </w:r>
      <w:r w:rsidRPr="00584340">
        <w:rPr>
          <w:rStyle w:val="FootnoteReference"/>
          <w:rFonts w:cs="Times New Roman"/>
        </w:rPr>
        <w:footnoteReference w:id="35"/>
      </w:r>
      <w:r w:rsidRPr="00584340">
        <w:rPr>
          <w:rFonts w:cs="Times New Roman"/>
        </w:rPr>
        <w:t xml:space="preserve"> </w:t>
      </w:r>
      <w:r w:rsidR="00C07823" w:rsidRPr="00584340">
        <w:rPr>
          <w:rFonts w:cs="Times New Roman"/>
        </w:rPr>
        <w:t xml:space="preserve">Originating in the simple acknowledgement by </w:t>
      </w:r>
      <w:r w:rsidRPr="00584340">
        <w:rPr>
          <w:rFonts w:cs="Times New Roman"/>
        </w:rPr>
        <w:t xml:space="preserve">Jesus’ disciples that they had </w:t>
      </w:r>
      <w:r w:rsidR="002745B2" w:rsidRPr="00584340">
        <w:rPr>
          <w:rFonts w:cs="Times New Roman"/>
        </w:rPr>
        <w:t>‘</w:t>
      </w:r>
      <w:r w:rsidRPr="00584340">
        <w:rPr>
          <w:rFonts w:cs="Times New Roman"/>
        </w:rPr>
        <w:t>two swords</w:t>
      </w:r>
      <w:r w:rsidR="002745B2" w:rsidRPr="00584340">
        <w:rPr>
          <w:rFonts w:cs="Times New Roman"/>
        </w:rPr>
        <w:t>’</w:t>
      </w:r>
      <w:r w:rsidRPr="00584340">
        <w:rPr>
          <w:rFonts w:cs="Times New Roman"/>
        </w:rPr>
        <w:t xml:space="preserve"> in their possession for his defence</w:t>
      </w:r>
      <w:r w:rsidR="00C07823" w:rsidRPr="00584340">
        <w:rPr>
          <w:rFonts w:cs="Times New Roman"/>
        </w:rPr>
        <w:t xml:space="preserve">, </w:t>
      </w:r>
      <w:r w:rsidRPr="00584340">
        <w:rPr>
          <w:rFonts w:cs="Times New Roman"/>
        </w:rPr>
        <w:t>eleventh</w:t>
      </w:r>
      <w:r w:rsidR="00653742" w:rsidRPr="00584340">
        <w:rPr>
          <w:rFonts w:cs="Times New Roman"/>
        </w:rPr>
        <w:t>-</w:t>
      </w:r>
      <w:r w:rsidRPr="00584340">
        <w:rPr>
          <w:rFonts w:cs="Times New Roman"/>
        </w:rPr>
        <w:t xml:space="preserve">century </w:t>
      </w:r>
      <w:r w:rsidR="00653742" w:rsidRPr="00584340">
        <w:rPr>
          <w:rFonts w:cs="Times New Roman"/>
        </w:rPr>
        <w:t xml:space="preserve">theologians developed an allegorical interpretation </w:t>
      </w:r>
      <w:r w:rsidR="00B4180A" w:rsidRPr="00584340">
        <w:rPr>
          <w:rFonts w:cs="Times New Roman"/>
        </w:rPr>
        <w:t xml:space="preserve">subsequently </w:t>
      </w:r>
      <w:r w:rsidR="00653742" w:rsidRPr="00584340">
        <w:rPr>
          <w:rFonts w:cs="Times New Roman"/>
        </w:rPr>
        <w:t>applied</w:t>
      </w:r>
      <w:r w:rsidRPr="00584340">
        <w:rPr>
          <w:rFonts w:cs="Times New Roman"/>
        </w:rPr>
        <w:t xml:space="preserve"> </w:t>
      </w:r>
      <w:r w:rsidR="00C07823" w:rsidRPr="00584340">
        <w:rPr>
          <w:rFonts w:cs="Times New Roman"/>
        </w:rPr>
        <w:t xml:space="preserve">to statecraft  by John of Salisbury </w:t>
      </w:r>
      <w:r w:rsidR="00653742" w:rsidRPr="00584340">
        <w:rPr>
          <w:rFonts w:cs="Times New Roman"/>
        </w:rPr>
        <w:t>in 1159</w:t>
      </w:r>
      <w:r w:rsidR="002745B2" w:rsidRPr="00584340">
        <w:rPr>
          <w:rFonts w:cs="Times New Roman"/>
        </w:rPr>
        <w:t>.</w:t>
      </w:r>
      <w:r w:rsidR="00653742" w:rsidRPr="00584340">
        <w:rPr>
          <w:rFonts w:cs="Times New Roman"/>
        </w:rPr>
        <w:t xml:space="preserve"> </w:t>
      </w:r>
      <w:r w:rsidR="002745B2" w:rsidRPr="00584340">
        <w:rPr>
          <w:rFonts w:cs="Times New Roman"/>
        </w:rPr>
        <w:t>H</w:t>
      </w:r>
      <w:r w:rsidR="00C07823" w:rsidRPr="00584340">
        <w:rPr>
          <w:rFonts w:cs="Times New Roman"/>
        </w:rPr>
        <w:t xml:space="preserve">is influential </w:t>
      </w:r>
      <w:r w:rsidR="00C07823" w:rsidRPr="00584340">
        <w:rPr>
          <w:rFonts w:cs="Times New Roman"/>
          <w:i/>
          <w:iCs/>
        </w:rPr>
        <w:t>Pol</w:t>
      </w:r>
      <w:r w:rsidR="00357996" w:rsidRPr="00584340">
        <w:rPr>
          <w:rFonts w:cs="Times New Roman"/>
          <w:i/>
          <w:iCs/>
        </w:rPr>
        <w:t>i</w:t>
      </w:r>
      <w:r w:rsidR="00C07823" w:rsidRPr="00584340">
        <w:rPr>
          <w:rFonts w:cs="Times New Roman"/>
          <w:i/>
          <w:iCs/>
        </w:rPr>
        <w:t>craticus.</w:t>
      </w:r>
      <w:r w:rsidR="00C07823" w:rsidRPr="00584340">
        <w:rPr>
          <w:rFonts w:cs="Times New Roman"/>
        </w:rPr>
        <w:t xml:space="preserve"> </w:t>
      </w:r>
      <w:r w:rsidR="002745B2" w:rsidRPr="00584340">
        <w:rPr>
          <w:rFonts w:cs="Times New Roman"/>
        </w:rPr>
        <w:t>argues that political institutions co-exist within a Platonic commonwealth, in which all laws should be defined by and subject to a ‘higher law’, synonymous with ‘divine law’.</w:t>
      </w:r>
      <w:r w:rsidR="002745B2" w:rsidRPr="00584340">
        <w:rPr>
          <w:rStyle w:val="FootnoteReference"/>
          <w:rFonts w:cs="Times New Roman"/>
        </w:rPr>
        <w:footnoteReference w:id="36"/>
      </w:r>
      <w:r w:rsidR="002745B2" w:rsidRPr="00584340">
        <w:rPr>
          <w:rFonts w:cs="Times New Roman"/>
        </w:rPr>
        <w:t xml:space="preserve"> </w:t>
      </w:r>
      <w:r w:rsidR="0098303D" w:rsidRPr="00584340">
        <w:rPr>
          <w:rFonts w:cs="Times New Roman"/>
          <w:i/>
          <w:iCs/>
        </w:rPr>
        <w:t xml:space="preserve">Policraticus </w:t>
      </w:r>
      <w:r w:rsidR="0098303D" w:rsidRPr="00584340">
        <w:rPr>
          <w:rFonts w:cs="Times New Roman"/>
        </w:rPr>
        <w:t>further considers the relative roles and merits of temporal and spiritual institutions, concluding that Church and State are granted the ‘two swords’ of spiritual and secular power respectively.</w:t>
      </w:r>
      <w:r w:rsidR="002745B2" w:rsidRPr="00584340">
        <w:rPr>
          <w:rFonts w:cs="Times New Roman"/>
        </w:rPr>
        <w:t xml:space="preserve"> </w:t>
      </w:r>
      <w:r w:rsidR="002745B2" w:rsidRPr="00584340">
        <w:rPr>
          <w:rFonts w:cs="Times New Roman"/>
          <w:i/>
          <w:iCs/>
        </w:rPr>
        <w:t>Policraticus</w:t>
      </w:r>
      <w:r w:rsidR="002745B2" w:rsidRPr="00584340">
        <w:rPr>
          <w:rFonts w:cs="Times New Roman"/>
        </w:rPr>
        <w:t xml:space="preserve">, </w:t>
      </w:r>
      <w:r w:rsidR="0098303D" w:rsidRPr="00584340">
        <w:rPr>
          <w:rFonts w:cs="Times New Roman"/>
        </w:rPr>
        <w:t>warns of</w:t>
      </w:r>
      <w:r w:rsidR="002745B2" w:rsidRPr="00584340">
        <w:rPr>
          <w:rFonts w:cs="Times New Roman"/>
        </w:rPr>
        <w:t xml:space="preserve"> the risk of Princes becoming Tyrants, exemplified by King Saul</w:t>
      </w:r>
      <w:r w:rsidR="0098303D" w:rsidRPr="00584340">
        <w:rPr>
          <w:rFonts w:cs="Times New Roman"/>
        </w:rPr>
        <w:t>, preferring the Biblical model of divinely appointed Judges over that of Monarchy</w:t>
      </w:r>
      <w:r w:rsidR="002745B2" w:rsidRPr="00584340">
        <w:rPr>
          <w:rFonts w:cs="Times New Roman"/>
        </w:rPr>
        <w:t>.</w:t>
      </w:r>
      <w:r w:rsidR="002745B2" w:rsidRPr="00584340">
        <w:rPr>
          <w:rStyle w:val="FootnoteReference"/>
          <w:rFonts w:cs="Times New Roman"/>
        </w:rPr>
        <w:footnoteReference w:id="37"/>
      </w:r>
      <w:r w:rsidR="002745B2" w:rsidRPr="00584340">
        <w:rPr>
          <w:rFonts w:cs="Times New Roman"/>
        </w:rPr>
        <w:t xml:space="preserve"> </w:t>
      </w:r>
      <w:r w:rsidR="0098303D" w:rsidRPr="00584340">
        <w:rPr>
          <w:rFonts w:cs="Times New Roman"/>
        </w:rPr>
        <w:t>Furthermore</w:t>
      </w:r>
      <w:r w:rsidR="002745B2" w:rsidRPr="00584340">
        <w:rPr>
          <w:rFonts w:cs="Times New Roman"/>
        </w:rPr>
        <w:t>, since ‘the Prince receives [the sword] from the hand of the Church’ and ‘every office… is really a religious office’, the king is ‘subject only to God and to the priesthood who represent God’.</w:t>
      </w:r>
      <w:r w:rsidR="002745B2" w:rsidRPr="00584340">
        <w:rPr>
          <w:rStyle w:val="FootnoteReference"/>
          <w:rFonts w:cs="Times New Roman"/>
        </w:rPr>
        <w:footnoteReference w:id="38"/>
      </w:r>
      <w:r w:rsidR="00B4180A" w:rsidRPr="00584340">
        <w:rPr>
          <w:rFonts w:cs="Times New Roman"/>
        </w:rPr>
        <w:t xml:space="preserve"> </w:t>
      </w:r>
      <w:r w:rsidR="00357996" w:rsidRPr="00584340">
        <w:rPr>
          <w:rFonts w:cs="Times New Roman"/>
        </w:rPr>
        <w:t>Thus,</w:t>
      </w:r>
      <w:r w:rsidR="0098303D" w:rsidRPr="00584340">
        <w:rPr>
          <w:rFonts w:cs="Times New Roman"/>
        </w:rPr>
        <w:t xml:space="preserve"> by implication, ecclesiastical authority being mandated by God</w:t>
      </w:r>
      <w:r w:rsidR="00357996" w:rsidRPr="00584340">
        <w:rPr>
          <w:rFonts w:cs="Times New Roman"/>
        </w:rPr>
        <w:t xml:space="preserve">, takes </w:t>
      </w:r>
      <w:r w:rsidR="0098303D" w:rsidRPr="00584340">
        <w:rPr>
          <w:rFonts w:cs="Times New Roman"/>
        </w:rPr>
        <w:t>precedence over secular.</w:t>
      </w:r>
      <w:r w:rsidRPr="00584340">
        <w:rPr>
          <w:rStyle w:val="FootnoteReference"/>
          <w:rFonts w:cs="Times New Roman"/>
        </w:rPr>
        <w:footnoteReference w:id="39"/>
      </w:r>
      <w:r w:rsidRPr="00584340">
        <w:rPr>
          <w:rFonts w:cs="Times New Roman"/>
        </w:rPr>
        <w:t xml:space="preserve"> Rather than appreciating the theological niceties, Henry considered this a betrayal of his trust in Thomas, and humiliating challenge to his authority. </w:t>
      </w:r>
    </w:p>
    <w:p w14:paraId="34C62084" w14:textId="28A60BF3" w:rsidR="004B2A23" w:rsidRPr="00584340" w:rsidRDefault="004B2A23" w:rsidP="001C396C">
      <w:pPr>
        <w:spacing w:line="360" w:lineRule="auto"/>
        <w:ind w:firstLine="720"/>
        <w:jc w:val="both"/>
        <w:rPr>
          <w:rFonts w:cs="Times New Roman"/>
        </w:rPr>
      </w:pPr>
    </w:p>
    <w:p w14:paraId="5BE237BB" w14:textId="79A4AB07" w:rsidR="00CF20CE" w:rsidRPr="00584340" w:rsidRDefault="003E22F8" w:rsidP="001C396C">
      <w:pPr>
        <w:spacing w:line="360" w:lineRule="auto"/>
        <w:ind w:firstLine="720"/>
        <w:jc w:val="both"/>
        <w:rPr>
          <w:rFonts w:cs="Times New Roman"/>
        </w:rPr>
      </w:pPr>
      <w:r w:rsidRPr="00584340">
        <w:rPr>
          <w:rFonts w:cs="Times New Roman"/>
        </w:rPr>
        <w:lastRenderedPageBreak/>
        <w:t xml:space="preserve">Thomas and Henry </w:t>
      </w:r>
      <w:r w:rsidR="00537125" w:rsidRPr="00584340">
        <w:rPr>
          <w:rFonts w:cs="Times New Roman"/>
        </w:rPr>
        <w:t xml:space="preserve">then </w:t>
      </w:r>
      <w:r w:rsidRPr="00584340">
        <w:rPr>
          <w:rFonts w:cs="Times New Roman"/>
        </w:rPr>
        <w:t>clashed over three cases, making changes to dealing with ‘criminous clerks’ Henry’s top priority.</w:t>
      </w:r>
      <w:r w:rsidRPr="00584340">
        <w:rPr>
          <w:rStyle w:val="FootnoteReference"/>
          <w:rFonts w:cs="Times New Roman"/>
        </w:rPr>
        <w:footnoteReference w:id="40"/>
      </w:r>
      <w:r w:rsidRPr="00584340">
        <w:rPr>
          <w:rFonts w:cs="Times New Roman"/>
        </w:rPr>
        <w:t xml:space="preserve"> Philip de Broi, a secular canon of St. Paul’s, Bedford, and Thomas’ friend</w:t>
      </w:r>
      <w:r w:rsidR="00537125" w:rsidRPr="00584340">
        <w:rPr>
          <w:rFonts w:cs="Times New Roman"/>
        </w:rPr>
        <w:t>,</w:t>
      </w:r>
      <w:r w:rsidRPr="00584340">
        <w:rPr>
          <w:rFonts w:cs="Times New Roman"/>
        </w:rPr>
        <w:t xml:space="preserve"> </w:t>
      </w:r>
      <w:r w:rsidR="00537125" w:rsidRPr="00584340">
        <w:rPr>
          <w:rFonts w:cs="Times New Roman"/>
        </w:rPr>
        <w:t>p</w:t>
      </w:r>
      <w:r w:rsidRPr="00584340">
        <w:rPr>
          <w:rFonts w:cs="Times New Roman"/>
        </w:rPr>
        <w:t xml:space="preserve">reviously acquitted in the bishop of Lincoln’s ecclesiastical court of </w:t>
      </w:r>
      <w:r w:rsidR="00C909DE" w:rsidRPr="00584340">
        <w:rPr>
          <w:rFonts w:cs="Times New Roman"/>
        </w:rPr>
        <w:t xml:space="preserve">charges of </w:t>
      </w:r>
      <w:r w:rsidRPr="00584340">
        <w:rPr>
          <w:rFonts w:cs="Times New Roman"/>
        </w:rPr>
        <w:t xml:space="preserve">murdering a knight, </w:t>
      </w:r>
      <w:r w:rsidR="00C909DE" w:rsidRPr="00584340">
        <w:rPr>
          <w:rFonts w:cs="Times New Roman"/>
        </w:rPr>
        <w:t xml:space="preserve">had </w:t>
      </w:r>
      <w:r w:rsidRPr="00584340">
        <w:rPr>
          <w:rFonts w:cs="Times New Roman"/>
        </w:rPr>
        <w:t>the case re-opened</w:t>
      </w:r>
      <w:r w:rsidR="00C909DE" w:rsidRPr="00584340">
        <w:rPr>
          <w:rFonts w:cs="Times New Roman"/>
        </w:rPr>
        <w:t xml:space="preserve">. </w:t>
      </w:r>
      <w:r w:rsidRPr="00584340">
        <w:rPr>
          <w:rFonts w:cs="Times New Roman"/>
        </w:rPr>
        <w:t xml:space="preserve"> </w:t>
      </w:r>
      <w:r w:rsidR="00C909DE" w:rsidRPr="00584340">
        <w:rPr>
          <w:rFonts w:cs="Times New Roman"/>
        </w:rPr>
        <w:t>S</w:t>
      </w:r>
      <w:r w:rsidRPr="00584340">
        <w:rPr>
          <w:rFonts w:cs="Times New Roman"/>
        </w:rPr>
        <w:t>ummoned to appear before the king’s justiciar</w:t>
      </w:r>
      <w:r w:rsidR="00C909DE" w:rsidRPr="00584340">
        <w:rPr>
          <w:rFonts w:cs="Times New Roman"/>
        </w:rPr>
        <w:t>,</w:t>
      </w:r>
      <w:r w:rsidRPr="00584340">
        <w:rPr>
          <w:rFonts w:cs="Times New Roman"/>
        </w:rPr>
        <w:t xml:space="preserve"> Simon FitzPeter</w:t>
      </w:r>
      <w:r w:rsidR="00C909DE" w:rsidRPr="00584340">
        <w:rPr>
          <w:rFonts w:cs="Times New Roman"/>
        </w:rPr>
        <w:t>,</w:t>
      </w:r>
      <w:r w:rsidRPr="00584340">
        <w:rPr>
          <w:rFonts w:cs="Times New Roman"/>
        </w:rPr>
        <w:t xml:space="preserve"> in the secular court</w:t>
      </w:r>
      <w:r w:rsidR="00C909DE" w:rsidRPr="00584340">
        <w:rPr>
          <w:rFonts w:cs="Times New Roman"/>
        </w:rPr>
        <w:t>,</w:t>
      </w:r>
      <w:r w:rsidRPr="00584340">
        <w:rPr>
          <w:rFonts w:cs="Times New Roman"/>
        </w:rPr>
        <w:t xml:space="preserve"> </w:t>
      </w:r>
      <w:r w:rsidR="00D86A3C" w:rsidRPr="00584340">
        <w:rPr>
          <w:rFonts w:cs="Times New Roman"/>
        </w:rPr>
        <w:t>Philip</w:t>
      </w:r>
      <w:r w:rsidRPr="00584340">
        <w:rPr>
          <w:rFonts w:cs="Times New Roman"/>
        </w:rPr>
        <w:t xml:space="preserve"> protested at appearing twice for the same crime, refused to plead, then berated FitzPeter, whose consequent complaint to the king provoked outrage at the presumed insult to </w:t>
      </w:r>
      <w:r w:rsidR="00C909DE" w:rsidRPr="00584340">
        <w:rPr>
          <w:rFonts w:cs="Times New Roman"/>
        </w:rPr>
        <w:t>Henry’s</w:t>
      </w:r>
      <w:r w:rsidRPr="00584340">
        <w:rPr>
          <w:rFonts w:cs="Times New Roman"/>
        </w:rPr>
        <w:t xml:space="preserve"> dignity.</w:t>
      </w:r>
      <w:r w:rsidR="00983B31" w:rsidRPr="00584340">
        <w:rPr>
          <w:rFonts w:cs="Times New Roman"/>
        </w:rPr>
        <w:t xml:space="preserve"> </w:t>
      </w:r>
      <w:r w:rsidRPr="00584340">
        <w:rPr>
          <w:rFonts w:cs="Times New Roman"/>
        </w:rPr>
        <w:t xml:space="preserve"> Arguing clerical immunity from secular trial, Thomas heard the case in ecclesiastical </w:t>
      </w:r>
      <w:r w:rsidR="00D86A3C" w:rsidRPr="00584340">
        <w:rPr>
          <w:rFonts w:cs="Times New Roman"/>
        </w:rPr>
        <w:t>court, dismissed</w:t>
      </w:r>
      <w:r w:rsidRPr="00584340">
        <w:rPr>
          <w:rFonts w:cs="Times New Roman"/>
        </w:rPr>
        <w:t xml:space="preserve"> it as a case of double jeopardy</w:t>
      </w:r>
      <w:r w:rsidR="00C909DE" w:rsidRPr="00584340">
        <w:rPr>
          <w:rFonts w:cs="Times New Roman"/>
        </w:rPr>
        <w:t>.</w:t>
      </w:r>
      <w:r w:rsidRPr="00584340">
        <w:rPr>
          <w:rFonts w:cs="Times New Roman"/>
        </w:rPr>
        <w:t xml:space="preserve"> </w:t>
      </w:r>
      <w:r w:rsidR="00D86A3C" w:rsidRPr="00584340">
        <w:rPr>
          <w:rFonts w:cs="Times New Roman"/>
        </w:rPr>
        <w:t>Instead,</w:t>
      </w:r>
      <w:r w:rsidRPr="00584340">
        <w:rPr>
          <w:rFonts w:cs="Times New Roman"/>
        </w:rPr>
        <w:t xml:space="preserve"> </w:t>
      </w:r>
      <w:r w:rsidR="00C909DE" w:rsidRPr="00584340">
        <w:rPr>
          <w:rFonts w:cs="Times New Roman"/>
        </w:rPr>
        <w:t xml:space="preserve">he </w:t>
      </w:r>
      <w:r w:rsidRPr="00584340">
        <w:rPr>
          <w:rFonts w:cs="Times New Roman"/>
        </w:rPr>
        <w:t xml:space="preserve">tried, </w:t>
      </w:r>
      <w:r w:rsidR="00357996" w:rsidRPr="00584340">
        <w:rPr>
          <w:rFonts w:cs="Times New Roman"/>
        </w:rPr>
        <w:t>condemned,</w:t>
      </w:r>
      <w:r w:rsidRPr="00584340">
        <w:rPr>
          <w:rFonts w:cs="Times New Roman"/>
        </w:rPr>
        <w:t xml:space="preserve"> and punished Philip for dishonouring the king’s justice, depriving him of his living and clerical status for two years, arranging public flogging before FitzPeter and having him serve the rest of his sentence in exile. In another case, </w:t>
      </w:r>
      <w:r w:rsidR="00C909DE" w:rsidRPr="00584340">
        <w:rPr>
          <w:rFonts w:cs="Times New Roman"/>
        </w:rPr>
        <w:t>a</w:t>
      </w:r>
      <w:r w:rsidRPr="00584340">
        <w:rPr>
          <w:rFonts w:cs="Times New Roman"/>
        </w:rPr>
        <w:t xml:space="preserve"> cleric </w:t>
      </w:r>
      <w:r w:rsidR="00C909DE" w:rsidRPr="00584340">
        <w:rPr>
          <w:rFonts w:cs="Times New Roman"/>
        </w:rPr>
        <w:t>raped</w:t>
      </w:r>
      <w:r w:rsidRPr="00584340">
        <w:rPr>
          <w:rFonts w:cs="Times New Roman"/>
        </w:rPr>
        <w:t xml:space="preserve"> a Worcestershire girl</w:t>
      </w:r>
      <w:r w:rsidR="00C909DE" w:rsidRPr="00584340">
        <w:rPr>
          <w:rFonts w:cs="Times New Roman"/>
        </w:rPr>
        <w:t xml:space="preserve">, </w:t>
      </w:r>
      <w:r w:rsidRPr="00584340">
        <w:rPr>
          <w:rFonts w:cs="Times New Roman"/>
        </w:rPr>
        <w:t>then murdered her father when he objected, knowing he could hide behind clerical immunity. Thomas denied Henry</w:t>
      </w:r>
      <w:r w:rsidR="00D86A3C" w:rsidRPr="00584340">
        <w:rPr>
          <w:rFonts w:cs="Times New Roman"/>
        </w:rPr>
        <w:t>’s</w:t>
      </w:r>
      <w:r w:rsidRPr="00584340">
        <w:rPr>
          <w:rFonts w:cs="Times New Roman"/>
        </w:rPr>
        <w:t xml:space="preserve"> </w:t>
      </w:r>
      <w:r w:rsidR="00D86A3C" w:rsidRPr="00584340">
        <w:rPr>
          <w:rFonts w:cs="Times New Roman"/>
        </w:rPr>
        <w:t>demand</w:t>
      </w:r>
      <w:r w:rsidRPr="00584340">
        <w:rPr>
          <w:rFonts w:cs="Times New Roman"/>
        </w:rPr>
        <w:t xml:space="preserve"> </w:t>
      </w:r>
      <w:r w:rsidR="00D86A3C" w:rsidRPr="00584340">
        <w:rPr>
          <w:rFonts w:cs="Times New Roman"/>
        </w:rPr>
        <w:t>for</w:t>
      </w:r>
      <w:r w:rsidRPr="00584340">
        <w:rPr>
          <w:rFonts w:cs="Times New Roman"/>
        </w:rPr>
        <w:t xml:space="preserve"> secular trial, taking the cleric into Church custody pending ecclesiastical trial.</w:t>
      </w:r>
      <w:r w:rsidR="009B1E29" w:rsidRPr="00584340">
        <w:rPr>
          <w:rFonts w:cs="Times New Roman"/>
        </w:rPr>
        <w:t xml:space="preserve"> </w:t>
      </w:r>
      <w:r w:rsidR="00232407" w:rsidRPr="00584340">
        <w:rPr>
          <w:rFonts w:cs="Times New Roman"/>
        </w:rPr>
        <w:t>Finally</w:t>
      </w:r>
      <w:r w:rsidRPr="00584340">
        <w:rPr>
          <w:rFonts w:cs="Times New Roman"/>
        </w:rPr>
        <w:t>, Thomas prevented the secular trial of a cleric who stole a silver chalice from St. Mary’s Cheapside by judging</w:t>
      </w:r>
      <w:r w:rsidR="00232407" w:rsidRPr="00584340">
        <w:rPr>
          <w:rFonts w:cs="Times New Roman"/>
        </w:rPr>
        <w:t xml:space="preserve"> </w:t>
      </w:r>
      <w:r w:rsidRPr="00584340">
        <w:rPr>
          <w:rFonts w:cs="Times New Roman"/>
        </w:rPr>
        <w:t>in ecclesiastical court</w:t>
      </w:r>
      <w:r w:rsidR="00232407" w:rsidRPr="00584340">
        <w:rPr>
          <w:rFonts w:cs="Times New Roman"/>
        </w:rPr>
        <w:t xml:space="preserve"> before degrading and </w:t>
      </w:r>
      <w:r w:rsidRPr="00584340">
        <w:rPr>
          <w:rFonts w:cs="Times New Roman"/>
        </w:rPr>
        <w:t xml:space="preserve">branding </w:t>
      </w:r>
      <w:r w:rsidR="00232407" w:rsidRPr="00584340">
        <w:rPr>
          <w:rFonts w:cs="Times New Roman"/>
        </w:rPr>
        <w:t xml:space="preserve">him </w:t>
      </w:r>
      <w:r w:rsidRPr="00584340">
        <w:rPr>
          <w:rFonts w:cs="Times New Roman"/>
        </w:rPr>
        <w:t xml:space="preserve">‘to calm the king’. </w:t>
      </w:r>
      <w:r w:rsidR="00232407" w:rsidRPr="00584340">
        <w:rPr>
          <w:rFonts w:cs="Times New Roman"/>
        </w:rPr>
        <w:t>Additionally, Herbert of Bosham recalls a Salisbury cleric, unable to prove his innocence of murder, receiving ecclesiastical sentence to permanent monastic confinement.</w:t>
      </w:r>
      <w:r w:rsidR="00232407" w:rsidRPr="00584340">
        <w:rPr>
          <w:rStyle w:val="FootnoteReference"/>
          <w:rFonts w:cs="Times New Roman"/>
        </w:rPr>
        <w:footnoteReference w:id="41"/>
      </w:r>
      <w:r w:rsidR="00232407" w:rsidRPr="00584340">
        <w:rPr>
          <w:rFonts w:cs="Times New Roman"/>
        </w:rPr>
        <w:t xml:space="preserve"> </w:t>
      </w:r>
      <w:r w:rsidR="00CF20CE" w:rsidRPr="00584340">
        <w:rPr>
          <w:rFonts w:cs="Times New Roman"/>
        </w:rPr>
        <w:t xml:space="preserve">Barlow </w:t>
      </w:r>
      <w:r w:rsidR="00232407" w:rsidRPr="00584340">
        <w:rPr>
          <w:rFonts w:cs="Times New Roman"/>
        </w:rPr>
        <w:t>considers</w:t>
      </w:r>
      <w:r w:rsidR="00CF20CE" w:rsidRPr="00584340">
        <w:rPr>
          <w:rFonts w:cs="Times New Roman"/>
        </w:rPr>
        <w:t xml:space="preserve"> flogging and imprisonment </w:t>
      </w:r>
      <w:r w:rsidR="00232407" w:rsidRPr="00584340">
        <w:rPr>
          <w:rFonts w:cs="Times New Roman"/>
        </w:rPr>
        <w:t>as</w:t>
      </w:r>
      <w:r w:rsidR="00CF20CE" w:rsidRPr="00584340">
        <w:rPr>
          <w:rFonts w:cs="Times New Roman"/>
        </w:rPr>
        <w:t xml:space="preserve"> accepted ecclesiastical punishments, but whilst Thomas himself accepted </w:t>
      </w:r>
      <w:r w:rsidR="00F53454">
        <w:rPr>
          <w:rFonts w:cs="Times New Roman"/>
        </w:rPr>
        <w:t>‘the discipline’</w:t>
      </w:r>
      <w:r w:rsidR="00CF20CE" w:rsidRPr="00584340">
        <w:rPr>
          <w:rFonts w:cs="Times New Roman"/>
        </w:rPr>
        <w:t xml:space="preserve"> as a personal mortification, it is arguable that as legal penalties, flogging and branding tested the boundaries of </w:t>
      </w:r>
      <w:r w:rsidR="003960C2" w:rsidRPr="00584340">
        <w:rPr>
          <w:rFonts w:cs="Times New Roman"/>
        </w:rPr>
        <w:t>c</w:t>
      </w:r>
      <w:r w:rsidR="00CF20CE" w:rsidRPr="00584340">
        <w:rPr>
          <w:rFonts w:cs="Times New Roman"/>
        </w:rPr>
        <w:t xml:space="preserve">anon </w:t>
      </w:r>
      <w:r w:rsidR="003960C2" w:rsidRPr="00584340">
        <w:rPr>
          <w:rFonts w:cs="Times New Roman"/>
        </w:rPr>
        <w:t>l</w:t>
      </w:r>
      <w:r w:rsidR="00CF20CE" w:rsidRPr="00584340">
        <w:rPr>
          <w:rFonts w:cs="Times New Roman"/>
        </w:rPr>
        <w:t>aw</w:t>
      </w:r>
      <w:r w:rsidR="0067489A" w:rsidRPr="00584340">
        <w:rPr>
          <w:rFonts w:cs="Times New Roman"/>
        </w:rPr>
        <w:t>, since cleric</w:t>
      </w:r>
      <w:r w:rsidR="00F21B69" w:rsidRPr="00584340">
        <w:rPr>
          <w:rFonts w:cs="Times New Roman"/>
        </w:rPr>
        <w:t xml:space="preserve">s were prevented from </w:t>
      </w:r>
      <w:r w:rsidR="004503B0" w:rsidRPr="00584340">
        <w:rPr>
          <w:rFonts w:cs="Times New Roman"/>
        </w:rPr>
        <w:t xml:space="preserve">administering or falling victim to </w:t>
      </w:r>
      <w:r w:rsidR="00655D0B" w:rsidRPr="00584340">
        <w:rPr>
          <w:rFonts w:cs="Times New Roman"/>
        </w:rPr>
        <w:t>violence</w:t>
      </w:r>
      <w:r w:rsidR="00CF20CE" w:rsidRPr="00584340">
        <w:rPr>
          <w:rFonts w:cs="Times New Roman"/>
        </w:rPr>
        <w:t>.</w:t>
      </w:r>
      <w:r w:rsidR="00CF20CE" w:rsidRPr="00584340">
        <w:rPr>
          <w:rStyle w:val="FootnoteReference"/>
          <w:rFonts w:cs="Times New Roman"/>
        </w:rPr>
        <w:footnoteReference w:id="42"/>
      </w:r>
      <w:r w:rsidR="00CF20CE" w:rsidRPr="00584340">
        <w:rPr>
          <w:rFonts w:cs="Times New Roman"/>
        </w:rPr>
        <w:t xml:space="preserve"> </w:t>
      </w:r>
      <w:r w:rsidR="00B4180A" w:rsidRPr="00584340">
        <w:rPr>
          <w:rFonts w:cs="Times New Roman"/>
        </w:rPr>
        <w:t xml:space="preserve">Furthermore, </w:t>
      </w:r>
      <w:r w:rsidR="00F509F5" w:rsidRPr="00584340">
        <w:rPr>
          <w:rFonts w:cs="Times New Roman"/>
        </w:rPr>
        <w:t xml:space="preserve">in  </w:t>
      </w:r>
      <w:r w:rsidR="00B4180A" w:rsidRPr="00584340">
        <w:rPr>
          <w:rFonts w:cs="Times New Roman"/>
        </w:rPr>
        <w:t>infring</w:t>
      </w:r>
      <w:r w:rsidR="00F509F5" w:rsidRPr="00584340">
        <w:rPr>
          <w:rFonts w:cs="Times New Roman"/>
        </w:rPr>
        <w:t>ing</w:t>
      </w:r>
      <w:r w:rsidR="00B4180A" w:rsidRPr="00584340">
        <w:rPr>
          <w:rFonts w:cs="Times New Roman"/>
        </w:rPr>
        <w:t xml:space="preserve"> on royal prerogative</w:t>
      </w:r>
      <w:r w:rsidR="00F509F5" w:rsidRPr="00584340">
        <w:rPr>
          <w:rFonts w:cs="Times New Roman"/>
        </w:rPr>
        <w:t xml:space="preserve">, </w:t>
      </w:r>
      <w:r w:rsidR="00CF20CE" w:rsidRPr="00584340">
        <w:rPr>
          <w:rFonts w:cs="Times New Roman"/>
        </w:rPr>
        <w:t xml:space="preserve">Henry might </w:t>
      </w:r>
      <w:r w:rsidR="00232407" w:rsidRPr="00584340">
        <w:rPr>
          <w:rFonts w:cs="Times New Roman"/>
        </w:rPr>
        <w:t xml:space="preserve">understandably </w:t>
      </w:r>
      <w:r w:rsidR="00CF20CE" w:rsidRPr="00584340">
        <w:rPr>
          <w:rFonts w:cs="Times New Roman"/>
        </w:rPr>
        <w:t xml:space="preserve">consider </w:t>
      </w:r>
      <w:r w:rsidR="00F509F5" w:rsidRPr="00584340">
        <w:rPr>
          <w:rFonts w:cs="Times New Roman"/>
        </w:rPr>
        <w:t>Thomas’</w:t>
      </w:r>
      <w:r w:rsidR="00CF20CE" w:rsidRPr="00584340">
        <w:rPr>
          <w:rFonts w:cs="Times New Roman"/>
        </w:rPr>
        <w:t xml:space="preserve"> actions a</w:t>
      </w:r>
      <w:r w:rsidR="00232407" w:rsidRPr="00584340">
        <w:rPr>
          <w:rFonts w:cs="Times New Roman"/>
        </w:rPr>
        <w:t>s</w:t>
      </w:r>
      <w:r w:rsidR="00CF20CE" w:rsidRPr="00584340">
        <w:rPr>
          <w:rFonts w:cs="Times New Roman"/>
        </w:rPr>
        <w:t xml:space="preserve"> </w:t>
      </w:r>
      <w:r w:rsidR="00232407" w:rsidRPr="00584340">
        <w:rPr>
          <w:rFonts w:cs="Times New Roman"/>
        </w:rPr>
        <w:t>undermining</w:t>
      </w:r>
      <w:r w:rsidR="00CF20CE" w:rsidRPr="00584340">
        <w:rPr>
          <w:rFonts w:cs="Times New Roman"/>
        </w:rPr>
        <w:t xml:space="preserve"> his authority.</w:t>
      </w:r>
    </w:p>
    <w:p w14:paraId="4A28A044" w14:textId="77777777" w:rsidR="00781268" w:rsidRDefault="00781268" w:rsidP="001C396C">
      <w:pPr>
        <w:spacing w:line="360" w:lineRule="auto"/>
        <w:ind w:firstLine="720"/>
        <w:jc w:val="both"/>
        <w:rPr>
          <w:rFonts w:cs="Times New Roman"/>
        </w:rPr>
      </w:pPr>
    </w:p>
    <w:p w14:paraId="56C399E2" w14:textId="1F6393C5" w:rsidR="00FD5AC3" w:rsidRPr="00584340" w:rsidRDefault="00A21186" w:rsidP="001C396C">
      <w:pPr>
        <w:spacing w:line="360" w:lineRule="auto"/>
        <w:ind w:firstLine="720"/>
        <w:jc w:val="both"/>
        <w:rPr>
          <w:rFonts w:cs="Times New Roman"/>
        </w:rPr>
      </w:pPr>
      <w:r w:rsidRPr="00584340">
        <w:rPr>
          <w:rFonts w:cs="Times New Roman"/>
        </w:rPr>
        <w:lastRenderedPageBreak/>
        <w:t xml:space="preserve">At Westminster in October 1163, </w:t>
      </w:r>
      <w:r w:rsidR="00357996" w:rsidRPr="00584340">
        <w:rPr>
          <w:rFonts w:cs="Times New Roman"/>
        </w:rPr>
        <w:t>Henry ambushed Thomas, demanding agreement to his previously undisclosed proposals.</w:t>
      </w:r>
      <w:r w:rsidRPr="00584340">
        <w:rPr>
          <w:rStyle w:val="FootnoteReference"/>
          <w:rFonts w:cs="Times New Roman"/>
        </w:rPr>
        <w:footnoteReference w:id="43"/>
      </w:r>
      <w:r w:rsidRPr="00584340">
        <w:rPr>
          <w:rFonts w:cs="Times New Roman"/>
        </w:rPr>
        <w:t xml:space="preserve"> </w:t>
      </w:r>
      <w:r w:rsidR="00A60115" w:rsidRPr="00584340">
        <w:rPr>
          <w:rFonts w:cs="Times New Roman"/>
        </w:rPr>
        <w:t>Henry’s</w:t>
      </w:r>
      <w:r w:rsidR="00576F0C" w:rsidRPr="00584340">
        <w:rPr>
          <w:rFonts w:cs="Times New Roman"/>
        </w:rPr>
        <w:t xml:space="preserve"> experts</w:t>
      </w:r>
      <w:r w:rsidR="00337477" w:rsidRPr="00584340">
        <w:rPr>
          <w:rFonts w:cs="Times New Roman"/>
        </w:rPr>
        <w:t xml:space="preserve"> ‘in both branches of law’</w:t>
      </w:r>
      <w:r w:rsidR="00576F0C" w:rsidRPr="00584340">
        <w:rPr>
          <w:rFonts w:cs="Times New Roman"/>
        </w:rPr>
        <w:t xml:space="preserve">, </w:t>
      </w:r>
      <w:r w:rsidR="00A60115" w:rsidRPr="00584340">
        <w:rPr>
          <w:rFonts w:cs="Times New Roman"/>
        </w:rPr>
        <w:t>interpret</w:t>
      </w:r>
      <w:r w:rsidR="0028226C" w:rsidRPr="00584340">
        <w:rPr>
          <w:rFonts w:cs="Times New Roman"/>
        </w:rPr>
        <w:t xml:space="preserve">ing </w:t>
      </w:r>
      <w:r w:rsidR="0028226C" w:rsidRPr="002C3ACC">
        <w:rPr>
          <w:rFonts w:cs="Times New Roman"/>
          <w:i/>
          <w:iCs/>
        </w:rPr>
        <w:t>tradatur curiae</w:t>
      </w:r>
      <w:r w:rsidR="00A60115" w:rsidRPr="00584340">
        <w:rPr>
          <w:rFonts w:cs="Times New Roman"/>
        </w:rPr>
        <w:t xml:space="preserve"> of canon law</w:t>
      </w:r>
      <w:r w:rsidR="0028226C" w:rsidRPr="00584340">
        <w:rPr>
          <w:rFonts w:cs="Times New Roman"/>
        </w:rPr>
        <w:t xml:space="preserve"> as indicating </w:t>
      </w:r>
      <w:r w:rsidR="00576F0C" w:rsidRPr="00584340">
        <w:rPr>
          <w:rFonts w:cs="Times New Roman"/>
        </w:rPr>
        <w:t xml:space="preserve"> </w:t>
      </w:r>
      <w:r w:rsidR="0028226C" w:rsidRPr="00584340">
        <w:rPr>
          <w:rFonts w:cs="Times New Roman"/>
        </w:rPr>
        <w:t>that ‘criminous clerks’ … ‘</w:t>
      </w:r>
      <w:r w:rsidR="00576F0C" w:rsidRPr="00584340">
        <w:rPr>
          <w:rFonts w:cs="Times New Roman"/>
        </w:rPr>
        <w:t xml:space="preserve">should be handed over to the </w:t>
      </w:r>
      <w:r w:rsidR="0028226C" w:rsidRPr="00584340">
        <w:rPr>
          <w:rFonts w:cs="Times New Roman"/>
        </w:rPr>
        <w:t xml:space="preserve">[secular] </w:t>
      </w:r>
      <w:r w:rsidR="00576F0C" w:rsidRPr="00584340">
        <w:rPr>
          <w:rFonts w:cs="Times New Roman"/>
        </w:rPr>
        <w:t>courts’</w:t>
      </w:r>
      <w:r w:rsidR="00F72F06" w:rsidRPr="00584340">
        <w:rPr>
          <w:rFonts w:cs="Times New Roman"/>
        </w:rPr>
        <w:t xml:space="preserve">, also citing </w:t>
      </w:r>
      <w:r w:rsidR="00E736FC" w:rsidRPr="00584340">
        <w:rPr>
          <w:rFonts w:cs="Times New Roman"/>
        </w:rPr>
        <w:t>Levitical</w:t>
      </w:r>
      <w:r w:rsidR="00F72F06" w:rsidRPr="00584340">
        <w:rPr>
          <w:rFonts w:cs="Times New Roman"/>
        </w:rPr>
        <w:t xml:space="preserve"> precedent for </w:t>
      </w:r>
      <w:r w:rsidR="00E736FC" w:rsidRPr="00584340">
        <w:rPr>
          <w:rFonts w:cs="Times New Roman"/>
        </w:rPr>
        <w:t>the death penalty</w:t>
      </w:r>
      <w:r w:rsidR="00F72F06" w:rsidRPr="00584340">
        <w:rPr>
          <w:rFonts w:cs="Times New Roman"/>
        </w:rPr>
        <w:t>.</w:t>
      </w:r>
      <w:r w:rsidR="00F72F06" w:rsidRPr="00584340">
        <w:rPr>
          <w:rStyle w:val="FootnoteReference"/>
          <w:rFonts w:cs="Times New Roman"/>
        </w:rPr>
        <w:footnoteReference w:id="44"/>
      </w:r>
      <w:r w:rsidR="00F72F06" w:rsidRPr="00584340">
        <w:rPr>
          <w:rFonts w:cs="Times New Roman"/>
        </w:rPr>
        <w:t xml:space="preserve"> </w:t>
      </w:r>
      <w:r w:rsidR="0028226C" w:rsidRPr="00584340">
        <w:rPr>
          <w:rFonts w:cs="Times New Roman"/>
        </w:rPr>
        <w:t xml:space="preserve"> Therefore, </w:t>
      </w:r>
      <w:r w:rsidR="00410E96" w:rsidRPr="00584340">
        <w:rPr>
          <w:rFonts w:cs="Times New Roman"/>
        </w:rPr>
        <w:t xml:space="preserve">the Church should disown guilty clerics </w:t>
      </w:r>
      <w:r w:rsidR="0028226C" w:rsidRPr="00584340">
        <w:rPr>
          <w:rFonts w:cs="Times New Roman"/>
        </w:rPr>
        <w:t>to</w:t>
      </w:r>
      <w:r w:rsidR="00410E96" w:rsidRPr="00584340">
        <w:rPr>
          <w:rFonts w:cs="Times New Roman"/>
        </w:rPr>
        <w:t xml:space="preserve"> face ‘the full rigours of secular law’.</w:t>
      </w:r>
      <w:r w:rsidR="00410E96" w:rsidRPr="00584340">
        <w:rPr>
          <w:rStyle w:val="FootnoteReference"/>
          <w:rFonts w:cs="Times New Roman"/>
        </w:rPr>
        <w:footnoteReference w:id="45"/>
      </w:r>
      <w:r w:rsidR="00576F0C" w:rsidRPr="00584340">
        <w:rPr>
          <w:rFonts w:cs="Times New Roman"/>
        </w:rPr>
        <w:t xml:space="preserve"> Thomas </w:t>
      </w:r>
      <w:r w:rsidR="000C71A9" w:rsidRPr="00584340">
        <w:rPr>
          <w:rFonts w:cs="Times New Roman"/>
        </w:rPr>
        <w:t>countered</w:t>
      </w:r>
      <w:r w:rsidR="00576F0C" w:rsidRPr="00584340">
        <w:rPr>
          <w:rFonts w:cs="Times New Roman"/>
        </w:rPr>
        <w:t xml:space="preserve"> </w:t>
      </w:r>
      <w:r w:rsidR="00337477" w:rsidRPr="00584340">
        <w:rPr>
          <w:rFonts w:cs="Times New Roman"/>
        </w:rPr>
        <w:t>that clerks are exempt from secular judgement</w:t>
      </w:r>
      <w:r w:rsidR="000C71A9" w:rsidRPr="00584340">
        <w:rPr>
          <w:rFonts w:cs="Times New Roman"/>
        </w:rPr>
        <w:t>.</w:t>
      </w:r>
      <w:r w:rsidR="000C71A9" w:rsidRPr="00584340">
        <w:rPr>
          <w:rStyle w:val="FootnoteReference"/>
          <w:rFonts w:cs="Times New Roman"/>
        </w:rPr>
        <w:footnoteReference w:id="46"/>
      </w:r>
      <w:r w:rsidR="00337477" w:rsidRPr="00584340">
        <w:rPr>
          <w:rFonts w:cs="Times New Roman"/>
        </w:rPr>
        <w:t xml:space="preserve"> </w:t>
      </w:r>
      <w:r w:rsidR="000C71A9" w:rsidRPr="00584340">
        <w:rPr>
          <w:rFonts w:cs="Times New Roman"/>
        </w:rPr>
        <w:t>Furthermore, citing holy writ, he considered degradation sufficient without ‘double punishment’ since ‘God does not judge twice for the same thing’.</w:t>
      </w:r>
      <w:r w:rsidR="000C71A9" w:rsidRPr="00584340">
        <w:rPr>
          <w:rStyle w:val="FootnoteReference"/>
          <w:rFonts w:cs="Times New Roman"/>
        </w:rPr>
        <w:footnoteReference w:id="47"/>
      </w:r>
      <w:r w:rsidR="000C71A9" w:rsidRPr="00584340">
        <w:rPr>
          <w:rFonts w:cs="Times New Roman"/>
        </w:rPr>
        <w:t xml:space="preserve"> </w:t>
      </w:r>
      <w:r w:rsidR="00AC5565" w:rsidRPr="00584340">
        <w:rPr>
          <w:rFonts w:cs="Times New Roman"/>
        </w:rPr>
        <w:t xml:space="preserve">However, </w:t>
      </w:r>
      <w:r w:rsidR="00337477" w:rsidRPr="00584340">
        <w:rPr>
          <w:rFonts w:cs="Times New Roman"/>
        </w:rPr>
        <w:t xml:space="preserve">Henry </w:t>
      </w:r>
      <w:r w:rsidR="0028226C" w:rsidRPr="00584340">
        <w:rPr>
          <w:rFonts w:cs="Times New Roman"/>
        </w:rPr>
        <w:t>held</w:t>
      </w:r>
      <w:r w:rsidR="00337477" w:rsidRPr="00584340">
        <w:rPr>
          <w:rFonts w:cs="Times New Roman"/>
        </w:rPr>
        <w:t xml:space="preserve"> his ground and </w:t>
      </w:r>
      <w:r w:rsidR="0028226C" w:rsidRPr="00584340">
        <w:rPr>
          <w:rFonts w:cs="Times New Roman"/>
        </w:rPr>
        <w:t>demanded their</w:t>
      </w:r>
      <w:r w:rsidR="00337477" w:rsidRPr="00584340">
        <w:rPr>
          <w:rFonts w:cs="Times New Roman"/>
        </w:rPr>
        <w:t xml:space="preserve"> </w:t>
      </w:r>
      <w:r w:rsidR="0028226C" w:rsidRPr="00584340">
        <w:rPr>
          <w:rFonts w:cs="Times New Roman"/>
        </w:rPr>
        <w:t>observation of</w:t>
      </w:r>
      <w:r w:rsidR="00337477" w:rsidRPr="00584340">
        <w:rPr>
          <w:rFonts w:cs="Times New Roman"/>
        </w:rPr>
        <w:t xml:space="preserve"> ‘</w:t>
      </w:r>
      <w:r w:rsidR="0028226C" w:rsidRPr="00584340">
        <w:rPr>
          <w:rFonts w:cs="Times New Roman"/>
        </w:rPr>
        <w:t>ancient</w:t>
      </w:r>
      <w:r w:rsidR="00337477" w:rsidRPr="00584340">
        <w:rPr>
          <w:rFonts w:cs="Times New Roman"/>
        </w:rPr>
        <w:t xml:space="preserve"> customs’</w:t>
      </w:r>
      <w:r w:rsidR="0086767D" w:rsidRPr="00584340">
        <w:rPr>
          <w:rFonts w:cs="Times New Roman"/>
        </w:rPr>
        <w:t xml:space="preserve">, which they </w:t>
      </w:r>
      <w:r w:rsidR="00337477" w:rsidRPr="00584340">
        <w:rPr>
          <w:rFonts w:cs="Times New Roman"/>
        </w:rPr>
        <w:t>a</w:t>
      </w:r>
      <w:r w:rsidR="0086767D" w:rsidRPr="00584340">
        <w:rPr>
          <w:rFonts w:cs="Times New Roman"/>
        </w:rPr>
        <w:t>ccepted</w:t>
      </w:r>
      <w:r w:rsidR="000C71A9" w:rsidRPr="00584340">
        <w:rPr>
          <w:rFonts w:cs="Times New Roman"/>
        </w:rPr>
        <w:t xml:space="preserve"> under duress</w:t>
      </w:r>
      <w:r w:rsidR="0086767D" w:rsidRPr="00584340">
        <w:rPr>
          <w:rFonts w:cs="Times New Roman"/>
        </w:rPr>
        <w:t>,</w:t>
      </w:r>
      <w:r w:rsidR="00337477" w:rsidRPr="00584340">
        <w:rPr>
          <w:rFonts w:cs="Times New Roman"/>
        </w:rPr>
        <w:t xml:space="preserve"> with the proviso ‘saving their order’</w:t>
      </w:r>
      <w:r w:rsidR="0086767D" w:rsidRPr="00584340">
        <w:rPr>
          <w:rFonts w:cs="Times New Roman"/>
        </w:rPr>
        <w:t>, although</w:t>
      </w:r>
      <w:r w:rsidR="00FB26F2" w:rsidRPr="00584340">
        <w:rPr>
          <w:rFonts w:cs="Times New Roman"/>
        </w:rPr>
        <w:t xml:space="preserve"> Hilary of Chichester </w:t>
      </w:r>
      <w:r w:rsidR="000C71A9" w:rsidRPr="00584340">
        <w:rPr>
          <w:rFonts w:cs="Times New Roman"/>
        </w:rPr>
        <w:t>modified</w:t>
      </w:r>
      <w:r w:rsidR="00FB26F2" w:rsidRPr="00584340">
        <w:rPr>
          <w:rFonts w:cs="Times New Roman"/>
        </w:rPr>
        <w:t xml:space="preserve"> this to the weaker ‘in good faith’</w:t>
      </w:r>
      <w:r w:rsidR="00337477" w:rsidRPr="00584340">
        <w:rPr>
          <w:rFonts w:cs="Times New Roman"/>
        </w:rPr>
        <w:t>.</w:t>
      </w:r>
      <w:r w:rsidR="0086767D" w:rsidRPr="00584340">
        <w:rPr>
          <w:rStyle w:val="FootnoteReference"/>
          <w:rFonts w:cs="Times New Roman"/>
        </w:rPr>
        <w:footnoteReference w:id="48"/>
      </w:r>
      <w:r w:rsidR="00FD5AC3" w:rsidRPr="00584340">
        <w:rPr>
          <w:rFonts w:cs="Times New Roman"/>
        </w:rPr>
        <w:t xml:space="preserve"> </w:t>
      </w:r>
    </w:p>
    <w:p w14:paraId="738BB75A" w14:textId="77777777" w:rsidR="001A75A6" w:rsidRPr="00584340" w:rsidRDefault="001A75A6" w:rsidP="001C396C">
      <w:pPr>
        <w:spacing w:line="360" w:lineRule="auto"/>
        <w:ind w:firstLine="720"/>
        <w:jc w:val="both"/>
        <w:rPr>
          <w:rFonts w:cs="Times New Roman"/>
        </w:rPr>
      </w:pPr>
    </w:p>
    <w:p w14:paraId="203E82E1" w14:textId="77777777" w:rsidR="004263B5" w:rsidRDefault="00EA4265" w:rsidP="001C396C">
      <w:pPr>
        <w:spacing w:line="360" w:lineRule="auto"/>
        <w:ind w:firstLine="720"/>
        <w:jc w:val="both"/>
        <w:rPr>
          <w:rFonts w:cs="Times New Roman"/>
        </w:rPr>
      </w:pPr>
      <w:r w:rsidRPr="00584340">
        <w:rPr>
          <w:rFonts w:cs="Times New Roman"/>
        </w:rPr>
        <w:t>Henry’s</w:t>
      </w:r>
      <w:r w:rsidR="00FD5AC3" w:rsidRPr="00584340">
        <w:rPr>
          <w:rFonts w:cs="Times New Roman"/>
        </w:rPr>
        <w:t xml:space="preserve"> appeal to Thomas</w:t>
      </w:r>
      <w:r w:rsidR="008B6333" w:rsidRPr="00584340">
        <w:rPr>
          <w:rFonts w:cs="Times New Roman"/>
        </w:rPr>
        <w:t>’ loyalty</w:t>
      </w:r>
      <w:r w:rsidR="00FD5AC3" w:rsidRPr="00584340">
        <w:rPr>
          <w:rFonts w:cs="Times New Roman"/>
        </w:rPr>
        <w:t xml:space="preserve"> </w:t>
      </w:r>
      <w:r w:rsidR="008B6333" w:rsidRPr="00584340">
        <w:rPr>
          <w:rFonts w:cs="Times New Roman"/>
        </w:rPr>
        <w:t>in a field near Northampton, accus</w:t>
      </w:r>
      <w:r w:rsidRPr="00584340">
        <w:rPr>
          <w:rFonts w:cs="Times New Roman"/>
        </w:rPr>
        <w:t>es</w:t>
      </w:r>
      <w:r w:rsidR="008B6333" w:rsidRPr="00584340">
        <w:rPr>
          <w:rFonts w:cs="Times New Roman"/>
        </w:rPr>
        <w:t xml:space="preserve"> him of ingratitude and respond</w:t>
      </w:r>
      <w:r w:rsidRPr="00584340">
        <w:rPr>
          <w:rFonts w:cs="Times New Roman"/>
        </w:rPr>
        <w:t>s</w:t>
      </w:r>
      <w:r w:rsidR="008B6333" w:rsidRPr="00584340">
        <w:rPr>
          <w:rFonts w:cs="Times New Roman"/>
        </w:rPr>
        <w:t xml:space="preserve"> </w:t>
      </w:r>
      <w:r w:rsidRPr="00584340">
        <w:rPr>
          <w:rFonts w:cs="Times New Roman"/>
        </w:rPr>
        <w:t xml:space="preserve">angrily </w:t>
      </w:r>
      <w:r w:rsidR="008B6333" w:rsidRPr="00584340">
        <w:rPr>
          <w:rFonts w:cs="Times New Roman"/>
        </w:rPr>
        <w:t>to</w:t>
      </w:r>
      <w:r w:rsidR="00E736FC" w:rsidRPr="00584340">
        <w:rPr>
          <w:rFonts w:cs="Times New Roman"/>
        </w:rPr>
        <w:t xml:space="preserve"> his</w:t>
      </w:r>
      <w:r w:rsidR="008B6333" w:rsidRPr="00584340">
        <w:rPr>
          <w:rFonts w:cs="Times New Roman"/>
        </w:rPr>
        <w:t xml:space="preserve"> </w:t>
      </w:r>
      <w:r w:rsidRPr="00584340">
        <w:rPr>
          <w:rFonts w:cs="Times New Roman"/>
        </w:rPr>
        <w:t>claim</w:t>
      </w:r>
      <w:r w:rsidR="00E736FC" w:rsidRPr="00584340">
        <w:rPr>
          <w:rFonts w:cs="Times New Roman"/>
        </w:rPr>
        <w:t>,</w:t>
      </w:r>
      <w:r w:rsidR="008B6333" w:rsidRPr="00584340">
        <w:rPr>
          <w:rFonts w:cs="Times New Roman"/>
        </w:rPr>
        <w:t xml:space="preserve"> ‘We ought to obey God rather than man’.</w:t>
      </w:r>
      <w:r w:rsidR="008B6333" w:rsidRPr="00584340">
        <w:rPr>
          <w:rStyle w:val="FootnoteReference"/>
          <w:rFonts w:cs="Times New Roman"/>
        </w:rPr>
        <w:footnoteReference w:id="49"/>
      </w:r>
      <w:r w:rsidR="004820D5" w:rsidRPr="00584340">
        <w:rPr>
          <w:rFonts w:cs="Times New Roman"/>
        </w:rPr>
        <w:t xml:space="preserve"> However, on papal instruction, Thomas </w:t>
      </w:r>
      <w:r w:rsidRPr="00584340">
        <w:rPr>
          <w:rFonts w:cs="Times New Roman"/>
        </w:rPr>
        <w:t>pledge</w:t>
      </w:r>
      <w:r w:rsidR="006323F1" w:rsidRPr="00584340">
        <w:rPr>
          <w:rFonts w:cs="Times New Roman"/>
        </w:rPr>
        <w:t>d</w:t>
      </w:r>
      <w:r w:rsidRPr="00584340">
        <w:rPr>
          <w:rFonts w:cs="Times New Roman"/>
        </w:rPr>
        <w:t xml:space="preserve"> obedience</w:t>
      </w:r>
      <w:r w:rsidR="004820D5" w:rsidRPr="00584340">
        <w:rPr>
          <w:rFonts w:cs="Times New Roman"/>
        </w:rPr>
        <w:t xml:space="preserve"> at Woodstock</w:t>
      </w:r>
      <w:r w:rsidRPr="00584340">
        <w:rPr>
          <w:rFonts w:cs="Times New Roman"/>
        </w:rPr>
        <w:t xml:space="preserve">, subsequently </w:t>
      </w:r>
      <w:r w:rsidR="003B1624" w:rsidRPr="00584340">
        <w:rPr>
          <w:rFonts w:cs="Times New Roman"/>
        </w:rPr>
        <w:t>recant</w:t>
      </w:r>
      <w:r w:rsidRPr="00584340">
        <w:rPr>
          <w:rFonts w:cs="Times New Roman"/>
        </w:rPr>
        <w:t>ing</w:t>
      </w:r>
      <w:r w:rsidR="003B1624" w:rsidRPr="00584340">
        <w:rPr>
          <w:rFonts w:cs="Times New Roman"/>
        </w:rPr>
        <w:t xml:space="preserve"> at Clarendon</w:t>
      </w:r>
      <w:r w:rsidR="004820D5" w:rsidRPr="00584340">
        <w:rPr>
          <w:rFonts w:cs="Times New Roman"/>
        </w:rPr>
        <w:t>.</w:t>
      </w:r>
      <w:r w:rsidR="003524D3" w:rsidRPr="00584340">
        <w:rPr>
          <w:rStyle w:val="FootnoteReference"/>
          <w:rFonts w:cs="Times New Roman"/>
        </w:rPr>
        <w:footnoteReference w:id="50"/>
      </w:r>
      <w:r w:rsidR="004936B5" w:rsidRPr="00584340">
        <w:rPr>
          <w:rFonts w:cs="Times New Roman"/>
        </w:rPr>
        <w:t xml:space="preserve"> </w:t>
      </w:r>
      <w:r w:rsidR="00D5007C" w:rsidRPr="00584340">
        <w:rPr>
          <w:rFonts w:cs="Times New Roman"/>
        </w:rPr>
        <w:t xml:space="preserve">Under threat of </w:t>
      </w:r>
      <w:r w:rsidRPr="00584340">
        <w:rPr>
          <w:rFonts w:cs="Times New Roman"/>
        </w:rPr>
        <w:t>his supporters</w:t>
      </w:r>
      <w:r w:rsidR="00D5007C" w:rsidRPr="00584340">
        <w:rPr>
          <w:rFonts w:cs="Times New Roman"/>
        </w:rPr>
        <w:t xml:space="preserve"> exile and death, Thomas’ verbally accepted ‘ancient custom’ at Clarendon</w:t>
      </w:r>
      <w:r w:rsidR="00C03088" w:rsidRPr="00584340">
        <w:rPr>
          <w:rFonts w:cs="Times New Roman"/>
        </w:rPr>
        <w:t>.</w:t>
      </w:r>
      <w:r w:rsidR="007A227F" w:rsidRPr="00584340">
        <w:rPr>
          <w:rStyle w:val="FootnoteReference"/>
          <w:rFonts w:cs="Times New Roman"/>
        </w:rPr>
        <w:footnoteReference w:id="51"/>
      </w:r>
      <w:r w:rsidR="00D5007C" w:rsidRPr="00584340">
        <w:rPr>
          <w:rFonts w:cs="Times New Roman"/>
        </w:rPr>
        <w:t xml:space="preserve"> Henry </w:t>
      </w:r>
      <w:r w:rsidR="00C03088" w:rsidRPr="00584340">
        <w:rPr>
          <w:rFonts w:cs="Times New Roman"/>
        </w:rPr>
        <w:t xml:space="preserve">again ambushed Thomas, having him receive a chirograph of the Constitutions of Clarendon, Henry’s </w:t>
      </w:r>
      <w:r w:rsidR="00F509F5" w:rsidRPr="00584340">
        <w:rPr>
          <w:rFonts w:cs="Times New Roman"/>
        </w:rPr>
        <w:t>newly devised</w:t>
      </w:r>
      <w:r w:rsidR="00C03088" w:rsidRPr="00584340">
        <w:rPr>
          <w:rFonts w:cs="Times New Roman"/>
        </w:rPr>
        <w:t xml:space="preserve"> manuscript</w:t>
      </w:r>
      <w:r w:rsidR="00D5007C" w:rsidRPr="00584340">
        <w:rPr>
          <w:rFonts w:cs="Times New Roman"/>
        </w:rPr>
        <w:t xml:space="preserve"> version</w:t>
      </w:r>
      <w:r w:rsidR="00C03088" w:rsidRPr="00584340">
        <w:rPr>
          <w:rFonts w:cs="Times New Roman"/>
        </w:rPr>
        <w:t xml:space="preserve"> of ‘ancient custom’</w:t>
      </w:r>
      <w:r w:rsidR="00D5007C" w:rsidRPr="00584340">
        <w:rPr>
          <w:rFonts w:cs="Times New Roman"/>
        </w:rPr>
        <w:t>.</w:t>
      </w:r>
      <w:r w:rsidR="00C03088" w:rsidRPr="00584340">
        <w:rPr>
          <w:rStyle w:val="FootnoteReference"/>
          <w:rFonts w:cs="Times New Roman"/>
        </w:rPr>
        <w:footnoteReference w:id="52"/>
      </w:r>
      <w:r w:rsidR="00D5007C" w:rsidRPr="00584340">
        <w:rPr>
          <w:rFonts w:cs="Times New Roman"/>
        </w:rPr>
        <w:t xml:space="preserve"> </w:t>
      </w:r>
    </w:p>
    <w:p w14:paraId="02DF1003" w14:textId="138995A4" w:rsidR="004820D5" w:rsidRPr="00584340" w:rsidRDefault="00D5007C" w:rsidP="001C396C">
      <w:pPr>
        <w:spacing w:line="360" w:lineRule="auto"/>
        <w:ind w:firstLine="720"/>
        <w:jc w:val="both"/>
        <w:rPr>
          <w:rFonts w:cs="Times New Roman"/>
        </w:rPr>
      </w:pPr>
      <w:r w:rsidRPr="00584340">
        <w:rPr>
          <w:rFonts w:cs="Times New Roman"/>
        </w:rPr>
        <w:lastRenderedPageBreak/>
        <w:t xml:space="preserve">Clause </w:t>
      </w:r>
      <w:r w:rsidR="004E641D" w:rsidRPr="00584340">
        <w:rPr>
          <w:rFonts w:cs="Times New Roman"/>
        </w:rPr>
        <w:t>Three</w:t>
      </w:r>
      <w:r w:rsidRPr="00584340">
        <w:rPr>
          <w:rFonts w:cs="Times New Roman"/>
        </w:rPr>
        <w:t xml:space="preserve"> deal</w:t>
      </w:r>
      <w:r w:rsidR="004E641D" w:rsidRPr="00584340">
        <w:rPr>
          <w:rFonts w:cs="Times New Roman"/>
        </w:rPr>
        <w:t>s</w:t>
      </w:r>
      <w:r w:rsidRPr="00584340">
        <w:rPr>
          <w:rFonts w:cs="Times New Roman"/>
        </w:rPr>
        <w:t xml:space="preserve"> with the ‘criminous clerks’ issue</w:t>
      </w:r>
      <w:r w:rsidR="004E641D" w:rsidRPr="00584340">
        <w:rPr>
          <w:rFonts w:cs="Times New Roman"/>
        </w:rPr>
        <w:t>:</w:t>
      </w:r>
    </w:p>
    <w:p w14:paraId="2681205E" w14:textId="77777777" w:rsidR="00D5007C" w:rsidRPr="00584340" w:rsidRDefault="00D5007C" w:rsidP="001C396C">
      <w:pPr>
        <w:spacing w:line="360" w:lineRule="auto"/>
        <w:jc w:val="both"/>
        <w:rPr>
          <w:rFonts w:cs="Times New Roman"/>
        </w:rPr>
      </w:pPr>
    </w:p>
    <w:p w14:paraId="45AE75AF" w14:textId="0EB5AE03" w:rsidR="00AD4D36" w:rsidRPr="00584340" w:rsidRDefault="00AD4D36" w:rsidP="001C396C">
      <w:pPr>
        <w:spacing w:line="360" w:lineRule="auto"/>
        <w:ind w:left="720"/>
        <w:jc w:val="both"/>
        <w:rPr>
          <w:rFonts w:cs="Times New Roman"/>
        </w:rPr>
      </w:pPr>
      <w:r w:rsidRPr="00584340">
        <w:rPr>
          <w:rFonts w:cs="Times New Roman"/>
        </w:rPr>
        <w:t xml:space="preserve">3. Clerks cited and accused of any matter shall, when summoned by the kings justice, come before the king’s court to answer there concerning matters which shall seem to the king’s court to be </w:t>
      </w:r>
      <w:r w:rsidR="00FF0CB4" w:rsidRPr="00584340">
        <w:rPr>
          <w:rFonts w:cs="Times New Roman"/>
        </w:rPr>
        <w:t>answerable</w:t>
      </w:r>
      <w:r w:rsidRPr="00584340">
        <w:rPr>
          <w:rFonts w:cs="Times New Roman"/>
        </w:rPr>
        <w:t xml:space="preserve"> </w:t>
      </w:r>
      <w:r w:rsidR="00EC4020" w:rsidRPr="00584340">
        <w:rPr>
          <w:rFonts w:cs="Times New Roman"/>
        </w:rPr>
        <w:t>there</w:t>
      </w:r>
      <w:r w:rsidRPr="00584340">
        <w:rPr>
          <w:rFonts w:cs="Times New Roman"/>
        </w:rPr>
        <w:t>, and before the ecclesiastical court for what shall seem to be answerable there, but in such a way that the justice of the king shall</w:t>
      </w:r>
      <w:r w:rsidR="00FF0CB4" w:rsidRPr="00584340">
        <w:rPr>
          <w:rFonts w:cs="Times New Roman"/>
        </w:rPr>
        <w:t xml:space="preserve"> </w:t>
      </w:r>
      <w:r w:rsidRPr="00584340">
        <w:rPr>
          <w:rFonts w:cs="Times New Roman"/>
        </w:rPr>
        <w:t>send to the court of the holy Church to see how the case is there tried. And if the clerk shall be convicted or shall confess, the Church ought no longer protect him.</w:t>
      </w:r>
      <w:r w:rsidRPr="00584340">
        <w:rPr>
          <w:rStyle w:val="FootnoteReference"/>
          <w:rFonts w:cs="Times New Roman"/>
        </w:rPr>
        <w:footnoteReference w:id="53"/>
      </w:r>
    </w:p>
    <w:p w14:paraId="001119CF" w14:textId="77777777" w:rsidR="00381357" w:rsidRDefault="00381357" w:rsidP="001C396C">
      <w:pPr>
        <w:spacing w:line="360" w:lineRule="auto"/>
        <w:jc w:val="both"/>
        <w:rPr>
          <w:rFonts w:cs="Times New Roman"/>
        </w:rPr>
      </w:pPr>
    </w:p>
    <w:p w14:paraId="76BB1E89" w14:textId="712052B0" w:rsidR="000440FE" w:rsidRPr="00584340" w:rsidRDefault="00C14297" w:rsidP="001C396C">
      <w:pPr>
        <w:spacing w:line="360" w:lineRule="auto"/>
        <w:ind w:firstLine="720"/>
        <w:jc w:val="both"/>
        <w:rPr>
          <w:rFonts w:cs="Times New Roman"/>
        </w:rPr>
      </w:pPr>
      <w:r w:rsidRPr="00584340">
        <w:rPr>
          <w:rFonts w:cs="Times New Roman"/>
        </w:rPr>
        <w:t xml:space="preserve">Considered ‘unfortunately ambiguous’ by Duggan, Clause Three represents </w:t>
      </w:r>
      <w:r w:rsidR="00F509F5" w:rsidRPr="00584340">
        <w:rPr>
          <w:rFonts w:cs="Times New Roman"/>
        </w:rPr>
        <w:t xml:space="preserve">a considerable advance on the customs of </w:t>
      </w:r>
      <w:r w:rsidR="00EA7387" w:rsidRPr="00584340">
        <w:rPr>
          <w:rFonts w:cs="Times New Roman"/>
        </w:rPr>
        <w:t>Henry’s</w:t>
      </w:r>
      <w:r w:rsidR="00F509F5" w:rsidRPr="00584340">
        <w:rPr>
          <w:rFonts w:cs="Times New Roman"/>
        </w:rPr>
        <w:t xml:space="preserve"> grandfather</w:t>
      </w:r>
      <w:r w:rsidR="00EA7387" w:rsidRPr="00584340">
        <w:rPr>
          <w:rFonts w:cs="Times New Roman"/>
        </w:rPr>
        <w:t>.</w:t>
      </w:r>
      <w:r w:rsidR="00F509F5" w:rsidRPr="00584340">
        <w:rPr>
          <w:rStyle w:val="FootnoteReference"/>
          <w:rFonts w:cs="Times New Roman"/>
        </w:rPr>
        <w:footnoteReference w:id="54"/>
      </w:r>
      <w:r w:rsidR="000440FE" w:rsidRPr="00584340">
        <w:rPr>
          <w:rFonts w:cs="Times New Roman"/>
        </w:rPr>
        <w:t xml:space="preserve"> Most historians agree that the phrasing,  requires ‘all clerks</w:t>
      </w:r>
      <w:r w:rsidR="00EA7387" w:rsidRPr="00584340">
        <w:rPr>
          <w:rFonts w:cs="Times New Roman"/>
        </w:rPr>
        <w:t xml:space="preserve"> [without exception] </w:t>
      </w:r>
      <w:r w:rsidR="000440FE" w:rsidRPr="00584340">
        <w:rPr>
          <w:rFonts w:cs="Times New Roman"/>
        </w:rPr>
        <w:t>accused of serious… breaches of the king’s peace as well as God’s law’ should be summonsed to plead in secular court, be tried convicted and degraded in ecclesiastical court, then returned to the secular court for sentence and punishment as a layman.</w:t>
      </w:r>
      <w:r w:rsidR="000440FE" w:rsidRPr="00584340">
        <w:rPr>
          <w:rStyle w:val="FootnoteReference"/>
          <w:rFonts w:cs="Times New Roman"/>
        </w:rPr>
        <w:footnoteReference w:id="55"/>
      </w:r>
      <w:r w:rsidR="000440FE" w:rsidRPr="00584340">
        <w:rPr>
          <w:rFonts w:cs="Times New Roman"/>
        </w:rPr>
        <w:t xml:space="preserve"> </w:t>
      </w:r>
    </w:p>
    <w:p w14:paraId="5F4D6909" w14:textId="77777777" w:rsidR="00C14297" w:rsidRPr="00584340" w:rsidRDefault="00C14297" w:rsidP="001C396C">
      <w:pPr>
        <w:spacing w:line="360" w:lineRule="auto"/>
        <w:ind w:firstLine="720"/>
        <w:jc w:val="both"/>
        <w:rPr>
          <w:rFonts w:cs="Times New Roman"/>
        </w:rPr>
      </w:pPr>
    </w:p>
    <w:p w14:paraId="46A9B6E8" w14:textId="77777777" w:rsidR="000440FE" w:rsidRPr="00584340" w:rsidRDefault="000440FE" w:rsidP="001C396C">
      <w:pPr>
        <w:spacing w:line="360" w:lineRule="auto"/>
        <w:ind w:firstLine="720"/>
        <w:jc w:val="both"/>
        <w:rPr>
          <w:rStyle w:val="rynqvb"/>
          <w:rFonts w:cs="Times New Roman"/>
          <w:lang w:val="en"/>
        </w:rPr>
      </w:pPr>
      <w:r w:rsidRPr="00584340">
        <w:rPr>
          <w:rStyle w:val="rynqvb"/>
          <w:rFonts w:cs="Times New Roman"/>
          <w:lang w:val="en"/>
        </w:rPr>
        <w:t>Roger of Hoveden (d. 1202) interprets Henry’s intention and Thomas objections:</w:t>
      </w:r>
    </w:p>
    <w:p w14:paraId="77DAC688" w14:textId="77777777" w:rsidR="000440FE" w:rsidRPr="00584340" w:rsidRDefault="000440FE" w:rsidP="001C396C">
      <w:pPr>
        <w:spacing w:line="360" w:lineRule="auto"/>
        <w:jc w:val="both"/>
        <w:rPr>
          <w:rStyle w:val="rynqvb"/>
          <w:rFonts w:cs="Times New Roman"/>
          <w:lang w:val="en"/>
        </w:rPr>
      </w:pPr>
    </w:p>
    <w:p w14:paraId="1EFF50F6" w14:textId="77777777" w:rsidR="000440FE" w:rsidRPr="00584340" w:rsidRDefault="000440FE" w:rsidP="001C396C">
      <w:pPr>
        <w:spacing w:line="360" w:lineRule="auto"/>
        <w:ind w:left="720"/>
        <w:jc w:val="both"/>
        <w:rPr>
          <w:rStyle w:val="rynqvb"/>
          <w:rFonts w:cs="Times New Roman"/>
          <w:lang w:val="en"/>
        </w:rPr>
      </w:pPr>
      <w:r w:rsidRPr="00584340">
        <w:rPr>
          <w:rFonts w:cs="Times New Roman"/>
        </w:rPr>
        <w:t xml:space="preserve">For it was the king’s wish that if priests, deacons, subdeacons, and other rulers of the church should be apprehended on the commission of theft, or murder, or felony, or arson, or the like crimes, they should be taken before secular judges, and punished like the laity. Against this the archbishop of Canterbury urged, that if a clerk in holy orders, or any other ruler of the Church, should be charged upon any matter, he ought to be tried by ecclesiastics and in the ecclesiastical court; and if he should be convicted, that then he ought to be deprived of his orders, and that, when thus stripped of his office and his </w:t>
      </w:r>
      <w:r w:rsidRPr="00584340">
        <w:rPr>
          <w:rFonts w:cs="Times New Roman"/>
        </w:rPr>
        <w:lastRenderedPageBreak/>
        <w:t>ecclesiastical preferment, if he should offend again, he ought to be tried at the pleasure of the king and of his deputies.</w:t>
      </w:r>
      <w:r w:rsidRPr="00584340">
        <w:rPr>
          <w:rStyle w:val="FootnoteReference"/>
          <w:rFonts w:cs="Times New Roman"/>
        </w:rPr>
        <w:footnoteReference w:id="56"/>
      </w:r>
    </w:p>
    <w:p w14:paraId="78D5C7EF" w14:textId="77777777" w:rsidR="00340666" w:rsidRPr="00584340" w:rsidRDefault="00340666" w:rsidP="001C396C">
      <w:pPr>
        <w:spacing w:line="360" w:lineRule="auto"/>
        <w:jc w:val="both"/>
        <w:rPr>
          <w:rFonts w:cs="Times New Roman"/>
          <w:lang w:val="en"/>
        </w:rPr>
      </w:pPr>
    </w:p>
    <w:p w14:paraId="6E6F3CB1" w14:textId="03DC7ED4" w:rsidR="006F5DE0" w:rsidRDefault="00D01C80" w:rsidP="001C396C">
      <w:pPr>
        <w:spacing w:line="360" w:lineRule="auto"/>
        <w:ind w:firstLine="720"/>
        <w:jc w:val="both"/>
        <w:rPr>
          <w:rFonts w:cs="Times New Roman"/>
        </w:rPr>
      </w:pPr>
      <w:r w:rsidRPr="00584340">
        <w:rPr>
          <w:rFonts w:cs="Times New Roman"/>
        </w:rPr>
        <w:t xml:space="preserve">There is </w:t>
      </w:r>
      <w:r w:rsidR="00B4126E" w:rsidRPr="00584340">
        <w:rPr>
          <w:rFonts w:cs="Times New Roman"/>
        </w:rPr>
        <w:t>disagreement</w:t>
      </w:r>
      <w:r w:rsidRPr="00584340">
        <w:rPr>
          <w:rFonts w:cs="Times New Roman"/>
        </w:rPr>
        <w:t xml:space="preserve"> as to who</w:t>
      </w:r>
      <w:r w:rsidR="00B4126E" w:rsidRPr="00584340">
        <w:rPr>
          <w:rFonts w:cs="Times New Roman"/>
        </w:rPr>
        <w:t>se</w:t>
      </w:r>
      <w:r w:rsidRPr="00584340">
        <w:rPr>
          <w:rFonts w:cs="Times New Roman"/>
        </w:rPr>
        <w:t xml:space="preserve"> case</w:t>
      </w:r>
      <w:r w:rsidR="00B4126E" w:rsidRPr="00584340">
        <w:rPr>
          <w:rFonts w:cs="Times New Roman"/>
        </w:rPr>
        <w:t xml:space="preserve"> was best</w:t>
      </w:r>
      <w:r w:rsidRPr="00584340">
        <w:rPr>
          <w:rFonts w:cs="Times New Roman"/>
        </w:rPr>
        <w:t xml:space="preserve">. </w:t>
      </w:r>
      <w:r w:rsidR="00957276" w:rsidRPr="00584340">
        <w:rPr>
          <w:rFonts w:cs="Times New Roman"/>
        </w:rPr>
        <w:t>Whilst Maitland believes that Henry had the better case in common law, Charles Duggan disagrees.</w:t>
      </w:r>
      <w:r w:rsidR="00957276" w:rsidRPr="00584340">
        <w:rPr>
          <w:rStyle w:val="FootnoteReference"/>
          <w:rFonts w:cs="Times New Roman"/>
        </w:rPr>
        <w:footnoteReference w:id="57"/>
      </w:r>
      <w:r w:rsidR="00957276" w:rsidRPr="00584340">
        <w:rPr>
          <w:rFonts w:cs="Times New Roman"/>
        </w:rPr>
        <w:t xml:space="preserve"> </w:t>
      </w:r>
      <w:r w:rsidR="0013009E" w:rsidRPr="00584340">
        <w:rPr>
          <w:rFonts w:cs="Times New Roman"/>
        </w:rPr>
        <w:t>Anne Duggan</w:t>
      </w:r>
      <w:r w:rsidR="00267818" w:rsidRPr="00584340">
        <w:rPr>
          <w:rFonts w:cs="Times New Roman"/>
        </w:rPr>
        <w:t>, supporting Brand,</w:t>
      </w:r>
      <w:r w:rsidR="0013009E" w:rsidRPr="00584340">
        <w:rPr>
          <w:rFonts w:cs="Times New Roman"/>
        </w:rPr>
        <w:t xml:space="preserve"> </w:t>
      </w:r>
      <w:r w:rsidR="00957276" w:rsidRPr="00584340">
        <w:rPr>
          <w:rFonts w:cs="Times New Roman"/>
        </w:rPr>
        <w:t>suggests that</w:t>
      </w:r>
      <w:r w:rsidR="0013009E" w:rsidRPr="00584340">
        <w:rPr>
          <w:rFonts w:cs="Times New Roman"/>
        </w:rPr>
        <w:t xml:space="preserve"> </w:t>
      </w:r>
      <w:r w:rsidR="00957276" w:rsidRPr="00584340">
        <w:rPr>
          <w:rFonts w:cs="Times New Roman"/>
        </w:rPr>
        <w:t>Henry’s proposal went beyond that of his predecessors</w:t>
      </w:r>
      <w:r w:rsidR="000440FE" w:rsidRPr="00584340">
        <w:rPr>
          <w:rFonts w:cs="Times New Roman"/>
        </w:rPr>
        <w:t>, and that ‘ancient custom’, dating back to Ethelred, Cnut and William I, support Thomas</w:t>
      </w:r>
      <w:r w:rsidR="00267818" w:rsidRPr="00584340">
        <w:rPr>
          <w:rFonts w:cs="Times New Roman"/>
        </w:rPr>
        <w:t>.</w:t>
      </w:r>
      <w:r w:rsidR="00267818" w:rsidRPr="00584340">
        <w:rPr>
          <w:rStyle w:val="FootnoteReference"/>
          <w:rFonts w:cs="Times New Roman"/>
        </w:rPr>
        <w:footnoteReference w:id="58"/>
      </w:r>
      <w:r w:rsidR="00957276" w:rsidRPr="00584340">
        <w:rPr>
          <w:rFonts w:cs="Times New Roman"/>
        </w:rPr>
        <w:t xml:space="preserve"> </w:t>
      </w:r>
      <w:r w:rsidR="000440FE" w:rsidRPr="00584340">
        <w:rPr>
          <w:rFonts w:cs="Times New Roman"/>
        </w:rPr>
        <w:t>However,</w:t>
      </w:r>
      <w:r w:rsidR="00267818" w:rsidRPr="00584340">
        <w:rPr>
          <w:rFonts w:cs="Times New Roman"/>
        </w:rPr>
        <w:t xml:space="preserve"> </w:t>
      </w:r>
      <w:r w:rsidR="000440FE" w:rsidRPr="00584340">
        <w:rPr>
          <w:rFonts w:cs="Times New Roman"/>
        </w:rPr>
        <w:t xml:space="preserve">Thomas objections </w:t>
      </w:r>
      <w:r w:rsidR="00B4126E" w:rsidRPr="00584340">
        <w:rPr>
          <w:rFonts w:cs="Times New Roman"/>
        </w:rPr>
        <w:t xml:space="preserve">to clerical summons and punishment by secular judges appears to </w:t>
      </w:r>
      <w:r w:rsidR="0013009E" w:rsidRPr="00584340">
        <w:rPr>
          <w:rFonts w:cs="Times New Roman"/>
        </w:rPr>
        <w:t xml:space="preserve">appeal </w:t>
      </w:r>
      <w:r w:rsidR="00B4126E" w:rsidRPr="00584340">
        <w:rPr>
          <w:rFonts w:cs="Times New Roman"/>
        </w:rPr>
        <w:t xml:space="preserve">instead </w:t>
      </w:r>
      <w:r w:rsidR="0013009E" w:rsidRPr="00584340">
        <w:rPr>
          <w:rFonts w:cs="Times New Roman"/>
        </w:rPr>
        <w:t xml:space="preserve">to the current understanding of </w:t>
      </w:r>
      <w:r w:rsidR="00290629" w:rsidRPr="00584340">
        <w:rPr>
          <w:rFonts w:cs="Times New Roman"/>
        </w:rPr>
        <w:t>c</w:t>
      </w:r>
      <w:r w:rsidR="0013009E" w:rsidRPr="00584340">
        <w:rPr>
          <w:rFonts w:cs="Times New Roman"/>
        </w:rPr>
        <w:t xml:space="preserve">anon </w:t>
      </w:r>
      <w:r w:rsidR="00290629" w:rsidRPr="00584340">
        <w:rPr>
          <w:rFonts w:cs="Times New Roman"/>
        </w:rPr>
        <w:t>l</w:t>
      </w:r>
      <w:r w:rsidR="0013009E" w:rsidRPr="00584340">
        <w:rPr>
          <w:rFonts w:cs="Times New Roman"/>
        </w:rPr>
        <w:t>aw</w:t>
      </w:r>
      <w:r w:rsidR="0045385B" w:rsidRPr="00584340">
        <w:rPr>
          <w:rFonts w:cs="Times New Roman"/>
        </w:rPr>
        <w:t>, and was subsequently upheld by Alexander III</w:t>
      </w:r>
      <w:r w:rsidR="0013009E" w:rsidRPr="00584340">
        <w:rPr>
          <w:rFonts w:cs="Times New Roman"/>
        </w:rPr>
        <w:t>.</w:t>
      </w:r>
      <w:r w:rsidR="0013009E" w:rsidRPr="00584340">
        <w:rPr>
          <w:rStyle w:val="FootnoteReference"/>
          <w:rFonts w:cs="Times New Roman"/>
        </w:rPr>
        <w:footnoteReference w:id="59"/>
      </w:r>
      <w:r w:rsidR="0013009E" w:rsidRPr="00584340">
        <w:rPr>
          <w:rFonts w:cs="Times New Roman"/>
        </w:rPr>
        <w:t xml:space="preserve"> </w:t>
      </w:r>
      <w:r w:rsidR="006F5DE0" w:rsidRPr="00584340">
        <w:rPr>
          <w:rFonts w:cs="Times New Roman"/>
        </w:rPr>
        <w:t xml:space="preserve">Gratian’s </w:t>
      </w:r>
      <w:r w:rsidR="006F5DE0" w:rsidRPr="00584340">
        <w:rPr>
          <w:rFonts w:cs="Times New Roman"/>
          <w:i/>
          <w:iCs/>
        </w:rPr>
        <w:t xml:space="preserve">Decretum, </w:t>
      </w:r>
      <w:r w:rsidR="006F5DE0" w:rsidRPr="00584340">
        <w:rPr>
          <w:rFonts w:cs="Times New Roman"/>
        </w:rPr>
        <w:t xml:space="preserve">a synthesis of </w:t>
      </w:r>
      <w:r w:rsidR="00B96380" w:rsidRPr="00584340">
        <w:rPr>
          <w:rFonts w:cs="Times New Roman"/>
        </w:rPr>
        <w:t>c</w:t>
      </w:r>
      <w:r w:rsidR="006F5DE0" w:rsidRPr="00584340">
        <w:rPr>
          <w:rFonts w:cs="Times New Roman"/>
        </w:rPr>
        <w:t xml:space="preserve">anon and Roman </w:t>
      </w:r>
      <w:r w:rsidR="00B96380" w:rsidRPr="00584340">
        <w:rPr>
          <w:rFonts w:cs="Times New Roman"/>
        </w:rPr>
        <w:t>l</w:t>
      </w:r>
      <w:r w:rsidR="006F5DE0" w:rsidRPr="00584340">
        <w:rPr>
          <w:rFonts w:cs="Times New Roman"/>
        </w:rPr>
        <w:t>aw completed around 1140, whilst subject to professional and scholarly debate, became a standard reference.</w:t>
      </w:r>
      <w:r w:rsidR="006F5DE0" w:rsidRPr="00584340">
        <w:rPr>
          <w:rStyle w:val="FootnoteReference"/>
          <w:rFonts w:cs="Times New Roman"/>
        </w:rPr>
        <w:footnoteReference w:id="60"/>
      </w:r>
      <w:r w:rsidR="006F5DE0" w:rsidRPr="00584340">
        <w:rPr>
          <w:rFonts w:cs="Times New Roman"/>
        </w:rPr>
        <w:t xml:space="preserve"> Gratian</w:t>
      </w:r>
      <w:r w:rsidR="006F5DE0" w:rsidRPr="00584340">
        <w:rPr>
          <w:rFonts w:cs="Times New Roman"/>
          <w:i/>
          <w:iCs/>
        </w:rPr>
        <w:t xml:space="preserve"> </w:t>
      </w:r>
      <w:r w:rsidR="006F5DE0" w:rsidRPr="00584340">
        <w:rPr>
          <w:rFonts w:cs="Times New Roman"/>
        </w:rPr>
        <w:t>included five canons, relevant to ‘criminous clerks’.</w:t>
      </w:r>
      <w:r w:rsidR="00496F78" w:rsidRPr="00584340">
        <w:rPr>
          <w:rStyle w:val="FootnoteReference"/>
          <w:rFonts w:cs="Times New Roman"/>
        </w:rPr>
        <w:t xml:space="preserve"> </w:t>
      </w:r>
      <w:r w:rsidR="00496F78" w:rsidRPr="00584340">
        <w:rPr>
          <w:rStyle w:val="FootnoteReference"/>
          <w:rFonts w:cs="Times New Roman"/>
        </w:rPr>
        <w:footnoteReference w:id="61"/>
      </w:r>
      <w:r w:rsidR="006F5DE0" w:rsidRPr="00584340">
        <w:rPr>
          <w:rFonts w:cs="Times New Roman"/>
        </w:rPr>
        <w:t xml:space="preserve"> Two, attributed to ‘decretal letters by Popes Pius and Fabian’, applied </w:t>
      </w:r>
      <w:r w:rsidR="006F5DE0" w:rsidRPr="002C3ACC">
        <w:rPr>
          <w:rFonts w:cs="Times New Roman"/>
          <w:i/>
          <w:iCs/>
        </w:rPr>
        <w:t>traditio curiae</w:t>
      </w:r>
      <w:r w:rsidR="006F5DE0" w:rsidRPr="00584340">
        <w:rPr>
          <w:rFonts w:cs="Times New Roman"/>
        </w:rPr>
        <w:t xml:space="preserve"> to clerks showing incorrigible defiance towards ecclesiastical authority.</w:t>
      </w:r>
      <w:r w:rsidR="006F5DE0" w:rsidRPr="00584340">
        <w:rPr>
          <w:rStyle w:val="FootnoteReference"/>
          <w:rFonts w:cs="Times New Roman"/>
        </w:rPr>
        <w:t xml:space="preserve"> </w:t>
      </w:r>
      <w:r w:rsidR="006F5DE0" w:rsidRPr="00584340">
        <w:rPr>
          <w:rFonts w:cs="Times New Roman"/>
        </w:rPr>
        <w:t xml:space="preserve">Further ‘false decretals’, attributed to Popes Caius, Boniface and Sylvester, support Thomas’ assertion that clerks may not be summonsed before secular courts, or punished by them without their bishops consent. Although all these were subsequently identified as of dubious authenticity, this does not detract from their acceptance as genuine during the twelfth century. However, a genuine Palea from the 615 Council of Paris, overlooked by Gratian, supports the requirement of episcopal consent delivery of obstinate clerks to secular justice. So, these canons support delivery of degraded clerks to secular justice in specific circumstances, but not wholesale management in the civil court. Therefore, Henry’s advisors’ </w:t>
      </w:r>
      <w:r w:rsidR="006F5DE0" w:rsidRPr="00584340">
        <w:rPr>
          <w:rFonts w:cs="Times New Roman"/>
        </w:rPr>
        <w:lastRenderedPageBreak/>
        <w:t xml:space="preserve">consideration of </w:t>
      </w:r>
      <w:r w:rsidR="006F5DE0" w:rsidRPr="002C3ACC">
        <w:rPr>
          <w:rFonts w:cs="Times New Roman"/>
          <w:i/>
          <w:iCs/>
        </w:rPr>
        <w:t>tradatur curiae</w:t>
      </w:r>
      <w:r w:rsidR="006F5DE0" w:rsidRPr="00584340">
        <w:rPr>
          <w:rFonts w:cs="Times New Roman"/>
        </w:rPr>
        <w:t xml:space="preserve"> as ‘delivery to a secular court’ is debatable, as is the expansion of this at Clarendon to include all ‘criminous clerks’ without episcopal consent. </w:t>
      </w:r>
    </w:p>
    <w:p w14:paraId="4D1C5EC7" w14:textId="77777777" w:rsidR="00635F34" w:rsidRPr="00584340" w:rsidRDefault="00635F34" w:rsidP="001C396C">
      <w:pPr>
        <w:spacing w:line="360" w:lineRule="auto"/>
        <w:ind w:firstLine="720"/>
        <w:jc w:val="both"/>
        <w:rPr>
          <w:rFonts w:cs="Times New Roman"/>
        </w:rPr>
      </w:pPr>
    </w:p>
    <w:p w14:paraId="3C784A69" w14:textId="6E92CBFD" w:rsidR="006F5DE0" w:rsidRPr="00584340" w:rsidRDefault="006F5DE0" w:rsidP="001C396C">
      <w:pPr>
        <w:spacing w:line="360" w:lineRule="auto"/>
        <w:ind w:firstLine="720"/>
        <w:jc w:val="both"/>
        <w:rPr>
          <w:rFonts w:cs="Times New Roman"/>
        </w:rPr>
      </w:pPr>
      <w:r w:rsidRPr="00584340">
        <w:rPr>
          <w:rFonts w:cs="Times New Roman"/>
        </w:rPr>
        <w:t xml:space="preserve">However, during the twelfth century, understanding of the </w:t>
      </w:r>
      <w:r w:rsidRPr="002C3ACC">
        <w:rPr>
          <w:rFonts w:cs="Times New Roman"/>
          <w:i/>
          <w:iCs/>
        </w:rPr>
        <w:t>curia</w:t>
      </w:r>
      <w:r w:rsidR="002C3ACC" w:rsidRPr="002C3ACC">
        <w:rPr>
          <w:rFonts w:cs="Times New Roman"/>
          <w:i/>
          <w:iCs/>
        </w:rPr>
        <w:t>e</w:t>
      </w:r>
      <w:r w:rsidRPr="00584340">
        <w:rPr>
          <w:rFonts w:cs="Times New Roman"/>
        </w:rPr>
        <w:t xml:space="preserve"> to which ‘criminous clerks’ should be transferred had changed from ‘irredeemable servitude’, through ‘punitive imprisonment or exile’ to ‘secular court’. Similarly, </w:t>
      </w:r>
      <w:r w:rsidRPr="002C3ACC">
        <w:rPr>
          <w:rFonts w:cs="Times New Roman"/>
          <w:i/>
          <w:iCs/>
        </w:rPr>
        <w:t>tradatur</w:t>
      </w:r>
      <w:r w:rsidRPr="00584340">
        <w:rPr>
          <w:rFonts w:cs="Times New Roman"/>
        </w:rPr>
        <w:t xml:space="preserve"> (the mechanism of transfer) was debated. Henry’s advisors adopted the new thinking of certain Bolognese decretists, such as Rufinus and Stephan of Tournai, maintaining it until 1190, although the Bolognese school abandoned their position after Thomas’ martyrdom.</w:t>
      </w:r>
      <w:r w:rsidRPr="00584340">
        <w:rPr>
          <w:rStyle w:val="FootnoteReference"/>
          <w:rFonts w:cs="Times New Roman"/>
        </w:rPr>
        <w:t xml:space="preserve"> </w:t>
      </w:r>
      <w:r w:rsidRPr="00584340">
        <w:rPr>
          <w:rStyle w:val="FootnoteReference"/>
          <w:rFonts w:cs="Times New Roman"/>
        </w:rPr>
        <w:footnoteReference w:id="62"/>
      </w:r>
      <w:r w:rsidRPr="00584340">
        <w:rPr>
          <w:rFonts w:cs="Times New Roman"/>
        </w:rPr>
        <w:t xml:space="preserve">  </w:t>
      </w:r>
    </w:p>
    <w:p w14:paraId="49374C8F" w14:textId="77777777" w:rsidR="006F5DE0" w:rsidRPr="00584340" w:rsidRDefault="006F5DE0" w:rsidP="001C396C">
      <w:pPr>
        <w:tabs>
          <w:tab w:val="left" w:pos="560"/>
          <w:tab w:val="left" w:pos="1120"/>
        </w:tabs>
        <w:autoSpaceDE w:val="0"/>
        <w:autoSpaceDN w:val="0"/>
        <w:adjustRightInd w:val="0"/>
        <w:spacing w:line="360" w:lineRule="auto"/>
        <w:ind w:firstLine="720"/>
        <w:jc w:val="both"/>
        <w:rPr>
          <w:rFonts w:cs="Times New Roman"/>
        </w:rPr>
      </w:pPr>
    </w:p>
    <w:p w14:paraId="06F01B46" w14:textId="39705B6E" w:rsidR="0013009E" w:rsidRPr="00584340" w:rsidRDefault="000B35A6" w:rsidP="001C396C">
      <w:pPr>
        <w:tabs>
          <w:tab w:val="left" w:pos="560"/>
          <w:tab w:val="left" w:pos="1120"/>
        </w:tabs>
        <w:autoSpaceDE w:val="0"/>
        <w:autoSpaceDN w:val="0"/>
        <w:adjustRightInd w:val="0"/>
        <w:spacing w:line="360" w:lineRule="auto"/>
        <w:ind w:firstLine="720"/>
        <w:jc w:val="both"/>
        <w:rPr>
          <w:rFonts w:cs="Times New Roman"/>
        </w:rPr>
      </w:pPr>
      <w:r w:rsidRPr="00584340">
        <w:rPr>
          <w:rFonts w:cs="Times New Roman"/>
        </w:rPr>
        <w:t xml:space="preserve">Duggan </w:t>
      </w:r>
      <w:r w:rsidR="006F5DE0" w:rsidRPr="00584340">
        <w:rPr>
          <w:rFonts w:cs="Times New Roman"/>
          <w:kern w:val="0"/>
        </w:rPr>
        <w:t xml:space="preserve">concludes that Henry’s insistence that delivering all degraded clerks secular judgement and punishment for all clerks degraded in ecclesiastical court for their crimes went beyond canon law, in which this route </w:t>
      </w:r>
      <w:r w:rsidR="00C14AA5" w:rsidRPr="00584340">
        <w:rPr>
          <w:rFonts w:cs="Times New Roman"/>
          <w:kern w:val="0"/>
        </w:rPr>
        <w:t>was reserved</w:t>
      </w:r>
      <w:r w:rsidR="006F5DE0" w:rsidRPr="00584340">
        <w:rPr>
          <w:rFonts w:cs="Times New Roman"/>
          <w:kern w:val="0"/>
        </w:rPr>
        <w:t xml:space="preserve"> as an option for cases that could not be adequately managed in ecclesiastical court. Since this threatened the jurisdiction of ecclesiastical courts, conflict was inevitable.</w:t>
      </w:r>
      <w:r w:rsidR="006F5DE0" w:rsidRPr="00584340">
        <w:rPr>
          <w:rStyle w:val="FootnoteReference"/>
          <w:rFonts w:cs="Times New Roman"/>
          <w:kern w:val="0"/>
        </w:rPr>
        <w:footnoteReference w:id="63"/>
      </w:r>
      <w:r w:rsidR="006F5DE0" w:rsidRPr="00584340">
        <w:rPr>
          <w:rFonts w:cs="Times New Roman"/>
          <w:kern w:val="0"/>
        </w:rPr>
        <w:t xml:space="preserve"> Whereas Henry was more interested in regaining judicial control by appealing to the precedent of ‘ancestral custom’, Duggan concludes that Thomas arguments better reflected canon law, whilst acknowledging nuanced changes in meaning, interpretation and implementation of canon law arising from case law since Gratian’s </w:t>
      </w:r>
      <w:r w:rsidR="006F5DE0" w:rsidRPr="00584340">
        <w:rPr>
          <w:rFonts w:cs="Times New Roman"/>
          <w:i/>
          <w:iCs/>
          <w:kern w:val="0"/>
        </w:rPr>
        <w:t>Decretum.</w:t>
      </w:r>
      <w:r w:rsidR="006F5DE0" w:rsidRPr="00584340">
        <w:rPr>
          <w:rStyle w:val="FootnoteReference"/>
          <w:rFonts w:cs="Times New Roman"/>
          <w:kern w:val="0"/>
        </w:rPr>
        <w:footnoteReference w:id="64"/>
      </w:r>
      <w:r w:rsidRPr="00584340">
        <w:rPr>
          <w:rFonts w:cs="Times New Roman"/>
        </w:rPr>
        <w:t xml:space="preserve">Fraher, however considers twelfth century canon law ‘remained fundamentally inconsistent with a doctrine of </w:t>
      </w:r>
      <w:r w:rsidR="0055039E" w:rsidRPr="00584340">
        <w:rPr>
          <w:rFonts w:cs="Times New Roman"/>
        </w:rPr>
        <w:t xml:space="preserve">absolute </w:t>
      </w:r>
      <w:r w:rsidRPr="00584340">
        <w:rPr>
          <w:rFonts w:cs="Times New Roman"/>
        </w:rPr>
        <w:t>clerical immunity’</w:t>
      </w:r>
      <w:r w:rsidR="00724169" w:rsidRPr="00584340">
        <w:rPr>
          <w:rFonts w:cs="Times New Roman"/>
        </w:rPr>
        <w:t>, there being ‘explicit limitations’.</w:t>
      </w:r>
      <w:r w:rsidR="00724169" w:rsidRPr="00584340">
        <w:rPr>
          <w:rStyle w:val="FootnoteReference"/>
          <w:rFonts w:cs="Times New Roman"/>
        </w:rPr>
        <w:footnoteReference w:id="65"/>
      </w:r>
      <w:r w:rsidR="00724169" w:rsidRPr="00584340">
        <w:rPr>
          <w:rFonts w:cs="Times New Roman"/>
        </w:rPr>
        <w:t xml:space="preserve"> It is </w:t>
      </w:r>
      <w:r w:rsidR="0055039E" w:rsidRPr="00584340">
        <w:rPr>
          <w:rFonts w:cs="Times New Roman"/>
        </w:rPr>
        <w:t>unlikely that</w:t>
      </w:r>
      <w:r w:rsidR="00724169" w:rsidRPr="00584340">
        <w:rPr>
          <w:rFonts w:cs="Times New Roman"/>
        </w:rPr>
        <w:t xml:space="preserve"> Stephan of Tournai’s conclusions on ‘double punishment’, based on Roman Law</w:t>
      </w:r>
      <w:r w:rsidR="0055039E" w:rsidRPr="00584340">
        <w:rPr>
          <w:rFonts w:cs="Times New Roman"/>
        </w:rPr>
        <w:t xml:space="preserve"> but contradicting Thomas’ scriptural interpretation</w:t>
      </w:r>
      <w:r w:rsidR="00724169" w:rsidRPr="00584340">
        <w:rPr>
          <w:rFonts w:cs="Times New Roman"/>
        </w:rPr>
        <w:t xml:space="preserve">, were </w:t>
      </w:r>
      <w:r w:rsidR="0055039E" w:rsidRPr="00584340">
        <w:rPr>
          <w:rFonts w:cs="Times New Roman"/>
        </w:rPr>
        <w:t>undertaken until after the dispute, although opinion would swing in Thomas’ favour after his martyrdom.</w:t>
      </w:r>
      <w:r w:rsidR="0055039E" w:rsidRPr="00584340">
        <w:rPr>
          <w:rStyle w:val="FootnoteReference"/>
          <w:rFonts w:cs="Times New Roman"/>
        </w:rPr>
        <w:footnoteReference w:id="66"/>
      </w:r>
    </w:p>
    <w:p w14:paraId="2E12219F" w14:textId="77777777" w:rsidR="00584340" w:rsidRPr="00584340" w:rsidRDefault="00584340" w:rsidP="001C396C">
      <w:pPr>
        <w:spacing w:line="360" w:lineRule="auto"/>
        <w:ind w:firstLine="720"/>
        <w:rPr>
          <w:rFonts w:cs="Times New Roman"/>
        </w:rPr>
      </w:pPr>
    </w:p>
    <w:p w14:paraId="7D563CB4" w14:textId="77777777" w:rsidR="00CD3D78" w:rsidRDefault="003247ED" w:rsidP="00781268">
      <w:pPr>
        <w:spacing w:line="360" w:lineRule="auto"/>
        <w:ind w:firstLine="720"/>
        <w:rPr>
          <w:rFonts w:cs="Times New Roman"/>
        </w:rPr>
      </w:pPr>
      <w:r w:rsidRPr="00584340">
        <w:rPr>
          <w:rFonts w:cs="Times New Roman"/>
        </w:rPr>
        <w:t xml:space="preserve">Having considered the historical and political factors that led to the ‘criminous clerks’ dispute, we now turn to other factors that made its resolution so difficult. The respective characters of Thomas and Henry shed light upon their actions and the acrimonious </w:t>
      </w:r>
      <w:r w:rsidRPr="00584340">
        <w:rPr>
          <w:rFonts w:cs="Times New Roman"/>
        </w:rPr>
        <w:lastRenderedPageBreak/>
        <w:t>breakdown of their relationship, played out in this dispute. Early in Henry’s reign, he and the somewhat older Thomas enjoyed an inseparable friendship.</w:t>
      </w:r>
      <w:r w:rsidR="00947F6D">
        <w:rPr>
          <w:rStyle w:val="FootnoteReference"/>
          <w:rFonts w:cs="Times New Roman"/>
        </w:rPr>
        <w:footnoteReference w:id="67"/>
      </w:r>
      <w:r w:rsidRPr="00584340">
        <w:rPr>
          <w:rFonts w:cs="Times New Roman"/>
        </w:rPr>
        <w:t xml:space="preserve"> Both enjoyed outdoor pursuits, especially hawking.</w:t>
      </w:r>
      <w:r w:rsidR="00BD49C2">
        <w:rPr>
          <w:rStyle w:val="FootnoteReference"/>
          <w:rFonts w:cs="Times New Roman"/>
        </w:rPr>
        <w:footnoteReference w:id="68"/>
      </w:r>
      <w:r w:rsidRPr="00584340">
        <w:rPr>
          <w:rFonts w:cs="Times New Roman"/>
        </w:rPr>
        <w:t xml:space="preserve"> However, whereas Thomas was a studious and thoughtful chess player, </w:t>
      </w:r>
      <w:r w:rsidR="00FC3934" w:rsidRPr="00584340">
        <w:rPr>
          <w:rFonts w:cs="Times New Roman"/>
        </w:rPr>
        <w:t xml:space="preserve">who preferred mild, reasonable debate to solve problems, rather than </w:t>
      </w:r>
      <w:r w:rsidR="00771D16" w:rsidRPr="00584340">
        <w:rPr>
          <w:rFonts w:cs="Times New Roman"/>
        </w:rPr>
        <w:t>command-and-control.</w:t>
      </w:r>
      <w:r w:rsidR="00BD49C2">
        <w:rPr>
          <w:rStyle w:val="FootnoteReference"/>
          <w:rFonts w:cs="Times New Roman"/>
        </w:rPr>
        <w:footnoteReference w:id="69"/>
      </w:r>
      <w:r w:rsidR="00F91AE0" w:rsidRPr="00584340">
        <w:rPr>
          <w:rFonts w:cs="Times New Roman"/>
        </w:rPr>
        <w:t xml:space="preserve"> This explains his attempts to reason with Henry, appealing to canon law, seeking learned advice</w:t>
      </w:r>
      <w:r w:rsidR="00937021" w:rsidRPr="00584340">
        <w:rPr>
          <w:rFonts w:cs="Times New Roman"/>
        </w:rPr>
        <w:t xml:space="preserve">, even appealing to Rome. </w:t>
      </w:r>
    </w:p>
    <w:p w14:paraId="3EC58836" w14:textId="77777777" w:rsidR="00CD3D78" w:rsidRDefault="00CD3D78" w:rsidP="00781268">
      <w:pPr>
        <w:spacing w:line="360" w:lineRule="auto"/>
        <w:ind w:firstLine="720"/>
        <w:rPr>
          <w:rFonts w:cs="Times New Roman"/>
        </w:rPr>
      </w:pPr>
    </w:p>
    <w:p w14:paraId="0C2636D4" w14:textId="7063C690" w:rsidR="003247ED" w:rsidRPr="00584340" w:rsidRDefault="00173973" w:rsidP="00781268">
      <w:pPr>
        <w:spacing w:line="360" w:lineRule="auto"/>
        <w:ind w:firstLine="720"/>
        <w:rPr>
          <w:rFonts w:cs="Times New Roman"/>
        </w:rPr>
      </w:pPr>
      <w:r w:rsidRPr="00584340">
        <w:rPr>
          <w:rFonts w:cs="Times New Roman"/>
        </w:rPr>
        <w:t xml:space="preserve">Henry was single-minded in reforming the judiciary. </w:t>
      </w:r>
      <w:r w:rsidR="00771D16" w:rsidRPr="00584340">
        <w:rPr>
          <w:rFonts w:cs="Times New Roman"/>
        </w:rPr>
        <w:t xml:space="preserve"> </w:t>
      </w:r>
      <w:r w:rsidRPr="00584340">
        <w:rPr>
          <w:rFonts w:cs="Times New Roman"/>
        </w:rPr>
        <w:t>Warren considers Henry was ‘betrayed less by his former friend than by his own intemperate arrogance’.</w:t>
      </w:r>
      <w:r w:rsidRPr="00584340">
        <w:rPr>
          <w:rStyle w:val="FootnoteReference"/>
          <w:rFonts w:cs="Times New Roman"/>
        </w:rPr>
        <w:footnoteReference w:id="70"/>
      </w:r>
      <w:r w:rsidRPr="00584340">
        <w:rPr>
          <w:rFonts w:cs="Times New Roman"/>
        </w:rPr>
        <w:t xml:space="preserve"> </w:t>
      </w:r>
      <w:r w:rsidR="003247ED" w:rsidRPr="00584340">
        <w:rPr>
          <w:rFonts w:cs="Times New Roman"/>
        </w:rPr>
        <w:t xml:space="preserve">Henry was </w:t>
      </w:r>
      <w:r w:rsidR="00BD49C2">
        <w:rPr>
          <w:rFonts w:cs="Times New Roman"/>
        </w:rPr>
        <w:t xml:space="preserve">a </w:t>
      </w:r>
      <w:r w:rsidR="003247ED" w:rsidRPr="00584340">
        <w:rPr>
          <w:rFonts w:cs="Times New Roman"/>
        </w:rPr>
        <w:t>bold</w:t>
      </w:r>
      <w:r w:rsidR="00BD49C2">
        <w:rPr>
          <w:rFonts w:cs="Times New Roman"/>
        </w:rPr>
        <w:t>,</w:t>
      </w:r>
      <w:r w:rsidR="003247ED" w:rsidRPr="00584340">
        <w:rPr>
          <w:rFonts w:cs="Times New Roman"/>
        </w:rPr>
        <w:t xml:space="preserve"> decisive</w:t>
      </w:r>
      <w:r w:rsidR="00BD49C2">
        <w:rPr>
          <w:rFonts w:cs="Times New Roman"/>
        </w:rPr>
        <w:t>, energetic man</w:t>
      </w:r>
      <w:r w:rsidR="006D056A">
        <w:rPr>
          <w:rFonts w:cs="Times New Roman"/>
        </w:rPr>
        <w:t xml:space="preserve"> but</w:t>
      </w:r>
      <w:r w:rsidR="00BD49C2" w:rsidRPr="00584340">
        <w:rPr>
          <w:rFonts w:cs="Times New Roman"/>
        </w:rPr>
        <w:t xml:space="preserve"> prone</w:t>
      </w:r>
      <w:r w:rsidR="003247ED" w:rsidRPr="00584340">
        <w:rPr>
          <w:rFonts w:cs="Times New Roman"/>
        </w:rPr>
        <w:t xml:space="preserve"> to angry outbursts if defied.</w:t>
      </w:r>
      <w:r w:rsidR="006D056A">
        <w:rPr>
          <w:rStyle w:val="FootnoteReference"/>
          <w:rFonts w:cs="Times New Roman"/>
        </w:rPr>
        <w:footnoteReference w:id="71"/>
      </w:r>
      <w:r w:rsidR="003247ED" w:rsidRPr="00584340">
        <w:rPr>
          <w:rFonts w:cs="Times New Roman"/>
        </w:rPr>
        <w:t xml:space="preserve"> </w:t>
      </w:r>
      <w:r w:rsidR="00D31CC3" w:rsidRPr="00584340">
        <w:rPr>
          <w:rFonts w:cs="Times New Roman"/>
        </w:rPr>
        <w:t xml:space="preserve">Genuinely taken aback by the change in Thomas </w:t>
      </w:r>
      <w:r w:rsidR="006F535F" w:rsidRPr="00584340">
        <w:rPr>
          <w:rFonts w:cs="Times New Roman"/>
        </w:rPr>
        <w:t>as Archbishop, he came t</w:t>
      </w:r>
      <w:r w:rsidR="00B40F1B" w:rsidRPr="00584340">
        <w:rPr>
          <w:rFonts w:cs="Times New Roman"/>
        </w:rPr>
        <w:t>o</w:t>
      </w:r>
      <w:r w:rsidR="006F535F" w:rsidRPr="00584340">
        <w:rPr>
          <w:rFonts w:cs="Times New Roman"/>
        </w:rPr>
        <w:t xml:space="preserve"> consider him a threat</w:t>
      </w:r>
      <w:r w:rsidR="00B40F1B" w:rsidRPr="00584340">
        <w:rPr>
          <w:rFonts w:cs="Times New Roman"/>
        </w:rPr>
        <w:t xml:space="preserve">, </w:t>
      </w:r>
      <w:r w:rsidR="007043FB" w:rsidRPr="00584340">
        <w:rPr>
          <w:rFonts w:cs="Times New Roman"/>
        </w:rPr>
        <w:t xml:space="preserve">considering his opposition at Clarendon </w:t>
      </w:r>
      <w:r w:rsidR="000E4576" w:rsidRPr="00584340">
        <w:rPr>
          <w:rFonts w:cs="Times New Roman"/>
        </w:rPr>
        <w:t>treacherous.</w:t>
      </w:r>
      <w:r w:rsidR="000E4576" w:rsidRPr="00584340">
        <w:rPr>
          <w:rStyle w:val="FootnoteReference"/>
          <w:rFonts w:cs="Times New Roman"/>
        </w:rPr>
        <w:footnoteReference w:id="72"/>
      </w:r>
      <w:r w:rsidR="00BA35EA" w:rsidRPr="00584340">
        <w:rPr>
          <w:rFonts w:cs="Times New Roman"/>
        </w:rPr>
        <w:t xml:space="preserve"> </w:t>
      </w:r>
      <w:r w:rsidR="003247ED" w:rsidRPr="00584340">
        <w:rPr>
          <w:rFonts w:cs="Times New Roman"/>
        </w:rPr>
        <w:t>Where appeals to reason and loyalty failed, he was not above using the law and intimidation to persecute his opponents and isolate Thomas, repeatedly escalating the conflict. Contrived charges of financial impropriety ruined Thomas at Northampton, as did stripping his holdings and possessions.</w:t>
      </w:r>
      <w:r w:rsidR="003247ED" w:rsidRPr="00584340">
        <w:rPr>
          <w:rStyle w:val="FootnoteReference"/>
          <w:rFonts w:cs="Times New Roman"/>
        </w:rPr>
        <w:footnoteReference w:id="73"/>
      </w:r>
      <w:r w:rsidR="003247ED" w:rsidRPr="00584340">
        <w:rPr>
          <w:rFonts w:cs="Times New Roman"/>
        </w:rPr>
        <w:t xml:space="preserve"> He used emotional blackmail to sway Thomas, calling him ungrateful for Henry’s patronage.</w:t>
      </w:r>
      <w:r w:rsidR="006D056A">
        <w:rPr>
          <w:rStyle w:val="FootnoteReference"/>
          <w:rFonts w:cs="Times New Roman"/>
        </w:rPr>
        <w:footnoteReference w:id="74"/>
      </w:r>
      <w:r w:rsidR="003247ED" w:rsidRPr="00584340">
        <w:rPr>
          <w:rFonts w:cs="Times New Roman"/>
        </w:rPr>
        <w:t xml:space="preserve"> Following advice from Arnulf of Lisieux, he used intimidation to divide the bishops, and terrified mediators and threats to persuade Thomas’ to accept the Constitutions of Clarendon and after Northampton persecutes Thomas family and followers.</w:t>
      </w:r>
      <w:r w:rsidR="009B6564">
        <w:rPr>
          <w:rStyle w:val="FootnoteReference"/>
          <w:rFonts w:cs="Times New Roman"/>
        </w:rPr>
        <w:footnoteReference w:id="75"/>
      </w:r>
      <w:r w:rsidR="003247ED" w:rsidRPr="00584340">
        <w:rPr>
          <w:rFonts w:cs="Times New Roman"/>
        </w:rPr>
        <w:t xml:space="preserve"> In appointing John of Salisbury to Poitiers and exiling John of York, he stripped Thomas of advisors whilst infiltrating his own supporters. </w:t>
      </w:r>
    </w:p>
    <w:p w14:paraId="3CC9CE75" w14:textId="7D813C3E" w:rsidR="003247ED" w:rsidRPr="00584340" w:rsidRDefault="003247ED" w:rsidP="001C396C">
      <w:pPr>
        <w:spacing w:line="360" w:lineRule="auto"/>
        <w:ind w:firstLine="720"/>
        <w:rPr>
          <w:rFonts w:cs="Times New Roman"/>
        </w:rPr>
      </w:pPr>
      <w:r w:rsidRPr="00584340">
        <w:rPr>
          <w:rFonts w:cs="Times New Roman"/>
        </w:rPr>
        <w:lastRenderedPageBreak/>
        <w:t>Barlow considers Thomas’ character as contributing to the dispute.</w:t>
      </w:r>
      <w:r w:rsidRPr="00584340">
        <w:rPr>
          <w:rStyle w:val="FootnoteReference"/>
          <w:rFonts w:cs="Times New Roman"/>
        </w:rPr>
        <w:footnoteReference w:id="76"/>
      </w:r>
      <w:r w:rsidRPr="00584340">
        <w:rPr>
          <w:rFonts w:cs="Times New Roman"/>
        </w:rPr>
        <w:t xml:space="preserve"> Aware of his personal deficiencies, he had worked hard to rectify his perceived educational, </w:t>
      </w:r>
      <w:r w:rsidR="00884001" w:rsidRPr="00584340">
        <w:rPr>
          <w:rFonts w:cs="Times New Roman"/>
        </w:rPr>
        <w:t>social,</w:t>
      </w:r>
      <w:r w:rsidRPr="00584340">
        <w:rPr>
          <w:rFonts w:cs="Times New Roman"/>
        </w:rPr>
        <w:t xml:space="preserve"> and spiritual shortcomings to be the ‘best archbishop he could be’. Perhaps his personal piety and need to prove himself developed to fill the chasm left by the untimely death of his mother. </w:t>
      </w:r>
      <w:r w:rsidR="001F72CA">
        <w:rPr>
          <w:rFonts w:cs="Times New Roman"/>
        </w:rPr>
        <w:t>Now. as his friendship with Henry also died, he filled the gap with God, increasingly viewing</w:t>
      </w:r>
      <w:r w:rsidRPr="00584340">
        <w:rPr>
          <w:rFonts w:cs="Times New Roman"/>
        </w:rPr>
        <w:t xml:space="preserve"> Henry a Tyrant, and himself the Church’s Champion. </w:t>
      </w:r>
      <w:r w:rsidR="001F72CA">
        <w:rPr>
          <w:rFonts w:cs="Times New Roman"/>
        </w:rPr>
        <w:t>Where possible, h</w:t>
      </w:r>
      <w:r w:rsidRPr="00584340">
        <w:rPr>
          <w:rFonts w:cs="Times New Roman"/>
        </w:rPr>
        <w:t xml:space="preserve">is responses to the king tended to be measured, and taken under advice, for example with his bishops at Westminster, his Louis and the Pope during the exile, and Herbert, </w:t>
      </w:r>
      <w:r w:rsidR="00884001" w:rsidRPr="00584340">
        <w:rPr>
          <w:rFonts w:cs="Times New Roman"/>
        </w:rPr>
        <w:t>John,</w:t>
      </w:r>
      <w:r w:rsidRPr="00584340">
        <w:rPr>
          <w:rFonts w:cs="Times New Roman"/>
        </w:rPr>
        <w:t xml:space="preserve"> and William on his return to England. However, when wrongfooted, he made errors that exacerbated the conflict. For example, accepting the chirograph at Clarendon, having ordered resistance from the bishops, </w:t>
      </w:r>
      <w:r w:rsidR="00F0093F" w:rsidRPr="00584340">
        <w:rPr>
          <w:rFonts w:cs="Times New Roman"/>
        </w:rPr>
        <w:t>causing dissension in</w:t>
      </w:r>
      <w:r w:rsidRPr="00584340">
        <w:rPr>
          <w:rFonts w:cs="Times New Roman"/>
        </w:rPr>
        <w:t xml:space="preserve"> their ranks. </w:t>
      </w:r>
    </w:p>
    <w:p w14:paraId="250220E4" w14:textId="77777777" w:rsidR="003247ED" w:rsidRPr="00584340" w:rsidRDefault="003247ED" w:rsidP="001C396C">
      <w:pPr>
        <w:spacing w:line="360" w:lineRule="auto"/>
        <w:ind w:firstLine="720"/>
        <w:rPr>
          <w:rFonts w:cs="Times New Roman"/>
        </w:rPr>
      </w:pPr>
    </w:p>
    <w:p w14:paraId="5DB4A21E" w14:textId="44AA9B90" w:rsidR="003247ED" w:rsidRPr="00584340" w:rsidRDefault="006962AC" w:rsidP="001C396C">
      <w:pPr>
        <w:spacing w:line="360" w:lineRule="auto"/>
        <w:ind w:firstLine="720"/>
        <w:rPr>
          <w:rFonts w:cs="Times New Roman"/>
        </w:rPr>
      </w:pPr>
      <w:r w:rsidRPr="00584340">
        <w:rPr>
          <w:rFonts w:cs="Times New Roman"/>
        </w:rPr>
        <w:t>Despite</w:t>
      </w:r>
      <w:r w:rsidR="00BB6B68" w:rsidRPr="00584340">
        <w:rPr>
          <w:rFonts w:cs="Times New Roman"/>
        </w:rPr>
        <w:t xml:space="preserve"> mutual appeals to Alexander III</w:t>
      </w:r>
      <w:r w:rsidR="004E6603" w:rsidRPr="00584340">
        <w:rPr>
          <w:rFonts w:cs="Times New Roman"/>
        </w:rPr>
        <w:t xml:space="preserve"> over</w:t>
      </w:r>
      <w:r w:rsidR="003247ED" w:rsidRPr="00584340">
        <w:rPr>
          <w:rFonts w:cs="Times New Roman"/>
        </w:rPr>
        <w:t xml:space="preserve"> ‘criminous clerks’</w:t>
      </w:r>
      <w:r w:rsidR="004E6603" w:rsidRPr="00584340">
        <w:rPr>
          <w:rFonts w:cs="Times New Roman"/>
        </w:rPr>
        <w:t xml:space="preserve"> and other contentious clauses</w:t>
      </w:r>
      <w:r w:rsidR="003247ED" w:rsidRPr="00584340">
        <w:rPr>
          <w:rFonts w:cs="Times New Roman"/>
        </w:rPr>
        <w:t xml:space="preserve">, </w:t>
      </w:r>
      <w:r w:rsidR="004521ED" w:rsidRPr="00584340">
        <w:rPr>
          <w:rFonts w:cs="Times New Roman"/>
        </w:rPr>
        <w:t xml:space="preserve">conferences aimed at genuine resolution, </w:t>
      </w:r>
      <w:r w:rsidR="00C42142" w:rsidRPr="00584340">
        <w:rPr>
          <w:rFonts w:cs="Times New Roman"/>
        </w:rPr>
        <w:t>and a political compromise reached at Fr</w:t>
      </w:r>
      <w:r w:rsidR="009E7C9B">
        <w:rPr>
          <w:rFonts w:cs="Times New Roman"/>
        </w:rPr>
        <w:t>é</w:t>
      </w:r>
      <w:r w:rsidR="00C42142" w:rsidRPr="00584340">
        <w:rPr>
          <w:rFonts w:cs="Times New Roman"/>
        </w:rPr>
        <w:t>teval,</w:t>
      </w:r>
      <w:r w:rsidR="009E7C9B">
        <w:rPr>
          <w:rFonts w:cs="Times New Roman"/>
        </w:rPr>
        <w:t xml:space="preserve"> persecution continued.</w:t>
      </w:r>
      <w:r w:rsidR="009E7C9B" w:rsidRPr="009E7C9B">
        <w:rPr>
          <w:rStyle w:val="FootnoteReference"/>
          <w:rFonts w:cs="Times New Roman"/>
        </w:rPr>
        <w:t xml:space="preserve"> </w:t>
      </w:r>
      <w:r w:rsidR="009E7C9B">
        <w:rPr>
          <w:rStyle w:val="FootnoteReference"/>
          <w:rFonts w:cs="Times New Roman"/>
        </w:rPr>
        <w:footnoteReference w:id="77"/>
      </w:r>
      <w:r w:rsidR="009E7C9B" w:rsidRPr="00584340">
        <w:rPr>
          <w:rFonts w:cs="Times New Roman"/>
        </w:rPr>
        <w:t xml:space="preserve"> </w:t>
      </w:r>
      <w:r w:rsidR="009E7C9B">
        <w:rPr>
          <w:rFonts w:cs="Times New Roman"/>
        </w:rPr>
        <w:t xml:space="preserve"> </w:t>
      </w:r>
      <w:r w:rsidR="00C42142" w:rsidRPr="00584340">
        <w:rPr>
          <w:rFonts w:cs="Times New Roman"/>
        </w:rPr>
        <w:t xml:space="preserve"> </w:t>
      </w:r>
      <w:r w:rsidR="009E7C9B">
        <w:rPr>
          <w:rFonts w:cs="Times New Roman"/>
        </w:rPr>
        <w:t>M</w:t>
      </w:r>
      <w:r w:rsidR="00D624B3" w:rsidRPr="00584340">
        <w:rPr>
          <w:rFonts w:cs="Times New Roman"/>
        </w:rPr>
        <w:t>atter</w:t>
      </w:r>
      <w:r w:rsidR="009E7C9B">
        <w:rPr>
          <w:rFonts w:cs="Times New Roman"/>
        </w:rPr>
        <w:t>s</w:t>
      </w:r>
      <w:r w:rsidR="00D624B3" w:rsidRPr="00584340">
        <w:rPr>
          <w:rFonts w:cs="Times New Roman"/>
        </w:rPr>
        <w:t xml:space="preserve"> had become far too personal</w:t>
      </w:r>
      <w:r w:rsidR="009E7C9B">
        <w:rPr>
          <w:rFonts w:cs="Times New Roman"/>
        </w:rPr>
        <w:t xml:space="preserve"> for their former friendship to be restored</w:t>
      </w:r>
      <w:r w:rsidR="00D624B3" w:rsidRPr="00584340">
        <w:rPr>
          <w:rFonts w:cs="Times New Roman"/>
        </w:rPr>
        <w:t>.</w:t>
      </w:r>
      <w:r w:rsidR="00A55473" w:rsidRPr="00584340">
        <w:rPr>
          <w:rFonts w:cs="Times New Roman"/>
        </w:rPr>
        <w:t xml:space="preserve"> Thomas </w:t>
      </w:r>
      <w:r w:rsidR="00DD5CEB" w:rsidRPr="00584340">
        <w:rPr>
          <w:rFonts w:cs="Times New Roman"/>
        </w:rPr>
        <w:t xml:space="preserve">was </w:t>
      </w:r>
      <w:r w:rsidR="00A55473" w:rsidRPr="00584340">
        <w:rPr>
          <w:rFonts w:cs="Times New Roman"/>
        </w:rPr>
        <w:t>financially and politically ruined, his family and followers persecuted</w:t>
      </w:r>
      <w:r w:rsidR="00364F94" w:rsidRPr="00584340">
        <w:rPr>
          <w:rFonts w:cs="Times New Roman"/>
        </w:rPr>
        <w:t>, young Henry crowned without him</w:t>
      </w:r>
      <w:r w:rsidR="00781268">
        <w:rPr>
          <w:rFonts w:cs="Times New Roman"/>
        </w:rPr>
        <w:t xml:space="preserve"> and the king declining the kiss of peace</w:t>
      </w:r>
      <w:r w:rsidR="00DD5CEB" w:rsidRPr="00584340">
        <w:rPr>
          <w:rFonts w:cs="Times New Roman"/>
        </w:rPr>
        <w:t>. Henry</w:t>
      </w:r>
      <w:r w:rsidR="00837903" w:rsidRPr="00584340">
        <w:rPr>
          <w:rFonts w:cs="Times New Roman"/>
        </w:rPr>
        <w:t xml:space="preserve"> and his </w:t>
      </w:r>
      <w:r w:rsidR="003B5F5F" w:rsidRPr="00584340">
        <w:rPr>
          <w:rFonts w:cs="Times New Roman"/>
        </w:rPr>
        <w:t>friends faced excommunication</w:t>
      </w:r>
      <w:r w:rsidR="00837903" w:rsidRPr="00584340">
        <w:rPr>
          <w:rFonts w:cs="Times New Roman"/>
        </w:rPr>
        <w:t>s</w:t>
      </w:r>
      <w:r w:rsidR="003B5F5F" w:rsidRPr="00584340">
        <w:rPr>
          <w:rFonts w:cs="Times New Roman"/>
        </w:rPr>
        <w:t xml:space="preserve"> and loss of face on the international stage. </w:t>
      </w:r>
    </w:p>
    <w:p w14:paraId="75BC4A30" w14:textId="77777777" w:rsidR="003247ED" w:rsidRPr="00584340" w:rsidRDefault="003247ED" w:rsidP="001C396C">
      <w:pPr>
        <w:spacing w:line="360" w:lineRule="auto"/>
        <w:ind w:firstLine="720"/>
        <w:rPr>
          <w:rFonts w:cs="Times New Roman"/>
        </w:rPr>
      </w:pPr>
    </w:p>
    <w:p w14:paraId="537705DA" w14:textId="20082510" w:rsidR="003247ED" w:rsidRPr="00584340" w:rsidRDefault="003247ED" w:rsidP="001C396C">
      <w:pPr>
        <w:spacing w:line="360" w:lineRule="auto"/>
        <w:ind w:firstLine="720"/>
        <w:jc w:val="both"/>
        <w:rPr>
          <w:rFonts w:cs="Times New Roman"/>
        </w:rPr>
      </w:pPr>
      <w:r w:rsidRPr="00584340">
        <w:rPr>
          <w:rFonts w:cs="Times New Roman"/>
        </w:rPr>
        <w:t xml:space="preserve">Whilst Henry would ultimately </w:t>
      </w:r>
      <w:r w:rsidR="00CD3D78">
        <w:rPr>
          <w:rFonts w:cs="Times New Roman"/>
        </w:rPr>
        <w:t>progress a more coherent ju</w:t>
      </w:r>
      <w:r w:rsidR="009E7C9B">
        <w:rPr>
          <w:rFonts w:cs="Times New Roman"/>
        </w:rPr>
        <w:t>d</w:t>
      </w:r>
      <w:r w:rsidR="00CD3D78">
        <w:rPr>
          <w:rFonts w:cs="Times New Roman"/>
        </w:rPr>
        <w:t>icial system</w:t>
      </w:r>
      <w:r w:rsidRPr="00584340">
        <w:rPr>
          <w:rFonts w:cs="Times New Roman"/>
        </w:rPr>
        <w:t>, the consternation caused by ‘criminous clerks’ carried consequences for all parties.</w:t>
      </w:r>
      <w:r w:rsidR="00CD3D78">
        <w:rPr>
          <w:rStyle w:val="FootnoteReference"/>
          <w:rFonts w:cs="Times New Roman"/>
        </w:rPr>
        <w:footnoteReference w:id="78"/>
      </w:r>
      <w:r w:rsidRPr="00584340">
        <w:rPr>
          <w:rFonts w:cs="Times New Roman"/>
        </w:rPr>
        <w:t xml:space="preserve"> Although stripped of status and worldly possessions, Thomas developed spiritually during his exile, ultimately taking on the crown of martyrdom at Canterbury Cathedral on 29</w:t>
      </w:r>
      <w:r w:rsidRPr="00584340">
        <w:rPr>
          <w:rFonts w:cs="Times New Roman"/>
          <w:vertAlign w:val="superscript"/>
        </w:rPr>
        <w:t>th</w:t>
      </w:r>
      <w:r w:rsidRPr="00584340">
        <w:rPr>
          <w:rFonts w:cs="Times New Roman"/>
        </w:rPr>
        <w:t xml:space="preserve"> December 1170 following apparent reconciliation with Henry.</w:t>
      </w:r>
      <w:r w:rsidRPr="00584340">
        <w:rPr>
          <w:rStyle w:val="FootnoteReference"/>
          <w:rFonts w:cs="Times New Roman"/>
        </w:rPr>
        <w:footnoteReference w:id="79"/>
      </w:r>
      <w:r w:rsidRPr="00584340">
        <w:rPr>
          <w:rFonts w:cs="Times New Roman"/>
        </w:rPr>
        <w:t xml:space="preserve"> The ensuing miracles aided his canonization in 1173 and</w:t>
      </w:r>
      <w:r w:rsidR="00273FE8">
        <w:rPr>
          <w:rFonts w:cs="Times New Roman"/>
        </w:rPr>
        <w:t xml:space="preserve">, as evidenced by the distribution of reliquaries and other religious art, </w:t>
      </w:r>
      <w:r w:rsidRPr="00584340">
        <w:rPr>
          <w:rFonts w:cs="Times New Roman"/>
        </w:rPr>
        <w:t xml:space="preserve">his cultic </w:t>
      </w:r>
      <w:r w:rsidRPr="00584340">
        <w:rPr>
          <w:rFonts w:cs="Times New Roman"/>
        </w:rPr>
        <w:lastRenderedPageBreak/>
        <w:t>expansion across Christendom from its pilgrimage centre at Canterbury.</w:t>
      </w:r>
      <w:r w:rsidRPr="00584340">
        <w:rPr>
          <w:rStyle w:val="FootnoteReference"/>
          <w:rFonts w:cs="Times New Roman"/>
        </w:rPr>
        <w:footnoteReference w:id="80"/>
      </w:r>
      <w:r w:rsidRPr="00584340">
        <w:rPr>
          <w:rFonts w:cs="Times New Roman"/>
        </w:rPr>
        <w:t xml:space="preserve"> Henry facing international opposition, including rebellion by his sons, came to repentance and concede the contentious Clarendon clauses,  including reversing the jurisdiction of secular courts over ‘criminous clerks’ with certain exceptions. The Compromise of Avranches </w:t>
      </w:r>
      <w:r w:rsidR="00323861">
        <w:rPr>
          <w:rFonts w:cs="Times New Roman"/>
        </w:rPr>
        <w:t xml:space="preserve">in 1174 </w:t>
      </w:r>
      <w:r w:rsidRPr="00584340">
        <w:rPr>
          <w:rFonts w:cs="Times New Roman"/>
        </w:rPr>
        <w:t>reversed the Constitutions of Clarendon’s controversial clauses</w:t>
      </w:r>
      <w:r w:rsidR="007C290E">
        <w:rPr>
          <w:rFonts w:cs="Times New Roman"/>
        </w:rPr>
        <w:t xml:space="preserve"> includin</w:t>
      </w:r>
      <w:r w:rsidR="00926A89">
        <w:rPr>
          <w:rFonts w:cs="Times New Roman"/>
        </w:rPr>
        <w:t>g Clause 3, thu</w:t>
      </w:r>
      <w:r w:rsidR="00574249">
        <w:rPr>
          <w:rFonts w:cs="Times New Roman"/>
        </w:rPr>
        <w:t>s re-setting the judicial management of ‘criminous clerks’</w:t>
      </w:r>
      <w:r w:rsidR="00EA6958">
        <w:rPr>
          <w:rFonts w:cs="Times New Roman"/>
        </w:rPr>
        <w:t xml:space="preserve"> in line with Thomas’ </w:t>
      </w:r>
      <w:r w:rsidR="000A6523">
        <w:rPr>
          <w:rFonts w:cs="Times New Roman"/>
        </w:rPr>
        <w:t>position</w:t>
      </w:r>
      <w:r w:rsidRPr="00584340">
        <w:rPr>
          <w:rFonts w:cs="Times New Roman"/>
        </w:rPr>
        <w:t>.</w:t>
      </w:r>
      <w:r w:rsidR="009C4FDE">
        <w:rPr>
          <w:rStyle w:val="FootnoteReference"/>
          <w:rFonts w:cs="Times New Roman"/>
        </w:rPr>
        <w:footnoteReference w:id="81"/>
      </w:r>
      <w:r w:rsidRPr="00584340">
        <w:rPr>
          <w:rFonts w:cs="Times New Roman"/>
        </w:rPr>
        <w:t xml:space="preserve"> Clerical </w:t>
      </w:r>
      <w:r w:rsidRPr="00584340">
        <w:rPr>
          <w:rFonts w:cs="Times New Roman"/>
          <w:i/>
          <w:iCs/>
        </w:rPr>
        <w:t>privilegium fori</w:t>
      </w:r>
      <w:r w:rsidRPr="00584340">
        <w:rPr>
          <w:rFonts w:cs="Times New Roman"/>
        </w:rPr>
        <w:t xml:space="preserve"> was reiterated by exemption from ‘judicial duel’ and also from appearing before a secular judge except for offences relating to forest law or a lay fief.</w:t>
      </w:r>
      <w:r w:rsidRPr="00584340">
        <w:rPr>
          <w:rStyle w:val="FootnoteReference"/>
          <w:rFonts w:cs="Times New Roman"/>
        </w:rPr>
        <w:footnoteReference w:id="82"/>
      </w:r>
      <w:r w:rsidRPr="00584340">
        <w:rPr>
          <w:rFonts w:cs="Times New Roman"/>
        </w:rPr>
        <w:t xml:space="preserve"> </w:t>
      </w:r>
    </w:p>
    <w:p w14:paraId="18286420" w14:textId="77777777" w:rsidR="003247ED" w:rsidRPr="00584340" w:rsidRDefault="003247ED" w:rsidP="001C396C">
      <w:pPr>
        <w:spacing w:line="360" w:lineRule="auto"/>
        <w:ind w:firstLine="720"/>
        <w:jc w:val="both"/>
        <w:rPr>
          <w:rFonts w:cs="Times New Roman"/>
        </w:rPr>
      </w:pPr>
    </w:p>
    <w:p w14:paraId="6095D0A0" w14:textId="7DA60BFF" w:rsidR="003247ED" w:rsidRDefault="003247ED" w:rsidP="001C396C">
      <w:pPr>
        <w:spacing w:line="360" w:lineRule="auto"/>
        <w:ind w:firstLine="720"/>
        <w:jc w:val="both"/>
        <w:rPr>
          <w:rFonts w:cs="Times New Roman"/>
        </w:rPr>
      </w:pPr>
      <w:r w:rsidRPr="00584340">
        <w:rPr>
          <w:rFonts w:cs="Times New Roman"/>
        </w:rPr>
        <w:t xml:space="preserve">Unscrupulous and unchaste clerics appear alongside ‘criminous clerks’ </w:t>
      </w:r>
      <w:r w:rsidRPr="00584340">
        <w:rPr>
          <w:rFonts w:cs="Times New Roman"/>
          <w:i/>
          <w:iCs/>
        </w:rPr>
        <w:t xml:space="preserve">Piers Plowman </w:t>
      </w:r>
      <w:r w:rsidRPr="00584340">
        <w:rPr>
          <w:rFonts w:cs="Times New Roman"/>
        </w:rPr>
        <w:t xml:space="preserve">and </w:t>
      </w:r>
      <w:r w:rsidRPr="00584340">
        <w:rPr>
          <w:rFonts w:cs="Times New Roman"/>
          <w:i/>
          <w:iCs/>
        </w:rPr>
        <w:t>Canterbury Tales.</w:t>
      </w:r>
      <w:r w:rsidR="003E323B" w:rsidRPr="00584340">
        <w:rPr>
          <w:rStyle w:val="Heading1Char"/>
          <w:rFonts w:ascii="Times New Roman" w:hAnsi="Times New Roman" w:cs="Times New Roman"/>
          <w:sz w:val="24"/>
          <w:szCs w:val="24"/>
        </w:rPr>
        <w:t xml:space="preserve"> </w:t>
      </w:r>
      <w:r w:rsidR="003E323B" w:rsidRPr="00584340">
        <w:rPr>
          <w:rStyle w:val="FootnoteReference"/>
          <w:rFonts w:cs="Times New Roman"/>
        </w:rPr>
        <w:footnoteReference w:id="83"/>
      </w:r>
      <w:r w:rsidR="003E323B" w:rsidRPr="00584340">
        <w:rPr>
          <w:rStyle w:val="Heading1Char"/>
          <w:rFonts w:ascii="Times New Roman" w:hAnsi="Times New Roman" w:cs="Times New Roman"/>
          <w:sz w:val="24"/>
          <w:szCs w:val="24"/>
        </w:rPr>
        <w:t xml:space="preserve"> </w:t>
      </w:r>
      <w:r w:rsidRPr="00584340">
        <w:rPr>
          <w:rFonts w:cs="Times New Roman"/>
          <w:i/>
          <w:iCs/>
        </w:rPr>
        <w:t xml:space="preserve"> </w:t>
      </w:r>
      <w:r w:rsidRPr="00584340">
        <w:rPr>
          <w:rFonts w:cs="Times New Roman"/>
        </w:rPr>
        <w:t>Langland</w:t>
      </w:r>
      <w:r w:rsidR="003E323B" w:rsidRPr="00584340">
        <w:rPr>
          <w:rFonts w:cs="Times New Roman"/>
        </w:rPr>
        <w:t>, for example,</w:t>
      </w:r>
      <w:r w:rsidRPr="00584340">
        <w:rPr>
          <w:rFonts w:cs="Times New Roman"/>
        </w:rPr>
        <w:t xml:space="preserve"> introduces an Irish priest </w:t>
      </w:r>
      <w:r w:rsidR="00401403" w:rsidRPr="00584340">
        <w:rPr>
          <w:rFonts w:cs="Times New Roman"/>
        </w:rPr>
        <w:t>claiming,</w:t>
      </w:r>
      <w:r w:rsidRPr="00584340">
        <w:rPr>
          <w:rFonts w:cs="Times New Roman"/>
        </w:rPr>
        <w:t xml:space="preserve"> ‘no more conscience, if only I catch silver, than I do a draught of good ale’ and the burgling cleric Brother Creep-in-the-House. Whilst these tales are pastiches, Canon reports dozens of cases of criminous clerical activity in the late fourteenth century. Indeed, as Erasmus points out, Canterbury was still capitalising on the Thomas’ cult by dishonest means well into the sixteenth century.</w:t>
      </w:r>
      <w:r w:rsidR="00612F0F">
        <w:rPr>
          <w:rStyle w:val="FootnoteReference"/>
          <w:rFonts w:cs="Times New Roman"/>
        </w:rPr>
        <w:footnoteReference w:id="84"/>
      </w:r>
    </w:p>
    <w:p w14:paraId="7EA687C9" w14:textId="4B9DC2C8" w:rsidR="002B1D50" w:rsidRPr="00584340" w:rsidRDefault="002B1D50" w:rsidP="001C396C">
      <w:pPr>
        <w:spacing w:line="360" w:lineRule="auto"/>
        <w:ind w:firstLine="720"/>
        <w:jc w:val="both"/>
        <w:rPr>
          <w:rFonts w:cs="Times New Roman"/>
        </w:rPr>
      </w:pPr>
    </w:p>
    <w:p w14:paraId="3E7E9248" w14:textId="53EFBC5D" w:rsidR="00A04973" w:rsidRDefault="003247ED" w:rsidP="00A04973">
      <w:pPr>
        <w:spacing w:line="360" w:lineRule="auto"/>
        <w:ind w:firstLine="720"/>
        <w:jc w:val="both"/>
        <w:rPr>
          <w:rFonts w:cs="Times New Roman"/>
        </w:rPr>
      </w:pPr>
      <w:r w:rsidRPr="00584340">
        <w:rPr>
          <w:rFonts w:cs="Times New Roman"/>
        </w:rPr>
        <w:t xml:space="preserve">In considering the matter of ‘criminous clerks’ dispute, this essay has started to unpick how the interplay of historical imperative, reforming zeal and divine mandate conspired to create a political battleground upon which a constructive friendship became an acrimonious fight to the death. What is particularly sad is that, had it not been for their obstinate personalities, had there been a willingness to compromise, the results need not have been so tragic. However, as their positions hardened, their actions more belligerent, then true reconciliation became more difficult, until Henry’s goal change from reining in his Archbishop to ruining Thomas, just as Thomas goal changed from defending the rights of the church to extending them before his </w:t>
      </w:r>
      <w:r w:rsidRPr="00584340">
        <w:rPr>
          <w:rFonts w:cs="Times New Roman"/>
        </w:rPr>
        <w:lastRenderedPageBreak/>
        <w:t>ultimate capitulation. Despite great loss, so little was achieved, except to raise the profile of Canterbury as a pilgrimage centre until the 1530s.</w:t>
      </w:r>
    </w:p>
    <w:p w14:paraId="00D2AF18" w14:textId="77777777" w:rsidR="00A04973" w:rsidRDefault="00A04973" w:rsidP="00A04973">
      <w:pPr>
        <w:spacing w:line="360" w:lineRule="auto"/>
        <w:jc w:val="both"/>
        <w:rPr>
          <w:rFonts w:cs="Times New Roman"/>
        </w:rPr>
      </w:pPr>
    </w:p>
    <w:p w14:paraId="219B1BE8" w14:textId="77777777" w:rsidR="00A04973" w:rsidRDefault="00635F34" w:rsidP="00781268">
      <w:pPr>
        <w:pBdr>
          <w:bottom w:val="single" w:sz="6" w:space="1" w:color="auto"/>
        </w:pBdr>
        <w:spacing w:line="360" w:lineRule="auto"/>
        <w:jc w:val="right"/>
        <w:rPr>
          <w:rFonts w:cs="Times New Roman"/>
        </w:rPr>
      </w:pPr>
      <w:r>
        <w:rPr>
          <w:rFonts w:cs="Times New Roman"/>
        </w:rPr>
        <w:t>Word Count 38</w:t>
      </w:r>
      <w:r w:rsidR="00781268">
        <w:rPr>
          <w:rFonts w:cs="Times New Roman"/>
        </w:rPr>
        <w:t>3</w:t>
      </w:r>
      <w:r w:rsidR="00A04973">
        <w:rPr>
          <w:rFonts w:cs="Times New Roman"/>
        </w:rPr>
        <w:t>3</w:t>
      </w:r>
    </w:p>
    <w:p w14:paraId="337EBC3C" w14:textId="77777777" w:rsidR="00A04973" w:rsidRDefault="00A04973" w:rsidP="00634A4A">
      <w:pPr>
        <w:spacing w:line="360" w:lineRule="auto"/>
        <w:ind w:left="720" w:hanging="720"/>
        <w:rPr>
          <w:rFonts w:cs="Times New Roman"/>
          <w:b/>
          <w:bCs/>
        </w:rPr>
      </w:pPr>
    </w:p>
    <w:p w14:paraId="114F2330" w14:textId="042C5327" w:rsidR="00634A4A" w:rsidRPr="00240617" w:rsidRDefault="00634A4A" w:rsidP="00634A4A">
      <w:pPr>
        <w:spacing w:line="360" w:lineRule="auto"/>
        <w:ind w:left="720" w:hanging="720"/>
        <w:rPr>
          <w:rFonts w:cs="Times New Roman"/>
          <w:b/>
          <w:bCs/>
        </w:rPr>
      </w:pPr>
      <w:r w:rsidRPr="00240617">
        <w:rPr>
          <w:rFonts w:cs="Times New Roman"/>
          <w:b/>
          <w:bCs/>
        </w:rPr>
        <w:t>Bibliography</w:t>
      </w:r>
    </w:p>
    <w:p w14:paraId="24059027" w14:textId="77777777" w:rsidR="00634A4A" w:rsidRPr="00240617" w:rsidRDefault="00634A4A" w:rsidP="00634A4A">
      <w:pPr>
        <w:spacing w:line="360" w:lineRule="auto"/>
        <w:ind w:left="720" w:hanging="720"/>
        <w:rPr>
          <w:rFonts w:cs="Times New Roman"/>
          <w:b/>
          <w:bCs/>
        </w:rPr>
      </w:pPr>
    </w:p>
    <w:p w14:paraId="0477E5FD" w14:textId="77777777" w:rsidR="00634A4A" w:rsidRPr="00240617" w:rsidRDefault="00634A4A" w:rsidP="00634A4A">
      <w:pPr>
        <w:spacing w:line="360" w:lineRule="auto"/>
        <w:ind w:left="720" w:hanging="720"/>
        <w:rPr>
          <w:rFonts w:cs="Times New Roman"/>
          <w:b/>
          <w:bCs/>
        </w:rPr>
      </w:pPr>
      <w:r w:rsidRPr="00240617">
        <w:rPr>
          <w:rFonts w:cs="Times New Roman"/>
          <w:b/>
          <w:bCs/>
        </w:rPr>
        <w:t>Primary Sources</w:t>
      </w:r>
    </w:p>
    <w:p w14:paraId="06BEC8C5" w14:textId="77777777" w:rsidR="00634A4A" w:rsidRPr="00240617" w:rsidRDefault="00634A4A" w:rsidP="00634A4A">
      <w:pPr>
        <w:spacing w:line="360" w:lineRule="auto"/>
        <w:ind w:left="720" w:hanging="720"/>
        <w:rPr>
          <w:rFonts w:cs="Times New Roman"/>
          <w:b/>
          <w:bCs/>
        </w:rPr>
      </w:pPr>
    </w:p>
    <w:p w14:paraId="6028E756" w14:textId="77777777" w:rsidR="00634A4A" w:rsidRDefault="00634A4A" w:rsidP="00634A4A">
      <w:pPr>
        <w:spacing w:line="360" w:lineRule="auto"/>
        <w:ind w:left="720" w:hanging="720"/>
        <w:rPr>
          <w:rFonts w:cs="Times New Roman"/>
        </w:rPr>
      </w:pPr>
      <w:r>
        <w:t xml:space="preserve">Erasmus (1526), Desiderius and C. R. Thompson (tr., 1911), </w:t>
      </w:r>
      <w:r>
        <w:rPr>
          <w:i/>
          <w:iCs/>
        </w:rPr>
        <w:t xml:space="preserve">Ten Colloquies of Erasmus, </w:t>
      </w:r>
      <w:r>
        <w:t>(New York: Liberal Arts Press, 1957), pp. 79-89.</w:t>
      </w:r>
    </w:p>
    <w:p w14:paraId="1C3FA9CF" w14:textId="77777777" w:rsidR="00634A4A" w:rsidRPr="00240617" w:rsidRDefault="00634A4A" w:rsidP="00634A4A">
      <w:pPr>
        <w:spacing w:line="360" w:lineRule="auto"/>
        <w:ind w:left="720" w:hanging="720"/>
        <w:rPr>
          <w:rFonts w:cs="Times New Roman"/>
          <w:b/>
          <w:bCs/>
        </w:rPr>
      </w:pPr>
    </w:p>
    <w:p w14:paraId="51621C53" w14:textId="668CC4BE"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Gourde</w:t>
      </w:r>
      <w:r w:rsidR="00EC329D">
        <w:rPr>
          <w:rFonts w:cs="Times New Roman"/>
        </w:rPr>
        <w:t>,</w:t>
      </w:r>
      <w:r w:rsidRPr="00240617">
        <w:rPr>
          <w:rFonts w:cs="Times New Roman"/>
        </w:rPr>
        <w:t xml:space="preserve"> Leo T., </w:t>
      </w:r>
      <w:r>
        <w:rPr>
          <w:rFonts w:cs="Times New Roman"/>
        </w:rPr>
        <w:t>‘</w:t>
      </w:r>
      <w:r w:rsidRPr="00EC3D9D">
        <w:rPr>
          <w:rFonts w:cs="Times New Roman"/>
        </w:rPr>
        <w:t>An Annotated Translation of the Life of St. Thomas Becket by William Fitzstephen: Part One</w:t>
      </w:r>
      <w:r>
        <w:rPr>
          <w:rFonts w:cs="Times New Roman"/>
        </w:rPr>
        <w:t>’</w:t>
      </w:r>
      <w:r w:rsidRPr="00EC3D9D">
        <w:rPr>
          <w:rFonts w:cs="Times New Roman"/>
        </w:rPr>
        <w:t>.</w:t>
      </w:r>
      <w:r w:rsidRPr="00240617">
        <w:rPr>
          <w:rFonts w:cs="Times New Roman"/>
          <w:i/>
          <w:iCs/>
        </w:rPr>
        <w:t xml:space="preserve"> Master</w:t>
      </w:r>
      <w:r>
        <w:rPr>
          <w:rFonts w:cs="Times New Roman"/>
          <w:i/>
          <w:iCs/>
        </w:rPr>
        <w:t>’</w:t>
      </w:r>
      <w:r w:rsidRPr="00240617">
        <w:rPr>
          <w:rFonts w:cs="Times New Roman"/>
          <w:i/>
          <w:iCs/>
        </w:rPr>
        <w:t>s Thes</w:t>
      </w:r>
      <w:r>
        <w:rPr>
          <w:rFonts w:cs="Times New Roman"/>
          <w:i/>
          <w:iCs/>
        </w:rPr>
        <w:t>e</w:t>
      </w:r>
      <w:r w:rsidRPr="00240617">
        <w:rPr>
          <w:rFonts w:cs="Times New Roman"/>
          <w:i/>
          <w:iCs/>
        </w:rPr>
        <w:t>s</w:t>
      </w:r>
      <w:r>
        <w:rPr>
          <w:rFonts w:cs="Times New Roman"/>
          <w:i/>
          <w:iCs/>
        </w:rPr>
        <w:t xml:space="preserve">, </w:t>
      </w:r>
      <w:r>
        <w:rPr>
          <w:rFonts w:cs="Times New Roman"/>
        </w:rPr>
        <w:t>622,</w:t>
      </w:r>
      <w:r>
        <w:rPr>
          <w:rFonts w:cs="Times New Roman"/>
          <w:i/>
          <w:iCs/>
        </w:rPr>
        <w:t xml:space="preserve"> </w:t>
      </w:r>
      <w:r w:rsidRPr="00240617">
        <w:rPr>
          <w:rFonts w:cs="Times New Roman"/>
        </w:rPr>
        <w:t>(Chicago: Loyola University, 1943)</w:t>
      </w:r>
      <w:r>
        <w:rPr>
          <w:rFonts w:cs="Times New Roman"/>
        </w:rPr>
        <w:t>.</w:t>
      </w:r>
      <w:r w:rsidRPr="00240617">
        <w:rPr>
          <w:rFonts w:cs="Times New Roman"/>
        </w:rPr>
        <w:t xml:space="preserve"> </w:t>
      </w:r>
      <w:r>
        <w:rPr>
          <w:rFonts w:cs="Times New Roman"/>
        </w:rPr>
        <w:t>&lt;</w:t>
      </w:r>
      <w:hyperlink r:id="rId7" w:history="1">
        <w:r w:rsidRPr="0015409F">
          <w:rPr>
            <w:rStyle w:val="Hyperlink"/>
            <w:rFonts w:cs="Times New Roman"/>
          </w:rPr>
          <w:t>https://ecommons.luc.edu/luc_theses/622/</w:t>
        </w:r>
      </w:hyperlink>
      <w:r>
        <w:rPr>
          <w:rFonts w:cs="Times New Roman"/>
        </w:rPr>
        <w:t>&gt; [Accessed 6 May 2023].</w:t>
      </w:r>
    </w:p>
    <w:p w14:paraId="3BE589D9" w14:textId="77777777" w:rsidR="00634A4A" w:rsidRPr="00240617" w:rsidRDefault="00634A4A" w:rsidP="00634A4A">
      <w:pPr>
        <w:spacing w:line="360" w:lineRule="auto"/>
        <w:ind w:left="720" w:hanging="720"/>
        <w:jc w:val="both"/>
        <w:rPr>
          <w:rFonts w:cs="Times New Roman"/>
        </w:rPr>
      </w:pPr>
    </w:p>
    <w:p w14:paraId="6FE620AC"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Greenaway, George (trans. ed.), </w:t>
      </w:r>
      <w:r w:rsidRPr="00240617">
        <w:rPr>
          <w:rFonts w:cs="Times New Roman"/>
          <w:i/>
          <w:iCs/>
        </w:rPr>
        <w:t>The Life and Death of Thomas Becket, Chancellor of England and Archbishop of Canterbury, based on the account of William fitzStephen, his clerk, with additions from other contemporary sources</w:t>
      </w:r>
      <w:r>
        <w:rPr>
          <w:rFonts w:cs="Times New Roman"/>
          <w:i/>
          <w:iCs/>
        </w:rPr>
        <w:t>,</w:t>
      </w:r>
      <w:r w:rsidRPr="00240617">
        <w:rPr>
          <w:rFonts w:cs="Times New Roman"/>
          <w:i/>
          <w:iCs/>
        </w:rPr>
        <w:t xml:space="preserve"> </w:t>
      </w:r>
      <w:r w:rsidRPr="00240617">
        <w:rPr>
          <w:rFonts w:cs="Times New Roman"/>
        </w:rPr>
        <w:t>(The Folio Society, 1961).</w:t>
      </w:r>
    </w:p>
    <w:p w14:paraId="6A805454"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p>
    <w:p w14:paraId="582FFF71" w14:textId="77777777" w:rsidR="00634A4A" w:rsidRPr="00240617" w:rsidRDefault="00634A4A" w:rsidP="00634A4A">
      <w:pPr>
        <w:spacing w:line="360" w:lineRule="auto"/>
        <w:ind w:left="720" w:hanging="720"/>
        <w:rPr>
          <w:rFonts w:cs="Times New Roman"/>
        </w:rPr>
      </w:pPr>
      <w:r w:rsidRPr="00240617">
        <w:rPr>
          <w:rFonts w:cs="Times New Roman"/>
        </w:rPr>
        <w:t xml:space="preserve">John of Salisbury (1159) and Dickinson, John (tr.), </w:t>
      </w:r>
      <w:r w:rsidRPr="00240617">
        <w:rPr>
          <w:rFonts w:cs="Times New Roman"/>
          <w:i/>
          <w:iCs/>
        </w:rPr>
        <w:t>The Statesman’s Book of John of Salisbury: Being the Fourth, Fifth and Sixth Books and Selections from the Seventh and Eighth Books of the Policraticus</w:t>
      </w:r>
      <w:r>
        <w:rPr>
          <w:rFonts w:cs="Times New Roman"/>
          <w:i/>
          <w:iCs/>
        </w:rPr>
        <w:t>,</w:t>
      </w:r>
      <w:r w:rsidRPr="00240617">
        <w:rPr>
          <w:rFonts w:cs="Times New Roman"/>
          <w:i/>
          <w:iCs/>
        </w:rPr>
        <w:t xml:space="preserve"> </w:t>
      </w:r>
      <w:r w:rsidRPr="00240617">
        <w:rPr>
          <w:rFonts w:cs="Times New Roman"/>
        </w:rPr>
        <w:t xml:space="preserve">(New York: A. A. Knopf, 1927). </w:t>
      </w:r>
      <w:r>
        <w:rPr>
          <w:rFonts w:cs="Times New Roman"/>
        </w:rPr>
        <w:t>&lt;</w:t>
      </w:r>
      <w:hyperlink r:id="rId8" w:history="1">
        <w:r w:rsidRPr="0015409F">
          <w:rPr>
            <w:rStyle w:val="Hyperlink"/>
            <w:rFonts w:cs="Times New Roman"/>
          </w:rPr>
          <w:t>https://archive.org/details/statesmansbookof0000unse/page/n3/mode/2up</w:t>
        </w:r>
      </w:hyperlink>
      <w:r>
        <w:rPr>
          <w:rFonts w:cs="Times New Roman"/>
        </w:rPr>
        <w:t xml:space="preserve">&gt; </w:t>
      </w:r>
      <w:r w:rsidRPr="00240617">
        <w:rPr>
          <w:rFonts w:cs="Times New Roman"/>
        </w:rPr>
        <w:t xml:space="preserve">[Accessed </w:t>
      </w:r>
      <w:r>
        <w:rPr>
          <w:rFonts w:cs="Times New Roman"/>
        </w:rPr>
        <w:t>6 May</w:t>
      </w:r>
      <w:r w:rsidRPr="00240617">
        <w:rPr>
          <w:rFonts w:cs="Times New Roman"/>
        </w:rPr>
        <w:t xml:space="preserve"> 2023].</w:t>
      </w:r>
    </w:p>
    <w:p w14:paraId="44678597" w14:textId="77777777" w:rsidR="00634A4A" w:rsidRPr="00240617" w:rsidRDefault="00634A4A" w:rsidP="00634A4A">
      <w:pPr>
        <w:spacing w:line="360" w:lineRule="auto"/>
        <w:ind w:left="720" w:hanging="720"/>
        <w:jc w:val="both"/>
        <w:rPr>
          <w:rFonts w:cs="Times New Roman"/>
        </w:rPr>
      </w:pPr>
    </w:p>
    <w:p w14:paraId="527CCF24" w14:textId="77777777" w:rsidR="00634A4A" w:rsidRPr="007A2AF9" w:rsidRDefault="00634A4A" w:rsidP="00634A4A">
      <w:pPr>
        <w:spacing w:line="360" w:lineRule="auto"/>
        <w:ind w:left="720" w:hanging="720"/>
        <w:jc w:val="both"/>
        <w:rPr>
          <w:rFonts w:cs="Times New Roman"/>
        </w:rPr>
      </w:pPr>
      <w:r w:rsidRPr="00240617">
        <w:rPr>
          <w:rFonts w:cs="Times New Roman"/>
        </w:rPr>
        <w:t xml:space="preserve">Medieval Sourcebook, </w:t>
      </w:r>
      <w:r w:rsidRPr="00240617">
        <w:rPr>
          <w:rFonts w:cs="Times New Roman"/>
          <w:i/>
          <w:iCs/>
        </w:rPr>
        <w:t>Roger of Hoveden: The Chronicle: On the Disputes between Thomas Becket, Archbishop of Canterbury and King Henry II of England</w:t>
      </w:r>
      <w:r>
        <w:rPr>
          <w:rFonts w:cs="Times New Roman"/>
          <w:i/>
          <w:iCs/>
        </w:rPr>
        <w:t>.</w:t>
      </w:r>
      <w:r w:rsidRPr="00240617">
        <w:rPr>
          <w:rFonts w:cs="Times New Roman"/>
          <w:i/>
          <w:iCs/>
        </w:rPr>
        <w:t xml:space="preserve"> </w:t>
      </w:r>
      <w:r>
        <w:rPr>
          <w:rFonts w:cs="Times New Roman"/>
        </w:rPr>
        <w:t>&lt;</w:t>
      </w:r>
      <w:hyperlink r:id="rId9" w:history="1">
        <w:r w:rsidRPr="006354CE">
          <w:rPr>
            <w:rStyle w:val="Hyperlink"/>
          </w:rPr>
          <w:t>https://sourcebooks.fordham.edu/source/hoveden-becket.asp</w:t>
        </w:r>
      </w:hyperlink>
      <w:r>
        <w:rPr>
          <w:rFonts w:cs="Times New Roman"/>
        </w:rPr>
        <w:t>&gt;</w:t>
      </w:r>
      <w:r w:rsidRPr="007A2AF9">
        <w:rPr>
          <w:rFonts w:cs="Times New Roman"/>
        </w:rPr>
        <w:t xml:space="preserve"> [Accessed 2 May 2023].</w:t>
      </w:r>
    </w:p>
    <w:p w14:paraId="19237764" w14:textId="77777777" w:rsidR="00634A4A" w:rsidRPr="00240617" w:rsidRDefault="00634A4A" w:rsidP="00634A4A">
      <w:pPr>
        <w:spacing w:line="360" w:lineRule="auto"/>
        <w:ind w:left="720" w:hanging="720"/>
        <w:jc w:val="both"/>
        <w:rPr>
          <w:rFonts w:cs="Times New Roman"/>
        </w:rPr>
      </w:pPr>
    </w:p>
    <w:p w14:paraId="00A7EC9B" w14:textId="77777777" w:rsidR="00634A4A" w:rsidRPr="00240617" w:rsidRDefault="00634A4A" w:rsidP="00634A4A">
      <w:pPr>
        <w:spacing w:line="360" w:lineRule="auto"/>
        <w:ind w:left="720" w:hanging="720"/>
        <w:jc w:val="both"/>
        <w:rPr>
          <w:rFonts w:cs="Times New Roman"/>
          <w:i/>
          <w:iCs/>
        </w:rPr>
      </w:pPr>
      <w:r w:rsidRPr="00240617">
        <w:rPr>
          <w:rFonts w:cs="Times New Roman"/>
        </w:rPr>
        <w:lastRenderedPageBreak/>
        <w:t xml:space="preserve">Robertson, James Craigie, </w:t>
      </w:r>
      <w:r w:rsidRPr="00240617">
        <w:rPr>
          <w:rFonts w:cs="Times New Roman"/>
          <w:i/>
          <w:iCs/>
        </w:rPr>
        <w:t xml:space="preserve">Materials for the History of Thomas Becket, archbishop of Canterbury (canonized by Pope Alexander III., AD 1173), </w:t>
      </w:r>
      <w:r w:rsidRPr="00240617">
        <w:rPr>
          <w:rFonts w:cs="Times New Roman"/>
        </w:rPr>
        <w:t>7 vols. (London: Longman, 1875).</w:t>
      </w:r>
    </w:p>
    <w:p w14:paraId="452CAF67" w14:textId="77777777" w:rsidR="00634A4A" w:rsidRPr="00240617" w:rsidRDefault="00634A4A" w:rsidP="00634A4A">
      <w:pPr>
        <w:spacing w:line="360" w:lineRule="auto"/>
        <w:ind w:left="720" w:hanging="720"/>
        <w:jc w:val="both"/>
        <w:rPr>
          <w:rFonts w:cs="Times New Roman"/>
        </w:rPr>
      </w:pPr>
    </w:p>
    <w:p w14:paraId="5E51EBFE"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Sinclair, Mary Aelred, </w:t>
      </w:r>
      <w:r w:rsidRPr="00240617">
        <w:rPr>
          <w:rFonts w:cs="Times New Roman"/>
          <w:i/>
          <w:iCs/>
        </w:rPr>
        <w:t>An Annotated Translation of the Life of St. Thomas Becket by William Fitzstephen: Part Two. Master’s Theses,</w:t>
      </w:r>
      <w:r>
        <w:rPr>
          <w:rFonts w:cs="Times New Roman"/>
          <w:i/>
          <w:iCs/>
        </w:rPr>
        <w:t xml:space="preserve"> </w:t>
      </w:r>
      <w:r>
        <w:rPr>
          <w:rFonts w:cs="Times New Roman"/>
        </w:rPr>
        <w:t>369,</w:t>
      </w:r>
      <w:r w:rsidRPr="00240617">
        <w:rPr>
          <w:rFonts w:cs="Times New Roman"/>
          <w:i/>
          <w:iCs/>
        </w:rPr>
        <w:t xml:space="preserve"> </w:t>
      </w:r>
      <w:r w:rsidRPr="00240617">
        <w:rPr>
          <w:rFonts w:cs="Times New Roman"/>
        </w:rPr>
        <w:t>(Chicago: Loyola University, 1944). &lt;</w:t>
      </w:r>
      <w:hyperlink r:id="rId10" w:history="1">
        <w:r w:rsidRPr="00240617">
          <w:rPr>
            <w:rStyle w:val="Hyperlink"/>
            <w:rFonts w:cs="Times New Roman"/>
          </w:rPr>
          <w:t>https://ecommons.luc.edu/luc_theses/369</w:t>
        </w:r>
      </w:hyperlink>
      <w:r w:rsidRPr="00240617">
        <w:rPr>
          <w:rFonts w:cs="Times New Roman"/>
        </w:rPr>
        <w:t xml:space="preserve">&gt; [Accessed </w:t>
      </w:r>
      <w:r>
        <w:rPr>
          <w:rFonts w:cs="Times New Roman"/>
        </w:rPr>
        <w:t>6 May</w:t>
      </w:r>
      <w:r w:rsidRPr="00240617">
        <w:rPr>
          <w:rFonts w:cs="Times New Roman"/>
        </w:rPr>
        <w:t xml:space="preserve"> 2023].</w:t>
      </w:r>
    </w:p>
    <w:p w14:paraId="07D751F5"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p>
    <w:p w14:paraId="6A6FDFF2"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t xml:space="preserve">Staunton, Michael, </w:t>
      </w:r>
      <w:r>
        <w:rPr>
          <w:i/>
          <w:iCs/>
        </w:rPr>
        <w:t xml:space="preserve">The Lives of Thomas Becket, </w:t>
      </w:r>
      <w:r>
        <w:t>(Manchester: Manchester University Press, 2001).</w:t>
      </w:r>
    </w:p>
    <w:p w14:paraId="60EF2CBD"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p>
    <w:p w14:paraId="52944918" w14:textId="4653A632" w:rsidR="00634A4A" w:rsidRPr="009D7BFF" w:rsidRDefault="00634A4A" w:rsidP="00634A4A">
      <w:pPr>
        <w:spacing w:line="360" w:lineRule="auto"/>
        <w:ind w:left="720" w:hanging="720"/>
        <w:rPr>
          <w:rFonts w:cs="Times New Roman"/>
        </w:rPr>
      </w:pPr>
      <w:r w:rsidRPr="00240617">
        <w:rPr>
          <w:rFonts w:cs="Times New Roman"/>
        </w:rPr>
        <w:t xml:space="preserve">William of Newburgh (c.1196) and Hamilton, Hans C. (ed.), </w:t>
      </w:r>
      <w:r w:rsidRPr="00240617">
        <w:rPr>
          <w:rFonts w:cs="Times New Roman"/>
          <w:i/>
          <w:iCs/>
        </w:rPr>
        <w:t>Historia Rerum Anglicarum</w:t>
      </w:r>
      <w:r>
        <w:rPr>
          <w:rFonts w:cs="Times New Roman"/>
          <w:i/>
          <w:iCs/>
        </w:rPr>
        <w:t>,</w:t>
      </w:r>
      <w:r w:rsidRPr="00240617">
        <w:rPr>
          <w:rFonts w:cs="Times New Roman"/>
          <w:i/>
          <w:iCs/>
        </w:rPr>
        <w:t xml:space="preserve"> </w:t>
      </w:r>
      <w:r w:rsidRPr="00240617">
        <w:rPr>
          <w:rFonts w:cs="Times New Roman"/>
        </w:rPr>
        <w:t xml:space="preserve">Vol. </w:t>
      </w:r>
      <w:r w:rsidR="00A04973" w:rsidRPr="009D7BFF">
        <w:rPr>
          <w:rFonts w:cs="Times New Roman"/>
        </w:rPr>
        <w:t>I,</w:t>
      </w:r>
      <w:r>
        <w:rPr>
          <w:rFonts w:cs="Times New Roman"/>
        </w:rPr>
        <w:t xml:space="preserve"> </w:t>
      </w:r>
      <w:r w:rsidRPr="00240617">
        <w:rPr>
          <w:rFonts w:cs="Times New Roman"/>
        </w:rPr>
        <w:t>(Londoni: Sumptibus Societis, 1856)</w:t>
      </w:r>
      <w:r>
        <w:rPr>
          <w:rFonts w:cs="Times New Roman"/>
        </w:rPr>
        <w:t>.</w:t>
      </w:r>
      <w:r w:rsidRPr="00240617">
        <w:rPr>
          <w:rFonts w:cs="Times New Roman"/>
        </w:rPr>
        <w:t xml:space="preserve"> </w:t>
      </w:r>
      <w:r w:rsidRPr="009D7BFF">
        <w:rPr>
          <w:rFonts w:cs="Times New Roman"/>
        </w:rPr>
        <w:t>&lt;</w:t>
      </w:r>
      <w:hyperlink r:id="rId11" w:history="1">
        <w:r w:rsidRPr="0015409F">
          <w:rPr>
            <w:rStyle w:val="Hyperlink"/>
            <w:rFonts w:cs="Times New Roman"/>
          </w:rPr>
          <w:t>https://archive.org/details/historiareruman02willgoog/mode/2up</w:t>
        </w:r>
      </w:hyperlink>
      <w:r w:rsidRPr="009D7BFF">
        <w:rPr>
          <w:rFonts w:cs="Times New Roman"/>
        </w:rPr>
        <w:t>&gt; [Accessed 6 May 2023].</w:t>
      </w:r>
    </w:p>
    <w:p w14:paraId="1DC4EFEB" w14:textId="77777777" w:rsidR="00634A4A" w:rsidRPr="009D7BFF" w:rsidRDefault="00634A4A" w:rsidP="00634A4A">
      <w:pPr>
        <w:tabs>
          <w:tab w:val="left" w:pos="720"/>
        </w:tabs>
        <w:autoSpaceDE w:val="0"/>
        <w:autoSpaceDN w:val="0"/>
        <w:adjustRightInd w:val="0"/>
        <w:spacing w:line="360" w:lineRule="auto"/>
        <w:ind w:left="720" w:hanging="720"/>
        <w:jc w:val="both"/>
        <w:rPr>
          <w:rFonts w:cs="Times New Roman"/>
        </w:rPr>
      </w:pPr>
    </w:p>
    <w:p w14:paraId="2734C7D0" w14:textId="77777777" w:rsidR="00634A4A" w:rsidRPr="00240617" w:rsidRDefault="00634A4A" w:rsidP="00634A4A">
      <w:pPr>
        <w:spacing w:line="360" w:lineRule="auto"/>
        <w:ind w:left="720" w:hanging="720"/>
        <w:rPr>
          <w:rFonts w:cs="Times New Roman"/>
          <w:b/>
          <w:bCs/>
        </w:rPr>
      </w:pPr>
      <w:r w:rsidRPr="00240617">
        <w:rPr>
          <w:rFonts w:cs="Times New Roman"/>
          <w:b/>
          <w:bCs/>
        </w:rPr>
        <w:t>Secondary Sources</w:t>
      </w:r>
      <w:r>
        <w:rPr>
          <w:rFonts w:cs="Times New Roman"/>
          <w:b/>
          <w:bCs/>
        </w:rPr>
        <w:t xml:space="preserve"> Cited</w:t>
      </w:r>
    </w:p>
    <w:p w14:paraId="2EE24E4E" w14:textId="77777777" w:rsidR="00634A4A" w:rsidRPr="00240617" w:rsidRDefault="00634A4A" w:rsidP="00634A4A">
      <w:pPr>
        <w:spacing w:line="360" w:lineRule="auto"/>
        <w:ind w:left="720" w:hanging="720"/>
        <w:rPr>
          <w:rFonts w:cs="Times New Roman"/>
          <w:b/>
          <w:bCs/>
        </w:rPr>
      </w:pPr>
    </w:p>
    <w:p w14:paraId="3AE2D4B6" w14:textId="77777777" w:rsidR="00634A4A" w:rsidRPr="00240617" w:rsidRDefault="00634A4A" w:rsidP="00634A4A">
      <w:pPr>
        <w:pStyle w:val="FootnoteText"/>
        <w:spacing w:line="360" w:lineRule="auto"/>
        <w:ind w:left="720" w:hanging="720"/>
        <w:jc w:val="both"/>
        <w:rPr>
          <w:rFonts w:cs="Times New Roman"/>
          <w:sz w:val="24"/>
          <w:szCs w:val="24"/>
        </w:rPr>
      </w:pPr>
      <w:r w:rsidRPr="00240617">
        <w:rPr>
          <w:rFonts w:cs="Times New Roman"/>
          <w:sz w:val="24"/>
          <w:szCs w:val="24"/>
        </w:rPr>
        <w:t xml:space="preserve">Barlow, Frank, </w:t>
      </w:r>
      <w:r w:rsidRPr="00240617">
        <w:rPr>
          <w:rFonts w:cs="Times New Roman"/>
          <w:i/>
          <w:iCs/>
          <w:sz w:val="24"/>
          <w:szCs w:val="24"/>
        </w:rPr>
        <w:t>Thomas Becket</w:t>
      </w:r>
      <w:r>
        <w:rPr>
          <w:rFonts w:cs="Times New Roman"/>
          <w:i/>
          <w:iCs/>
          <w:sz w:val="24"/>
          <w:szCs w:val="24"/>
        </w:rPr>
        <w:t>,</w:t>
      </w:r>
      <w:r w:rsidRPr="00240617">
        <w:rPr>
          <w:rFonts w:cs="Times New Roman"/>
          <w:i/>
          <w:iCs/>
          <w:sz w:val="24"/>
          <w:szCs w:val="24"/>
        </w:rPr>
        <w:t xml:space="preserve"> </w:t>
      </w:r>
      <w:r w:rsidRPr="00240617">
        <w:rPr>
          <w:rFonts w:cs="Times New Roman"/>
          <w:sz w:val="24"/>
          <w:szCs w:val="24"/>
        </w:rPr>
        <w:t>(Berkley, University of California Press, 1986)</w:t>
      </w:r>
      <w:r>
        <w:rPr>
          <w:rFonts w:cs="Times New Roman"/>
          <w:sz w:val="24"/>
          <w:szCs w:val="24"/>
        </w:rPr>
        <w:t>.</w:t>
      </w:r>
      <w:r w:rsidRPr="00240617">
        <w:rPr>
          <w:rFonts w:cs="Times New Roman"/>
          <w:sz w:val="24"/>
          <w:szCs w:val="24"/>
        </w:rPr>
        <w:t xml:space="preserve"> &lt;</w:t>
      </w:r>
      <w:hyperlink r:id="rId12" w:history="1">
        <w:r w:rsidRPr="00240617">
          <w:rPr>
            <w:rStyle w:val="Hyperlink"/>
            <w:rFonts w:cs="Times New Roman"/>
            <w:sz w:val="24"/>
            <w:szCs w:val="24"/>
          </w:rPr>
          <w:t>https://archive.org/details/thomasbecket0000barl_r2j6/page/n3/mode/2up</w:t>
        </w:r>
      </w:hyperlink>
      <w:r w:rsidRPr="00240617">
        <w:rPr>
          <w:rFonts w:cs="Times New Roman"/>
          <w:sz w:val="24"/>
          <w:szCs w:val="24"/>
        </w:rPr>
        <w:t xml:space="preserve">&gt; [Accessed </w:t>
      </w:r>
      <w:r>
        <w:rPr>
          <w:rFonts w:cs="Times New Roman"/>
          <w:sz w:val="24"/>
          <w:szCs w:val="24"/>
        </w:rPr>
        <w:t>6 May</w:t>
      </w:r>
      <w:r w:rsidRPr="00240617">
        <w:rPr>
          <w:rFonts w:cs="Times New Roman"/>
          <w:sz w:val="24"/>
          <w:szCs w:val="24"/>
        </w:rPr>
        <w:t xml:space="preserve"> 2023].</w:t>
      </w:r>
    </w:p>
    <w:p w14:paraId="2B0723CF" w14:textId="77777777" w:rsidR="00634A4A" w:rsidRPr="00240617" w:rsidRDefault="00634A4A" w:rsidP="00634A4A">
      <w:pPr>
        <w:pStyle w:val="FootnoteText"/>
        <w:spacing w:line="360" w:lineRule="auto"/>
        <w:ind w:left="720" w:hanging="720"/>
        <w:jc w:val="both"/>
        <w:rPr>
          <w:rFonts w:cs="Times New Roman"/>
          <w:sz w:val="24"/>
          <w:szCs w:val="24"/>
        </w:rPr>
      </w:pPr>
    </w:p>
    <w:p w14:paraId="4BF57FEF" w14:textId="77777777" w:rsidR="00634A4A" w:rsidRDefault="00634A4A" w:rsidP="00634A4A">
      <w:pPr>
        <w:spacing w:line="360" w:lineRule="auto"/>
        <w:ind w:left="720" w:hanging="720"/>
        <w:jc w:val="both"/>
        <w:rPr>
          <w:rStyle w:val="Hyperlink"/>
          <w:rFonts w:cs="Times New Roman"/>
          <w:color w:val="000000" w:themeColor="text1"/>
        </w:rPr>
      </w:pPr>
      <w:r w:rsidRPr="00240617">
        <w:rPr>
          <w:rFonts w:cs="Times New Roman"/>
        </w:rPr>
        <w:t xml:space="preserve">Colton, G. G., </w:t>
      </w:r>
      <w:r w:rsidRPr="00240617">
        <w:rPr>
          <w:rFonts w:cs="Times New Roman"/>
          <w:i/>
          <w:iCs/>
        </w:rPr>
        <w:t xml:space="preserve">Chaucer and His England, </w:t>
      </w:r>
      <w:r>
        <w:rPr>
          <w:rFonts w:cs="Times New Roman"/>
        </w:rPr>
        <w:t>(London: Methuen, 1908).</w:t>
      </w:r>
      <w:r w:rsidRPr="00240617">
        <w:rPr>
          <w:rFonts w:cs="Times New Roman"/>
        </w:rPr>
        <w:t xml:space="preserve">  </w:t>
      </w:r>
      <w:r>
        <w:rPr>
          <w:rFonts w:cs="Times New Roman"/>
        </w:rPr>
        <w:t>&lt;</w:t>
      </w:r>
      <w:hyperlink r:id="rId13" w:history="1">
        <w:r w:rsidRPr="0015409F">
          <w:rPr>
            <w:rStyle w:val="Hyperlink"/>
          </w:rPr>
          <w:t>https://archive.org/details/chaucerhisenglan00couluoft/page/n7/mode/2up?view=theater</w:t>
        </w:r>
      </w:hyperlink>
      <w:r>
        <w:rPr>
          <w:rStyle w:val="Hyperlink"/>
          <w:rFonts w:cs="Times New Roman"/>
          <w:color w:val="000000" w:themeColor="text1"/>
        </w:rPr>
        <w:t>&gt;</w:t>
      </w:r>
      <w:r w:rsidRPr="009D7BFF">
        <w:rPr>
          <w:rStyle w:val="Hyperlink"/>
          <w:rFonts w:cs="Times New Roman"/>
          <w:color w:val="000000" w:themeColor="text1"/>
        </w:rPr>
        <w:t xml:space="preserve"> [Accessed 6 May 2023].</w:t>
      </w:r>
    </w:p>
    <w:p w14:paraId="2439D575" w14:textId="77777777" w:rsidR="00634A4A" w:rsidRPr="009D7BFF" w:rsidRDefault="00634A4A" w:rsidP="00634A4A">
      <w:pPr>
        <w:spacing w:line="360" w:lineRule="auto"/>
        <w:ind w:left="720" w:hanging="720"/>
        <w:jc w:val="both"/>
        <w:rPr>
          <w:rFonts w:cs="Times New Roman"/>
        </w:rPr>
      </w:pPr>
    </w:p>
    <w:p w14:paraId="59BEB6FB" w14:textId="77777777" w:rsidR="00634A4A" w:rsidRPr="00240617" w:rsidRDefault="00634A4A" w:rsidP="00634A4A">
      <w:pPr>
        <w:spacing w:line="360" w:lineRule="auto"/>
        <w:ind w:left="720" w:hanging="720"/>
        <w:jc w:val="both"/>
        <w:rPr>
          <w:rFonts w:cs="Times New Roman"/>
        </w:rPr>
      </w:pPr>
      <w:r w:rsidRPr="00240617">
        <w:rPr>
          <w:rFonts w:cs="Times New Roman"/>
        </w:rPr>
        <w:t xml:space="preserve">Duggan, Anne, </w:t>
      </w:r>
      <w:r w:rsidRPr="00240617">
        <w:rPr>
          <w:rFonts w:cs="Times New Roman"/>
          <w:i/>
          <w:iCs/>
        </w:rPr>
        <w:t>Thomas Becket</w:t>
      </w:r>
      <w:r>
        <w:rPr>
          <w:rFonts w:cs="Times New Roman"/>
          <w:i/>
          <w:iCs/>
        </w:rPr>
        <w:t>,</w:t>
      </w:r>
      <w:r w:rsidRPr="00240617">
        <w:rPr>
          <w:rFonts w:cs="Times New Roman"/>
          <w:i/>
          <w:iCs/>
        </w:rPr>
        <w:t xml:space="preserve"> </w:t>
      </w:r>
      <w:r w:rsidRPr="00240617">
        <w:rPr>
          <w:rFonts w:cs="Times New Roman"/>
        </w:rPr>
        <w:t>(London, Arnold, 2004).</w:t>
      </w:r>
    </w:p>
    <w:p w14:paraId="047E8DFC" w14:textId="77777777" w:rsidR="00634A4A" w:rsidRPr="00240617" w:rsidRDefault="00634A4A" w:rsidP="00634A4A">
      <w:pPr>
        <w:spacing w:line="360" w:lineRule="auto"/>
        <w:ind w:left="720" w:hanging="720"/>
        <w:jc w:val="both"/>
        <w:rPr>
          <w:rFonts w:cs="Times New Roman"/>
        </w:rPr>
      </w:pPr>
    </w:p>
    <w:p w14:paraId="0619A503" w14:textId="77777777" w:rsidR="00634A4A" w:rsidRPr="00240617" w:rsidRDefault="00634A4A" w:rsidP="00634A4A">
      <w:pPr>
        <w:autoSpaceDE w:val="0"/>
        <w:autoSpaceDN w:val="0"/>
        <w:adjustRightInd w:val="0"/>
        <w:spacing w:line="360" w:lineRule="auto"/>
        <w:ind w:left="720" w:hanging="720"/>
        <w:rPr>
          <w:rFonts w:cs="Times New Roman"/>
          <w:color w:val="0000E9"/>
          <w:kern w:val="0"/>
          <w:u w:val="single" w:color="0000E9"/>
        </w:rPr>
      </w:pPr>
      <w:r w:rsidRPr="00240617">
        <w:rPr>
          <w:rFonts w:cs="Times New Roman"/>
          <w:kern w:val="0"/>
        </w:rPr>
        <w:t xml:space="preserve">Duggan, Charles, ‘The Becket Dispute and the Criminous Clerks’, </w:t>
      </w:r>
      <w:r w:rsidRPr="00240617">
        <w:rPr>
          <w:rFonts w:cs="Times New Roman"/>
          <w:i/>
          <w:iCs/>
          <w:kern w:val="0"/>
        </w:rPr>
        <w:t>B</w:t>
      </w:r>
      <w:r>
        <w:rPr>
          <w:rFonts w:cs="Times New Roman"/>
          <w:i/>
          <w:iCs/>
          <w:kern w:val="0"/>
        </w:rPr>
        <w:t xml:space="preserve">ulletin if the </w:t>
      </w:r>
      <w:r w:rsidRPr="00240617">
        <w:rPr>
          <w:rFonts w:cs="Times New Roman"/>
          <w:i/>
          <w:iCs/>
          <w:kern w:val="0"/>
        </w:rPr>
        <w:t>I</w:t>
      </w:r>
      <w:r>
        <w:rPr>
          <w:rFonts w:cs="Times New Roman"/>
          <w:i/>
          <w:iCs/>
          <w:kern w:val="0"/>
        </w:rPr>
        <w:t xml:space="preserve">nstitute of </w:t>
      </w:r>
      <w:r w:rsidRPr="00240617">
        <w:rPr>
          <w:rFonts w:cs="Times New Roman"/>
          <w:i/>
          <w:iCs/>
          <w:kern w:val="0"/>
        </w:rPr>
        <w:t>H</w:t>
      </w:r>
      <w:r>
        <w:rPr>
          <w:rFonts w:cs="Times New Roman"/>
          <w:i/>
          <w:iCs/>
          <w:kern w:val="0"/>
        </w:rPr>
        <w:t xml:space="preserve">istorical </w:t>
      </w:r>
      <w:r w:rsidRPr="00240617">
        <w:rPr>
          <w:rFonts w:cs="Times New Roman"/>
          <w:i/>
          <w:iCs/>
          <w:kern w:val="0"/>
        </w:rPr>
        <w:t>R</w:t>
      </w:r>
      <w:r>
        <w:rPr>
          <w:rFonts w:cs="Times New Roman"/>
          <w:i/>
          <w:iCs/>
          <w:kern w:val="0"/>
        </w:rPr>
        <w:t>esearch</w:t>
      </w:r>
      <w:r w:rsidRPr="00240617">
        <w:rPr>
          <w:rFonts w:cs="Times New Roman"/>
          <w:i/>
          <w:iCs/>
          <w:kern w:val="0"/>
        </w:rPr>
        <w:t xml:space="preserve">, </w:t>
      </w:r>
      <w:r w:rsidRPr="00240617">
        <w:rPr>
          <w:rFonts w:cs="Times New Roman"/>
          <w:kern w:val="0"/>
        </w:rPr>
        <w:t>35 (1962), 1-28</w:t>
      </w:r>
      <w:r>
        <w:rPr>
          <w:rFonts w:cs="Times New Roman"/>
          <w:kern w:val="0"/>
        </w:rPr>
        <w:t xml:space="preserve">.       </w:t>
      </w:r>
      <w:r>
        <w:rPr>
          <w:rFonts w:cs="Times New Roman"/>
          <w:kern w:val="0"/>
        </w:rPr>
        <w:tab/>
      </w:r>
      <w:r>
        <w:rPr>
          <w:rFonts w:cs="Times New Roman"/>
          <w:kern w:val="0"/>
        </w:rPr>
        <w:tab/>
        <w:t xml:space="preserve">    &lt;</w:t>
      </w:r>
      <w:hyperlink r:id="rId14" w:history="1">
        <w:r w:rsidRPr="00240617">
          <w:rPr>
            <w:rFonts w:cs="Times New Roman"/>
            <w:color w:val="0000E9"/>
            <w:kern w:val="0"/>
            <w:u w:val="single" w:color="0000E9"/>
          </w:rPr>
          <w:t>https://doi.org/10.1111/j.1468-2281.1962.tb01411.x</w:t>
        </w:r>
      </w:hyperlink>
      <w:r w:rsidRPr="009D7BFF">
        <w:rPr>
          <w:rFonts w:cs="Times New Roman"/>
          <w:color w:val="000000" w:themeColor="text1"/>
          <w:kern w:val="0"/>
          <w:u w:color="0000E9"/>
        </w:rPr>
        <w:t xml:space="preserve"> &gt; [Accessed 6 May 2023].</w:t>
      </w:r>
      <w:r w:rsidRPr="009D7BFF">
        <w:rPr>
          <w:rFonts w:cs="Times New Roman"/>
          <w:color w:val="000000" w:themeColor="text1"/>
          <w:kern w:val="0"/>
          <w:u w:val="single" w:color="0000E9"/>
        </w:rPr>
        <w:t xml:space="preserve">             </w:t>
      </w:r>
    </w:p>
    <w:p w14:paraId="20DC1ADD" w14:textId="77777777" w:rsidR="00634A4A" w:rsidRPr="00240617" w:rsidRDefault="00634A4A" w:rsidP="00634A4A">
      <w:pPr>
        <w:spacing w:line="360" w:lineRule="auto"/>
        <w:ind w:left="720" w:hanging="720"/>
        <w:jc w:val="both"/>
        <w:rPr>
          <w:rFonts w:cs="Times New Roman"/>
        </w:rPr>
      </w:pPr>
    </w:p>
    <w:p w14:paraId="36FF61A8" w14:textId="3F887B77" w:rsidR="00634A4A" w:rsidRPr="00240617" w:rsidRDefault="00634A4A" w:rsidP="00634A4A">
      <w:pPr>
        <w:autoSpaceDE w:val="0"/>
        <w:autoSpaceDN w:val="0"/>
        <w:adjustRightInd w:val="0"/>
        <w:spacing w:line="360" w:lineRule="auto"/>
        <w:ind w:left="720" w:hanging="720"/>
        <w:rPr>
          <w:rFonts w:cs="Times New Roman"/>
          <w:kern w:val="0"/>
          <w:u w:color="0000E9"/>
        </w:rPr>
      </w:pPr>
      <w:r w:rsidRPr="00240617">
        <w:rPr>
          <w:rFonts w:cs="Times New Roman"/>
          <w:kern w:val="0"/>
          <w:u w:color="0000E9"/>
        </w:rPr>
        <w:t xml:space="preserve">Fraher, R. M., ‘The Becket Dispute and Two Decretist Traditions: the Bolognese </w:t>
      </w:r>
      <w:r>
        <w:rPr>
          <w:rFonts w:cs="Times New Roman"/>
          <w:kern w:val="0"/>
          <w:u w:color="0000E9"/>
        </w:rPr>
        <w:t>M</w:t>
      </w:r>
      <w:r w:rsidRPr="00240617">
        <w:rPr>
          <w:rFonts w:cs="Times New Roman"/>
          <w:kern w:val="0"/>
          <w:u w:color="0000E9"/>
        </w:rPr>
        <w:t>aster</w:t>
      </w:r>
      <w:r w:rsidR="00A04973">
        <w:rPr>
          <w:rFonts w:cs="Times New Roman"/>
          <w:kern w:val="0"/>
          <w:u w:color="0000E9"/>
        </w:rPr>
        <w:t>’</w:t>
      </w:r>
      <w:r w:rsidRPr="00240617">
        <w:rPr>
          <w:rFonts w:cs="Times New Roman"/>
          <w:kern w:val="0"/>
          <w:u w:color="0000E9"/>
        </w:rPr>
        <w:t xml:space="preserve">s </w:t>
      </w:r>
      <w:r>
        <w:rPr>
          <w:rFonts w:cs="Times New Roman"/>
          <w:kern w:val="0"/>
          <w:u w:color="0000E9"/>
        </w:rPr>
        <w:t>R</w:t>
      </w:r>
      <w:r w:rsidRPr="00240617">
        <w:rPr>
          <w:rFonts w:cs="Times New Roman"/>
          <w:kern w:val="0"/>
          <w:u w:color="0000E9"/>
        </w:rPr>
        <w:t>evisite</w:t>
      </w:r>
      <w:r>
        <w:rPr>
          <w:rFonts w:cs="Times New Roman"/>
          <w:kern w:val="0"/>
          <w:u w:color="0000E9"/>
        </w:rPr>
        <w:t>d</w:t>
      </w:r>
      <w:r w:rsidRPr="00240617">
        <w:rPr>
          <w:rFonts w:cs="Times New Roman"/>
          <w:kern w:val="0"/>
          <w:u w:color="0000E9"/>
        </w:rPr>
        <w:t xml:space="preserve"> and </w:t>
      </w:r>
      <w:r>
        <w:rPr>
          <w:rFonts w:cs="Times New Roman"/>
          <w:kern w:val="0"/>
          <w:u w:color="0000E9"/>
        </w:rPr>
        <w:t>S</w:t>
      </w:r>
      <w:r w:rsidRPr="00240617">
        <w:rPr>
          <w:rFonts w:cs="Times New Roman"/>
          <w:kern w:val="0"/>
          <w:u w:color="0000E9"/>
        </w:rPr>
        <w:t xml:space="preserve">ome </w:t>
      </w:r>
      <w:r>
        <w:rPr>
          <w:rFonts w:cs="Times New Roman"/>
          <w:kern w:val="0"/>
          <w:u w:color="0000E9"/>
        </w:rPr>
        <w:t>N</w:t>
      </w:r>
      <w:r w:rsidRPr="00240617">
        <w:rPr>
          <w:rFonts w:cs="Times New Roman"/>
          <w:kern w:val="0"/>
          <w:u w:color="0000E9"/>
        </w:rPr>
        <w:t xml:space="preserve">ew Anglo-Norman </w:t>
      </w:r>
      <w:r>
        <w:rPr>
          <w:rFonts w:cs="Times New Roman"/>
          <w:kern w:val="0"/>
          <w:u w:color="0000E9"/>
        </w:rPr>
        <w:t>Te</w:t>
      </w:r>
      <w:r w:rsidRPr="00240617">
        <w:rPr>
          <w:rFonts w:cs="Times New Roman"/>
          <w:kern w:val="0"/>
          <w:u w:color="0000E9"/>
        </w:rPr>
        <w:t xml:space="preserve">xts’, </w:t>
      </w:r>
      <w:r w:rsidRPr="00240617">
        <w:rPr>
          <w:rFonts w:cs="Times New Roman"/>
          <w:i/>
          <w:iCs/>
          <w:kern w:val="0"/>
          <w:u w:color="0000E9"/>
        </w:rPr>
        <w:t xml:space="preserve">Journal of Medieval History, </w:t>
      </w:r>
      <w:r w:rsidRPr="00240617">
        <w:rPr>
          <w:rFonts w:cs="Times New Roman"/>
          <w:kern w:val="0"/>
          <w:u w:color="0000E9"/>
        </w:rPr>
        <w:t xml:space="preserve">4, </w:t>
      </w:r>
      <w:r w:rsidRPr="00240617">
        <w:rPr>
          <w:rFonts w:cs="Times New Roman"/>
          <w:kern w:val="0"/>
          <w:u w:color="0000E9"/>
        </w:rPr>
        <w:lastRenderedPageBreak/>
        <w:t>(1978), 347-68.</w:t>
      </w:r>
      <w:r>
        <w:rPr>
          <w:rFonts w:cs="Times New Roman"/>
          <w:kern w:val="0"/>
          <w:u w:color="0000E9"/>
        </w:rPr>
        <w:t xml:space="preserve"> &lt;</w:t>
      </w:r>
      <w:hyperlink r:id="rId15" w:history="1">
        <w:r w:rsidRPr="00240617">
          <w:rPr>
            <w:rFonts w:cs="Times New Roman"/>
            <w:kern w:val="0"/>
            <w:u w:color="0000E9"/>
          </w:rPr>
          <w:t>https://coek.info/pdf-the-becket-dispute-and-two-decretist-traditions-the-bolognese-masters-revisited-.html</w:t>
        </w:r>
      </w:hyperlink>
      <w:r>
        <w:rPr>
          <w:rFonts w:cs="Times New Roman"/>
          <w:kern w:val="0"/>
          <w:u w:color="0000E9"/>
        </w:rPr>
        <w:t>&gt; [Accessed 6 May 2023].</w:t>
      </w:r>
    </w:p>
    <w:p w14:paraId="7E524DE8" w14:textId="77777777" w:rsidR="00634A4A" w:rsidRPr="00240617" w:rsidRDefault="00634A4A" w:rsidP="00634A4A">
      <w:pPr>
        <w:spacing w:line="360" w:lineRule="auto"/>
        <w:ind w:left="720" w:hanging="720"/>
        <w:jc w:val="both"/>
        <w:rPr>
          <w:rFonts w:cs="Times New Roman"/>
        </w:rPr>
      </w:pPr>
    </w:p>
    <w:p w14:paraId="3683C25B"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Guy, John., </w:t>
      </w:r>
      <w:r w:rsidRPr="00240617">
        <w:rPr>
          <w:rFonts w:cs="Times New Roman"/>
          <w:i/>
          <w:iCs/>
        </w:rPr>
        <w:t xml:space="preserve">Thomas Becket: Warrior, Priest, Rebel, Victim: A 900-Year-Old Story Retold, </w:t>
      </w:r>
      <w:r w:rsidRPr="00240617">
        <w:rPr>
          <w:rFonts w:cs="Times New Roman"/>
        </w:rPr>
        <w:t>(London: Penguin, 2012).</w:t>
      </w:r>
    </w:p>
    <w:p w14:paraId="77C3E74F"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p>
    <w:p w14:paraId="318DC221" w14:textId="77777777" w:rsidR="00634A4A" w:rsidRPr="00240617" w:rsidRDefault="00634A4A" w:rsidP="00634A4A">
      <w:pPr>
        <w:pStyle w:val="FootnoteText"/>
        <w:spacing w:line="360" w:lineRule="auto"/>
        <w:ind w:left="720" w:hanging="720"/>
        <w:rPr>
          <w:rFonts w:cs="Times New Roman"/>
          <w:sz w:val="24"/>
          <w:szCs w:val="24"/>
        </w:rPr>
      </w:pPr>
      <w:r w:rsidRPr="00240617">
        <w:rPr>
          <w:rFonts w:cs="Times New Roman"/>
          <w:sz w:val="24"/>
          <w:szCs w:val="24"/>
        </w:rPr>
        <w:t xml:space="preserve">MacCulloch, Diarmuid, </w:t>
      </w:r>
      <w:r w:rsidRPr="00240617">
        <w:rPr>
          <w:rFonts w:cs="Times New Roman"/>
          <w:i/>
          <w:iCs/>
          <w:sz w:val="24"/>
          <w:szCs w:val="24"/>
        </w:rPr>
        <w:t>A History of Christianity</w:t>
      </w:r>
      <w:r>
        <w:rPr>
          <w:rFonts w:cs="Times New Roman"/>
          <w:i/>
          <w:iCs/>
          <w:sz w:val="24"/>
          <w:szCs w:val="24"/>
        </w:rPr>
        <w:t>,</w:t>
      </w:r>
      <w:r w:rsidRPr="00240617">
        <w:rPr>
          <w:rFonts w:cs="Times New Roman"/>
          <w:i/>
          <w:iCs/>
          <w:sz w:val="24"/>
          <w:szCs w:val="24"/>
        </w:rPr>
        <w:t xml:space="preserve"> </w:t>
      </w:r>
      <w:r w:rsidRPr="00240617">
        <w:rPr>
          <w:rFonts w:cs="Times New Roman"/>
          <w:sz w:val="24"/>
          <w:szCs w:val="24"/>
        </w:rPr>
        <w:t>(London: Penguin, 2009).</w:t>
      </w:r>
    </w:p>
    <w:p w14:paraId="265D2C5B" w14:textId="77777777" w:rsidR="00634A4A" w:rsidRPr="00240617" w:rsidRDefault="00634A4A" w:rsidP="00634A4A">
      <w:pPr>
        <w:spacing w:line="360" w:lineRule="auto"/>
        <w:ind w:left="720" w:hanging="720"/>
        <w:jc w:val="both"/>
        <w:rPr>
          <w:rFonts w:cs="Times New Roman"/>
        </w:rPr>
      </w:pPr>
    </w:p>
    <w:p w14:paraId="5F7B53A8"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r w:rsidRPr="00240617">
        <w:rPr>
          <w:rFonts w:cs="Times New Roman"/>
          <w:kern w:val="0"/>
          <w:u w:color="0000E9"/>
        </w:rPr>
        <w:t xml:space="preserve">Maitland, F. W., </w:t>
      </w:r>
      <w:r w:rsidRPr="00240617">
        <w:rPr>
          <w:rFonts w:cs="Times New Roman"/>
          <w:i/>
          <w:iCs/>
          <w:kern w:val="0"/>
          <w:u w:color="0000E9"/>
        </w:rPr>
        <w:t>Roman Canon Law in the Church of England</w:t>
      </w:r>
      <w:r>
        <w:rPr>
          <w:rFonts w:cs="Times New Roman"/>
          <w:i/>
          <w:iCs/>
          <w:kern w:val="0"/>
          <w:u w:color="0000E9"/>
        </w:rPr>
        <w:t>,</w:t>
      </w:r>
      <w:r w:rsidRPr="00240617">
        <w:rPr>
          <w:rFonts w:cs="Times New Roman"/>
          <w:i/>
          <w:iCs/>
          <w:kern w:val="0"/>
          <w:u w:color="0000E9"/>
        </w:rPr>
        <w:t xml:space="preserve"> </w:t>
      </w:r>
      <w:r w:rsidRPr="00240617">
        <w:rPr>
          <w:rFonts w:cs="Times New Roman"/>
          <w:kern w:val="0"/>
          <w:u w:color="0000E9"/>
        </w:rPr>
        <w:t>(Cambridge, 1898), pp. 132-47. &lt;</w:t>
      </w:r>
      <w:hyperlink r:id="rId16" w:history="1">
        <w:r w:rsidRPr="00240617">
          <w:rPr>
            <w:rFonts w:cs="Times New Roman"/>
            <w:kern w:val="0"/>
            <w:u w:color="0000E9"/>
          </w:rPr>
          <w:t>https://archive.org/details/romancanonlawi00mait</w:t>
        </w:r>
      </w:hyperlink>
      <w:r w:rsidRPr="00240617">
        <w:rPr>
          <w:rFonts w:cs="Times New Roman"/>
          <w:kern w:val="0"/>
          <w:u w:color="0000E9"/>
        </w:rPr>
        <w:t>&gt;</w:t>
      </w:r>
      <w:r>
        <w:rPr>
          <w:rFonts w:cs="Times New Roman"/>
          <w:kern w:val="0"/>
          <w:u w:color="0000E9"/>
        </w:rPr>
        <w:t xml:space="preserve"> [Accessed 6 May 2023].</w:t>
      </w:r>
    </w:p>
    <w:p w14:paraId="19454181"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p>
    <w:p w14:paraId="10EEB3CE"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r w:rsidRPr="00240617">
        <w:rPr>
          <w:rFonts w:cs="Times New Roman"/>
        </w:rPr>
        <w:t xml:space="preserve">Poole, Austin Lane, </w:t>
      </w:r>
      <w:r w:rsidRPr="00240617">
        <w:rPr>
          <w:rFonts w:cs="Times New Roman"/>
          <w:i/>
          <w:iCs/>
        </w:rPr>
        <w:t xml:space="preserve">From Domesday Book to Magna Carta: 1087-1216, </w:t>
      </w:r>
      <w:r w:rsidRPr="00240617">
        <w:rPr>
          <w:rFonts w:cs="Times New Roman"/>
        </w:rPr>
        <w:t>(Oxford, Clarendon Press, 1955),</w:t>
      </w:r>
    </w:p>
    <w:p w14:paraId="30749352" w14:textId="77777777" w:rsidR="00634A4A" w:rsidRPr="00240617" w:rsidRDefault="00634A4A" w:rsidP="00634A4A">
      <w:pPr>
        <w:spacing w:line="360" w:lineRule="auto"/>
        <w:ind w:left="720" w:hanging="720"/>
        <w:rPr>
          <w:rFonts w:cs="Times New Roman"/>
        </w:rPr>
      </w:pPr>
    </w:p>
    <w:p w14:paraId="03446E16" w14:textId="77777777" w:rsidR="00634A4A" w:rsidRPr="009960A4" w:rsidRDefault="00634A4A" w:rsidP="00634A4A">
      <w:pPr>
        <w:autoSpaceDE w:val="0"/>
        <w:autoSpaceDN w:val="0"/>
        <w:adjustRightInd w:val="0"/>
        <w:spacing w:line="360" w:lineRule="auto"/>
        <w:ind w:left="720" w:hanging="720"/>
        <w:rPr>
          <w:rFonts w:cs="Times New Roman"/>
          <w:kern w:val="0"/>
        </w:rPr>
      </w:pPr>
      <w:r w:rsidRPr="00240617">
        <w:rPr>
          <w:rFonts w:cs="Times New Roman"/>
          <w:kern w:val="0"/>
        </w:rPr>
        <w:t xml:space="preserve">Staunton. Michael, ‘Conflict’ in his </w:t>
      </w:r>
      <w:r w:rsidRPr="00240617">
        <w:rPr>
          <w:rFonts w:cs="Times New Roman"/>
          <w:i/>
          <w:iCs/>
          <w:kern w:val="0"/>
        </w:rPr>
        <w:t>Thomas Becket and his Biographers</w:t>
      </w:r>
      <w:r>
        <w:rPr>
          <w:rFonts w:cs="Times New Roman"/>
          <w:i/>
          <w:iCs/>
          <w:kern w:val="0"/>
        </w:rPr>
        <w:t>,</w:t>
      </w:r>
      <w:r w:rsidRPr="00240617">
        <w:rPr>
          <w:rFonts w:cs="Times New Roman"/>
          <w:i/>
          <w:iCs/>
          <w:kern w:val="0"/>
        </w:rPr>
        <w:t xml:space="preserve"> </w:t>
      </w:r>
      <w:r w:rsidRPr="00240617">
        <w:rPr>
          <w:rFonts w:cs="Times New Roman"/>
          <w:kern w:val="0"/>
        </w:rPr>
        <w:t>(Boydell &amp; Brewer, 2006)</w:t>
      </w:r>
      <w:r>
        <w:rPr>
          <w:rFonts w:cs="Times New Roman"/>
          <w:kern w:val="0"/>
        </w:rPr>
        <w:t>,</w:t>
      </w:r>
      <w:r w:rsidRPr="00240617">
        <w:rPr>
          <w:rFonts w:cs="Times New Roman"/>
          <w:kern w:val="0"/>
        </w:rPr>
        <w:t xml:space="preserve"> </w:t>
      </w:r>
      <w:r w:rsidRPr="009960A4">
        <w:rPr>
          <w:rFonts w:cs="Times New Roman"/>
          <w:kern w:val="0"/>
        </w:rPr>
        <w:t>Vol. 28, pp. 97-128.</w:t>
      </w:r>
    </w:p>
    <w:p w14:paraId="733FE56E" w14:textId="77777777" w:rsidR="00634A4A" w:rsidRPr="00240617" w:rsidRDefault="00634A4A" w:rsidP="00634A4A">
      <w:pPr>
        <w:autoSpaceDE w:val="0"/>
        <w:autoSpaceDN w:val="0"/>
        <w:adjustRightInd w:val="0"/>
        <w:spacing w:line="360" w:lineRule="auto"/>
        <w:ind w:left="720"/>
        <w:rPr>
          <w:rFonts w:cs="Times New Roman"/>
          <w:kern w:val="0"/>
        </w:rPr>
      </w:pPr>
      <w:r w:rsidRPr="00240617">
        <w:t>&lt;</w:t>
      </w:r>
      <w:hyperlink r:id="rId17" w:history="1">
        <w:r w:rsidRPr="00240617">
          <w:rPr>
            <w:rStyle w:val="Hyperlink"/>
            <w:rFonts w:cs="Times New Roman"/>
            <w:kern w:val="0"/>
          </w:rPr>
          <w:t>https://www-jstor-org.ezproxy.uwtsd.ac.uk/stable/10.7722/j.ctt81rgf.13</w:t>
        </w:r>
      </w:hyperlink>
      <w:r w:rsidRPr="00240617">
        <w:rPr>
          <w:rFonts w:cs="Times New Roman"/>
          <w:kern w:val="0"/>
        </w:rPr>
        <w:t>&gt; [Accessed</w:t>
      </w:r>
      <w:r>
        <w:rPr>
          <w:rFonts w:cs="Times New Roman"/>
          <w:kern w:val="0"/>
        </w:rPr>
        <w:t xml:space="preserve"> 4 May 2023].</w:t>
      </w:r>
    </w:p>
    <w:p w14:paraId="7551A9F1" w14:textId="77777777" w:rsidR="00634A4A" w:rsidRPr="00240617" w:rsidRDefault="00634A4A" w:rsidP="00634A4A">
      <w:pPr>
        <w:autoSpaceDE w:val="0"/>
        <w:autoSpaceDN w:val="0"/>
        <w:adjustRightInd w:val="0"/>
        <w:spacing w:line="360" w:lineRule="auto"/>
        <w:ind w:left="720" w:hanging="720"/>
        <w:rPr>
          <w:rFonts w:cs="Times New Roman"/>
          <w:kern w:val="0"/>
        </w:rPr>
      </w:pPr>
    </w:p>
    <w:p w14:paraId="58F17291" w14:textId="6D40890B" w:rsidR="00634A4A" w:rsidRDefault="00634A4A" w:rsidP="00634A4A">
      <w:pPr>
        <w:autoSpaceDE w:val="0"/>
        <w:autoSpaceDN w:val="0"/>
        <w:adjustRightInd w:val="0"/>
        <w:spacing w:line="360" w:lineRule="auto"/>
        <w:ind w:left="720" w:hanging="720"/>
        <w:rPr>
          <w:rStyle w:val="accessed-date"/>
        </w:rPr>
      </w:pPr>
      <w:r w:rsidRPr="00240617">
        <w:rPr>
          <w:rStyle w:val="contributors"/>
        </w:rPr>
        <w:t xml:space="preserve">Thomas, Hugh M., </w:t>
      </w:r>
      <w:r w:rsidRPr="00240617">
        <w:rPr>
          <w:rStyle w:val="Emphasis"/>
        </w:rPr>
        <w:t>The Secular Clergy in England, 1066–1216</w:t>
      </w:r>
      <w:r>
        <w:rPr>
          <w:rStyle w:val="Emphasis"/>
        </w:rPr>
        <w:t>,</w:t>
      </w:r>
      <w:r w:rsidRPr="00240617">
        <w:t xml:space="preserve"> (</w:t>
      </w:r>
      <w:r w:rsidRPr="00240617">
        <w:rPr>
          <w:rStyle w:val="publisher-location"/>
        </w:rPr>
        <w:t xml:space="preserve">Oxford: Oxford University Press, </w:t>
      </w:r>
      <w:r w:rsidRPr="00240617">
        <w:rPr>
          <w:rStyle w:val="print-publication-date"/>
        </w:rPr>
        <w:t>2014)</w:t>
      </w:r>
      <w:r>
        <w:rPr>
          <w:rStyle w:val="print-publication-date"/>
        </w:rPr>
        <w:t>.</w:t>
      </w:r>
      <w:r>
        <w:rPr>
          <w:rStyle w:val="print-publication-date"/>
        </w:rPr>
        <w:tab/>
      </w:r>
      <w:r>
        <w:rPr>
          <w:rStyle w:val="print-publication-date"/>
        </w:rPr>
        <w:tab/>
      </w:r>
      <w:r w:rsidRPr="00240617">
        <w:rPr>
          <w:rStyle w:val="print-publication-date"/>
        </w:rPr>
        <w:t xml:space="preserve"> &lt;</w:t>
      </w:r>
      <w:hyperlink r:id="rId18" w:history="1">
        <w:r w:rsidRPr="00240617">
          <w:rPr>
            <w:rStyle w:val="Hyperlink"/>
          </w:rPr>
          <w:t>https://doi.org/10.1093/acprof:oso/9780198702566.001.0001</w:t>
        </w:r>
      </w:hyperlink>
      <w:r w:rsidR="00A04973" w:rsidRPr="00240617">
        <w:t>&gt; [</w:t>
      </w:r>
      <w:r w:rsidRPr="00240617">
        <w:t>A</w:t>
      </w:r>
      <w:r w:rsidRPr="00240617">
        <w:rPr>
          <w:rStyle w:val="accessed-date"/>
        </w:rPr>
        <w:t>ccessed 4 May 2023</w:t>
      </w:r>
      <w:r>
        <w:rPr>
          <w:rStyle w:val="accessed-date"/>
        </w:rPr>
        <w:t>]</w:t>
      </w:r>
      <w:r w:rsidRPr="00240617">
        <w:rPr>
          <w:rStyle w:val="accessed-date"/>
        </w:rPr>
        <w:t>.</w:t>
      </w:r>
    </w:p>
    <w:p w14:paraId="41C513CB" w14:textId="77777777" w:rsidR="00634A4A" w:rsidRDefault="00634A4A" w:rsidP="00634A4A">
      <w:pPr>
        <w:autoSpaceDE w:val="0"/>
        <w:autoSpaceDN w:val="0"/>
        <w:adjustRightInd w:val="0"/>
        <w:spacing w:line="360" w:lineRule="auto"/>
        <w:ind w:left="720" w:hanging="720"/>
        <w:rPr>
          <w:rStyle w:val="accessed-date"/>
        </w:rPr>
      </w:pPr>
    </w:p>
    <w:p w14:paraId="40953AE6" w14:textId="77777777" w:rsidR="00634A4A" w:rsidRPr="003D16D3" w:rsidRDefault="00634A4A" w:rsidP="00634A4A">
      <w:pPr>
        <w:spacing w:line="360" w:lineRule="auto"/>
        <w:ind w:left="720" w:hanging="720"/>
        <w:rPr>
          <w:rFonts w:cs="Times New Roman"/>
        </w:rPr>
      </w:pPr>
      <w:r w:rsidRPr="003D16D3">
        <w:t xml:space="preserve">Hugh M. Thomas, ‘Violence, Clerical Status, and the Issue of Criminous Clerks’ in his </w:t>
      </w:r>
      <w:r w:rsidRPr="003D16D3">
        <w:rPr>
          <w:i/>
          <w:iCs/>
        </w:rPr>
        <w:t>The Secular Clergy in England, 1066-1216</w:t>
      </w:r>
      <w:r>
        <w:rPr>
          <w:i/>
          <w:iCs/>
        </w:rPr>
        <w:t>,</w:t>
      </w:r>
      <w:r w:rsidRPr="003D16D3">
        <w:rPr>
          <w:i/>
          <w:iCs/>
        </w:rPr>
        <w:t xml:space="preserve"> </w:t>
      </w:r>
      <w:r w:rsidRPr="003D16D3">
        <w:rPr>
          <w:rFonts w:cs="Times New Roman"/>
        </w:rPr>
        <w:t>(</w:t>
      </w:r>
      <w:r w:rsidRPr="003D16D3">
        <w:rPr>
          <w:rStyle w:val="publisher-location"/>
          <w:rFonts w:cs="Times New Roman"/>
        </w:rPr>
        <w:t xml:space="preserve">Oxford: Oxford University Press, </w:t>
      </w:r>
      <w:r w:rsidRPr="003D16D3">
        <w:rPr>
          <w:rStyle w:val="print-publication-date"/>
          <w:rFonts w:cs="Times New Roman"/>
        </w:rPr>
        <w:t>2014</w:t>
      </w:r>
      <w:r w:rsidRPr="003D16D3">
        <w:rPr>
          <w:rFonts w:cs="Times New Roman"/>
        </w:rPr>
        <w:t xml:space="preserve">), pp. 209-224 (pp. 217-9). </w:t>
      </w:r>
      <w:r>
        <w:rPr>
          <w:rFonts w:cs="Times New Roman"/>
        </w:rPr>
        <w:t xml:space="preserve"> </w:t>
      </w:r>
      <w:r w:rsidRPr="003D16D3">
        <w:rPr>
          <w:rFonts w:cs="Times New Roman"/>
        </w:rPr>
        <w:t>&lt;</w:t>
      </w:r>
      <w:hyperlink r:id="rId19" w:history="1">
        <w:r w:rsidRPr="003D16D3">
          <w:rPr>
            <w:rStyle w:val="Hyperlink"/>
            <w:rFonts w:cs="Times New Roman"/>
          </w:rPr>
          <w:t>https://doi.org/10.1093/acprof:oso/9780198702566.003.0009</w:t>
        </w:r>
      </w:hyperlink>
      <w:r w:rsidRPr="003D16D3">
        <w:rPr>
          <w:rFonts w:cs="Times New Roman"/>
        </w:rPr>
        <w:t>&gt; [Accessed 24th April 2023].</w:t>
      </w:r>
    </w:p>
    <w:p w14:paraId="38014F77" w14:textId="77777777" w:rsidR="00634A4A" w:rsidRPr="00240617" w:rsidRDefault="00634A4A" w:rsidP="00634A4A">
      <w:pPr>
        <w:autoSpaceDE w:val="0"/>
        <w:autoSpaceDN w:val="0"/>
        <w:adjustRightInd w:val="0"/>
        <w:spacing w:line="360" w:lineRule="auto"/>
        <w:ind w:left="720" w:hanging="720"/>
        <w:rPr>
          <w:rFonts w:cs="Times New Roman"/>
          <w:kern w:val="0"/>
        </w:rPr>
      </w:pPr>
    </w:p>
    <w:p w14:paraId="25524DC4" w14:textId="77777777" w:rsidR="00634A4A" w:rsidRPr="00240617" w:rsidRDefault="00634A4A" w:rsidP="00634A4A">
      <w:pPr>
        <w:spacing w:line="360" w:lineRule="auto"/>
        <w:ind w:left="720" w:hanging="720"/>
        <w:rPr>
          <w:rFonts w:cs="Times New Roman"/>
        </w:rPr>
      </w:pPr>
    </w:p>
    <w:p w14:paraId="617E2142" w14:textId="77777777" w:rsidR="00634A4A" w:rsidRPr="00240617" w:rsidRDefault="00634A4A" w:rsidP="00634A4A">
      <w:pPr>
        <w:spacing w:line="360" w:lineRule="auto"/>
        <w:ind w:left="720" w:hanging="720"/>
        <w:rPr>
          <w:rFonts w:cs="Times New Roman"/>
          <w:b/>
          <w:bCs/>
        </w:rPr>
      </w:pPr>
      <w:r>
        <w:rPr>
          <w:rFonts w:cs="Times New Roman"/>
          <w:b/>
          <w:bCs/>
        </w:rPr>
        <w:t>Secondary Sources Consulted to but Not Cited</w:t>
      </w:r>
    </w:p>
    <w:p w14:paraId="3ECEBEA3" w14:textId="77777777" w:rsidR="00634A4A" w:rsidRPr="00240617" w:rsidRDefault="00634A4A" w:rsidP="00634A4A">
      <w:pPr>
        <w:spacing w:line="360" w:lineRule="auto"/>
        <w:ind w:left="720" w:hanging="720"/>
        <w:rPr>
          <w:rFonts w:cs="Times New Roman"/>
        </w:rPr>
      </w:pPr>
    </w:p>
    <w:p w14:paraId="1C744F01" w14:textId="77777777" w:rsidR="00634A4A" w:rsidRDefault="00634A4A" w:rsidP="00634A4A">
      <w:pPr>
        <w:spacing w:line="360" w:lineRule="auto"/>
        <w:ind w:left="720" w:hanging="720"/>
        <w:rPr>
          <w:rFonts w:cs="Times New Roman"/>
        </w:rPr>
      </w:pPr>
      <w:r>
        <w:rPr>
          <w:rFonts w:cs="Times New Roman"/>
        </w:rPr>
        <w:t xml:space="preserve">De Beer, L. and Speakman, N., </w:t>
      </w:r>
      <w:r>
        <w:rPr>
          <w:rFonts w:cs="Times New Roman"/>
          <w:i/>
          <w:iCs/>
        </w:rPr>
        <w:t xml:space="preserve">Thomas Becket: Murder and the Making of a Saint, </w:t>
      </w:r>
      <w:r>
        <w:rPr>
          <w:rFonts w:cs="Times New Roman"/>
        </w:rPr>
        <w:t>(London: The British Museum, 2021).</w:t>
      </w:r>
    </w:p>
    <w:p w14:paraId="3507A065" w14:textId="77777777" w:rsidR="00634A4A" w:rsidRDefault="00634A4A" w:rsidP="00634A4A">
      <w:pPr>
        <w:spacing w:line="360" w:lineRule="auto"/>
        <w:ind w:left="720" w:hanging="720"/>
        <w:rPr>
          <w:rFonts w:cs="Times New Roman"/>
        </w:rPr>
      </w:pPr>
    </w:p>
    <w:p w14:paraId="00A12407" w14:textId="77777777" w:rsidR="00634A4A" w:rsidRDefault="00634A4A" w:rsidP="00634A4A">
      <w:pPr>
        <w:spacing w:line="360" w:lineRule="auto"/>
        <w:ind w:left="720" w:hanging="720"/>
        <w:rPr>
          <w:rFonts w:cs="Times New Roman"/>
        </w:rPr>
      </w:pPr>
      <w:r w:rsidRPr="00240617">
        <w:rPr>
          <w:rFonts w:cs="Times New Roman"/>
        </w:rPr>
        <w:t xml:space="preserve">Southern, R. W., </w:t>
      </w:r>
      <w:r w:rsidRPr="00240617">
        <w:rPr>
          <w:rFonts w:cs="Times New Roman"/>
          <w:i/>
          <w:iCs/>
        </w:rPr>
        <w:t>Saint Anselm: A Portrait in a Landscape</w:t>
      </w:r>
      <w:r>
        <w:rPr>
          <w:rFonts w:cs="Times New Roman"/>
          <w:i/>
          <w:iCs/>
        </w:rPr>
        <w:t>,</w:t>
      </w:r>
      <w:r w:rsidRPr="00240617">
        <w:rPr>
          <w:rFonts w:cs="Times New Roman"/>
          <w:i/>
          <w:iCs/>
        </w:rPr>
        <w:t xml:space="preserve"> </w:t>
      </w:r>
      <w:r w:rsidRPr="00240617">
        <w:rPr>
          <w:rFonts w:cs="Times New Roman"/>
        </w:rPr>
        <w:t>(Cambridge: Cambridge University Press, 1990).</w:t>
      </w:r>
    </w:p>
    <w:p w14:paraId="14F2642A" w14:textId="77777777" w:rsidR="000864FA" w:rsidRDefault="000864FA" w:rsidP="00634A4A">
      <w:pPr>
        <w:spacing w:line="360" w:lineRule="auto"/>
        <w:ind w:left="720" w:hanging="720"/>
        <w:rPr>
          <w:rFonts w:cs="Times New Roman"/>
        </w:rPr>
      </w:pPr>
    </w:p>
    <w:p w14:paraId="1C5934DB" w14:textId="0B2857A7" w:rsidR="00BA6FD8" w:rsidRPr="00584340" w:rsidRDefault="000864FA" w:rsidP="00544E19">
      <w:pPr>
        <w:spacing w:line="360" w:lineRule="auto"/>
        <w:ind w:left="720" w:hanging="720"/>
        <w:rPr>
          <w:rFonts w:cs="Times New Roman"/>
        </w:rPr>
      </w:pPr>
      <w:r>
        <w:t>Williams, R.</w:t>
      </w:r>
      <w:r w:rsidR="009E38C3">
        <w:t>,</w:t>
      </w:r>
      <w:r>
        <w:t xml:space="preserve"> ‘Saving Our Order’: Becket and the Law. </w:t>
      </w:r>
      <w:r>
        <w:rPr>
          <w:i/>
          <w:iCs/>
        </w:rPr>
        <w:t>Ecclesiastical Law Journal,</w:t>
      </w:r>
      <w:r>
        <w:t xml:space="preserve"> </w:t>
      </w:r>
      <w:r>
        <w:rPr>
          <w:i/>
          <w:iCs/>
        </w:rPr>
        <w:t>23</w:t>
      </w:r>
      <w:r>
        <w:t xml:space="preserve">(2), </w:t>
      </w:r>
      <w:r w:rsidR="00544E19">
        <w:t xml:space="preserve">(2021), pp. </w:t>
      </w:r>
      <w:r>
        <w:t>127-139. &lt;doi:10.1017/S0956618X21000028&gt; [Accessed 6 May 2023].</w:t>
      </w:r>
    </w:p>
    <w:p w14:paraId="3E6C3374" w14:textId="77777777" w:rsidR="00D5007C" w:rsidRPr="00584340" w:rsidRDefault="00D5007C" w:rsidP="001C396C">
      <w:pPr>
        <w:spacing w:line="360" w:lineRule="auto"/>
        <w:jc w:val="both"/>
        <w:rPr>
          <w:rFonts w:cs="Times New Roman"/>
        </w:rPr>
      </w:pPr>
    </w:p>
    <w:p w14:paraId="591466B6" w14:textId="77777777" w:rsidR="001A75A6" w:rsidRPr="00584340" w:rsidRDefault="001A75A6" w:rsidP="001C396C">
      <w:pPr>
        <w:spacing w:line="360" w:lineRule="auto"/>
        <w:jc w:val="both"/>
        <w:rPr>
          <w:rFonts w:cs="Times New Roman"/>
        </w:rPr>
      </w:pPr>
    </w:p>
    <w:sectPr w:rsidR="001A75A6" w:rsidRPr="00584340" w:rsidSect="00427028">
      <w:headerReference w:type="even" r:id="rId20"/>
      <w:headerReference w:type="default" r:id="rId21"/>
      <w:footerReference w:type="even" r:id="rId22"/>
      <w:footerReference w:type="default" r:id="rId23"/>
      <w:headerReference w:type="first" r:id="rId24"/>
      <w:footerReference w:type="firs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BE7BD" w14:textId="77777777" w:rsidR="00A03496" w:rsidRDefault="00A03496" w:rsidP="00431F8F">
      <w:r>
        <w:separator/>
      </w:r>
    </w:p>
  </w:endnote>
  <w:endnote w:type="continuationSeparator" w:id="0">
    <w:p w14:paraId="47BCA3A7" w14:textId="77777777" w:rsidR="00A03496" w:rsidRDefault="00A03496" w:rsidP="00431F8F">
      <w:r>
        <w:continuationSeparator/>
      </w:r>
    </w:p>
  </w:endnote>
  <w:endnote w:type="continuationNotice" w:id="1">
    <w:p w14:paraId="495C8181" w14:textId="77777777" w:rsidR="00A03496" w:rsidRDefault="00A034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D42D9" w14:textId="77777777" w:rsidR="00195524" w:rsidRDefault="001955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1D182" w14:textId="77777777" w:rsidR="00195524" w:rsidRDefault="001955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24D12" w14:textId="77777777" w:rsidR="00195524" w:rsidRDefault="00195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80C0D" w14:textId="77777777" w:rsidR="00A03496" w:rsidRDefault="00A03496" w:rsidP="00431F8F">
      <w:r>
        <w:separator/>
      </w:r>
    </w:p>
  </w:footnote>
  <w:footnote w:type="continuationSeparator" w:id="0">
    <w:p w14:paraId="6B03AFAE" w14:textId="77777777" w:rsidR="00A03496" w:rsidRDefault="00A03496" w:rsidP="00431F8F">
      <w:r>
        <w:continuationSeparator/>
      </w:r>
    </w:p>
  </w:footnote>
  <w:footnote w:type="continuationNotice" w:id="1">
    <w:p w14:paraId="11AE5F7C" w14:textId="77777777" w:rsidR="00A03496" w:rsidRDefault="00A03496"/>
  </w:footnote>
  <w:footnote w:id="2">
    <w:p w14:paraId="48A202E6" w14:textId="2DED3141" w:rsidR="00912434" w:rsidRPr="00A04973" w:rsidRDefault="00912434" w:rsidP="00A04973">
      <w:pPr>
        <w:tabs>
          <w:tab w:val="left" w:pos="720"/>
        </w:tabs>
        <w:autoSpaceDE w:val="0"/>
        <w:autoSpaceDN w:val="0"/>
        <w:adjustRightInd w:val="0"/>
        <w:jc w:val="both"/>
        <w:rPr>
          <w:rFonts w:cs="Times New Roman"/>
          <w:sz w:val="20"/>
          <w:szCs w:val="20"/>
        </w:rPr>
      </w:pPr>
      <w:r w:rsidRPr="00A04973">
        <w:rPr>
          <w:rStyle w:val="FootnoteReference"/>
          <w:rFonts w:cs="Times New Roman"/>
          <w:sz w:val="20"/>
          <w:szCs w:val="20"/>
        </w:rPr>
        <w:footnoteRef/>
      </w:r>
      <w:r w:rsidRPr="00A04973">
        <w:rPr>
          <w:rFonts w:cs="Times New Roman"/>
          <w:sz w:val="20"/>
          <w:szCs w:val="20"/>
        </w:rPr>
        <w:t xml:space="preserve"> William Fitzstephen in </w:t>
      </w:r>
      <w:r w:rsidR="009955DA" w:rsidRPr="00A04973">
        <w:rPr>
          <w:rFonts w:cs="Times New Roman"/>
          <w:sz w:val="20"/>
          <w:szCs w:val="20"/>
        </w:rPr>
        <w:t xml:space="preserve">James Craigie </w:t>
      </w:r>
      <w:r w:rsidRPr="00A04973">
        <w:rPr>
          <w:rFonts w:cs="Times New Roman"/>
          <w:sz w:val="20"/>
          <w:szCs w:val="20"/>
        </w:rPr>
        <w:t xml:space="preserve">Robertson, </w:t>
      </w:r>
      <w:r w:rsidR="009955DA" w:rsidRPr="00A04973">
        <w:rPr>
          <w:rFonts w:cs="Times New Roman"/>
          <w:i/>
          <w:iCs/>
          <w:sz w:val="20"/>
          <w:szCs w:val="20"/>
        </w:rPr>
        <w:t>Materials for the History of Thomas Becket, archbishop of Canterbury (canonized by Pope Alexander III., AD 1173),</w:t>
      </w:r>
      <w:r w:rsidR="009955DA" w:rsidRPr="00A04973">
        <w:rPr>
          <w:rFonts w:cs="Times New Roman"/>
          <w:sz w:val="20"/>
          <w:szCs w:val="20"/>
        </w:rPr>
        <w:t xml:space="preserve"> (London: Longman, 1875)</w:t>
      </w:r>
      <w:r w:rsidRPr="00A04973">
        <w:rPr>
          <w:rFonts w:cs="Times New Roman"/>
          <w:i/>
          <w:iCs/>
          <w:sz w:val="20"/>
          <w:szCs w:val="20"/>
        </w:rPr>
        <w:t xml:space="preserve">, </w:t>
      </w:r>
      <w:r w:rsidRPr="00A04973">
        <w:rPr>
          <w:rFonts w:cs="Times New Roman"/>
          <w:sz w:val="20"/>
          <w:szCs w:val="20"/>
        </w:rPr>
        <w:t>III, p</w:t>
      </w:r>
      <w:r w:rsidR="009955DA" w:rsidRPr="00A04973">
        <w:rPr>
          <w:rFonts w:cs="Times New Roman"/>
          <w:sz w:val="20"/>
          <w:szCs w:val="20"/>
        </w:rPr>
        <w:t>p. 18-20.</w:t>
      </w:r>
      <w:r w:rsidRPr="00A04973">
        <w:rPr>
          <w:rFonts w:cs="Times New Roman"/>
          <w:sz w:val="20"/>
          <w:szCs w:val="20"/>
        </w:rPr>
        <w:t xml:space="preserve">  See</w:t>
      </w:r>
      <w:r w:rsidR="001352DF" w:rsidRPr="00A04973">
        <w:rPr>
          <w:rFonts w:cs="Times New Roman"/>
          <w:sz w:val="20"/>
          <w:szCs w:val="20"/>
        </w:rPr>
        <w:t xml:space="preserve"> Leo T.</w:t>
      </w:r>
      <w:r w:rsidR="00091C56" w:rsidRPr="00A04973">
        <w:rPr>
          <w:rFonts w:cs="Times New Roman"/>
          <w:sz w:val="20"/>
          <w:szCs w:val="20"/>
        </w:rPr>
        <w:t xml:space="preserve"> Gourde</w:t>
      </w:r>
      <w:r w:rsidR="001352DF" w:rsidRPr="00A04973">
        <w:rPr>
          <w:rFonts w:cs="Times New Roman"/>
          <w:sz w:val="20"/>
          <w:szCs w:val="20"/>
        </w:rPr>
        <w:t>, ‘An Annotated Translation of the Life of St. Thomas Becket by William Fitzstephen: Part One’.</w:t>
      </w:r>
      <w:r w:rsidR="001352DF" w:rsidRPr="00A04973">
        <w:rPr>
          <w:rFonts w:cs="Times New Roman"/>
          <w:i/>
          <w:iCs/>
          <w:sz w:val="20"/>
          <w:szCs w:val="20"/>
        </w:rPr>
        <w:t xml:space="preserve"> Master’s Theses, </w:t>
      </w:r>
      <w:r w:rsidR="001352DF" w:rsidRPr="00A04973">
        <w:rPr>
          <w:rFonts w:cs="Times New Roman"/>
          <w:sz w:val="20"/>
          <w:szCs w:val="20"/>
        </w:rPr>
        <w:t>(Chicago: Loyola University, 1943), 622</w:t>
      </w:r>
      <w:r w:rsidR="00091C56" w:rsidRPr="00A04973">
        <w:rPr>
          <w:rFonts w:cs="Times New Roman"/>
          <w:sz w:val="20"/>
          <w:szCs w:val="20"/>
        </w:rPr>
        <w:t>, p. 25.</w:t>
      </w:r>
      <w:r w:rsidR="001352DF" w:rsidRPr="00A04973">
        <w:rPr>
          <w:rFonts w:cs="Times New Roman"/>
          <w:sz w:val="20"/>
          <w:szCs w:val="20"/>
        </w:rPr>
        <w:t xml:space="preserve"> &lt;</w:t>
      </w:r>
      <w:hyperlink r:id="rId1" w:history="1">
        <w:r w:rsidR="001352DF" w:rsidRPr="00A04973">
          <w:rPr>
            <w:rStyle w:val="Hyperlink"/>
            <w:rFonts w:cs="Times New Roman"/>
            <w:sz w:val="20"/>
            <w:szCs w:val="20"/>
          </w:rPr>
          <w:t>https://ecommons.luc.edu/luc_theses/622/</w:t>
        </w:r>
      </w:hyperlink>
      <w:r w:rsidR="001352DF" w:rsidRPr="00A04973">
        <w:rPr>
          <w:rFonts w:cs="Times New Roman"/>
          <w:sz w:val="20"/>
          <w:szCs w:val="20"/>
        </w:rPr>
        <w:t>&gt; [Accessed 6 May 2023].</w:t>
      </w:r>
    </w:p>
    <w:p w14:paraId="3340EE8D" w14:textId="77777777" w:rsidR="00FF606B" w:rsidRPr="00A04973" w:rsidRDefault="00FF606B" w:rsidP="00A04973">
      <w:pPr>
        <w:pStyle w:val="FootnoteText"/>
        <w:rPr>
          <w:rFonts w:cs="Times New Roman"/>
        </w:rPr>
      </w:pPr>
    </w:p>
  </w:footnote>
  <w:footnote w:id="3">
    <w:p w14:paraId="7503B954" w14:textId="07B0357B" w:rsidR="009955DA" w:rsidRPr="00A04973" w:rsidRDefault="009955DA"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904025" w:rsidRPr="00A04973">
        <w:rPr>
          <w:rFonts w:cs="Times New Roman"/>
        </w:rPr>
        <w:t xml:space="preserve">Frank Barlow, </w:t>
      </w:r>
      <w:r w:rsidR="00904025" w:rsidRPr="00A04973">
        <w:rPr>
          <w:rFonts w:cs="Times New Roman"/>
          <w:i/>
          <w:iCs/>
        </w:rPr>
        <w:t xml:space="preserve">Thomas </w:t>
      </w:r>
      <w:r w:rsidR="00A04973" w:rsidRPr="00A04973">
        <w:rPr>
          <w:rFonts w:cs="Times New Roman"/>
          <w:i/>
          <w:iCs/>
        </w:rPr>
        <w:t>Becket</w:t>
      </w:r>
      <w:r w:rsidR="00A04973" w:rsidRPr="00A04973">
        <w:rPr>
          <w:rFonts w:cs="Times New Roman"/>
        </w:rPr>
        <w:t>,</w:t>
      </w:r>
      <w:r w:rsidR="00904025" w:rsidRPr="00A04973">
        <w:rPr>
          <w:rFonts w:cs="Times New Roman"/>
        </w:rPr>
        <w:t xml:space="preserve"> p. 92. </w:t>
      </w:r>
      <w:r w:rsidRPr="00A04973">
        <w:rPr>
          <w:rFonts w:cs="Times New Roman"/>
        </w:rPr>
        <w:t xml:space="preserve">Anne Duggan, </w:t>
      </w:r>
      <w:r w:rsidRPr="00A04973">
        <w:rPr>
          <w:rFonts w:cs="Times New Roman"/>
          <w:i/>
          <w:iCs/>
        </w:rPr>
        <w:t xml:space="preserve">Thomas Becket </w:t>
      </w:r>
      <w:r w:rsidRPr="00A04973">
        <w:rPr>
          <w:rFonts w:cs="Times New Roman"/>
        </w:rPr>
        <w:t>(London: Arnold, 2004), pp. 38-40</w:t>
      </w:r>
      <w:r w:rsidR="00166BE2" w:rsidRPr="00A04973">
        <w:rPr>
          <w:rFonts w:cs="Times New Roman"/>
        </w:rPr>
        <w:t xml:space="preserve">; John Guy, </w:t>
      </w:r>
      <w:r w:rsidR="00166BE2" w:rsidRPr="00A04973">
        <w:rPr>
          <w:rFonts w:cs="Times New Roman"/>
          <w:i/>
          <w:iCs/>
        </w:rPr>
        <w:t xml:space="preserve">Thomas Becket: Warrior, Priest, Rebel, Victim: A 900-Year-Old Story Retold, </w:t>
      </w:r>
      <w:r w:rsidR="00166BE2" w:rsidRPr="00A04973">
        <w:rPr>
          <w:rFonts w:cs="Times New Roman"/>
        </w:rPr>
        <w:t>(London: Penguin, 2012), pp. 158-9.</w:t>
      </w:r>
    </w:p>
    <w:p w14:paraId="772CC6ED" w14:textId="77777777" w:rsidR="009955DA" w:rsidRPr="00A04973" w:rsidRDefault="009955DA" w:rsidP="00A04973">
      <w:pPr>
        <w:pStyle w:val="FootnoteText"/>
        <w:rPr>
          <w:rFonts w:cs="Times New Roman"/>
        </w:rPr>
      </w:pPr>
    </w:p>
  </w:footnote>
  <w:footnote w:id="4">
    <w:p w14:paraId="2C94EAA4" w14:textId="4D1236A7" w:rsidR="00041F69" w:rsidRPr="00A04973" w:rsidRDefault="00041F69" w:rsidP="00A04973">
      <w:pPr>
        <w:pStyle w:val="FootnoteText"/>
        <w:rPr>
          <w:rFonts w:cs="Times New Roman"/>
        </w:rPr>
      </w:pPr>
      <w:r w:rsidRPr="00A04973">
        <w:rPr>
          <w:rStyle w:val="FootnoteReference"/>
          <w:rFonts w:cs="Times New Roman"/>
        </w:rPr>
        <w:footnoteRef/>
      </w:r>
      <w:r w:rsidRPr="00A04973">
        <w:rPr>
          <w:rFonts w:cs="Times New Roman"/>
        </w:rPr>
        <w:t xml:space="preserve"> George Greenaway, </w:t>
      </w:r>
      <w:r w:rsidRPr="00A04973">
        <w:rPr>
          <w:rFonts w:cs="Times New Roman"/>
          <w:i/>
          <w:iCs/>
        </w:rPr>
        <w:t xml:space="preserve">The Life and Death </w:t>
      </w:r>
      <w:r w:rsidR="00E759A3" w:rsidRPr="00A04973">
        <w:rPr>
          <w:rFonts w:cs="Times New Roman"/>
          <w:i/>
          <w:iCs/>
        </w:rPr>
        <w:t>o</w:t>
      </w:r>
      <w:r w:rsidRPr="00A04973">
        <w:rPr>
          <w:rFonts w:cs="Times New Roman"/>
          <w:i/>
          <w:iCs/>
        </w:rPr>
        <w:t xml:space="preserve">f Thomas Becket </w:t>
      </w:r>
      <w:r w:rsidRPr="00A04973">
        <w:rPr>
          <w:rFonts w:cs="Times New Roman"/>
        </w:rPr>
        <w:t>(London: The Folio Society, 1961), p. 9.</w:t>
      </w:r>
    </w:p>
    <w:p w14:paraId="425A18F9" w14:textId="77777777" w:rsidR="00FF606B" w:rsidRPr="00A04973" w:rsidRDefault="00FF606B" w:rsidP="00A04973">
      <w:pPr>
        <w:pStyle w:val="FootnoteText"/>
        <w:rPr>
          <w:rFonts w:cs="Times New Roman"/>
        </w:rPr>
      </w:pPr>
    </w:p>
  </w:footnote>
  <w:footnote w:id="5">
    <w:p w14:paraId="72C5F314" w14:textId="727B8EBD" w:rsidR="00410B23" w:rsidRPr="00A04973" w:rsidRDefault="00A401C2" w:rsidP="00A04973">
      <w:pPr>
        <w:rPr>
          <w:rFonts w:cs="Times New Roman"/>
          <w:sz w:val="20"/>
          <w:szCs w:val="20"/>
        </w:rPr>
      </w:pPr>
      <w:r w:rsidRPr="00A04973">
        <w:rPr>
          <w:rStyle w:val="FootnoteReference"/>
          <w:rFonts w:cs="Times New Roman"/>
          <w:sz w:val="20"/>
          <w:szCs w:val="20"/>
        </w:rPr>
        <w:footnoteRef/>
      </w:r>
      <w:r w:rsidR="00410B23" w:rsidRPr="00A04973">
        <w:rPr>
          <w:rStyle w:val="contributors"/>
          <w:rFonts w:cs="Times New Roman"/>
          <w:sz w:val="20"/>
          <w:szCs w:val="20"/>
        </w:rPr>
        <w:t xml:space="preserve"> Hugh M. Thomas, </w:t>
      </w:r>
      <w:r w:rsidR="00410B23" w:rsidRPr="00A04973">
        <w:rPr>
          <w:rStyle w:val="Emphasis"/>
          <w:rFonts w:cs="Times New Roman"/>
          <w:sz w:val="20"/>
          <w:szCs w:val="20"/>
        </w:rPr>
        <w:t>The Secular Clergy in England, 1066–1216</w:t>
      </w:r>
      <w:r w:rsidR="00410B23" w:rsidRPr="00A04973">
        <w:rPr>
          <w:rFonts w:cs="Times New Roman"/>
          <w:sz w:val="20"/>
          <w:szCs w:val="20"/>
        </w:rPr>
        <w:t xml:space="preserve"> (</w:t>
      </w:r>
      <w:r w:rsidR="00410B23" w:rsidRPr="00A04973">
        <w:rPr>
          <w:rStyle w:val="publisher-location"/>
          <w:rFonts w:cs="Times New Roman"/>
          <w:sz w:val="20"/>
          <w:szCs w:val="20"/>
        </w:rPr>
        <w:t xml:space="preserve">Oxford: Oxford University Press, </w:t>
      </w:r>
      <w:r w:rsidR="00410B23" w:rsidRPr="00A04973">
        <w:rPr>
          <w:rStyle w:val="print-publication-date"/>
          <w:rFonts w:cs="Times New Roman"/>
          <w:sz w:val="20"/>
          <w:szCs w:val="20"/>
        </w:rPr>
        <w:t>2014)</w:t>
      </w:r>
      <w:r w:rsidR="00A934F7" w:rsidRPr="00A04973">
        <w:rPr>
          <w:rStyle w:val="print-publication-date"/>
          <w:rFonts w:cs="Times New Roman"/>
          <w:sz w:val="20"/>
          <w:szCs w:val="20"/>
        </w:rPr>
        <w:t>, pp.</w:t>
      </w:r>
      <w:r w:rsidR="00E472EC" w:rsidRPr="00A04973">
        <w:rPr>
          <w:rStyle w:val="print-publication-date"/>
          <w:rFonts w:cs="Times New Roman"/>
          <w:sz w:val="20"/>
          <w:szCs w:val="20"/>
        </w:rPr>
        <w:t xml:space="preserve"> 5, 117-8, 227-8</w:t>
      </w:r>
      <w:r w:rsidR="00410B23" w:rsidRPr="00A04973">
        <w:rPr>
          <w:rStyle w:val="print-publication-date"/>
          <w:rFonts w:cs="Times New Roman"/>
          <w:sz w:val="20"/>
          <w:szCs w:val="20"/>
        </w:rPr>
        <w:t xml:space="preserve"> &lt;</w:t>
      </w:r>
      <w:hyperlink r:id="rId2" w:history="1">
        <w:r w:rsidR="00410B23" w:rsidRPr="00A04973">
          <w:rPr>
            <w:rStyle w:val="Hyperlink"/>
            <w:rFonts w:cs="Times New Roman"/>
            <w:sz w:val="20"/>
            <w:szCs w:val="20"/>
          </w:rPr>
          <w:t>https://doi.org/10.1093/acprof:oso/9780198702566.001.0001</w:t>
        </w:r>
      </w:hyperlink>
      <w:r w:rsidR="00410B23" w:rsidRPr="00A04973">
        <w:rPr>
          <w:rFonts w:cs="Times New Roman"/>
          <w:sz w:val="20"/>
          <w:szCs w:val="20"/>
        </w:rPr>
        <w:t xml:space="preserve">&gt;  </w:t>
      </w:r>
      <w:r w:rsidR="00A934F7" w:rsidRPr="00A04973">
        <w:rPr>
          <w:rFonts w:cs="Times New Roman"/>
          <w:sz w:val="20"/>
          <w:szCs w:val="20"/>
        </w:rPr>
        <w:t>[</w:t>
      </w:r>
      <w:r w:rsidR="00410B23" w:rsidRPr="00A04973">
        <w:rPr>
          <w:rFonts w:cs="Times New Roman"/>
          <w:sz w:val="20"/>
          <w:szCs w:val="20"/>
        </w:rPr>
        <w:t>A</w:t>
      </w:r>
      <w:r w:rsidR="00410B23" w:rsidRPr="00A04973">
        <w:rPr>
          <w:rStyle w:val="accessed-date"/>
          <w:rFonts w:cs="Times New Roman"/>
          <w:sz w:val="20"/>
          <w:szCs w:val="20"/>
        </w:rPr>
        <w:t>ccessed 4 May 2023</w:t>
      </w:r>
      <w:r w:rsidR="00A934F7" w:rsidRPr="00A04973">
        <w:rPr>
          <w:rStyle w:val="accessed-date"/>
          <w:rFonts w:cs="Times New Roman"/>
          <w:sz w:val="20"/>
          <w:szCs w:val="20"/>
        </w:rPr>
        <w:t>]</w:t>
      </w:r>
      <w:r w:rsidR="00410B23" w:rsidRPr="00A04973">
        <w:rPr>
          <w:rStyle w:val="accessed-date"/>
          <w:rFonts w:cs="Times New Roman"/>
          <w:sz w:val="20"/>
          <w:szCs w:val="20"/>
        </w:rPr>
        <w:t>.</w:t>
      </w:r>
      <w:r w:rsidR="00410B23" w:rsidRPr="00A04973">
        <w:rPr>
          <w:rFonts w:cs="Times New Roman"/>
          <w:sz w:val="20"/>
          <w:szCs w:val="20"/>
        </w:rPr>
        <w:t xml:space="preserve"> </w:t>
      </w:r>
      <w:r w:rsidR="00A6676F" w:rsidRPr="00A04973">
        <w:rPr>
          <w:rFonts w:cs="Times New Roman"/>
          <w:sz w:val="20"/>
          <w:szCs w:val="20"/>
        </w:rPr>
        <w:t>S</w:t>
      </w:r>
      <w:r w:rsidR="00A532D4" w:rsidRPr="00A04973">
        <w:rPr>
          <w:rFonts w:cs="Times New Roman"/>
          <w:sz w:val="20"/>
          <w:szCs w:val="20"/>
        </w:rPr>
        <w:t xml:space="preserve">ee, Barlow, </w:t>
      </w:r>
      <w:r w:rsidR="00A532D4" w:rsidRPr="00A04973">
        <w:rPr>
          <w:rFonts w:cs="Times New Roman"/>
          <w:i/>
          <w:iCs/>
          <w:sz w:val="20"/>
          <w:szCs w:val="20"/>
        </w:rPr>
        <w:t xml:space="preserve">Thomas Becket, </w:t>
      </w:r>
      <w:r w:rsidR="00A532D4" w:rsidRPr="00A04973">
        <w:rPr>
          <w:rFonts w:cs="Times New Roman"/>
          <w:sz w:val="20"/>
          <w:szCs w:val="20"/>
        </w:rPr>
        <w:t>17-18, 21-2.</w:t>
      </w:r>
    </w:p>
    <w:p w14:paraId="4E5B51F9" w14:textId="2F0B45F2" w:rsidR="00A401C2" w:rsidRPr="00A04973" w:rsidRDefault="00A401C2" w:rsidP="00A04973">
      <w:pPr>
        <w:pStyle w:val="FootnoteText"/>
        <w:rPr>
          <w:rFonts w:cs="Times New Roman"/>
        </w:rPr>
      </w:pPr>
    </w:p>
  </w:footnote>
  <w:footnote w:id="6">
    <w:p w14:paraId="26B7A02F" w14:textId="77777777"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pp. 90-1.</w:t>
      </w:r>
    </w:p>
    <w:p w14:paraId="7577D2F5" w14:textId="77777777" w:rsidR="00FF606B" w:rsidRPr="00A04973" w:rsidRDefault="00FF606B" w:rsidP="00A04973">
      <w:pPr>
        <w:pStyle w:val="FootnoteText"/>
        <w:rPr>
          <w:rFonts w:cs="Times New Roman"/>
        </w:rPr>
      </w:pPr>
    </w:p>
  </w:footnote>
  <w:footnote w:id="7">
    <w:p w14:paraId="3A2E799F" w14:textId="4EBFD107" w:rsidR="00BB0104" w:rsidRPr="00A04973" w:rsidRDefault="00BB0104"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A532D4" w:rsidRPr="00A04973">
        <w:rPr>
          <w:rFonts w:cs="Times New Roman"/>
        </w:rPr>
        <w:t xml:space="preserve">Barlow, </w:t>
      </w:r>
      <w:r w:rsidR="00A532D4" w:rsidRPr="00A04973">
        <w:rPr>
          <w:rFonts w:cs="Times New Roman"/>
          <w:i/>
          <w:iCs/>
        </w:rPr>
        <w:t xml:space="preserve">Thomas Becket, </w:t>
      </w:r>
      <w:r w:rsidR="00A532D4" w:rsidRPr="00A04973">
        <w:rPr>
          <w:rFonts w:cs="Times New Roman"/>
        </w:rPr>
        <w:t xml:space="preserve">p. 28-40. </w:t>
      </w:r>
      <w:r w:rsidRPr="00A04973">
        <w:rPr>
          <w:rFonts w:cs="Times New Roman"/>
        </w:rPr>
        <w:t xml:space="preserve">Anne Duggan, </w:t>
      </w:r>
      <w:r w:rsidR="00A6676F" w:rsidRPr="00A04973">
        <w:rPr>
          <w:rFonts w:cs="Times New Roman"/>
          <w:i/>
          <w:iCs/>
        </w:rPr>
        <w:t xml:space="preserve">Thomas Becket, </w:t>
      </w:r>
      <w:r w:rsidRPr="00A04973">
        <w:rPr>
          <w:rFonts w:cs="Times New Roman"/>
        </w:rPr>
        <w:t>p. 17</w:t>
      </w:r>
      <w:r w:rsidR="00A532D4" w:rsidRPr="00A04973">
        <w:rPr>
          <w:rFonts w:cs="Times New Roman"/>
        </w:rPr>
        <w:t>.</w:t>
      </w:r>
      <w:r w:rsidR="00A6676F" w:rsidRPr="00A04973">
        <w:rPr>
          <w:rFonts w:cs="Times New Roman"/>
        </w:rPr>
        <w:t xml:space="preserve"> Guy, </w:t>
      </w:r>
      <w:r w:rsidR="00A6676F" w:rsidRPr="00A04973">
        <w:rPr>
          <w:rFonts w:cs="Times New Roman"/>
          <w:i/>
          <w:iCs/>
        </w:rPr>
        <w:t xml:space="preserve">Thomas Becket, </w:t>
      </w:r>
      <w:r w:rsidR="00A6676F" w:rsidRPr="00A04973">
        <w:rPr>
          <w:rFonts w:cs="Times New Roman"/>
        </w:rPr>
        <w:t xml:space="preserve">p. 96. See, Robertson, </w:t>
      </w:r>
      <w:r w:rsidR="00A6676F" w:rsidRPr="00A04973">
        <w:rPr>
          <w:rFonts w:cs="Times New Roman"/>
          <w:i/>
          <w:iCs/>
        </w:rPr>
        <w:t xml:space="preserve">Materials, </w:t>
      </w:r>
      <w:r w:rsidR="00A6676F" w:rsidRPr="00A04973">
        <w:rPr>
          <w:rFonts w:cs="Times New Roman"/>
        </w:rPr>
        <w:t>III, p. 29.</w:t>
      </w:r>
    </w:p>
    <w:p w14:paraId="11577F6A" w14:textId="77777777" w:rsidR="003637C7" w:rsidRPr="00A04973" w:rsidRDefault="003637C7" w:rsidP="00A04973">
      <w:pPr>
        <w:pStyle w:val="FootnoteText"/>
        <w:rPr>
          <w:rFonts w:cs="Times New Roman"/>
        </w:rPr>
      </w:pPr>
    </w:p>
  </w:footnote>
  <w:footnote w:id="8">
    <w:p w14:paraId="23FC9AFF" w14:textId="4515B5CC" w:rsidR="00BB0104" w:rsidRPr="00A04973" w:rsidRDefault="00BB0104" w:rsidP="00A04973">
      <w:pPr>
        <w:pStyle w:val="FootnoteText"/>
        <w:rPr>
          <w:rFonts w:cs="Times New Roman"/>
        </w:rPr>
      </w:pPr>
      <w:r w:rsidRPr="00A04973">
        <w:rPr>
          <w:rStyle w:val="FootnoteReference"/>
          <w:rFonts w:cs="Times New Roman"/>
        </w:rPr>
        <w:footnoteRef/>
      </w:r>
      <w:r w:rsidRPr="00A04973">
        <w:rPr>
          <w:rFonts w:cs="Times New Roman"/>
        </w:rPr>
        <w:t xml:space="preserve"> Guy, </w:t>
      </w:r>
      <w:r w:rsidRPr="00A04973">
        <w:rPr>
          <w:rFonts w:cs="Times New Roman"/>
          <w:i/>
          <w:iCs/>
        </w:rPr>
        <w:t xml:space="preserve">Thomas Becket, </w:t>
      </w:r>
      <w:r w:rsidRPr="00A04973">
        <w:rPr>
          <w:rFonts w:cs="Times New Roman"/>
        </w:rPr>
        <w:t xml:space="preserve">pp. 33, 52. See Robertson, </w:t>
      </w:r>
      <w:r w:rsidRPr="00A04973">
        <w:rPr>
          <w:rFonts w:cs="Times New Roman"/>
          <w:i/>
          <w:iCs/>
        </w:rPr>
        <w:t xml:space="preserve">Materials, </w:t>
      </w:r>
      <w:r w:rsidRPr="00A04973">
        <w:rPr>
          <w:rFonts w:cs="Times New Roman"/>
        </w:rPr>
        <w:t>II, p. 304; III, p. 17.</w:t>
      </w:r>
      <w:r w:rsidR="006801DF" w:rsidRPr="00A04973">
        <w:rPr>
          <w:rFonts w:cs="Times New Roman"/>
        </w:rPr>
        <w:t xml:space="preserve"> See </w:t>
      </w:r>
      <w:r w:rsidR="004E7494" w:rsidRPr="00A04973">
        <w:rPr>
          <w:rFonts w:cs="Times New Roman"/>
        </w:rPr>
        <w:t>Gou</w:t>
      </w:r>
      <w:r w:rsidR="00F76F9E" w:rsidRPr="00A04973">
        <w:rPr>
          <w:rFonts w:cs="Times New Roman"/>
        </w:rPr>
        <w:t>r</w:t>
      </w:r>
      <w:r w:rsidR="004E7494" w:rsidRPr="00A04973">
        <w:rPr>
          <w:rFonts w:cs="Times New Roman"/>
        </w:rPr>
        <w:t xml:space="preserve">de, </w:t>
      </w:r>
      <w:r w:rsidR="004E7494" w:rsidRPr="00A04973">
        <w:rPr>
          <w:rFonts w:cs="Times New Roman"/>
          <w:i/>
          <w:iCs/>
        </w:rPr>
        <w:t xml:space="preserve">Annotated Life, </w:t>
      </w:r>
      <w:r w:rsidR="004E7494" w:rsidRPr="00A04973">
        <w:rPr>
          <w:rFonts w:cs="Times New Roman"/>
        </w:rPr>
        <w:t>pp. 21-23</w:t>
      </w:r>
      <w:r w:rsidR="00F76F9E" w:rsidRPr="00A04973">
        <w:rPr>
          <w:rFonts w:cs="Times New Roman"/>
        </w:rPr>
        <w:t>.</w:t>
      </w:r>
    </w:p>
    <w:p w14:paraId="3955A37E" w14:textId="77777777" w:rsidR="00FF606B" w:rsidRPr="00A04973" w:rsidRDefault="00FF606B" w:rsidP="00A04973">
      <w:pPr>
        <w:pStyle w:val="FootnoteText"/>
        <w:rPr>
          <w:rFonts w:cs="Times New Roman"/>
        </w:rPr>
      </w:pPr>
    </w:p>
  </w:footnote>
  <w:footnote w:id="9">
    <w:p w14:paraId="06C0E2D2" w14:textId="4C48BC0D" w:rsidR="00C159C2" w:rsidRPr="00A04973" w:rsidRDefault="00C159C2" w:rsidP="00A04973">
      <w:pPr>
        <w:pStyle w:val="FootnoteText"/>
        <w:rPr>
          <w:rFonts w:cs="Times New Roman"/>
        </w:rPr>
      </w:pPr>
      <w:r w:rsidRPr="00A04973">
        <w:rPr>
          <w:rStyle w:val="FootnoteReference"/>
          <w:rFonts w:cs="Times New Roman"/>
        </w:rPr>
        <w:footnoteRef/>
      </w:r>
      <w:r w:rsidRPr="00A04973">
        <w:rPr>
          <w:rFonts w:cs="Times New Roman"/>
        </w:rPr>
        <w:t xml:space="preserve">  Hugh M. Thomas, ‘Secular Clerics as Authors and Intellectuals’ in his </w:t>
      </w:r>
      <w:r w:rsidRPr="00A04973">
        <w:rPr>
          <w:rFonts w:cs="Times New Roman"/>
          <w:i/>
          <w:iCs/>
        </w:rPr>
        <w:t xml:space="preserve">The Secular Clergy in England, 1066-1216 </w:t>
      </w:r>
      <w:r w:rsidRPr="00A04973">
        <w:rPr>
          <w:rFonts w:cs="Times New Roman"/>
        </w:rPr>
        <w:t>(Oxford: Oxford University Press, 2014) pp. 266-97 (p</w:t>
      </w:r>
      <w:r w:rsidR="003637C7" w:rsidRPr="00A04973">
        <w:rPr>
          <w:rFonts w:cs="Times New Roman"/>
        </w:rPr>
        <w:t>p</w:t>
      </w:r>
      <w:r w:rsidRPr="00A04973">
        <w:rPr>
          <w:rFonts w:cs="Times New Roman"/>
        </w:rPr>
        <w:t xml:space="preserve">. </w:t>
      </w:r>
      <w:r w:rsidR="003637C7" w:rsidRPr="00A04973">
        <w:rPr>
          <w:rFonts w:cs="Times New Roman"/>
        </w:rPr>
        <w:t xml:space="preserve">267, </w:t>
      </w:r>
      <w:r w:rsidRPr="00A04973">
        <w:rPr>
          <w:rFonts w:cs="Times New Roman"/>
        </w:rPr>
        <w:t xml:space="preserve">270).      </w:t>
      </w:r>
      <w:hyperlink r:id="rId3" w:history="1">
        <w:r w:rsidR="00BA4ABA" w:rsidRPr="00A04973">
          <w:rPr>
            <w:rStyle w:val="Hyperlink"/>
            <w:rFonts w:cs="Times New Roman"/>
          </w:rPr>
          <w:t>https://academic.oup.com/book/6332/chapter/150057657</w:t>
        </w:r>
      </w:hyperlink>
    </w:p>
    <w:p w14:paraId="1502A3EB" w14:textId="77777777" w:rsidR="00BA4ABA" w:rsidRPr="00A04973" w:rsidRDefault="00BA4ABA" w:rsidP="00A04973">
      <w:pPr>
        <w:pStyle w:val="FootnoteText"/>
        <w:rPr>
          <w:rFonts w:cs="Times New Roman"/>
        </w:rPr>
      </w:pPr>
    </w:p>
  </w:footnote>
  <w:footnote w:id="10">
    <w:p w14:paraId="2A37D225" w14:textId="6A106250" w:rsidR="00F60178" w:rsidRPr="00A04973" w:rsidRDefault="00F60178"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0964D4" w:rsidRPr="00A04973">
        <w:rPr>
          <w:rFonts w:cs="Times New Roman"/>
        </w:rPr>
        <w:t xml:space="preserve">Thomas, </w:t>
      </w:r>
      <w:r w:rsidR="000964D4" w:rsidRPr="00A04973">
        <w:rPr>
          <w:rFonts w:cs="Times New Roman"/>
          <w:i/>
          <w:iCs/>
        </w:rPr>
        <w:t>Secular Cler</w:t>
      </w:r>
      <w:r w:rsidR="00D10C75" w:rsidRPr="00A04973">
        <w:rPr>
          <w:rFonts w:cs="Times New Roman"/>
          <w:i/>
          <w:iCs/>
        </w:rPr>
        <w:t>gy</w:t>
      </w:r>
      <w:r w:rsidR="000964D4" w:rsidRPr="00A04973">
        <w:rPr>
          <w:rFonts w:cs="Times New Roman"/>
          <w:i/>
          <w:iCs/>
        </w:rPr>
        <w:t xml:space="preserve">, </w:t>
      </w:r>
      <w:r w:rsidR="000964D4" w:rsidRPr="00A04973">
        <w:rPr>
          <w:rFonts w:cs="Times New Roman"/>
        </w:rPr>
        <w:t xml:space="preserve">p. 211. </w:t>
      </w:r>
    </w:p>
    <w:p w14:paraId="3079504C" w14:textId="77777777" w:rsidR="00B37A9A" w:rsidRPr="00A04973" w:rsidRDefault="00B37A9A" w:rsidP="00A04973">
      <w:pPr>
        <w:pStyle w:val="FootnoteText"/>
        <w:rPr>
          <w:rFonts w:cs="Times New Roman"/>
        </w:rPr>
      </w:pPr>
    </w:p>
  </w:footnote>
  <w:footnote w:id="11">
    <w:p w14:paraId="0C8E7120" w14:textId="02E3DC8E" w:rsidR="000A4623" w:rsidRPr="00A04973" w:rsidRDefault="000A4623"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B37A9A" w:rsidRPr="00A04973">
        <w:rPr>
          <w:rFonts w:cs="Times New Roman"/>
        </w:rPr>
        <w:t xml:space="preserve">Thomas, </w:t>
      </w:r>
      <w:r w:rsidR="00B37A9A" w:rsidRPr="00A04973">
        <w:rPr>
          <w:rFonts w:cs="Times New Roman"/>
          <w:i/>
          <w:iCs/>
        </w:rPr>
        <w:t xml:space="preserve">Secular Clergy, </w:t>
      </w:r>
      <w:r w:rsidR="00B37A9A" w:rsidRPr="00A04973">
        <w:rPr>
          <w:rFonts w:cs="Times New Roman"/>
        </w:rPr>
        <w:t>pp. 210-1.</w:t>
      </w:r>
    </w:p>
    <w:p w14:paraId="22B8511A" w14:textId="77777777" w:rsidR="00B37A9A" w:rsidRPr="00A04973" w:rsidRDefault="00B37A9A" w:rsidP="00A04973">
      <w:pPr>
        <w:pStyle w:val="FootnoteText"/>
        <w:rPr>
          <w:rFonts w:cs="Times New Roman"/>
        </w:rPr>
      </w:pPr>
    </w:p>
  </w:footnote>
  <w:footnote w:id="12">
    <w:p w14:paraId="64D11295" w14:textId="77777777" w:rsidR="005969A8" w:rsidRPr="00A04973" w:rsidRDefault="005969A8" w:rsidP="00A04973">
      <w:pPr>
        <w:pStyle w:val="FootnoteText"/>
        <w:rPr>
          <w:rFonts w:cs="Times New Roman"/>
        </w:rPr>
      </w:pPr>
      <w:r w:rsidRPr="00A04973">
        <w:rPr>
          <w:rStyle w:val="FootnoteReference"/>
          <w:rFonts w:cs="Times New Roman"/>
        </w:rPr>
        <w:footnoteRef/>
      </w:r>
      <w:r w:rsidRPr="00A04973">
        <w:rPr>
          <w:rFonts w:cs="Times New Roman"/>
        </w:rPr>
        <w:t xml:space="preserve"> Guy, </w:t>
      </w:r>
      <w:r w:rsidRPr="00A04973">
        <w:rPr>
          <w:rFonts w:cs="Times New Roman"/>
          <w:i/>
          <w:iCs/>
        </w:rPr>
        <w:t xml:space="preserve">Thomas Becket, </w:t>
      </w:r>
      <w:r w:rsidRPr="00A04973">
        <w:rPr>
          <w:rFonts w:cs="Times New Roman"/>
        </w:rPr>
        <w:t xml:space="preserve">p. 151. Warren, </w:t>
      </w:r>
      <w:r w:rsidRPr="00A04973">
        <w:rPr>
          <w:rFonts w:cs="Times New Roman"/>
          <w:i/>
          <w:iCs/>
        </w:rPr>
        <w:t xml:space="preserve">Henry II, </w:t>
      </w:r>
      <w:r w:rsidRPr="00A04973">
        <w:rPr>
          <w:rFonts w:cs="Times New Roman"/>
        </w:rPr>
        <w:t>pp. 97-8.</w:t>
      </w:r>
    </w:p>
    <w:p w14:paraId="43C2D0FE" w14:textId="77777777" w:rsidR="005969A8" w:rsidRPr="00A04973" w:rsidRDefault="005969A8" w:rsidP="00A04973">
      <w:pPr>
        <w:pStyle w:val="FootnoteText"/>
        <w:rPr>
          <w:rFonts w:cs="Times New Roman"/>
        </w:rPr>
      </w:pPr>
    </w:p>
  </w:footnote>
  <w:footnote w:id="13">
    <w:p w14:paraId="34DA44EC" w14:textId="03E87221" w:rsidR="009600CF" w:rsidRPr="00A04973" w:rsidRDefault="009600CF" w:rsidP="00A04973">
      <w:pPr>
        <w:pStyle w:val="FootnoteText"/>
        <w:rPr>
          <w:rFonts w:cs="Times New Roman"/>
        </w:rPr>
      </w:pPr>
      <w:r w:rsidRPr="00A04973">
        <w:rPr>
          <w:rStyle w:val="FootnoteReference"/>
          <w:rFonts w:cs="Times New Roman"/>
        </w:rPr>
        <w:footnoteRef/>
      </w:r>
      <w:r w:rsidRPr="00A04973">
        <w:rPr>
          <w:rFonts w:cs="Times New Roman"/>
        </w:rPr>
        <w:t xml:space="preserve"> </w:t>
      </w:r>
    </w:p>
  </w:footnote>
  <w:footnote w:id="14">
    <w:p w14:paraId="3D315AE2" w14:textId="24A27C0F" w:rsidR="00607AAD" w:rsidRPr="00A04973" w:rsidRDefault="00607AAD" w:rsidP="00A04973">
      <w:pPr>
        <w:pStyle w:val="FootnoteText"/>
        <w:rPr>
          <w:rFonts w:cs="Times New Roman"/>
        </w:rPr>
      </w:pPr>
      <w:r w:rsidRPr="00A04973">
        <w:rPr>
          <w:rStyle w:val="FootnoteReference"/>
          <w:rFonts w:cs="Times New Roman"/>
        </w:rPr>
        <w:footnoteRef/>
      </w:r>
      <w:r w:rsidRPr="00A04973">
        <w:rPr>
          <w:rFonts w:cs="Times New Roman"/>
        </w:rPr>
        <w:t xml:space="preserve"> William of Newburgh (c.1196) and Hans Claude Hamilton (ed.), </w:t>
      </w:r>
      <w:r w:rsidRPr="00A04973">
        <w:rPr>
          <w:rFonts w:cs="Times New Roman"/>
          <w:i/>
          <w:iCs/>
        </w:rPr>
        <w:t xml:space="preserve">Historia Rerum Anglicarum </w:t>
      </w:r>
      <w:r w:rsidRPr="00A04973">
        <w:rPr>
          <w:rFonts w:cs="Times New Roman"/>
        </w:rPr>
        <w:t xml:space="preserve">(Londoni: Sumptibus Societis, 1856), Vol. I, p. 130. My translation. See Guy, </w:t>
      </w:r>
      <w:r w:rsidR="00904025" w:rsidRPr="00A04973">
        <w:rPr>
          <w:rFonts w:cs="Times New Roman"/>
          <w:i/>
          <w:iCs/>
        </w:rPr>
        <w:t>Thomas Becket</w:t>
      </w:r>
      <w:r w:rsidR="00904025" w:rsidRPr="00A04973">
        <w:rPr>
          <w:rFonts w:cs="Times New Roman"/>
        </w:rPr>
        <w:t xml:space="preserve">, p. </w:t>
      </w:r>
      <w:r w:rsidRPr="00A04973">
        <w:rPr>
          <w:rFonts w:cs="Times New Roman"/>
        </w:rPr>
        <w:t>159.</w:t>
      </w:r>
    </w:p>
    <w:p w14:paraId="22BDC974" w14:textId="77777777" w:rsidR="00BA4ABA" w:rsidRPr="00A04973" w:rsidRDefault="00BA4ABA" w:rsidP="00A04973">
      <w:pPr>
        <w:pStyle w:val="FootnoteText"/>
        <w:rPr>
          <w:rFonts w:cs="Times New Roman"/>
        </w:rPr>
      </w:pPr>
    </w:p>
  </w:footnote>
  <w:footnote w:id="15">
    <w:p w14:paraId="22DE1022" w14:textId="77777777" w:rsidR="00907261" w:rsidRPr="00A04973" w:rsidRDefault="00907261" w:rsidP="00A04973">
      <w:pPr>
        <w:pStyle w:val="FootnoteText"/>
        <w:rPr>
          <w:rFonts w:cs="Times New Roman"/>
          <w:b/>
          <w:bCs/>
        </w:rPr>
      </w:pPr>
      <w:r w:rsidRPr="00A04973">
        <w:rPr>
          <w:rStyle w:val="FootnoteReference"/>
          <w:rFonts w:cs="Times New Roman"/>
        </w:rPr>
        <w:footnoteRef/>
      </w:r>
      <w:r w:rsidRPr="00A04973">
        <w:rPr>
          <w:rFonts w:cs="Times New Roman"/>
        </w:rPr>
        <w:t xml:space="preserve"> W. L. Warren, </w:t>
      </w:r>
      <w:r w:rsidRPr="00A04973">
        <w:rPr>
          <w:rFonts w:cs="Times New Roman"/>
          <w:i/>
          <w:iCs/>
        </w:rPr>
        <w:t xml:space="preserve">Henry II </w:t>
      </w:r>
      <w:r w:rsidRPr="00A04973">
        <w:rPr>
          <w:rFonts w:cs="Times New Roman"/>
        </w:rPr>
        <w:t xml:space="preserve">(New Haven: Yale University Press, 1977), p. 460. Thomas, </w:t>
      </w:r>
      <w:r w:rsidRPr="00A04973">
        <w:rPr>
          <w:rFonts w:cs="Times New Roman"/>
          <w:i/>
          <w:iCs/>
        </w:rPr>
        <w:t xml:space="preserve">Secular Clergy, </w:t>
      </w:r>
      <w:r w:rsidRPr="00A04973">
        <w:rPr>
          <w:rFonts w:cs="Times New Roman"/>
        </w:rPr>
        <w:t>pp. 219-20.</w:t>
      </w:r>
    </w:p>
    <w:p w14:paraId="3C1DB7A0" w14:textId="77777777" w:rsidR="00907261" w:rsidRPr="00A04973" w:rsidRDefault="00907261" w:rsidP="00A04973">
      <w:pPr>
        <w:pStyle w:val="FootnoteText"/>
        <w:rPr>
          <w:rFonts w:cs="Times New Roman"/>
        </w:rPr>
      </w:pPr>
    </w:p>
  </w:footnote>
  <w:footnote w:id="16">
    <w:p w14:paraId="5B1A55B5" w14:textId="77777777" w:rsidR="00907261" w:rsidRPr="00A04973" w:rsidRDefault="00907261" w:rsidP="00A04973">
      <w:pPr>
        <w:rPr>
          <w:rFonts w:cs="Times New Roman"/>
          <w:sz w:val="20"/>
          <w:szCs w:val="20"/>
        </w:rPr>
      </w:pPr>
      <w:r w:rsidRPr="00A04973">
        <w:rPr>
          <w:rStyle w:val="FootnoteReference"/>
          <w:rFonts w:cs="Times New Roman"/>
          <w:sz w:val="20"/>
          <w:szCs w:val="20"/>
        </w:rPr>
        <w:footnoteRef/>
      </w:r>
      <w:r w:rsidRPr="00A04973">
        <w:rPr>
          <w:rFonts w:cs="Times New Roman"/>
          <w:sz w:val="20"/>
          <w:szCs w:val="20"/>
        </w:rPr>
        <w:t xml:space="preserve"> Hugh M. Thomas, ‘Violence, Clerical Status, and the Issue of Criminous Clerks’ in his </w:t>
      </w:r>
      <w:r w:rsidRPr="00A04973">
        <w:rPr>
          <w:rFonts w:cs="Times New Roman"/>
          <w:i/>
          <w:iCs/>
          <w:sz w:val="20"/>
          <w:szCs w:val="20"/>
        </w:rPr>
        <w:t xml:space="preserve">The Secular Clergy in England, 1066-1216 </w:t>
      </w:r>
      <w:r w:rsidRPr="00A04973">
        <w:rPr>
          <w:rFonts w:cs="Times New Roman"/>
          <w:sz w:val="20"/>
          <w:szCs w:val="20"/>
        </w:rPr>
        <w:t>(</w:t>
      </w:r>
      <w:r w:rsidRPr="00A04973">
        <w:rPr>
          <w:rStyle w:val="publisher-location"/>
          <w:rFonts w:cs="Times New Roman"/>
          <w:sz w:val="20"/>
          <w:szCs w:val="20"/>
        </w:rPr>
        <w:t xml:space="preserve">Oxford: Oxford University Press, </w:t>
      </w:r>
      <w:r w:rsidRPr="00A04973">
        <w:rPr>
          <w:rStyle w:val="print-publication-date"/>
          <w:rFonts w:cs="Times New Roman"/>
          <w:sz w:val="20"/>
          <w:szCs w:val="20"/>
        </w:rPr>
        <w:t>2014</w:t>
      </w:r>
      <w:r w:rsidRPr="00A04973">
        <w:rPr>
          <w:rFonts w:cs="Times New Roman"/>
          <w:sz w:val="20"/>
          <w:szCs w:val="20"/>
        </w:rPr>
        <w:t xml:space="preserve">), pp. 209-224 (pp. 217-9). </w:t>
      </w:r>
    </w:p>
    <w:p w14:paraId="1C56DFC4" w14:textId="77777777" w:rsidR="00907261" w:rsidRPr="00A04973" w:rsidRDefault="00907261" w:rsidP="00A04973">
      <w:pPr>
        <w:rPr>
          <w:rFonts w:cs="Times New Roman"/>
          <w:sz w:val="20"/>
          <w:szCs w:val="20"/>
        </w:rPr>
      </w:pPr>
      <w:r w:rsidRPr="00A04973">
        <w:rPr>
          <w:rFonts w:cs="Times New Roman"/>
          <w:sz w:val="20"/>
          <w:szCs w:val="20"/>
        </w:rPr>
        <w:t>&lt;</w:t>
      </w:r>
      <w:hyperlink r:id="rId4" w:history="1">
        <w:r w:rsidRPr="00A04973">
          <w:rPr>
            <w:rStyle w:val="Hyperlink"/>
            <w:rFonts w:cs="Times New Roman"/>
            <w:sz w:val="20"/>
            <w:szCs w:val="20"/>
          </w:rPr>
          <w:t>https://doi.org/10.1093/acprof:oso/9780198702566.003.0009</w:t>
        </w:r>
      </w:hyperlink>
      <w:r w:rsidRPr="00A04973">
        <w:rPr>
          <w:rFonts w:cs="Times New Roman"/>
          <w:sz w:val="20"/>
          <w:szCs w:val="20"/>
        </w:rPr>
        <w:t>&gt; [Accessed 24th April 2023].</w:t>
      </w:r>
    </w:p>
    <w:p w14:paraId="4BD321F7" w14:textId="77777777" w:rsidR="00907261" w:rsidRPr="00A04973" w:rsidRDefault="00907261" w:rsidP="00A04973">
      <w:pPr>
        <w:pStyle w:val="FootnoteText"/>
        <w:rPr>
          <w:rFonts w:cs="Times New Roman"/>
          <w:i/>
          <w:iCs/>
        </w:rPr>
      </w:pPr>
    </w:p>
  </w:footnote>
  <w:footnote w:id="17">
    <w:p w14:paraId="0E7A3C2E" w14:textId="6499A818"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Austin Lane Poole, </w:t>
      </w:r>
      <w:r w:rsidRPr="00A04973">
        <w:rPr>
          <w:rFonts w:cs="Times New Roman"/>
          <w:i/>
          <w:iCs/>
        </w:rPr>
        <w:t xml:space="preserve">From Domesday Book to Magna Carta: 1087-1216, </w:t>
      </w:r>
      <w:r w:rsidRPr="00A04973">
        <w:rPr>
          <w:rFonts w:cs="Times New Roman"/>
        </w:rPr>
        <w:t>(Oxford, Clarendon Press, 1955), pp. 57-8.</w:t>
      </w:r>
    </w:p>
    <w:p w14:paraId="61345832" w14:textId="77777777" w:rsidR="00FF606B" w:rsidRPr="00A04973" w:rsidRDefault="00FF606B" w:rsidP="00A04973">
      <w:pPr>
        <w:pStyle w:val="FootnoteText"/>
        <w:rPr>
          <w:rFonts w:cs="Times New Roman"/>
        </w:rPr>
      </w:pPr>
    </w:p>
  </w:footnote>
  <w:footnote w:id="18">
    <w:p w14:paraId="02636B16" w14:textId="77777777"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Pr="00A04973">
        <w:rPr>
          <w:rFonts w:cs="Times New Roman"/>
          <w:i/>
          <w:iCs/>
        </w:rPr>
        <w:t xml:space="preserve">Leges Henrici Primi, </w:t>
      </w:r>
      <w:r w:rsidRPr="00A04973">
        <w:rPr>
          <w:rFonts w:cs="Times New Roman"/>
        </w:rPr>
        <w:t xml:space="preserve">7.7 cited by Poole, </w:t>
      </w:r>
      <w:r w:rsidRPr="00A04973">
        <w:rPr>
          <w:rFonts w:cs="Times New Roman"/>
          <w:i/>
          <w:iCs/>
        </w:rPr>
        <w:t xml:space="preserve">Domesday to Magna Carta, </w:t>
      </w:r>
      <w:r w:rsidRPr="00A04973">
        <w:rPr>
          <w:rFonts w:cs="Times New Roman"/>
        </w:rPr>
        <w:t xml:space="preserve">p. 58. </w:t>
      </w:r>
    </w:p>
    <w:p w14:paraId="1815EB12" w14:textId="77777777" w:rsidR="00FF606B" w:rsidRPr="00A04973" w:rsidRDefault="00FF606B" w:rsidP="00A04973">
      <w:pPr>
        <w:pStyle w:val="FootnoteText"/>
        <w:rPr>
          <w:rFonts w:cs="Times New Roman"/>
        </w:rPr>
      </w:pPr>
    </w:p>
  </w:footnote>
  <w:footnote w:id="19">
    <w:p w14:paraId="3B0FCB36" w14:textId="00C94A4C"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Poole, </w:t>
      </w:r>
      <w:r w:rsidR="00CC1908" w:rsidRPr="00A04973">
        <w:rPr>
          <w:rFonts w:cs="Times New Roman"/>
          <w:i/>
          <w:iCs/>
        </w:rPr>
        <w:t xml:space="preserve">Domesday to Magna Carta, </w:t>
      </w:r>
      <w:r w:rsidRPr="00A04973">
        <w:rPr>
          <w:rFonts w:cs="Times New Roman"/>
        </w:rPr>
        <w:t>pp. 201-2</w:t>
      </w:r>
      <w:r w:rsidR="00DD2674" w:rsidRPr="00A04973">
        <w:rPr>
          <w:rFonts w:cs="Times New Roman"/>
        </w:rPr>
        <w:t xml:space="preserve"> Warren, </w:t>
      </w:r>
      <w:r w:rsidR="00CC1908" w:rsidRPr="00A04973">
        <w:rPr>
          <w:rFonts w:cs="Times New Roman"/>
          <w:i/>
          <w:iCs/>
        </w:rPr>
        <w:t xml:space="preserve">Henry II, </w:t>
      </w:r>
      <w:r w:rsidR="00DD2674" w:rsidRPr="00A04973">
        <w:rPr>
          <w:rFonts w:cs="Times New Roman"/>
        </w:rPr>
        <w:t>p. 462</w:t>
      </w:r>
      <w:r w:rsidR="00CC1908" w:rsidRPr="00A04973">
        <w:rPr>
          <w:rFonts w:cs="Times New Roman"/>
        </w:rPr>
        <w:t>.</w:t>
      </w:r>
      <w:r w:rsidR="002E64A2" w:rsidRPr="00A04973">
        <w:rPr>
          <w:rFonts w:cs="Times New Roman"/>
        </w:rPr>
        <w:t xml:space="preserve"> </w:t>
      </w:r>
      <w:r w:rsidR="00D44EF9" w:rsidRPr="00A04973">
        <w:rPr>
          <w:rFonts w:cs="Times New Roman"/>
        </w:rPr>
        <w:t xml:space="preserve">Anne Duggan, </w:t>
      </w:r>
      <w:r w:rsidR="00CC1908" w:rsidRPr="00A04973">
        <w:rPr>
          <w:rFonts w:cs="Times New Roman"/>
          <w:i/>
          <w:iCs/>
        </w:rPr>
        <w:t xml:space="preserve">Thomas Becket, </w:t>
      </w:r>
      <w:r w:rsidR="00D44EF9" w:rsidRPr="00A04973">
        <w:rPr>
          <w:rFonts w:cs="Times New Roman"/>
        </w:rPr>
        <w:t>p. 48. See</w:t>
      </w:r>
      <w:r w:rsidR="00CC1908" w:rsidRPr="00A04973">
        <w:rPr>
          <w:rFonts w:cs="Times New Roman"/>
        </w:rPr>
        <w:t xml:space="preserve"> also,</w:t>
      </w:r>
      <w:r w:rsidR="00D44EF9" w:rsidRPr="00A04973">
        <w:rPr>
          <w:rFonts w:cs="Times New Roman"/>
        </w:rPr>
        <w:t xml:space="preserve"> William Stubbs, </w:t>
      </w:r>
      <w:r w:rsidR="00D44EF9" w:rsidRPr="00A04973">
        <w:rPr>
          <w:rFonts w:cs="Times New Roman"/>
          <w:i/>
          <w:iCs/>
        </w:rPr>
        <w:t xml:space="preserve">Select Charters and Other Illustrations of English Constitutional History </w:t>
      </w:r>
      <w:r w:rsidR="00D44EF9" w:rsidRPr="00A04973">
        <w:rPr>
          <w:rFonts w:cs="Times New Roman"/>
        </w:rPr>
        <w:t>(Oxford: Clarendon Press, 1913)</w:t>
      </w:r>
      <w:r w:rsidR="002E64A2" w:rsidRPr="00A04973">
        <w:rPr>
          <w:rFonts w:cs="Times New Roman"/>
          <w:i/>
          <w:iCs/>
        </w:rPr>
        <w:t xml:space="preserve">, </w:t>
      </w:r>
      <w:r w:rsidR="002E64A2" w:rsidRPr="00A04973">
        <w:rPr>
          <w:rFonts w:cs="Times New Roman"/>
        </w:rPr>
        <w:t xml:space="preserve">99-100; </w:t>
      </w:r>
      <w:r w:rsidR="002E64A2" w:rsidRPr="00A04973">
        <w:rPr>
          <w:rFonts w:cs="Times New Roman"/>
          <w:i/>
          <w:iCs/>
        </w:rPr>
        <w:t xml:space="preserve">English Historical Documents, </w:t>
      </w:r>
      <w:r w:rsidR="002E64A2" w:rsidRPr="00A04973">
        <w:rPr>
          <w:rFonts w:cs="Times New Roman"/>
        </w:rPr>
        <w:t>ii, 604-5.</w:t>
      </w:r>
    </w:p>
    <w:p w14:paraId="2510C10B" w14:textId="77777777" w:rsidR="00FF606B" w:rsidRPr="00A04973" w:rsidRDefault="00FF606B" w:rsidP="00A04973">
      <w:pPr>
        <w:pStyle w:val="FootnoteText"/>
        <w:rPr>
          <w:rFonts w:cs="Times New Roman"/>
        </w:rPr>
      </w:pPr>
    </w:p>
  </w:footnote>
  <w:footnote w:id="20">
    <w:p w14:paraId="765D194F" w14:textId="48ACA177" w:rsidR="006C442A" w:rsidRPr="00A04973" w:rsidRDefault="006C442A"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00CC1908" w:rsidRPr="00A04973">
        <w:rPr>
          <w:rFonts w:cs="Times New Roman"/>
          <w:i/>
          <w:iCs/>
        </w:rPr>
        <w:t xml:space="preserve">Henry II, </w:t>
      </w:r>
      <w:r w:rsidRPr="00A04973">
        <w:rPr>
          <w:rFonts w:cs="Times New Roman"/>
        </w:rPr>
        <w:t xml:space="preserve">p. 462, citing </w:t>
      </w:r>
      <w:r w:rsidRPr="00A04973">
        <w:rPr>
          <w:rFonts w:cs="Times New Roman"/>
          <w:i/>
          <w:iCs/>
        </w:rPr>
        <w:t xml:space="preserve">Leges Henrici Primi, </w:t>
      </w:r>
      <w:r w:rsidRPr="00A04973">
        <w:rPr>
          <w:rFonts w:cs="Times New Roman"/>
        </w:rPr>
        <w:t xml:space="preserve">LVII, 9 from Stubbs, </w:t>
      </w:r>
      <w:r w:rsidRPr="00A04973">
        <w:rPr>
          <w:rFonts w:cs="Times New Roman"/>
          <w:i/>
          <w:iCs/>
        </w:rPr>
        <w:t xml:space="preserve">Select </w:t>
      </w:r>
      <w:r w:rsidR="00A04973" w:rsidRPr="00A04973">
        <w:rPr>
          <w:rFonts w:cs="Times New Roman"/>
          <w:i/>
          <w:iCs/>
        </w:rPr>
        <w:t>Charters,</w:t>
      </w:r>
      <w:r w:rsidRPr="00A04973">
        <w:rPr>
          <w:rFonts w:cs="Times New Roman"/>
          <w:i/>
          <w:iCs/>
        </w:rPr>
        <w:t xml:space="preserve"> </w:t>
      </w:r>
      <w:r w:rsidRPr="00A04973">
        <w:rPr>
          <w:rFonts w:cs="Times New Roman"/>
        </w:rPr>
        <w:t>p. 126.</w:t>
      </w:r>
    </w:p>
    <w:p w14:paraId="38FDB8D7" w14:textId="77777777" w:rsidR="00BA4ABA" w:rsidRPr="00A04973" w:rsidRDefault="00BA4ABA" w:rsidP="00A04973">
      <w:pPr>
        <w:pStyle w:val="FootnoteText"/>
        <w:rPr>
          <w:rFonts w:cs="Times New Roman"/>
        </w:rPr>
      </w:pPr>
    </w:p>
  </w:footnote>
  <w:footnote w:id="21">
    <w:p w14:paraId="507C9014" w14:textId="739D7704" w:rsidR="006C442A" w:rsidRPr="00A04973" w:rsidRDefault="006C442A"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00CC1908" w:rsidRPr="00A04973">
        <w:rPr>
          <w:rFonts w:cs="Times New Roman"/>
          <w:i/>
          <w:iCs/>
        </w:rPr>
        <w:t xml:space="preserve">Henry II, </w:t>
      </w:r>
      <w:r w:rsidRPr="00A04973">
        <w:rPr>
          <w:rFonts w:cs="Times New Roman"/>
        </w:rPr>
        <w:t>p. 463-4</w:t>
      </w:r>
    </w:p>
    <w:p w14:paraId="08974CFA" w14:textId="77777777" w:rsidR="00FF606B" w:rsidRPr="00A04973" w:rsidRDefault="00FF606B" w:rsidP="00A04973">
      <w:pPr>
        <w:pStyle w:val="FootnoteText"/>
        <w:rPr>
          <w:rFonts w:cs="Times New Roman"/>
        </w:rPr>
      </w:pPr>
    </w:p>
  </w:footnote>
  <w:footnote w:id="22">
    <w:p w14:paraId="67F3B481" w14:textId="1F977854"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006704DD" w:rsidRPr="00A04973">
        <w:rPr>
          <w:rFonts w:cs="Times New Roman"/>
          <w:i/>
          <w:iCs/>
        </w:rPr>
        <w:t xml:space="preserve">Thomas Becket, </w:t>
      </w:r>
      <w:r w:rsidRPr="00A04973">
        <w:rPr>
          <w:rFonts w:cs="Times New Roman"/>
        </w:rPr>
        <w:t>p. 90-91.</w:t>
      </w:r>
    </w:p>
    <w:p w14:paraId="15265B44" w14:textId="77777777" w:rsidR="00FF606B" w:rsidRPr="00A04973" w:rsidRDefault="00FF606B" w:rsidP="00A04973">
      <w:pPr>
        <w:pStyle w:val="FootnoteText"/>
        <w:rPr>
          <w:rFonts w:cs="Times New Roman"/>
        </w:rPr>
      </w:pPr>
    </w:p>
  </w:footnote>
  <w:footnote w:id="23">
    <w:p w14:paraId="0B609A33" w14:textId="0034904A"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pp. 90-</w:t>
      </w:r>
      <w:r w:rsidR="00B61FF8" w:rsidRPr="00A04973">
        <w:rPr>
          <w:rFonts w:cs="Times New Roman"/>
        </w:rPr>
        <w:t>1</w:t>
      </w:r>
      <w:r w:rsidRPr="00A04973">
        <w:rPr>
          <w:rFonts w:cs="Times New Roman"/>
        </w:rPr>
        <w:t>.</w:t>
      </w:r>
      <w:r w:rsidR="0086685B" w:rsidRPr="00A04973">
        <w:rPr>
          <w:rFonts w:cs="Times New Roman"/>
        </w:rPr>
        <w:t xml:space="preserve"> Greenaway, </w:t>
      </w:r>
      <w:r w:rsidR="0086685B" w:rsidRPr="00A04973">
        <w:rPr>
          <w:rFonts w:cs="Times New Roman"/>
          <w:i/>
          <w:iCs/>
        </w:rPr>
        <w:t xml:space="preserve">Thomas Becket, </w:t>
      </w:r>
      <w:r w:rsidR="0086685B" w:rsidRPr="00A04973">
        <w:rPr>
          <w:rFonts w:cs="Times New Roman"/>
        </w:rPr>
        <w:t>p. 16</w:t>
      </w:r>
    </w:p>
    <w:p w14:paraId="2B6BE7A8" w14:textId="77777777" w:rsidR="00FF606B" w:rsidRPr="00A04973" w:rsidRDefault="00FF606B" w:rsidP="00A04973">
      <w:pPr>
        <w:pStyle w:val="FootnoteText"/>
        <w:rPr>
          <w:rFonts w:cs="Times New Roman"/>
        </w:rPr>
      </w:pPr>
    </w:p>
  </w:footnote>
  <w:footnote w:id="24">
    <w:p w14:paraId="14084822" w14:textId="4D9FE8B1" w:rsidR="00794E27" w:rsidRPr="00A04973" w:rsidRDefault="00794E27"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00F4756F" w:rsidRPr="00A04973">
        <w:rPr>
          <w:rFonts w:cs="Times New Roman"/>
          <w:i/>
          <w:iCs/>
        </w:rPr>
        <w:t xml:space="preserve">Henry II, </w:t>
      </w:r>
      <w:r w:rsidRPr="00A04973">
        <w:rPr>
          <w:rFonts w:cs="Times New Roman"/>
        </w:rPr>
        <w:t>p. 97.</w:t>
      </w:r>
    </w:p>
    <w:p w14:paraId="67F6EFF3" w14:textId="77777777" w:rsidR="00F4756F" w:rsidRPr="00A04973" w:rsidRDefault="00F4756F" w:rsidP="00A04973">
      <w:pPr>
        <w:pStyle w:val="FootnoteText"/>
        <w:rPr>
          <w:rFonts w:cs="Times New Roman"/>
        </w:rPr>
      </w:pPr>
    </w:p>
  </w:footnote>
  <w:footnote w:id="25">
    <w:p w14:paraId="25EF4F18" w14:textId="018CA899" w:rsidR="008013BD" w:rsidRPr="00A04973" w:rsidRDefault="008013BD"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pp. 91.</w:t>
      </w:r>
    </w:p>
    <w:p w14:paraId="4E002A19" w14:textId="77777777" w:rsidR="008013BD" w:rsidRPr="00A04973" w:rsidRDefault="008013BD" w:rsidP="00A04973">
      <w:pPr>
        <w:pStyle w:val="FootnoteText"/>
        <w:rPr>
          <w:rFonts w:cs="Times New Roman"/>
        </w:rPr>
      </w:pPr>
    </w:p>
  </w:footnote>
  <w:footnote w:id="26">
    <w:p w14:paraId="2AB8ACAF" w14:textId="255A2152" w:rsidR="00B61FF8" w:rsidRPr="00A04973" w:rsidRDefault="00B61FF8"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 xml:space="preserve">pp. 91-92. Guy, </w:t>
      </w:r>
      <w:r w:rsidRPr="00A04973">
        <w:rPr>
          <w:rFonts w:cs="Times New Roman"/>
          <w:i/>
          <w:iCs/>
        </w:rPr>
        <w:t xml:space="preserve">Thomas Becket, </w:t>
      </w:r>
      <w:r w:rsidRPr="00A04973">
        <w:rPr>
          <w:rFonts w:cs="Times New Roman"/>
        </w:rPr>
        <w:t>p. 161-2.</w:t>
      </w:r>
      <w:r w:rsidR="00CE4C67" w:rsidRPr="00A04973">
        <w:rPr>
          <w:rFonts w:cs="Times New Roman"/>
        </w:rPr>
        <w:t xml:space="preserve"> </w:t>
      </w:r>
    </w:p>
    <w:p w14:paraId="09C57D5C" w14:textId="77777777" w:rsidR="00B61FF8" w:rsidRPr="00A04973" w:rsidRDefault="00B61FF8" w:rsidP="00A04973">
      <w:pPr>
        <w:pStyle w:val="FootnoteText"/>
        <w:rPr>
          <w:rFonts w:cs="Times New Roman"/>
        </w:rPr>
      </w:pPr>
    </w:p>
  </w:footnote>
  <w:footnote w:id="27">
    <w:p w14:paraId="38A9CBF3" w14:textId="7FCC14D7" w:rsidR="00E14F61" w:rsidRPr="00A04973" w:rsidRDefault="00E14F61"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Pr="00A04973">
        <w:rPr>
          <w:rFonts w:cs="Times New Roman"/>
          <w:i/>
          <w:iCs/>
        </w:rPr>
        <w:t xml:space="preserve">Henry II, </w:t>
      </w:r>
      <w:r w:rsidRPr="00A04973">
        <w:rPr>
          <w:rFonts w:cs="Times New Roman"/>
        </w:rPr>
        <w:t>pp.</w:t>
      </w:r>
      <w:r w:rsidR="00320E12" w:rsidRPr="00A04973">
        <w:rPr>
          <w:rFonts w:cs="Times New Roman"/>
        </w:rPr>
        <w:t>425, 461-4.</w:t>
      </w:r>
    </w:p>
  </w:footnote>
  <w:footnote w:id="28">
    <w:p w14:paraId="0DBD091B" w14:textId="1598DE29" w:rsidR="00243C84" w:rsidRPr="00A04973" w:rsidRDefault="00426694"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243C84" w:rsidRPr="00A04973">
        <w:rPr>
          <w:rFonts w:cs="Times New Roman"/>
        </w:rPr>
        <w:t xml:space="preserve">William Fitzstephen in Robertson, </w:t>
      </w:r>
      <w:r w:rsidR="00243C84" w:rsidRPr="00A04973">
        <w:rPr>
          <w:rFonts w:cs="Times New Roman"/>
          <w:i/>
          <w:iCs/>
        </w:rPr>
        <w:t xml:space="preserve">Materials, </w:t>
      </w:r>
      <w:r w:rsidR="00243C84" w:rsidRPr="00A04973">
        <w:rPr>
          <w:rFonts w:cs="Times New Roman"/>
        </w:rPr>
        <w:t>III, pp. 43-5</w:t>
      </w:r>
      <w:r w:rsidR="005835DC" w:rsidRPr="00A04973">
        <w:rPr>
          <w:rFonts w:cs="Times New Roman"/>
        </w:rPr>
        <w:t xml:space="preserve">. See Gourde, </w:t>
      </w:r>
      <w:r w:rsidR="005835DC" w:rsidRPr="00A04973">
        <w:rPr>
          <w:rFonts w:cs="Times New Roman"/>
          <w:i/>
          <w:iCs/>
        </w:rPr>
        <w:t xml:space="preserve">Annotated Life, </w:t>
      </w:r>
      <w:r w:rsidR="005835DC" w:rsidRPr="00A04973">
        <w:rPr>
          <w:rFonts w:cs="Times New Roman"/>
        </w:rPr>
        <w:t>p. 56.</w:t>
      </w:r>
    </w:p>
    <w:p w14:paraId="183B534D" w14:textId="2812FAC5" w:rsidR="00426694" w:rsidRPr="00A04973" w:rsidRDefault="00426694" w:rsidP="00A04973">
      <w:pPr>
        <w:pStyle w:val="FootnoteText"/>
        <w:rPr>
          <w:rFonts w:cs="Times New Roman"/>
        </w:rPr>
      </w:pPr>
    </w:p>
  </w:footnote>
  <w:footnote w:id="29">
    <w:p w14:paraId="3B00C5B3" w14:textId="0B0C7E51" w:rsidR="000E1120" w:rsidRPr="00A04973" w:rsidRDefault="004B2A23" w:rsidP="00A04973">
      <w:pPr>
        <w:tabs>
          <w:tab w:val="left" w:pos="720"/>
        </w:tabs>
        <w:autoSpaceDE w:val="0"/>
        <w:autoSpaceDN w:val="0"/>
        <w:adjustRightInd w:val="0"/>
        <w:jc w:val="both"/>
        <w:rPr>
          <w:rFonts w:cs="Times New Roman"/>
          <w:sz w:val="20"/>
          <w:szCs w:val="20"/>
        </w:rPr>
      </w:pPr>
      <w:r w:rsidRPr="00A04973">
        <w:rPr>
          <w:rStyle w:val="FootnoteReference"/>
          <w:rFonts w:cs="Times New Roman"/>
          <w:sz w:val="20"/>
          <w:szCs w:val="20"/>
        </w:rPr>
        <w:footnoteRef/>
      </w:r>
      <w:r w:rsidRPr="00A04973">
        <w:rPr>
          <w:rFonts w:cs="Times New Roman"/>
          <w:sz w:val="20"/>
          <w:szCs w:val="20"/>
        </w:rPr>
        <w:t xml:space="preserve"> William Fitzstephen in Robertson, </w:t>
      </w:r>
      <w:r w:rsidRPr="00A04973">
        <w:rPr>
          <w:rFonts w:cs="Times New Roman"/>
          <w:i/>
          <w:iCs/>
          <w:sz w:val="20"/>
          <w:szCs w:val="20"/>
        </w:rPr>
        <w:t xml:space="preserve">Materials, </w:t>
      </w:r>
      <w:r w:rsidRPr="00A04973">
        <w:rPr>
          <w:rFonts w:cs="Times New Roman"/>
          <w:sz w:val="20"/>
          <w:szCs w:val="20"/>
        </w:rPr>
        <w:t>III, pp. 18-</w:t>
      </w:r>
      <w:r w:rsidR="002A7292" w:rsidRPr="00A04973">
        <w:rPr>
          <w:rFonts w:cs="Times New Roman"/>
          <w:sz w:val="20"/>
          <w:szCs w:val="20"/>
        </w:rPr>
        <w:t>20</w:t>
      </w:r>
      <w:r w:rsidR="006267A9" w:rsidRPr="00A04973">
        <w:rPr>
          <w:rFonts w:cs="Times New Roman"/>
          <w:sz w:val="20"/>
          <w:szCs w:val="20"/>
        </w:rPr>
        <w:t>, 23, 29-35.</w:t>
      </w:r>
      <w:r w:rsidRPr="00A04973">
        <w:rPr>
          <w:rFonts w:cs="Times New Roman"/>
          <w:sz w:val="20"/>
          <w:szCs w:val="20"/>
        </w:rPr>
        <w:t xml:space="preserve">  See </w:t>
      </w:r>
      <w:r w:rsidR="007C03CE" w:rsidRPr="00A04973">
        <w:rPr>
          <w:rFonts w:cs="Times New Roman"/>
          <w:sz w:val="20"/>
          <w:szCs w:val="20"/>
        </w:rPr>
        <w:t xml:space="preserve">Michael Staunton, </w:t>
      </w:r>
      <w:r w:rsidR="000E1120" w:rsidRPr="00A04973">
        <w:rPr>
          <w:rFonts w:cs="Times New Roman"/>
          <w:i/>
          <w:iCs/>
          <w:sz w:val="20"/>
          <w:szCs w:val="20"/>
        </w:rPr>
        <w:t xml:space="preserve">The Lives of Thomas Becket </w:t>
      </w:r>
      <w:r w:rsidR="000E1120" w:rsidRPr="00A04973">
        <w:rPr>
          <w:rFonts w:cs="Times New Roman"/>
          <w:sz w:val="20"/>
          <w:szCs w:val="20"/>
        </w:rPr>
        <w:t>(Manchester: Manchester University Press, 2001), pp. 48-50</w:t>
      </w:r>
      <w:r w:rsidR="006267A9" w:rsidRPr="00A04973">
        <w:rPr>
          <w:rFonts w:cs="Times New Roman"/>
          <w:sz w:val="20"/>
          <w:szCs w:val="20"/>
        </w:rPr>
        <w:t>, 55-8</w:t>
      </w:r>
      <w:r w:rsidR="000E1120" w:rsidRPr="00A04973">
        <w:rPr>
          <w:rFonts w:cs="Times New Roman"/>
          <w:sz w:val="20"/>
          <w:szCs w:val="20"/>
        </w:rPr>
        <w:t xml:space="preserve">. Also, Gourde, </w:t>
      </w:r>
      <w:r w:rsidR="009A0441" w:rsidRPr="00A04973">
        <w:rPr>
          <w:rFonts w:cs="Times New Roman"/>
          <w:i/>
          <w:iCs/>
          <w:sz w:val="20"/>
          <w:szCs w:val="20"/>
        </w:rPr>
        <w:t>Annotated Life</w:t>
      </w:r>
      <w:r w:rsidR="00D9569C" w:rsidRPr="00A04973">
        <w:rPr>
          <w:rFonts w:cs="Times New Roman"/>
          <w:i/>
          <w:iCs/>
          <w:sz w:val="20"/>
          <w:szCs w:val="20"/>
        </w:rPr>
        <w:t xml:space="preserve">, </w:t>
      </w:r>
      <w:r w:rsidR="000E1120" w:rsidRPr="00A04973">
        <w:rPr>
          <w:rFonts w:cs="Times New Roman"/>
          <w:sz w:val="20"/>
          <w:szCs w:val="20"/>
        </w:rPr>
        <w:t>pp. 26-7</w:t>
      </w:r>
      <w:r w:rsidR="006267A9" w:rsidRPr="00A04973">
        <w:rPr>
          <w:rFonts w:cs="Times New Roman"/>
          <w:sz w:val="20"/>
          <w:szCs w:val="20"/>
        </w:rPr>
        <w:t>, 38-45</w:t>
      </w:r>
      <w:r w:rsidR="000E1120" w:rsidRPr="00A04973">
        <w:rPr>
          <w:rFonts w:cs="Times New Roman"/>
          <w:sz w:val="20"/>
          <w:szCs w:val="20"/>
        </w:rPr>
        <w:t>.</w:t>
      </w:r>
      <w:r w:rsidR="00F857C4" w:rsidRPr="00A04973">
        <w:rPr>
          <w:rFonts w:cs="Times New Roman"/>
          <w:sz w:val="20"/>
          <w:szCs w:val="20"/>
        </w:rPr>
        <w:t xml:space="preserve"> &lt;</w:t>
      </w:r>
      <w:hyperlink r:id="rId5" w:history="1">
        <w:r w:rsidR="00F857C4" w:rsidRPr="00A04973">
          <w:rPr>
            <w:rStyle w:val="Hyperlink"/>
            <w:rFonts w:cs="Times New Roman"/>
            <w:sz w:val="20"/>
            <w:szCs w:val="20"/>
          </w:rPr>
          <w:t>https://ecommons.luc.edu/luc_theses/622/</w:t>
        </w:r>
      </w:hyperlink>
      <w:r w:rsidR="00F857C4" w:rsidRPr="00A04973">
        <w:rPr>
          <w:rFonts w:cs="Times New Roman"/>
          <w:sz w:val="20"/>
          <w:szCs w:val="20"/>
        </w:rPr>
        <w:t>&gt; [Accessed 6 May 2023].</w:t>
      </w:r>
    </w:p>
    <w:p w14:paraId="32DE6B95" w14:textId="27AD3E9E" w:rsidR="004B2A23" w:rsidRPr="00A04973" w:rsidRDefault="004B2A23" w:rsidP="00A04973">
      <w:pPr>
        <w:pStyle w:val="FootnoteText"/>
        <w:rPr>
          <w:rFonts w:cs="Times New Roman"/>
        </w:rPr>
      </w:pPr>
    </w:p>
    <w:p w14:paraId="7BD14347" w14:textId="19D1F631" w:rsidR="004B2A23" w:rsidRPr="00A04973" w:rsidRDefault="004B2A23" w:rsidP="00A04973">
      <w:pPr>
        <w:pStyle w:val="FootnoteText"/>
        <w:rPr>
          <w:rFonts w:cs="Times New Roman"/>
        </w:rPr>
      </w:pPr>
    </w:p>
  </w:footnote>
  <w:footnote w:id="30">
    <w:p w14:paraId="0CFFEDB8" w14:textId="7A46963C" w:rsidR="00B4180A" w:rsidRPr="00A04973" w:rsidRDefault="00B4180A"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2A3CE2" w:rsidRPr="00A04973">
        <w:rPr>
          <w:rFonts w:cs="Times New Roman"/>
        </w:rPr>
        <w:t xml:space="preserve">Greenaway, </w:t>
      </w:r>
      <w:r w:rsidR="002A3CE2" w:rsidRPr="00A04973">
        <w:rPr>
          <w:rFonts w:cs="Times New Roman"/>
          <w:i/>
          <w:iCs/>
        </w:rPr>
        <w:t xml:space="preserve">Thomas Becket, </w:t>
      </w:r>
      <w:r w:rsidR="002A3CE2" w:rsidRPr="00A04973">
        <w:rPr>
          <w:rFonts w:cs="Times New Roman"/>
        </w:rPr>
        <w:t>pp. 9-11 (p. 11).</w:t>
      </w:r>
    </w:p>
    <w:p w14:paraId="2D884D8D" w14:textId="77777777" w:rsidR="00B4180A" w:rsidRPr="00A04973" w:rsidRDefault="00B4180A" w:rsidP="00A04973">
      <w:pPr>
        <w:pStyle w:val="FootnoteText"/>
        <w:rPr>
          <w:rFonts w:cs="Times New Roman"/>
        </w:rPr>
      </w:pPr>
    </w:p>
  </w:footnote>
  <w:footnote w:id="31">
    <w:p w14:paraId="2FDA319C" w14:textId="77777777" w:rsidR="004B2A23" w:rsidRPr="00A04973" w:rsidRDefault="004B2A23" w:rsidP="00A04973">
      <w:pPr>
        <w:pStyle w:val="FootnoteText"/>
        <w:rPr>
          <w:rFonts w:cs="Times New Roman"/>
        </w:rPr>
      </w:pPr>
      <w:r w:rsidRPr="00A04973">
        <w:rPr>
          <w:rStyle w:val="FootnoteReference"/>
          <w:rFonts w:cs="Times New Roman"/>
        </w:rPr>
        <w:footnoteRef/>
      </w:r>
      <w:r w:rsidRPr="00A04973">
        <w:rPr>
          <w:rFonts w:cs="Times New Roman"/>
        </w:rPr>
        <w:t xml:space="preserve"> Edward Grim in Robertson, </w:t>
      </w:r>
      <w:r w:rsidRPr="00A04973">
        <w:rPr>
          <w:rFonts w:cs="Times New Roman"/>
          <w:i/>
          <w:iCs/>
        </w:rPr>
        <w:t xml:space="preserve">Materials, </w:t>
      </w:r>
      <w:r w:rsidRPr="00A04973">
        <w:rPr>
          <w:rFonts w:cs="Times New Roman"/>
        </w:rPr>
        <w:t xml:space="preserve">II, pp. 365-6. See Staunton, </w:t>
      </w:r>
      <w:r w:rsidRPr="00A04973">
        <w:rPr>
          <w:rFonts w:cs="Times New Roman"/>
          <w:i/>
          <w:iCs/>
        </w:rPr>
        <w:t xml:space="preserve">Lives of Thomas Becket, </w:t>
      </w:r>
      <w:r w:rsidRPr="00A04973">
        <w:rPr>
          <w:rFonts w:cs="Times New Roman"/>
        </w:rPr>
        <w:t>pp. 62-4, (p. 62).</w:t>
      </w:r>
    </w:p>
    <w:p w14:paraId="42F6E755" w14:textId="77777777" w:rsidR="00FF606B" w:rsidRPr="00A04973" w:rsidRDefault="00FF606B" w:rsidP="00A04973">
      <w:pPr>
        <w:pStyle w:val="FootnoteText"/>
        <w:rPr>
          <w:rFonts w:cs="Times New Roman"/>
        </w:rPr>
      </w:pPr>
    </w:p>
  </w:footnote>
  <w:footnote w:id="32">
    <w:p w14:paraId="60ADF65A" w14:textId="130177DD" w:rsidR="004B2A23" w:rsidRPr="00A04973" w:rsidRDefault="004B2A23" w:rsidP="00A04973">
      <w:pPr>
        <w:pStyle w:val="FootnoteText"/>
        <w:rPr>
          <w:rFonts w:cs="Times New Roman"/>
        </w:rPr>
      </w:pPr>
      <w:r w:rsidRPr="00A04973">
        <w:rPr>
          <w:rStyle w:val="FootnoteReference"/>
          <w:rFonts w:cs="Times New Roman"/>
        </w:rPr>
        <w:footnoteRef/>
      </w:r>
      <w:r w:rsidRPr="00A04973">
        <w:rPr>
          <w:rFonts w:cs="Times New Roman"/>
        </w:rPr>
        <w:t xml:space="preserve"> The Lambeth Anonymous </w:t>
      </w:r>
      <w:r w:rsidR="005914EE" w:rsidRPr="00A04973">
        <w:rPr>
          <w:rFonts w:cs="Times New Roman"/>
        </w:rPr>
        <w:t xml:space="preserve">(Anonymous II) </w:t>
      </w:r>
      <w:r w:rsidRPr="00A04973">
        <w:rPr>
          <w:rFonts w:cs="Times New Roman"/>
        </w:rPr>
        <w:t xml:space="preserve">in Robertson, </w:t>
      </w:r>
      <w:r w:rsidRPr="00A04973">
        <w:rPr>
          <w:rFonts w:cs="Times New Roman"/>
          <w:i/>
          <w:iCs/>
        </w:rPr>
        <w:t xml:space="preserve">Materials, </w:t>
      </w:r>
      <w:r w:rsidRPr="00A04973">
        <w:rPr>
          <w:rFonts w:cs="Times New Roman"/>
        </w:rPr>
        <w:t xml:space="preserve">IV, pp. 85-8. See Staunton, </w:t>
      </w:r>
      <w:r w:rsidRPr="00A04973">
        <w:rPr>
          <w:rFonts w:cs="Times New Roman"/>
          <w:i/>
          <w:iCs/>
        </w:rPr>
        <w:t xml:space="preserve">Lives of Thomas Becket, </w:t>
      </w:r>
      <w:r w:rsidRPr="00A04973">
        <w:rPr>
          <w:rFonts w:cs="Times New Roman"/>
        </w:rPr>
        <w:t>pp.60-61.</w:t>
      </w:r>
    </w:p>
    <w:p w14:paraId="0CD0BBE1" w14:textId="77777777" w:rsidR="004B2A23" w:rsidRPr="00A04973" w:rsidRDefault="004B2A23" w:rsidP="00A04973">
      <w:pPr>
        <w:pStyle w:val="FootnoteText"/>
        <w:rPr>
          <w:rFonts w:cs="Times New Roman"/>
        </w:rPr>
      </w:pPr>
    </w:p>
  </w:footnote>
  <w:footnote w:id="33">
    <w:p w14:paraId="4CCB00B6" w14:textId="5B6EE59F" w:rsidR="002044F1" w:rsidRPr="00A04973" w:rsidRDefault="002044F1" w:rsidP="00A04973">
      <w:pPr>
        <w:pStyle w:val="FootnoteText"/>
        <w:rPr>
          <w:rFonts w:cs="Times New Roman"/>
        </w:rPr>
      </w:pPr>
      <w:r w:rsidRPr="00A04973">
        <w:rPr>
          <w:rStyle w:val="FootnoteReference"/>
          <w:rFonts w:cs="Times New Roman"/>
        </w:rPr>
        <w:footnoteRef/>
      </w:r>
      <w:r w:rsidRPr="00A04973">
        <w:rPr>
          <w:rFonts w:cs="Times New Roman"/>
        </w:rPr>
        <w:t xml:space="preserve"> Guy, </w:t>
      </w:r>
      <w:r w:rsidRPr="00A04973">
        <w:rPr>
          <w:rFonts w:cs="Times New Roman"/>
          <w:i/>
          <w:iCs/>
        </w:rPr>
        <w:t xml:space="preserve">Thomas Becket, </w:t>
      </w:r>
      <w:r w:rsidRPr="00A04973">
        <w:rPr>
          <w:rFonts w:cs="Times New Roman"/>
        </w:rPr>
        <w:t>p. 149</w:t>
      </w:r>
      <w:r w:rsidR="00183F02" w:rsidRPr="00A04973">
        <w:rPr>
          <w:rFonts w:cs="Times New Roman"/>
        </w:rPr>
        <w:t>.</w:t>
      </w:r>
    </w:p>
    <w:p w14:paraId="22E73071" w14:textId="77777777" w:rsidR="002044F1" w:rsidRPr="00A04973" w:rsidRDefault="002044F1" w:rsidP="00A04973">
      <w:pPr>
        <w:pStyle w:val="FootnoteText"/>
        <w:rPr>
          <w:rFonts w:cs="Times New Roman"/>
        </w:rPr>
      </w:pPr>
    </w:p>
  </w:footnote>
  <w:footnote w:id="34">
    <w:p w14:paraId="702B8517" w14:textId="24B4BB18" w:rsidR="005A2EFC" w:rsidRPr="00A04973" w:rsidRDefault="005A2EFC"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pp. 88-9; Guy, p</w:t>
      </w:r>
      <w:r w:rsidR="00183F02" w:rsidRPr="00A04973">
        <w:rPr>
          <w:rFonts w:cs="Times New Roman"/>
        </w:rPr>
        <w:t>p</w:t>
      </w:r>
      <w:r w:rsidRPr="00A04973">
        <w:rPr>
          <w:rFonts w:cs="Times New Roman"/>
        </w:rPr>
        <w:t xml:space="preserve">. </w:t>
      </w:r>
      <w:r w:rsidR="00183F02" w:rsidRPr="00A04973">
        <w:rPr>
          <w:rFonts w:cs="Times New Roman"/>
          <w:i/>
          <w:iCs/>
        </w:rPr>
        <w:t xml:space="preserve">Thomas Becket, </w:t>
      </w:r>
      <w:r w:rsidRPr="00A04973">
        <w:rPr>
          <w:rFonts w:cs="Times New Roman"/>
        </w:rPr>
        <w:t>156-8.</w:t>
      </w:r>
    </w:p>
    <w:p w14:paraId="4E7B71E2" w14:textId="509DB10D" w:rsidR="005A2EFC" w:rsidRPr="00A04973" w:rsidRDefault="005A2EFC" w:rsidP="00A04973">
      <w:pPr>
        <w:pStyle w:val="FootnoteText"/>
        <w:rPr>
          <w:rFonts w:cs="Times New Roman"/>
        </w:rPr>
      </w:pPr>
    </w:p>
    <w:p w14:paraId="70CCC4CA" w14:textId="77777777" w:rsidR="005A2EFC" w:rsidRPr="00A04973" w:rsidRDefault="005A2EFC" w:rsidP="00A04973">
      <w:pPr>
        <w:pStyle w:val="FootnoteText"/>
        <w:rPr>
          <w:rFonts w:cs="Times New Roman"/>
        </w:rPr>
      </w:pPr>
    </w:p>
  </w:footnote>
  <w:footnote w:id="35">
    <w:p w14:paraId="1126FABA" w14:textId="76E66B1D" w:rsidR="004B2A23" w:rsidRPr="00A04973" w:rsidRDefault="004B2A23" w:rsidP="00A04973">
      <w:pPr>
        <w:pStyle w:val="FootnoteText"/>
        <w:rPr>
          <w:rFonts w:cs="Times New Roman"/>
        </w:rPr>
      </w:pPr>
      <w:r w:rsidRPr="00A04973">
        <w:rPr>
          <w:rStyle w:val="FootnoteReference"/>
          <w:rFonts w:cs="Times New Roman"/>
        </w:rPr>
        <w:footnoteRef/>
      </w:r>
      <w:r w:rsidR="00FF5446" w:rsidRPr="00A04973">
        <w:rPr>
          <w:rFonts w:cs="Times New Roman"/>
        </w:rPr>
        <w:t xml:space="preserve"> Roger of Pontigny</w:t>
      </w:r>
      <w:r w:rsidR="005914EE" w:rsidRPr="00A04973">
        <w:rPr>
          <w:rFonts w:cs="Times New Roman"/>
        </w:rPr>
        <w:t xml:space="preserve"> (Anonymous I)</w:t>
      </w:r>
      <w:r w:rsidR="00FF5446" w:rsidRPr="00A04973">
        <w:rPr>
          <w:rFonts w:cs="Times New Roman"/>
        </w:rPr>
        <w:t xml:space="preserve"> in Staunton, </w:t>
      </w:r>
      <w:r w:rsidR="00FF5446" w:rsidRPr="00A04973">
        <w:rPr>
          <w:rFonts w:cs="Times New Roman"/>
          <w:i/>
          <w:iCs/>
        </w:rPr>
        <w:t>Lives of Thomas Becket</w:t>
      </w:r>
      <w:r w:rsidR="00FF5446" w:rsidRPr="00A04973">
        <w:rPr>
          <w:rFonts w:cs="Times New Roman"/>
        </w:rPr>
        <w:t>, pp. 75-6</w:t>
      </w:r>
      <w:r w:rsidR="00FF5446" w:rsidRPr="00A04973">
        <w:rPr>
          <w:rFonts w:cs="Times New Roman"/>
          <w:i/>
          <w:iCs/>
        </w:rPr>
        <w:t xml:space="preserve">. </w:t>
      </w:r>
      <w:r w:rsidR="00FF5446" w:rsidRPr="00A04973">
        <w:rPr>
          <w:rFonts w:cs="Times New Roman"/>
        </w:rPr>
        <w:t xml:space="preserve">See, Robertson, </w:t>
      </w:r>
      <w:r w:rsidR="00FF5446" w:rsidRPr="00A04973">
        <w:rPr>
          <w:rFonts w:cs="Times New Roman"/>
          <w:i/>
          <w:iCs/>
        </w:rPr>
        <w:t xml:space="preserve">Materials, </w:t>
      </w:r>
      <w:r w:rsidR="00FF5446" w:rsidRPr="00A04973">
        <w:rPr>
          <w:rFonts w:cs="Times New Roman"/>
        </w:rPr>
        <w:t xml:space="preserve">IV, pp. 22-3. </w:t>
      </w:r>
      <w:r w:rsidR="002044F1" w:rsidRPr="00A04973">
        <w:rPr>
          <w:rFonts w:cs="Times New Roman"/>
        </w:rPr>
        <w:t>See Luke 22.38 for the gospel text.</w:t>
      </w:r>
    </w:p>
    <w:p w14:paraId="398C7953" w14:textId="77777777" w:rsidR="00213F6A" w:rsidRPr="00A04973" w:rsidRDefault="00213F6A" w:rsidP="00A04973">
      <w:pPr>
        <w:pStyle w:val="FootnoteText"/>
        <w:rPr>
          <w:rFonts w:cs="Times New Roman"/>
        </w:rPr>
      </w:pPr>
    </w:p>
  </w:footnote>
  <w:footnote w:id="36">
    <w:p w14:paraId="1271BBDB" w14:textId="1C4C61CD" w:rsidR="002745B2" w:rsidRPr="00A04973" w:rsidRDefault="002745B2" w:rsidP="00A04973">
      <w:pPr>
        <w:rPr>
          <w:rFonts w:cs="Times New Roman"/>
          <w:sz w:val="20"/>
          <w:szCs w:val="20"/>
        </w:rPr>
      </w:pPr>
      <w:r w:rsidRPr="00A04973">
        <w:rPr>
          <w:rStyle w:val="FootnoteReference"/>
          <w:rFonts w:cs="Times New Roman"/>
          <w:sz w:val="20"/>
          <w:szCs w:val="20"/>
        </w:rPr>
        <w:footnoteRef/>
      </w:r>
      <w:r w:rsidRPr="00A04973">
        <w:rPr>
          <w:rFonts w:cs="Times New Roman"/>
          <w:sz w:val="20"/>
          <w:szCs w:val="20"/>
        </w:rPr>
        <w:t xml:space="preserve"> John of Salisbury</w:t>
      </w:r>
      <w:r w:rsidR="00BA4ABA" w:rsidRPr="00A04973">
        <w:rPr>
          <w:rFonts w:cs="Times New Roman"/>
          <w:sz w:val="20"/>
          <w:szCs w:val="20"/>
        </w:rPr>
        <w:t xml:space="preserve"> (1159) and John Dickinson (tr.)</w:t>
      </w:r>
      <w:r w:rsidRPr="00A04973">
        <w:rPr>
          <w:rFonts w:cs="Times New Roman"/>
          <w:sz w:val="20"/>
          <w:szCs w:val="20"/>
        </w:rPr>
        <w:t xml:space="preserve">, </w:t>
      </w:r>
      <w:r w:rsidR="00BA4ABA" w:rsidRPr="00A04973">
        <w:rPr>
          <w:rFonts w:cs="Times New Roman"/>
          <w:i/>
          <w:iCs/>
          <w:sz w:val="20"/>
          <w:szCs w:val="20"/>
        </w:rPr>
        <w:t xml:space="preserve">The Statesman’s Book of John of Salisbury: Being the Fourth, Fifth and Sixth Books and Selections from the Seventh and Eighth Books of the Policraticus </w:t>
      </w:r>
      <w:r w:rsidR="00BA4ABA" w:rsidRPr="00A04973">
        <w:rPr>
          <w:rFonts w:cs="Times New Roman"/>
          <w:sz w:val="20"/>
          <w:szCs w:val="20"/>
        </w:rPr>
        <w:t>(New York: A. A. Knopf, 1927). &lt;</w:t>
      </w:r>
      <w:hyperlink r:id="rId6" w:history="1">
        <w:r w:rsidR="00BA4ABA" w:rsidRPr="00A04973">
          <w:rPr>
            <w:rStyle w:val="Hyperlink"/>
            <w:rFonts w:cs="Times New Roman"/>
            <w:sz w:val="20"/>
            <w:szCs w:val="20"/>
          </w:rPr>
          <w:t>https://archive.org/details/statesmansbookof0000unse/page/n3/mode/2up</w:t>
        </w:r>
      </w:hyperlink>
      <w:r w:rsidR="00BA4ABA" w:rsidRPr="00A04973">
        <w:rPr>
          <w:rFonts w:cs="Times New Roman"/>
          <w:sz w:val="20"/>
          <w:szCs w:val="20"/>
        </w:rPr>
        <w:t xml:space="preserve">&gt; [Accessed 26th April 2023]. </w:t>
      </w:r>
      <w:r w:rsidRPr="00A04973">
        <w:rPr>
          <w:rFonts w:cs="Times New Roman"/>
          <w:i/>
          <w:iCs/>
          <w:sz w:val="20"/>
          <w:szCs w:val="20"/>
        </w:rPr>
        <w:t xml:space="preserve"> </w:t>
      </w:r>
      <w:r w:rsidRPr="00A04973">
        <w:rPr>
          <w:rFonts w:cs="Times New Roman"/>
          <w:sz w:val="20"/>
          <w:szCs w:val="20"/>
        </w:rPr>
        <w:t xml:space="preserve">pp. xxvii. </w:t>
      </w:r>
    </w:p>
    <w:p w14:paraId="614E1722" w14:textId="77777777" w:rsidR="00213F6A" w:rsidRPr="00A04973" w:rsidRDefault="00213F6A" w:rsidP="00A04973">
      <w:pPr>
        <w:pStyle w:val="FootnoteText"/>
        <w:rPr>
          <w:rFonts w:cs="Times New Roman"/>
        </w:rPr>
      </w:pPr>
    </w:p>
  </w:footnote>
  <w:footnote w:id="37">
    <w:p w14:paraId="4D9118C4" w14:textId="189283DF" w:rsidR="002745B2" w:rsidRPr="00A04973" w:rsidRDefault="002745B2" w:rsidP="00A04973">
      <w:pPr>
        <w:pStyle w:val="FootnoteText"/>
        <w:rPr>
          <w:rFonts w:cs="Times New Roman"/>
        </w:rPr>
      </w:pPr>
      <w:r w:rsidRPr="00A04973">
        <w:rPr>
          <w:rStyle w:val="FootnoteReference"/>
          <w:rFonts w:cs="Times New Roman"/>
        </w:rPr>
        <w:footnoteRef/>
      </w:r>
      <w:r w:rsidRPr="00A04973">
        <w:rPr>
          <w:rFonts w:cs="Times New Roman"/>
        </w:rPr>
        <w:t xml:space="preserve"> John of Salisbury, </w:t>
      </w:r>
      <w:r w:rsidRPr="00A04973">
        <w:rPr>
          <w:rFonts w:cs="Times New Roman"/>
          <w:i/>
          <w:iCs/>
        </w:rPr>
        <w:t>Polic</w:t>
      </w:r>
      <w:r w:rsidR="00A04973">
        <w:rPr>
          <w:rFonts w:cs="Times New Roman"/>
          <w:i/>
          <w:iCs/>
        </w:rPr>
        <w:t>r</w:t>
      </w:r>
      <w:r w:rsidRPr="00A04973">
        <w:rPr>
          <w:rFonts w:cs="Times New Roman"/>
          <w:i/>
          <w:iCs/>
        </w:rPr>
        <w:t xml:space="preserve">aticus, </w:t>
      </w:r>
      <w:r w:rsidRPr="00A04973">
        <w:rPr>
          <w:rFonts w:cs="Times New Roman"/>
        </w:rPr>
        <w:t>p</w:t>
      </w:r>
      <w:r w:rsidR="008860BC" w:rsidRPr="00A04973">
        <w:rPr>
          <w:rFonts w:cs="Times New Roman"/>
        </w:rPr>
        <w:t>p</w:t>
      </w:r>
      <w:r w:rsidRPr="00A04973">
        <w:rPr>
          <w:rFonts w:cs="Times New Roman"/>
        </w:rPr>
        <w:t>. xliii</w:t>
      </w:r>
      <w:r w:rsidR="008860BC" w:rsidRPr="00A04973">
        <w:rPr>
          <w:rFonts w:cs="Times New Roman"/>
        </w:rPr>
        <w:t>,</w:t>
      </w:r>
      <w:r w:rsidRPr="00A04973">
        <w:rPr>
          <w:rFonts w:cs="Times New Roman"/>
        </w:rPr>
        <w:t xml:space="preserve"> B</w:t>
      </w:r>
      <w:r w:rsidR="008860BC" w:rsidRPr="00A04973">
        <w:rPr>
          <w:rFonts w:cs="Times New Roman"/>
        </w:rPr>
        <w:t>oo</w:t>
      </w:r>
      <w:r w:rsidRPr="00A04973">
        <w:rPr>
          <w:rFonts w:cs="Times New Roman"/>
        </w:rPr>
        <w:t>k. IV c.3 p. 10</w:t>
      </w:r>
      <w:r w:rsidR="00BA4ABA" w:rsidRPr="00A04973">
        <w:rPr>
          <w:rFonts w:cs="Times New Roman"/>
        </w:rPr>
        <w:t>.</w:t>
      </w:r>
      <w:r w:rsidRPr="00A04973">
        <w:rPr>
          <w:rFonts w:cs="Times New Roman"/>
        </w:rPr>
        <w:t xml:space="preserve"> See 1 Samuel 9-31.</w:t>
      </w:r>
    </w:p>
    <w:p w14:paraId="50F2A0EC" w14:textId="77777777" w:rsidR="00213F6A" w:rsidRPr="00A04973" w:rsidRDefault="00213F6A" w:rsidP="00A04973">
      <w:pPr>
        <w:pStyle w:val="FootnoteText"/>
        <w:rPr>
          <w:rFonts w:cs="Times New Roman"/>
        </w:rPr>
      </w:pPr>
    </w:p>
  </w:footnote>
  <w:footnote w:id="38">
    <w:p w14:paraId="19006676" w14:textId="0E5E6FA9" w:rsidR="002745B2" w:rsidRPr="00A04973" w:rsidRDefault="002745B2" w:rsidP="00A04973">
      <w:pPr>
        <w:pStyle w:val="FootnoteText"/>
        <w:rPr>
          <w:rFonts w:cs="Times New Roman"/>
        </w:rPr>
      </w:pPr>
      <w:r w:rsidRPr="00A04973">
        <w:rPr>
          <w:rStyle w:val="FootnoteReference"/>
          <w:rFonts w:cs="Times New Roman"/>
        </w:rPr>
        <w:footnoteRef/>
      </w:r>
      <w:r w:rsidRPr="00A04973">
        <w:rPr>
          <w:rFonts w:cs="Times New Roman"/>
        </w:rPr>
        <w:t xml:space="preserve"> John of Salisbury, </w:t>
      </w:r>
      <w:r w:rsidRPr="00A04973">
        <w:rPr>
          <w:rFonts w:cs="Times New Roman"/>
          <w:i/>
          <w:iCs/>
        </w:rPr>
        <w:t xml:space="preserve">Policraticus, </w:t>
      </w:r>
      <w:r w:rsidRPr="00A04973">
        <w:rPr>
          <w:rFonts w:cs="Times New Roman"/>
        </w:rPr>
        <w:t xml:space="preserve">pp. xliv, lviii. See </w:t>
      </w:r>
      <w:r w:rsidRPr="00A04973">
        <w:rPr>
          <w:rFonts w:cs="Times New Roman"/>
          <w:i/>
          <w:iCs/>
        </w:rPr>
        <w:t xml:space="preserve">Policraticus, </w:t>
      </w:r>
      <w:r w:rsidRPr="00A04973">
        <w:rPr>
          <w:rFonts w:cs="Times New Roman"/>
        </w:rPr>
        <w:t>Book IV, c. 3</w:t>
      </w:r>
      <w:r w:rsidRPr="00A04973">
        <w:rPr>
          <w:rFonts w:cs="Times New Roman"/>
          <w:i/>
          <w:iCs/>
        </w:rPr>
        <w:t>.</w:t>
      </w:r>
      <w:r w:rsidRPr="00A04973">
        <w:rPr>
          <w:rFonts w:cs="Times New Roman"/>
        </w:rPr>
        <w:t xml:space="preserve"> pp. 9-14, (pp. 9-10). </w:t>
      </w:r>
    </w:p>
    <w:p w14:paraId="30B5C7FE" w14:textId="77777777" w:rsidR="00213F6A" w:rsidRPr="00A04973" w:rsidRDefault="00213F6A" w:rsidP="00A04973">
      <w:pPr>
        <w:pStyle w:val="FootnoteText"/>
        <w:rPr>
          <w:rFonts w:cs="Times New Roman"/>
          <w:b/>
          <w:bCs/>
        </w:rPr>
      </w:pPr>
    </w:p>
  </w:footnote>
  <w:footnote w:id="39">
    <w:p w14:paraId="1F6D7E26" w14:textId="3F5A4C7F" w:rsidR="004B2A23" w:rsidRPr="00A04973" w:rsidRDefault="004B2A23" w:rsidP="00A04973">
      <w:pPr>
        <w:pStyle w:val="FootnoteText"/>
        <w:rPr>
          <w:rFonts w:cs="Times New Roman"/>
        </w:rPr>
      </w:pPr>
      <w:r w:rsidRPr="00A04973">
        <w:rPr>
          <w:rStyle w:val="FootnoteReference"/>
          <w:rFonts w:cs="Times New Roman"/>
        </w:rPr>
        <w:footnoteRef/>
      </w:r>
      <w:r w:rsidRPr="00A04973">
        <w:rPr>
          <w:rFonts w:cs="Times New Roman"/>
        </w:rPr>
        <w:t xml:space="preserve"> Guy, </w:t>
      </w:r>
      <w:r w:rsidR="002044F1" w:rsidRPr="00A04973">
        <w:rPr>
          <w:rFonts w:cs="Times New Roman"/>
          <w:i/>
          <w:iCs/>
        </w:rPr>
        <w:t xml:space="preserve">Thomas </w:t>
      </w:r>
      <w:r w:rsidR="00D93D71" w:rsidRPr="00A04973">
        <w:rPr>
          <w:rFonts w:cs="Times New Roman"/>
          <w:i/>
          <w:iCs/>
        </w:rPr>
        <w:t>Becket</w:t>
      </w:r>
      <w:r w:rsidR="00D93D71" w:rsidRPr="00A04973">
        <w:rPr>
          <w:rFonts w:cs="Times New Roman"/>
        </w:rPr>
        <w:t>,</w:t>
      </w:r>
      <w:r w:rsidR="002044F1" w:rsidRPr="00A04973">
        <w:rPr>
          <w:rFonts w:cs="Times New Roman"/>
        </w:rPr>
        <w:t xml:space="preserve"> </w:t>
      </w:r>
      <w:r w:rsidRPr="00A04973">
        <w:rPr>
          <w:rFonts w:cs="Times New Roman"/>
        </w:rPr>
        <w:t>p. 173.</w:t>
      </w:r>
    </w:p>
    <w:p w14:paraId="743E8A3E" w14:textId="77777777" w:rsidR="00213F6A" w:rsidRPr="00A04973" w:rsidRDefault="00213F6A" w:rsidP="00A04973">
      <w:pPr>
        <w:pStyle w:val="FootnoteText"/>
        <w:rPr>
          <w:rFonts w:cs="Times New Roman"/>
        </w:rPr>
      </w:pPr>
    </w:p>
  </w:footnote>
  <w:footnote w:id="40">
    <w:p w14:paraId="0FE8A9A0" w14:textId="7DECB9EF" w:rsidR="003E22F8" w:rsidRPr="00A04973" w:rsidRDefault="003E22F8"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846523" w:rsidRPr="00A04973">
        <w:rPr>
          <w:rFonts w:cs="Times New Roman"/>
        </w:rPr>
        <w:t xml:space="preserve">Barlow, </w:t>
      </w:r>
      <w:r w:rsidR="00846523" w:rsidRPr="00A04973">
        <w:rPr>
          <w:rFonts w:cs="Times New Roman"/>
          <w:i/>
          <w:iCs/>
        </w:rPr>
        <w:t xml:space="preserve">Thomas Becket, </w:t>
      </w:r>
      <w:r w:rsidR="00846523" w:rsidRPr="00A04973">
        <w:rPr>
          <w:rFonts w:cs="Times New Roman"/>
        </w:rPr>
        <w:t xml:space="preserve">pp. 92-3. Guy, </w:t>
      </w:r>
      <w:r w:rsidR="00846523" w:rsidRPr="00A04973">
        <w:rPr>
          <w:rFonts w:cs="Times New Roman"/>
          <w:i/>
          <w:iCs/>
        </w:rPr>
        <w:t xml:space="preserve">Thomas Becket, </w:t>
      </w:r>
      <w:r w:rsidR="00846523" w:rsidRPr="00A04973">
        <w:rPr>
          <w:rFonts w:cs="Times New Roman"/>
        </w:rPr>
        <w:t xml:space="preserve">pp. 173-4. Warren, </w:t>
      </w:r>
      <w:r w:rsidR="00846523" w:rsidRPr="00A04973">
        <w:rPr>
          <w:rFonts w:cs="Times New Roman"/>
          <w:i/>
          <w:iCs/>
        </w:rPr>
        <w:t xml:space="preserve">Henry II, </w:t>
      </w:r>
      <w:r w:rsidR="00846523" w:rsidRPr="00A04973">
        <w:rPr>
          <w:rFonts w:cs="Times New Roman"/>
        </w:rPr>
        <w:t xml:space="preserve">p. 465. Also, Thomas, </w:t>
      </w:r>
      <w:r w:rsidR="00846523" w:rsidRPr="00A04973">
        <w:rPr>
          <w:rFonts w:cs="Times New Roman"/>
          <w:i/>
          <w:iCs/>
        </w:rPr>
        <w:t xml:space="preserve">Secular Clergy, </w:t>
      </w:r>
      <w:r w:rsidR="00846523" w:rsidRPr="00A04973">
        <w:rPr>
          <w:rFonts w:cs="Times New Roman"/>
        </w:rPr>
        <w:t xml:space="preserve">p. 209. See William of Fitzstephen in Robertson, </w:t>
      </w:r>
      <w:r w:rsidR="00846523" w:rsidRPr="00A04973">
        <w:rPr>
          <w:rFonts w:cs="Times New Roman"/>
          <w:i/>
          <w:iCs/>
        </w:rPr>
        <w:t xml:space="preserve">Materials, </w:t>
      </w:r>
      <w:r w:rsidR="00846523" w:rsidRPr="00A04973">
        <w:rPr>
          <w:rFonts w:cs="Times New Roman"/>
        </w:rPr>
        <w:t xml:space="preserve">III, pp. 45-6, translated in Gourde, p. 58. Roger of Pontigny (Anonymous I) in Robertson, </w:t>
      </w:r>
      <w:r w:rsidR="00846523" w:rsidRPr="00A04973">
        <w:rPr>
          <w:rFonts w:cs="Times New Roman"/>
          <w:i/>
          <w:iCs/>
        </w:rPr>
        <w:t xml:space="preserve">Materials, </w:t>
      </w:r>
      <w:r w:rsidR="00846523" w:rsidRPr="00A04973">
        <w:rPr>
          <w:rFonts w:cs="Times New Roman"/>
        </w:rPr>
        <w:t xml:space="preserve">IV, pp. 24, translated in Staunton, </w:t>
      </w:r>
      <w:r w:rsidR="00846523" w:rsidRPr="00A04973">
        <w:rPr>
          <w:rFonts w:cs="Times New Roman"/>
          <w:i/>
          <w:iCs/>
        </w:rPr>
        <w:t>Lives of Thomas Becket</w:t>
      </w:r>
      <w:r w:rsidR="00846523" w:rsidRPr="00A04973">
        <w:rPr>
          <w:rFonts w:cs="Times New Roman"/>
        </w:rPr>
        <w:t>, pp. 77-8. Also</w:t>
      </w:r>
      <w:r w:rsidR="00D849B7" w:rsidRPr="00A04973">
        <w:rPr>
          <w:rFonts w:cs="Times New Roman"/>
        </w:rPr>
        <w:t xml:space="preserve">, </w:t>
      </w:r>
      <w:r w:rsidR="00846523" w:rsidRPr="00A04973">
        <w:rPr>
          <w:rFonts w:cs="Times New Roman"/>
        </w:rPr>
        <w:t xml:space="preserve">William of Canterbury, Edward Grim and Herbert of Bosham in Robertson, </w:t>
      </w:r>
      <w:r w:rsidR="00846523" w:rsidRPr="00A04973">
        <w:rPr>
          <w:rFonts w:cs="Times New Roman"/>
          <w:i/>
          <w:iCs/>
        </w:rPr>
        <w:t xml:space="preserve">Materials, </w:t>
      </w:r>
      <w:r w:rsidR="00846523" w:rsidRPr="00A04973">
        <w:rPr>
          <w:rFonts w:cs="Times New Roman"/>
        </w:rPr>
        <w:t>I, pp. 12-13; II, pp. 374-5; III, pp. 267 (no translation available).</w:t>
      </w:r>
    </w:p>
    <w:p w14:paraId="50FA1D32" w14:textId="77777777" w:rsidR="00213F6A" w:rsidRPr="00A04973" w:rsidRDefault="00213F6A" w:rsidP="00A04973">
      <w:pPr>
        <w:pStyle w:val="FootnoteText"/>
        <w:rPr>
          <w:rFonts w:cs="Times New Roman"/>
        </w:rPr>
      </w:pPr>
    </w:p>
  </w:footnote>
  <w:footnote w:id="41">
    <w:p w14:paraId="567856D9" w14:textId="71AFCC0E" w:rsidR="00232407" w:rsidRPr="00A04973" w:rsidRDefault="00232407"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00774439" w:rsidRPr="00A04973">
        <w:rPr>
          <w:rFonts w:cs="Times New Roman"/>
          <w:i/>
          <w:iCs/>
        </w:rPr>
        <w:t>Henry I,</w:t>
      </w:r>
      <w:r w:rsidRPr="00A04973">
        <w:rPr>
          <w:rFonts w:cs="Times New Roman"/>
        </w:rPr>
        <w:t xml:space="preserve"> p. 465. See Herbert of Bosham in Robertson, </w:t>
      </w:r>
      <w:r w:rsidRPr="00A04973">
        <w:rPr>
          <w:rFonts w:cs="Times New Roman"/>
          <w:i/>
          <w:iCs/>
        </w:rPr>
        <w:t xml:space="preserve">Materials, </w:t>
      </w:r>
      <w:r w:rsidRPr="00A04973">
        <w:rPr>
          <w:rFonts w:cs="Times New Roman"/>
        </w:rPr>
        <w:t>III, pp. 264-5.</w:t>
      </w:r>
    </w:p>
    <w:p w14:paraId="61A8B58C" w14:textId="77777777" w:rsidR="00232407" w:rsidRPr="00A04973" w:rsidRDefault="00232407" w:rsidP="00A04973">
      <w:pPr>
        <w:pStyle w:val="FootnoteText"/>
        <w:rPr>
          <w:rFonts w:cs="Times New Roman"/>
        </w:rPr>
      </w:pPr>
    </w:p>
  </w:footnote>
  <w:footnote w:id="42">
    <w:p w14:paraId="1080DEE6" w14:textId="7BE61DB0" w:rsidR="00CF20CE" w:rsidRPr="00A04973" w:rsidRDefault="00CF20CE"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00945BC9" w:rsidRPr="00A04973">
        <w:rPr>
          <w:rFonts w:cs="Times New Roman"/>
          <w:i/>
          <w:iCs/>
        </w:rPr>
        <w:t xml:space="preserve">Thomas Becket, </w:t>
      </w:r>
      <w:r w:rsidRPr="00A04973">
        <w:rPr>
          <w:rFonts w:cs="Times New Roman"/>
        </w:rPr>
        <w:t>p. 91</w:t>
      </w:r>
      <w:r w:rsidR="00763704" w:rsidRPr="00A04973">
        <w:rPr>
          <w:rFonts w:cs="Times New Roman"/>
        </w:rPr>
        <w:t xml:space="preserve">. Thomas, </w:t>
      </w:r>
      <w:r w:rsidR="00945BC9" w:rsidRPr="00A04973">
        <w:rPr>
          <w:rFonts w:cs="Times New Roman"/>
          <w:i/>
          <w:iCs/>
        </w:rPr>
        <w:t xml:space="preserve">Secular Clergy, </w:t>
      </w:r>
      <w:r w:rsidR="00945BC9" w:rsidRPr="00A04973">
        <w:rPr>
          <w:rFonts w:cs="Times New Roman"/>
        </w:rPr>
        <w:t>p. 210</w:t>
      </w:r>
      <w:r w:rsidRPr="00A04973">
        <w:rPr>
          <w:rFonts w:cs="Times New Roman"/>
        </w:rPr>
        <w:t>.</w:t>
      </w:r>
      <w:r w:rsidR="006F3EE5" w:rsidRPr="00A04973">
        <w:rPr>
          <w:rFonts w:cs="Times New Roman"/>
        </w:rPr>
        <w:t xml:space="preserve"> Guy, </w:t>
      </w:r>
      <w:r w:rsidR="006F3EE5" w:rsidRPr="00A04973">
        <w:rPr>
          <w:rFonts w:cs="Times New Roman"/>
          <w:i/>
          <w:iCs/>
        </w:rPr>
        <w:t>Thoma</w:t>
      </w:r>
      <w:r w:rsidR="00153E94" w:rsidRPr="00A04973">
        <w:rPr>
          <w:rFonts w:cs="Times New Roman"/>
          <w:i/>
          <w:iCs/>
        </w:rPr>
        <w:t xml:space="preserve">s Becket, </w:t>
      </w:r>
      <w:r w:rsidR="00153E94" w:rsidRPr="00A04973">
        <w:rPr>
          <w:rFonts w:cs="Times New Roman"/>
        </w:rPr>
        <w:t>p. 122.</w:t>
      </w:r>
      <w:r w:rsidRPr="00A04973">
        <w:rPr>
          <w:rFonts w:cs="Times New Roman"/>
        </w:rPr>
        <w:t xml:space="preserve"> See William Fitzstephen in Robertson, </w:t>
      </w:r>
      <w:r w:rsidRPr="00A04973">
        <w:rPr>
          <w:rFonts w:cs="Times New Roman"/>
          <w:i/>
          <w:iCs/>
        </w:rPr>
        <w:t xml:space="preserve">Materials, </w:t>
      </w:r>
      <w:r w:rsidRPr="00A04973">
        <w:rPr>
          <w:rFonts w:cs="Times New Roman"/>
        </w:rPr>
        <w:t>III, p. 22</w:t>
      </w:r>
      <w:r w:rsidR="00322B69" w:rsidRPr="00A04973">
        <w:rPr>
          <w:rFonts w:cs="Times New Roman"/>
        </w:rPr>
        <w:t xml:space="preserve">. See Gourde, </w:t>
      </w:r>
      <w:r w:rsidR="00322B69" w:rsidRPr="00A04973">
        <w:rPr>
          <w:rFonts w:cs="Times New Roman"/>
          <w:i/>
          <w:iCs/>
        </w:rPr>
        <w:t xml:space="preserve">Annotated Life, </w:t>
      </w:r>
      <w:r w:rsidR="00322B69" w:rsidRPr="00A04973">
        <w:rPr>
          <w:rFonts w:cs="Times New Roman"/>
        </w:rPr>
        <w:t>p.</w:t>
      </w:r>
      <w:r w:rsidR="004E7D54" w:rsidRPr="00A04973">
        <w:rPr>
          <w:rFonts w:cs="Times New Roman"/>
        </w:rPr>
        <w:t xml:space="preserve"> 30.</w:t>
      </w:r>
    </w:p>
    <w:p w14:paraId="07ECECC9" w14:textId="77777777" w:rsidR="00FF606B" w:rsidRPr="00A04973" w:rsidRDefault="00FF606B" w:rsidP="00A04973">
      <w:pPr>
        <w:pStyle w:val="FootnoteText"/>
        <w:rPr>
          <w:rFonts w:cs="Times New Roman"/>
        </w:rPr>
      </w:pPr>
    </w:p>
  </w:footnote>
  <w:footnote w:id="43">
    <w:p w14:paraId="639C8189" w14:textId="632F4D3F" w:rsidR="00A21186" w:rsidRPr="00A04973" w:rsidRDefault="00A21186" w:rsidP="00A04973">
      <w:pPr>
        <w:pStyle w:val="FootnoteText"/>
        <w:rPr>
          <w:rFonts w:cs="Times New Roman"/>
        </w:rPr>
      </w:pPr>
      <w:r w:rsidRPr="00A04973">
        <w:rPr>
          <w:rStyle w:val="FootnoteReference"/>
          <w:rFonts w:cs="Times New Roman"/>
        </w:rPr>
        <w:footnoteRef/>
      </w:r>
      <w:r w:rsidRPr="00A04973">
        <w:rPr>
          <w:rFonts w:cs="Times New Roman"/>
        </w:rPr>
        <w:t xml:space="preserve"> Herbert of Bosham in Greenaway, </w:t>
      </w:r>
      <w:r w:rsidR="001C5D3D" w:rsidRPr="00A04973">
        <w:rPr>
          <w:rFonts w:cs="Times New Roman"/>
          <w:i/>
          <w:iCs/>
        </w:rPr>
        <w:t>Thomas Becket</w:t>
      </w:r>
      <w:r w:rsidR="001A15AE" w:rsidRPr="00A04973">
        <w:rPr>
          <w:rFonts w:cs="Times New Roman"/>
          <w:i/>
          <w:iCs/>
        </w:rPr>
        <w:t>,</w:t>
      </w:r>
      <w:r w:rsidRPr="00A04973">
        <w:rPr>
          <w:rFonts w:cs="Times New Roman"/>
        </w:rPr>
        <w:t xml:space="preserve"> </w:t>
      </w:r>
      <w:r w:rsidR="00A60115" w:rsidRPr="00A04973">
        <w:rPr>
          <w:rFonts w:cs="Times New Roman"/>
        </w:rPr>
        <w:t>p</w:t>
      </w:r>
      <w:r w:rsidRPr="00A04973">
        <w:rPr>
          <w:rFonts w:cs="Times New Roman"/>
        </w:rPr>
        <w:t>p. 62</w:t>
      </w:r>
      <w:r w:rsidR="00576F0C" w:rsidRPr="00A04973">
        <w:rPr>
          <w:rFonts w:cs="Times New Roman"/>
        </w:rPr>
        <w:t xml:space="preserve">-3. See Robertson, </w:t>
      </w:r>
      <w:r w:rsidR="00576F0C" w:rsidRPr="00A04973">
        <w:rPr>
          <w:rFonts w:cs="Times New Roman"/>
          <w:i/>
          <w:iCs/>
        </w:rPr>
        <w:t xml:space="preserve">Materials, </w:t>
      </w:r>
      <w:r w:rsidR="00576F0C" w:rsidRPr="00A04973">
        <w:rPr>
          <w:rFonts w:cs="Times New Roman"/>
        </w:rPr>
        <w:t>III, 266</w:t>
      </w:r>
      <w:r w:rsidR="00FB26F2" w:rsidRPr="00A04973">
        <w:rPr>
          <w:rFonts w:cs="Times New Roman"/>
        </w:rPr>
        <w:t>-74</w:t>
      </w:r>
      <w:r w:rsidR="00576F0C" w:rsidRPr="00A04973">
        <w:rPr>
          <w:rFonts w:cs="Times New Roman"/>
        </w:rPr>
        <w:t xml:space="preserve">. </w:t>
      </w:r>
    </w:p>
    <w:p w14:paraId="2916B0BB" w14:textId="77777777" w:rsidR="00E736FC" w:rsidRPr="00A04973" w:rsidRDefault="00E736FC" w:rsidP="00A04973">
      <w:pPr>
        <w:pStyle w:val="FootnoteText"/>
        <w:rPr>
          <w:rFonts w:cs="Times New Roman"/>
        </w:rPr>
      </w:pPr>
    </w:p>
  </w:footnote>
  <w:footnote w:id="44">
    <w:p w14:paraId="7251B339" w14:textId="6686CAFA" w:rsidR="00F72F06" w:rsidRPr="00A04973" w:rsidRDefault="00F72F06"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Pr="00A04973">
        <w:rPr>
          <w:rFonts w:cs="Times New Roman"/>
          <w:i/>
          <w:iCs/>
        </w:rPr>
        <w:t xml:space="preserve">Summa Causae Inter Regum et Thomam </w:t>
      </w:r>
      <w:r w:rsidRPr="00A04973">
        <w:rPr>
          <w:rFonts w:cs="Times New Roman"/>
        </w:rPr>
        <w:t xml:space="preserve">in Robertson, </w:t>
      </w:r>
      <w:r w:rsidRPr="00A04973">
        <w:rPr>
          <w:rFonts w:cs="Times New Roman"/>
          <w:i/>
          <w:iCs/>
        </w:rPr>
        <w:t xml:space="preserve">Materials, </w:t>
      </w:r>
      <w:r w:rsidRPr="00A04973">
        <w:rPr>
          <w:rFonts w:cs="Times New Roman"/>
        </w:rPr>
        <w:t xml:space="preserve">IV, pp. 201-5., translated in Staunton, </w:t>
      </w:r>
      <w:r w:rsidRPr="00A04973">
        <w:rPr>
          <w:rFonts w:cs="Times New Roman"/>
          <w:i/>
          <w:iCs/>
        </w:rPr>
        <w:t xml:space="preserve">Lives of Thomas </w:t>
      </w:r>
      <w:r w:rsidRPr="00A04973">
        <w:rPr>
          <w:rFonts w:cs="Times New Roman"/>
        </w:rPr>
        <w:t xml:space="preserve">Becket, pp. 78-9. </w:t>
      </w:r>
      <w:r w:rsidR="00E736FC" w:rsidRPr="00A04973">
        <w:rPr>
          <w:rFonts w:cs="Times New Roman"/>
        </w:rPr>
        <w:t>See Leviticus 20.1-27.</w:t>
      </w:r>
    </w:p>
    <w:p w14:paraId="305D2B6B" w14:textId="77777777" w:rsidR="00F72F06" w:rsidRPr="00A04973" w:rsidRDefault="00F72F06" w:rsidP="00A04973">
      <w:pPr>
        <w:pStyle w:val="FootnoteText"/>
        <w:rPr>
          <w:rFonts w:cs="Times New Roman"/>
        </w:rPr>
      </w:pPr>
    </w:p>
  </w:footnote>
  <w:footnote w:id="45">
    <w:p w14:paraId="0207A683" w14:textId="25EC90D3" w:rsidR="00410E96" w:rsidRPr="00A04973" w:rsidRDefault="00410E96" w:rsidP="00A04973">
      <w:pPr>
        <w:pStyle w:val="FootnoteText"/>
        <w:rPr>
          <w:rFonts w:cs="Times New Roman"/>
        </w:rPr>
      </w:pPr>
      <w:r w:rsidRPr="00A04973">
        <w:rPr>
          <w:rStyle w:val="FootnoteReference"/>
          <w:rFonts w:cs="Times New Roman"/>
        </w:rPr>
        <w:footnoteRef/>
      </w:r>
      <w:r w:rsidRPr="00884001">
        <w:rPr>
          <w:rFonts w:cs="Times New Roman"/>
        </w:rPr>
        <w:t xml:space="preserve"> </w:t>
      </w:r>
      <w:r w:rsidR="00576F0C" w:rsidRPr="00884001">
        <w:rPr>
          <w:rFonts w:cs="Times New Roman"/>
        </w:rPr>
        <w:t>Gratian</w:t>
      </w:r>
      <w:r w:rsidR="00337477" w:rsidRPr="00884001">
        <w:rPr>
          <w:rFonts w:cs="Times New Roman"/>
        </w:rPr>
        <w:t>,</w:t>
      </w:r>
      <w:r w:rsidR="00576F0C" w:rsidRPr="00884001">
        <w:rPr>
          <w:rFonts w:cs="Times New Roman"/>
        </w:rPr>
        <w:t xml:space="preserve"> </w:t>
      </w:r>
      <w:r w:rsidR="00576F0C" w:rsidRPr="00884001">
        <w:rPr>
          <w:rFonts w:cs="Times New Roman"/>
          <w:i/>
          <w:iCs/>
        </w:rPr>
        <w:t xml:space="preserve">Decretum, </w:t>
      </w:r>
      <w:r w:rsidR="00576F0C" w:rsidRPr="00884001">
        <w:rPr>
          <w:rFonts w:cs="Times New Roman"/>
        </w:rPr>
        <w:t>Caus</w:t>
      </w:r>
      <w:r w:rsidR="00337477" w:rsidRPr="00884001">
        <w:rPr>
          <w:rFonts w:cs="Times New Roman"/>
        </w:rPr>
        <w:t>a</w:t>
      </w:r>
      <w:r w:rsidR="00576F0C" w:rsidRPr="00884001">
        <w:rPr>
          <w:rFonts w:cs="Times New Roman"/>
        </w:rPr>
        <w:t xml:space="preserve"> XI. Qu. i. s. 18. </w:t>
      </w:r>
      <w:r w:rsidR="00576F0C" w:rsidRPr="00A04973">
        <w:rPr>
          <w:rFonts w:cs="Times New Roman"/>
        </w:rPr>
        <w:t xml:space="preserve">See Robertson, </w:t>
      </w:r>
      <w:r w:rsidR="00576F0C" w:rsidRPr="00A04973">
        <w:rPr>
          <w:rFonts w:cs="Times New Roman"/>
          <w:i/>
          <w:iCs/>
        </w:rPr>
        <w:t>Materials</w:t>
      </w:r>
      <w:r w:rsidR="00337477" w:rsidRPr="00A04973">
        <w:rPr>
          <w:rFonts w:cs="Times New Roman"/>
          <w:i/>
          <w:iCs/>
        </w:rPr>
        <w:t xml:space="preserve">, </w:t>
      </w:r>
      <w:r w:rsidR="00337477" w:rsidRPr="00A04973">
        <w:rPr>
          <w:rFonts w:cs="Times New Roman"/>
        </w:rPr>
        <w:t>III, p. 267</w:t>
      </w:r>
      <w:r w:rsidR="00A60115" w:rsidRPr="00A04973">
        <w:rPr>
          <w:rFonts w:cs="Times New Roman"/>
        </w:rPr>
        <w:t xml:space="preserve">, translated in Greenaway, p. </w:t>
      </w:r>
      <w:r w:rsidR="00A04973" w:rsidRPr="00A04973">
        <w:rPr>
          <w:rFonts w:cs="Times New Roman"/>
        </w:rPr>
        <w:t>62.</w:t>
      </w:r>
      <w:r w:rsidR="00337477" w:rsidRPr="00A04973">
        <w:rPr>
          <w:rFonts w:cs="Times New Roman"/>
        </w:rPr>
        <w:t xml:space="preserve"> Also, </w:t>
      </w:r>
      <w:r w:rsidRPr="00A04973">
        <w:rPr>
          <w:rFonts w:cs="Times New Roman"/>
        </w:rPr>
        <w:t>Warren, p. 97</w:t>
      </w:r>
      <w:r w:rsidR="00337477" w:rsidRPr="00A04973">
        <w:rPr>
          <w:rFonts w:cs="Times New Roman"/>
        </w:rPr>
        <w:t>, 466;</w:t>
      </w:r>
      <w:r w:rsidRPr="00A04973">
        <w:rPr>
          <w:rFonts w:cs="Times New Roman"/>
        </w:rPr>
        <w:t xml:space="preserve"> Duggan, p. 3-4</w:t>
      </w:r>
      <w:r w:rsidR="00337477" w:rsidRPr="00A04973">
        <w:rPr>
          <w:rFonts w:cs="Times New Roman"/>
        </w:rPr>
        <w:t>;</w:t>
      </w:r>
      <w:r w:rsidRPr="00A04973">
        <w:rPr>
          <w:rFonts w:cs="Times New Roman"/>
        </w:rPr>
        <w:t xml:space="preserve"> Guy, pp. 159-60.</w:t>
      </w:r>
    </w:p>
    <w:p w14:paraId="2DBE0EAA" w14:textId="77777777" w:rsidR="00FF606B" w:rsidRPr="00A04973" w:rsidRDefault="00FF606B" w:rsidP="00A04973">
      <w:pPr>
        <w:pStyle w:val="FootnoteText"/>
        <w:rPr>
          <w:rFonts w:cs="Times New Roman"/>
          <w:i/>
          <w:iCs/>
        </w:rPr>
      </w:pPr>
    </w:p>
  </w:footnote>
  <w:footnote w:id="46">
    <w:p w14:paraId="1F5CA6C3" w14:textId="30C28C57" w:rsidR="000C71A9" w:rsidRPr="00A04973" w:rsidRDefault="000C71A9" w:rsidP="00A04973">
      <w:pPr>
        <w:pStyle w:val="FootnoteText"/>
        <w:rPr>
          <w:rFonts w:cs="Times New Roman"/>
          <w:b/>
          <w:bCs/>
        </w:rPr>
      </w:pPr>
      <w:r w:rsidRPr="00A04973">
        <w:rPr>
          <w:rStyle w:val="FootnoteReference"/>
          <w:rFonts w:cs="Times New Roman"/>
        </w:rPr>
        <w:footnoteRef/>
      </w:r>
      <w:r w:rsidRPr="00A04973">
        <w:rPr>
          <w:rFonts w:cs="Times New Roman"/>
        </w:rPr>
        <w:t xml:space="preserve"> </w:t>
      </w:r>
      <w:r w:rsidR="007144F3" w:rsidRPr="00A04973">
        <w:rPr>
          <w:rFonts w:cs="Times New Roman"/>
        </w:rPr>
        <w:t>Staunton</w:t>
      </w:r>
      <w:r w:rsidR="00C05119" w:rsidRPr="00A04973">
        <w:rPr>
          <w:rFonts w:cs="Times New Roman"/>
        </w:rPr>
        <w:t xml:space="preserve">, </w:t>
      </w:r>
      <w:r w:rsidR="00C05119" w:rsidRPr="00A04973">
        <w:rPr>
          <w:rFonts w:cs="Times New Roman"/>
          <w:i/>
          <w:iCs/>
        </w:rPr>
        <w:t xml:space="preserve">Thomas Becket, </w:t>
      </w:r>
      <w:r w:rsidR="00734CD4" w:rsidRPr="00A04973">
        <w:rPr>
          <w:rFonts w:cs="Times New Roman"/>
        </w:rPr>
        <w:t>p. 80.</w:t>
      </w:r>
      <w:r w:rsidR="009363B9" w:rsidRPr="00A04973">
        <w:rPr>
          <w:rFonts w:cs="Times New Roman"/>
        </w:rPr>
        <w:t xml:space="preserve"> </w:t>
      </w:r>
      <w:r w:rsidR="00B370D1" w:rsidRPr="00A04973">
        <w:rPr>
          <w:rFonts w:cs="Times New Roman"/>
        </w:rPr>
        <w:t>S</w:t>
      </w:r>
      <w:r w:rsidR="009363B9" w:rsidRPr="00A04973">
        <w:rPr>
          <w:rFonts w:cs="Times New Roman"/>
        </w:rPr>
        <w:t xml:space="preserve">ee </w:t>
      </w:r>
      <w:r w:rsidR="00B370D1" w:rsidRPr="00A04973">
        <w:rPr>
          <w:rFonts w:cs="Times New Roman"/>
        </w:rPr>
        <w:t xml:space="preserve">Charles </w:t>
      </w:r>
      <w:r w:rsidR="009363B9" w:rsidRPr="00A04973">
        <w:rPr>
          <w:rFonts w:cs="Times New Roman"/>
        </w:rPr>
        <w:t xml:space="preserve">Duggan, </w:t>
      </w:r>
      <w:r w:rsidR="00B370D1" w:rsidRPr="00A04973">
        <w:rPr>
          <w:rFonts w:cs="Times New Roman"/>
          <w:i/>
          <w:iCs/>
        </w:rPr>
        <w:t xml:space="preserve">Becket Dispute, </w:t>
      </w:r>
      <w:r w:rsidR="009363B9" w:rsidRPr="00A04973">
        <w:rPr>
          <w:rFonts w:cs="Times New Roman"/>
        </w:rPr>
        <w:t>p.</w:t>
      </w:r>
      <w:r w:rsidR="00B370D1" w:rsidRPr="00A04973">
        <w:rPr>
          <w:rFonts w:cs="Times New Roman"/>
        </w:rPr>
        <w:t xml:space="preserve"> 4. Also</w:t>
      </w:r>
      <w:r w:rsidR="009363B9" w:rsidRPr="00A04973">
        <w:rPr>
          <w:rFonts w:cs="Times New Roman"/>
        </w:rPr>
        <w:t>, Robertson, III, pp.</w:t>
      </w:r>
      <w:r w:rsidR="00063F82" w:rsidRPr="00A04973">
        <w:rPr>
          <w:rFonts w:cs="Times New Roman"/>
        </w:rPr>
        <w:t xml:space="preserve"> </w:t>
      </w:r>
      <w:r w:rsidR="009363B9" w:rsidRPr="00A04973">
        <w:rPr>
          <w:rFonts w:cs="Times New Roman"/>
        </w:rPr>
        <w:t>47, 270, 281.</w:t>
      </w:r>
    </w:p>
    <w:p w14:paraId="7CAF0A40" w14:textId="77777777" w:rsidR="00EA4265" w:rsidRPr="00A04973" w:rsidRDefault="00EA4265" w:rsidP="00A04973">
      <w:pPr>
        <w:pStyle w:val="FootnoteText"/>
        <w:rPr>
          <w:rFonts w:cs="Times New Roman"/>
        </w:rPr>
      </w:pPr>
    </w:p>
  </w:footnote>
  <w:footnote w:id="47">
    <w:p w14:paraId="30FEDC2C" w14:textId="41AD8870" w:rsidR="000C71A9" w:rsidRPr="00A04973" w:rsidRDefault="000C71A9"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9B6ECB" w:rsidRPr="00A04973">
        <w:rPr>
          <w:rFonts w:cs="Times New Roman"/>
        </w:rPr>
        <w:t>‘…there shall not rise a double affliction.</w:t>
      </w:r>
      <w:r w:rsidR="00E736FC" w:rsidRPr="00A04973">
        <w:rPr>
          <w:rFonts w:cs="Times New Roman"/>
        </w:rPr>
        <w:t xml:space="preserve"> </w:t>
      </w:r>
      <w:r w:rsidR="00ED027C" w:rsidRPr="00A04973">
        <w:rPr>
          <w:rFonts w:cs="Times New Roman"/>
        </w:rPr>
        <w:t>Nahum</w:t>
      </w:r>
      <w:r w:rsidR="00E736FC" w:rsidRPr="00A04973">
        <w:rPr>
          <w:rFonts w:cs="Times New Roman"/>
        </w:rPr>
        <w:t xml:space="preserve"> 1.9 (Vulgate). </w:t>
      </w:r>
    </w:p>
    <w:p w14:paraId="62A2080E" w14:textId="77777777" w:rsidR="00EA4265" w:rsidRPr="00A04973" w:rsidRDefault="00EA4265" w:rsidP="00A04973">
      <w:pPr>
        <w:pStyle w:val="FootnoteText"/>
        <w:rPr>
          <w:rFonts w:cs="Times New Roman"/>
          <w:b/>
          <w:bCs/>
        </w:rPr>
      </w:pPr>
    </w:p>
  </w:footnote>
  <w:footnote w:id="48">
    <w:p w14:paraId="6544D8E5" w14:textId="5E70525A" w:rsidR="0086767D" w:rsidRPr="00A04973" w:rsidRDefault="0086767D" w:rsidP="00A04973">
      <w:pPr>
        <w:pStyle w:val="FootnoteText"/>
        <w:rPr>
          <w:rFonts w:cs="Times New Roman"/>
        </w:rPr>
      </w:pPr>
      <w:r w:rsidRPr="00A04973">
        <w:rPr>
          <w:rStyle w:val="FootnoteReference"/>
          <w:rFonts w:cs="Times New Roman"/>
        </w:rPr>
        <w:footnoteRef/>
      </w:r>
      <w:r w:rsidRPr="00A04973">
        <w:rPr>
          <w:rFonts w:cs="Times New Roman"/>
        </w:rPr>
        <w:t xml:space="preserve"> Greenaway, </w:t>
      </w:r>
      <w:r w:rsidR="00644C3A" w:rsidRPr="00A04973">
        <w:rPr>
          <w:rFonts w:cs="Times New Roman"/>
          <w:i/>
          <w:iCs/>
        </w:rPr>
        <w:t xml:space="preserve">Thomas Becket, </w:t>
      </w:r>
      <w:r w:rsidRPr="00A04973">
        <w:rPr>
          <w:rFonts w:cs="Times New Roman"/>
        </w:rPr>
        <w:t>p. 63.</w:t>
      </w:r>
    </w:p>
    <w:p w14:paraId="341D0011" w14:textId="77777777" w:rsidR="00EA4265" w:rsidRPr="00A04973" w:rsidRDefault="00EA4265" w:rsidP="00A04973">
      <w:pPr>
        <w:pStyle w:val="FootnoteText"/>
        <w:rPr>
          <w:rFonts w:cs="Times New Roman"/>
        </w:rPr>
      </w:pPr>
    </w:p>
  </w:footnote>
  <w:footnote w:id="49">
    <w:p w14:paraId="60253380" w14:textId="57889478" w:rsidR="008B6333" w:rsidRPr="00A04973" w:rsidRDefault="008B6333" w:rsidP="00A04973">
      <w:pPr>
        <w:pStyle w:val="FootnoteText"/>
        <w:rPr>
          <w:rFonts w:cs="Times New Roman"/>
        </w:rPr>
      </w:pPr>
      <w:r w:rsidRPr="00A04973">
        <w:rPr>
          <w:rStyle w:val="FootnoteReference"/>
          <w:rFonts w:cs="Times New Roman"/>
        </w:rPr>
        <w:footnoteRef/>
      </w:r>
      <w:r w:rsidR="000C71A9" w:rsidRPr="00A04973">
        <w:rPr>
          <w:rFonts w:cs="Times New Roman"/>
        </w:rPr>
        <w:t xml:space="preserve"> Roger of Pontigny in</w:t>
      </w:r>
      <w:r w:rsidR="00EA4265" w:rsidRPr="00A04973">
        <w:rPr>
          <w:rFonts w:cs="Times New Roman"/>
        </w:rPr>
        <w:t xml:space="preserve"> Greenaway, </w:t>
      </w:r>
      <w:r w:rsidR="0068399D" w:rsidRPr="00A04973">
        <w:rPr>
          <w:rFonts w:cs="Times New Roman"/>
          <w:i/>
          <w:iCs/>
        </w:rPr>
        <w:t>Thomas Becket,</w:t>
      </w:r>
      <w:r w:rsidR="00EA4265" w:rsidRPr="00A04973">
        <w:rPr>
          <w:rFonts w:cs="Times New Roman"/>
        </w:rPr>
        <w:t xml:space="preserve"> pp. 64-65.  See Robertson, </w:t>
      </w:r>
      <w:r w:rsidR="00EA4265" w:rsidRPr="00A04973">
        <w:rPr>
          <w:rFonts w:cs="Times New Roman"/>
          <w:i/>
          <w:iCs/>
        </w:rPr>
        <w:t>Materials</w:t>
      </w:r>
      <w:r w:rsidR="00EA4265" w:rsidRPr="00A04973">
        <w:rPr>
          <w:rFonts w:cs="Times New Roman"/>
        </w:rPr>
        <w:t xml:space="preserve">, IV, pp. 27-37 translated in Staunton, </w:t>
      </w:r>
      <w:r w:rsidR="00EA4265" w:rsidRPr="00A04973">
        <w:rPr>
          <w:rFonts w:cs="Times New Roman"/>
          <w:i/>
          <w:iCs/>
        </w:rPr>
        <w:t xml:space="preserve">Thomas Becket, </w:t>
      </w:r>
      <w:r w:rsidR="00EA4265" w:rsidRPr="00A04973">
        <w:rPr>
          <w:rFonts w:cs="Times New Roman"/>
        </w:rPr>
        <w:t xml:space="preserve">pp. 83-91 (pp. 83-4).  </w:t>
      </w:r>
      <w:r w:rsidRPr="00A04973">
        <w:rPr>
          <w:rFonts w:cs="Times New Roman"/>
        </w:rPr>
        <w:t>See Acts 5.29.</w:t>
      </w:r>
    </w:p>
    <w:p w14:paraId="50509989" w14:textId="77777777" w:rsidR="00FF606B" w:rsidRPr="00A04973" w:rsidRDefault="00FF606B" w:rsidP="00A04973">
      <w:pPr>
        <w:pStyle w:val="FootnoteText"/>
        <w:rPr>
          <w:rFonts w:cs="Times New Roman"/>
        </w:rPr>
      </w:pPr>
    </w:p>
  </w:footnote>
  <w:footnote w:id="50">
    <w:p w14:paraId="5A11BAD7" w14:textId="48E2A461" w:rsidR="003524D3" w:rsidRPr="00A04973" w:rsidRDefault="003524D3" w:rsidP="00A04973">
      <w:pPr>
        <w:pStyle w:val="FootnoteText"/>
        <w:rPr>
          <w:rFonts w:cs="Times New Roman"/>
        </w:rPr>
      </w:pPr>
      <w:r w:rsidRPr="00A04973">
        <w:rPr>
          <w:rStyle w:val="FootnoteReference"/>
          <w:rFonts w:cs="Times New Roman"/>
        </w:rPr>
        <w:footnoteRef/>
      </w:r>
      <w:r w:rsidRPr="00A04973">
        <w:rPr>
          <w:rFonts w:cs="Times New Roman"/>
        </w:rPr>
        <w:t xml:space="preserve"> Greenaway, </w:t>
      </w:r>
      <w:r w:rsidR="002872D9" w:rsidRPr="00A04973">
        <w:rPr>
          <w:rFonts w:cs="Times New Roman"/>
          <w:i/>
          <w:iCs/>
        </w:rPr>
        <w:t xml:space="preserve">Thomas Becket, </w:t>
      </w:r>
      <w:r w:rsidRPr="00A04973">
        <w:rPr>
          <w:rFonts w:cs="Times New Roman"/>
        </w:rPr>
        <w:t>p. 66.</w:t>
      </w:r>
      <w:r w:rsidR="000D289D" w:rsidRPr="00A04973">
        <w:rPr>
          <w:rFonts w:cs="Times New Roman"/>
        </w:rPr>
        <w:t xml:space="preserve"> </w:t>
      </w:r>
      <w:r w:rsidR="003B1624" w:rsidRPr="00A04973">
        <w:rPr>
          <w:rFonts w:cs="Times New Roman"/>
        </w:rPr>
        <w:t xml:space="preserve">William Fitzstephen in </w:t>
      </w:r>
      <w:r w:rsidR="0032614F" w:rsidRPr="00A04973">
        <w:rPr>
          <w:rFonts w:cs="Times New Roman"/>
        </w:rPr>
        <w:t>Robertson,</w:t>
      </w:r>
      <w:r w:rsidR="003B1624" w:rsidRPr="00A04973">
        <w:rPr>
          <w:rFonts w:cs="Times New Roman"/>
        </w:rPr>
        <w:t xml:space="preserve"> </w:t>
      </w:r>
      <w:r w:rsidR="009F750A" w:rsidRPr="00A04973">
        <w:rPr>
          <w:rFonts w:cs="Times New Roman"/>
          <w:bCs/>
          <w:i/>
          <w:iCs/>
        </w:rPr>
        <w:t xml:space="preserve">Materials, </w:t>
      </w:r>
      <w:r w:rsidR="009F750A" w:rsidRPr="00A04973">
        <w:rPr>
          <w:rFonts w:cs="Times New Roman"/>
          <w:bCs/>
        </w:rPr>
        <w:t>III, p. 48.</w:t>
      </w:r>
      <w:r w:rsidR="003B1624" w:rsidRPr="00A04973">
        <w:rPr>
          <w:rFonts w:cs="Times New Roman"/>
          <w:b/>
          <w:bCs/>
        </w:rPr>
        <w:t xml:space="preserve"> </w:t>
      </w:r>
      <w:r w:rsidR="00A04973" w:rsidRPr="00A04973">
        <w:rPr>
          <w:rFonts w:cs="Times New Roman"/>
        </w:rPr>
        <w:t>Also,</w:t>
      </w:r>
      <w:r w:rsidR="000D289D" w:rsidRPr="00A04973">
        <w:rPr>
          <w:rFonts w:cs="Times New Roman"/>
        </w:rPr>
        <w:t xml:space="preserve"> Medieval Sourcebook, </w:t>
      </w:r>
      <w:r w:rsidR="000D289D" w:rsidRPr="00A04973">
        <w:rPr>
          <w:rFonts w:cs="Times New Roman"/>
          <w:i/>
          <w:iCs/>
        </w:rPr>
        <w:t>Roger of Hoved</w:t>
      </w:r>
      <w:r w:rsidR="00A04973">
        <w:rPr>
          <w:rFonts w:cs="Times New Roman"/>
          <w:i/>
          <w:iCs/>
        </w:rPr>
        <w:t>e</w:t>
      </w:r>
      <w:r w:rsidR="000D289D" w:rsidRPr="00A04973">
        <w:rPr>
          <w:rFonts w:cs="Times New Roman"/>
          <w:i/>
          <w:iCs/>
        </w:rPr>
        <w:t xml:space="preserve">n: The Chronicle: On the </w:t>
      </w:r>
      <w:r w:rsidR="003B1624" w:rsidRPr="00A04973">
        <w:rPr>
          <w:rFonts w:cs="Times New Roman"/>
          <w:i/>
          <w:iCs/>
        </w:rPr>
        <w:t>Disputes</w:t>
      </w:r>
      <w:r w:rsidR="000D289D" w:rsidRPr="00A04973">
        <w:rPr>
          <w:rFonts w:cs="Times New Roman"/>
          <w:i/>
          <w:iCs/>
        </w:rPr>
        <w:t xml:space="preserve"> between Thomas Becket, Archbishop of Canterbury and King Henry II of England, </w:t>
      </w:r>
      <w:r w:rsidR="000D289D" w:rsidRPr="00A04973">
        <w:rPr>
          <w:rFonts w:cs="Times New Roman"/>
        </w:rPr>
        <w:t>116</w:t>
      </w:r>
      <w:r w:rsidR="003B1624" w:rsidRPr="00A04973">
        <w:rPr>
          <w:rFonts w:cs="Times New Roman"/>
        </w:rPr>
        <w:t>4</w:t>
      </w:r>
      <w:r w:rsidR="000D289D" w:rsidRPr="00A04973">
        <w:rPr>
          <w:rFonts w:cs="Times New Roman"/>
        </w:rPr>
        <w:t>.</w:t>
      </w:r>
      <w:r w:rsidR="003B1624" w:rsidRPr="00A04973">
        <w:rPr>
          <w:rFonts w:cs="Times New Roman"/>
        </w:rPr>
        <w:t xml:space="preserve"> &lt;</w:t>
      </w:r>
      <w:hyperlink r:id="rId7" w:anchor="1164" w:history="1">
        <w:r w:rsidR="003B1624" w:rsidRPr="00A04973">
          <w:rPr>
            <w:rStyle w:val="Hyperlink"/>
            <w:rFonts w:cs="Times New Roman"/>
          </w:rPr>
          <w:t>https://sourcebooks.fordham.edu/source/hoveden-becket.asp#1164</w:t>
        </w:r>
      </w:hyperlink>
      <w:r w:rsidR="003B1624" w:rsidRPr="00A04973">
        <w:rPr>
          <w:rFonts w:cs="Times New Roman"/>
        </w:rPr>
        <w:t>&gt; [Accessed 2</w:t>
      </w:r>
      <w:r w:rsidR="003B1624" w:rsidRPr="00A04973">
        <w:rPr>
          <w:rFonts w:cs="Times New Roman"/>
          <w:vertAlign w:val="superscript"/>
        </w:rPr>
        <w:t>nd</w:t>
      </w:r>
      <w:r w:rsidR="003B1624" w:rsidRPr="00A04973">
        <w:rPr>
          <w:rFonts w:cs="Times New Roman"/>
        </w:rPr>
        <w:t xml:space="preserve"> May 2023].</w:t>
      </w:r>
    </w:p>
    <w:p w14:paraId="23577FCB" w14:textId="77777777" w:rsidR="00FF606B" w:rsidRPr="00A04973" w:rsidRDefault="00FF606B" w:rsidP="00A04973">
      <w:pPr>
        <w:pStyle w:val="FootnoteText"/>
        <w:rPr>
          <w:rFonts w:cs="Times New Roman"/>
        </w:rPr>
      </w:pPr>
    </w:p>
  </w:footnote>
  <w:footnote w:id="51">
    <w:p w14:paraId="54DC40C7" w14:textId="32DFB045" w:rsidR="007A227F" w:rsidRPr="00A04973" w:rsidRDefault="007A227F"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3167E4" w:rsidRPr="00A04973">
        <w:rPr>
          <w:rFonts w:cs="Times New Roman"/>
        </w:rPr>
        <w:t xml:space="preserve">Robertson, </w:t>
      </w:r>
      <w:r w:rsidR="003167E4" w:rsidRPr="00A04973">
        <w:rPr>
          <w:rFonts w:cs="Times New Roman"/>
          <w:i/>
          <w:iCs/>
        </w:rPr>
        <w:t xml:space="preserve">Materials, </w:t>
      </w:r>
      <w:r w:rsidR="003167E4" w:rsidRPr="00A04973">
        <w:rPr>
          <w:rFonts w:cs="Times New Roman"/>
        </w:rPr>
        <w:t>III, p. 48.</w:t>
      </w:r>
    </w:p>
    <w:p w14:paraId="45F1E822" w14:textId="77777777" w:rsidR="003167E4" w:rsidRPr="00A04973" w:rsidRDefault="003167E4" w:rsidP="00A04973">
      <w:pPr>
        <w:pStyle w:val="FootnoteText"/>
        <w:rPr>
          <w:rFonts w:cs="Times New Roman"/>
        </w:rPr>
      </w:pPr>
    </w:p>
  </w:footnote>
  <w:footnote w:id="52">
    <w:p w14:paraId="4BD13C04" w14:textId="633016A1" w:rsidR="00C03088" w:rsidRPr="00A04973" w:rsidRDefault="00C03088" w:rsidP="00A04973">
      <w:pPr>
        <w:pStyle w:val="FootnoteText"/>
        <w:rPr>
          <w:rFonts w:cs="Times New Roman"/>
        </w:rPr>
      </w:pPr>
      <w:r w:rsidRPr="00A04973">
        <w:rPr>
          <w:rStyle w:val="FootnoteReference"/>
          <w:rFonts w:cs="Times New Roman"/>
        </w:rPr>
        <w:footnoteRef/>
      </w:r>
      <w:r w:rsidRPr="00A04973">
        <w:rPr>
          <w:rFonts w:cs="Times New Roman"/>
        </w:rPr>
        <w:t xml:space="preserve"> Robertson, </w:t>
      </w:r>
      <w:r w:rsidRPr="00A04973">
        <w:rPr>
          <w:rFonts w:cs="Times New Roman"/>
          <w:i/>
          <w:iCs/>
        </w:rPr>
        <w:t>Materials</w:t>
      </w:r>
      <w:r w:rsidRPr="00A04973">
        <w:rPr>
          <w:rFonts w:cs="Times New Roman"/>
        </w:rPr>
        <w:t xml:space="preserve">, IV, pp. 27-37 translated in Staunton, </w:t>
      </w:r>
      <w:r w:rsidRPr="00A04973">
        <w:rPr>
          <w:rFonts w:cs="Times New Roman"/>
          <w:i/>
          <w:iCs/>
        </w:rPr>
        <w:t xml:space="preserve">Thomas Becket, </w:t>
      </w:r>
      <w:r w:rsidRPr="00A04973">
        <w:rPr>
          <w:rFonts w:cs="Times New Roman"/>
        </w:rPr>
        <w:t>pp. 83-91 (pp. 90-1).</w:t>
      </w:r>
    </w:p>
    <w:p w14:paraId="3BC64C6C" w14:textId="77777777" w:rsidR="008860BC" w:rsidRPr="00A04973" w:rsidRDefault="008860BC" w:rsidP="00A04973">
      <w:pPr>
        <w:pStyle w:val="FootnoteText"/>
        <w:rPr>
          <w:rFonts w:cs="Times New Roman"/>
        </w:rPr>
      </w:pPr>
    </w:p>
  </w:footnote>
  <w:footnote w:id="53">
    <w:p w14:paraId="396C1F65" w14:textId="23DAE513" w:rsidR="00AD4D36" w:rsidRPr="00A04973" w:rsidRDefault="00AD4D36"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C03088" w:rsidRPr="00A04973">
        <w:rPr>
          <w:rFonts w:cs="Times New Roman"/>
        </w:rPr>
        <w:t xml:space="preserve">See, Robertson, </w:t>
      </w:r>
      <w:r w:rsidR="00C03088" w:rsidRPr="00A04973">
        <w:rPr>
          <w:rFonts w:cs="Times New Roman"/>
          <w:i/>
          <w:iCs/>
        </w:rPr>
        <w:t xml:space="preserve">Materials, </w:t>
      </w:r>
      <w:r w:rsidR="00C03088" w:rsidRPr="00A04973">
        <w:rPr>
          <w:rFonts w:cs="Times New Roman"/>
        </w:rPr>
        <w:t>I, pp. 18-33 translated in</w:t>
      </w:r>
      <w:r w:rsidR="003E42F9" w:rsidRPr="00A04973">
        <w:rPr>
          <w:rFonts w:cs="Times New Roman"/>
        </w:rPr>
        <w:t xml:space="preserve"> </w:t>
      </w:r>
      <w:r w:rsidR="00C03088" w:rsidRPr="00A04973">
        <w:rPr>
          <w:rFonts w:cs="Times New Roman"/>
        </w:rPr>
        <w:t xml:space="preserve">Staunton, </w:t>
      </w:r>
      <w:r w:rsidR="00C03088" w:rsidRPr="00A04973">
        <w:rPr>
          <w:rFonts w:cs="Times New Roman"/>
          <w:i/>
          <w:iCs/>
        </w:rPr>
        <w:t xml:space="preserve">Thomas Becket, </w:t>
      </w:r>
      <w:r w:rsidR="00C03088" w:rsidRPr="00A04973">
        <w:rPr>
          <w:rFonts w:cs="Times New Roman"/>
        </w:rPr>
        <w:t xml:space="preserve">pp. 91-6 (p. 93). </w:t>
      </w:r>
      <w:r w:rsidR="003E42F9" w:rsidRPr="00A04973">
        <w:rPr>
          <w:rFonts w:cs="Times New Roman"/>
        </w:rPr>
        <w:t>Also, Greenaway, pp. 68-9.</w:t>
      </w:r>
    </w:p>
    <w:p w14:paraId="75070566" w14:textId="77777777" w:rsidR="00C03088" w:rsidRPr="00A04973" w:rsidRDefault="00C03088" w:rsidP="00A04973">
      <w:pPr>
        <w:pStyle w:val="FootnoteText"/>
        <w:rPr>
          <w:rFonts w:cs="Times New Roman"/>
        </w:rPr>
      </w:pPr>
    </w:p>
  </w:footnote>
  <w:footnote w:id="54">
    <w:p w14:paraId="30C92975" w14:textId="593458AE" w:rsidR="00F509F5" w:rsidRPr="00A04973" w:rsidRDefault="00F509F5"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C442B5" w:rsidRPr="00A04973">
        <w:rPr>
          <w:rFonts w:cs="Times New Roman"/>
        </w:rPr>
        <w:t xml:space="preserve">Charles Duggan, </w:t>
      </w:r>
      <w:r w:rsidR="00C442B5" w:rsidRPr="00A04973">
        <w:rPr>
          <w:rFonts w:cs="Times New Roman"/>
          <w:kern w:val="0"/>
        </w:rPr>
        <w:t xml:space="preserve">‘The Becket Dispute and the Criminous Clerks’, </w:t>
      </w:r>
      <w:r w:rsidR="00963E1C" w:rsidRPr="00A04973">
        <w:rPr>
          <w:rFonts w:cs="Times New Roman"/>
          <w:i/>
          <w:iCs/>
          <w:kern w:val="0"/>
        </w:rPr>
        <w:t>Bulletin if the Institute of Historical Research</w:t>
      </w:r>
      <w:r w:rsidR="009B2630" w:rsidRPr="00A04973">
        <w:rPr>
          <w:rFonts w:cs="Times New Roman"/>
          <w:i/>
          <w:iCs/>
          <w:kern w:val="0"/>
        </w:rPr>
        <w:t>,</w:t>
      </w:r>
      <w:r w:rsidR="00C442B5" w:rsidRPr="00A04973">
        <w:rPr>
          <w:rFonts w:cs="Times New Roman"/>
          <w:i/>
          <w:iCs/>
          <w:kern w:val="0"/>
        </w:rPr>
        <w:t xml:space="preserve"> </w:t>
      </w:r>
      <w:r w:rsidR="00C442B5" w:rsidRPr="00A04973">
        <w:rPr>
          <w:rFonts w:cs="Times New Roman"/>
          <w:kern w:val="0"/>
        </w:rPr>
        <w:t>35 (1962), 1-28 (pp. 3-4) &lt;</w:t>
      </w:r>
      <w:hyperlink r:id="rId8" w:history="1">
        <w:r w:rsidR="00C442B5" w:rsidRPr="00A04973">
          <w:rPr>
            <w:rFonts w:cs="Times New Roman"/>
            <w:color w:val="0000E9"/>
            <w:kern w:val="0"/>
            <w:u w:val="single" w:color="0000E9"/>
          </w:rPr>
          <w:t>https://doi.org/10.1111/j.1468-2281.1962.tb01411.x</w:t>
        </w:r>
      </w:hyperlink>
      <w:r w:rsidR="00C442B5" w:rsidRPr="00A04973">
        <w:rPr>
          <w:rFonts w:cs="Times New Roman"/>
          <w:color w:val="000000" w:themeColor="text1"/>
          <w:kern w:val="0"/>
          <w:u w:color="0000E9"/>
        </w:rPr>
        <w:t xml:space="preserve"> &gt; [Accessed 6 May 2023.</w:t>
      </w:r>
    </w:p>
    <w:p w14:paraId="30483C41" w14:textId="77777777" w:rsidR="00F509F5" w:rsidRPr="00A04973" w:rsidRDefault="00F509F5" w:rsidP="00A04973">
      <w:pPr>
        <w:pStyle w:val="FootnoteText"/>
        <w:rPr>
          <w:rFonts w:cs="Times New Roman"/>
        </w:rPr>
      </w:pPr>
    </w:p>
  </w:footnote>
  <w:footnote w:id="55">
    <w:p w14:paraId="30D3D745" w14:textId="61F285DD" w:rsidR="000440FE" w:rsidRPr="00A04973" w:rsidRDefault="000440FE"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850773" w:rsidRPr="00A04973">
        <w:rPr>
          <w:rFonts w:cs="Times New Roman"/>
        </w:rPr>
        <w:t xml:space="preserve">Charles Duggan, </w:t>
      </w:r>
      <w:r w:rsidR="00850773" w:rsidRPr="00A04973">
        <w:rPr>
          <w:rFonts w:cs="Times New Roman"/>
          <w:i/>
          <w:iCs/>
        </w:rPr>
        <w:t>i</w:t>
      </w:r>
      <w:r w:rsidR="00C171F9" w:rsidRPr="00A04973">
        <w:rPr>
          <w:rFonts w:cs="Times New Roman"/>
          <w:i/>
          <w:iCs/>
        </w:rPr>
        <w:t>bid</w:t>
      </w:r>
      <w:r w:rsidR="00C171F9" w:rsidRPr="00A04973">
        <w:rPr>
          <w:rFonts w:cs="Times New Roman"/>
        </w:rPr>
        <w:t>.</w:t>
      </w:r>
      <w:r w:rsidRPr="00A04973">
        <w:rPr>
          <w:rFonts w:cs="Times New Roman"/>
        </w:rPr>
        <w:t xml:space="preserve"> </w:t>
      </w:r>
    </w:p>
    <w:p w14:paraId="49F64CBB" w14:textId="77777777" w:rsidR="000440FE" w:rsidRPr="00A04973" w:rsidRDefault="000440FE" w:rsidP="00A04973">
      <w:pPr>
        <w:pStyle w:val="FootnoteText"/>
        <w:rPr>
          <w:rFonts w:cs="Times New Roman"/>
        </w:rPr>
      </w:pPr>
    </w:p>
  </w:footnote>
  <w:footnote w:id="56">
    <w:p w14:paraId="43D1A317" w14:textId="6D319225" w:rsidR="000440FE" w:rsidRPr="00A04973" w:rsidRDefault="000440FE" w:rsidP="00A04973">
      <w:pPr>
        <w:pStyle w:val="FootnoteText"/>
        <w:rPr>
          <w:rFonts w:cs="Times New Roman"/>
        </w:rPr>
      </w:pPr>
      <w:r w:rsidRPr="00A04973">
        <w:rPr>
          <w:rStyle w:val="FootnoteReference"/>
          <w:rFonts w:cs="Times New Roman"/>
        </w:rPr>
        <w:footnoteRef/>
      </w:r>
      <w:r w:rsidRPr="00A04973">
        <w:rPr>
          <w:rFonts w:cs="Times New Roman"/>
        </w:rPr>
        <w:t xml:space="preserve"> Medieval Sourcebook, </w:t>
      </w:r>
      <w:r w:rsidRPr="00A04973">
        <w:rPr>
          <w:rFonts w:cs="Times New Roman"/>
          <w:i/>
          <w:iCs/>
        </w:rPr>
        <w:t xml:space="preserve">Roger of Hoveden: The Chronicle: On the Disputes between Thomas Becket, Archbishop of Canterbury and King Henry II of England, </w:t>
      </w:r>
      <w:r w:rsidRPr="00A04973">
        <w:rPr>
          <w:rFonts w:cs="Times New Roman"/>
        </w:rPr>
        <w:t xml:space="preserve">1163. </w:t>
      </w:r>
      <w:r w:rsidRPr="00A04973">
        <w:rPr>
          <w:rFonts w:cs="Times New Roman"/>
          <w:i/>
          <w:iCs/>
        </w:rPr>
        <w:t xml:space="preserve"> </w:t>
      </w:r>
      <w:r w:rsidRPr="00A04973">
        <w:rPr>
          <w:rFonts w:cs="Times New Roman"/>
        </w:rPr>
        <w:t>&lt;</w:t>
      </w:r>
      <w:hyperlink r:id="rId9" w:anchor="1163" w:history="1">
        <w:r w:rsidRPr="00A04973">
          <w:rPr>
            <w:rStyle w:val="Hyperlink"/>
            <w:rFonts w:cs="Times New Roman"/>
          </w:rPr>
          <w:t>https://sourcebooks.fordham.edu/source/hoveden-becket.asp#1163</w:t>
        </w:r>
      </w:hyperlink>
      <w:r w:rsidR="00A04973" w:rsidRPr="00A04973">
        <w:rPr>
          <w:rFonts w:cs="Times New Roman"/>
        </w:rPr>
        <w:t>&gt; [</w:t>
      </w:r>
      <w:r w:rsidRPr="00A04973">
        <w:rPr>
          <w:rFonts w:cs="Times New Roman"/>
        </w:rPr>
        <w:t>Accessed 2 May 2023].</w:t>
      </w:r>
      <w:r w:rsidR="007D7820" w:rsidRPr="00A04973">
        <w:rPr>
          <w:rFonts w:cs="Times New Roman"/>
        </w:rPr>
        <w:t xml:space="preserve"> See also, Charles Duggan, </w:t>
      </w:r>
      <w:r w:rsidR="007D7820" w:rsidRPr="00A04973">
        <w:rPr>
          <w:rFonts w:cs="Times New Roman"/>
          <w:i/>
          <w:iCs/>
        </w:rPr>
        <w:t xml:space="preserve">Becket Dispute, </w:t>
      </w:r>
      <w:r w:rsidR="007D7820" w:rsidRPr="00A04973">
        <w:rPr>
          <w:rFonts w:cs="Times New Roman"/>
        </w:rPr>
        <w:t>p. 4</w:t>
      </w:r>
      <w:r w:rsidR="00B370D1" w:rsidRPr="00A04973">
        <w:rPr>
          <w:rFonts w:cs="Times New Roman"/>
        </w:rPr>
        <w:t xml:space="preserve">. Also, </w:t>
      </w:r>
      <w:r w:rsidR="007D7820" w:rsidRPr="00A04973">
        <w:rPr>
          <w:rFonts w:cs="Times New Roman"/>
        </w:rPr>
        <w:t>Robertson, III, pp.47, 270, 281.</w:t>
      </w:r>
    </w:p>
    <w:p w14:paraId="5C6A8C42" w14:textId="77777777" w:rsidR="000440FE" w:rsidRPr="00A04973" w:rsidRDefault="000440FE" w:rsidP="00A04973">
      <w:pPr>
        <w:pStyle w:val="FootnoteText"/>
        <w:rPr>
          <w:rFonts w:cs="Times New Roman"/>
          <w:i/>
          <w:iCs/>
        </w:rPr>
      </w:pPr>
    </w:p>
  </w:footnote>
  <w:footnote w:id="57">
    <w:p w14:paraId="74CBF7E6" w14:textId="55AA448A" w:rsidR="00957276" w:rsidRPr="00A04973" w:rsidRDefault="00957276"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D01C80" w:rsidRPr="00A04973">
        <w:rPr>
          <w:rFonts w:cs="Times New Roman"/>
        </w:rPr>
        <w:t xml:space="preserve">See, F. W. Maitland, ‘Henry II and the Criminous Clerks’ in </w:t>
      </w:r>
      <w:r w:rsidR="00D01C80" w:rsidRPr="00A04973">
        <w:rPr>
          <w:rFonts w:cs="Times New Roman"/>
          <w:i/>
          <w:iCs/>
        </w:rPr>
        <w:t xml:space="preserve">The English Historical Review, </w:t>
      </w:r>
      <w:r w:rsidR="00D01C80" w:rsidRPr="00A04973">
        <w:rPr>
          <w:rFonts w:cs="Times New Roman"/>
        </w:rPr>
        <w:t xml:space="preserve">Apr. 1892, Vol. 7. No 26, pp. 224-34. Also, Charles Duggan, ‘The Becket Dispute and the Criminous Clerks’ in </w:t>
      </w:r>
      <w:r w:rsidR="00D01C80" w:rsidRPr="00A04973">
        <w:rPr>
          <w:rFonts w:cs="Times New Roman"/>
          <w:i/>
          <w:iCs/>
        </w:rPr>
        <w:t>Bulletin of the Institute of Historical Research,</w:t>
      </w:r>
      <w:r w:rsidR="00267818" w:rsidRPr="00A04973">
        <w:rPr>
          <w:rFonts w:cs="Times New Roman"/>
          <w:i/>
          <w:iCs/>
        </w:rPr>
        <w:t xml:space="preserve"> </w:t>
      </w:r>
      <w:r w:rsidR="00267818" w:rsidRPr="00A04973">
        <w:rPr>
          <w:rFonts w:cs="Times New Roman"/>
        </w:rPr>
        <w:t>May 1962, Vol. XXXV, No. 91, pp. 1-28.</w:t>
      </w:r>
    </w:p>
    <w:p w14:paraId="5AE1AA1E" w14:textId="77777777" w:rsidR="00267818" w:rsidRPr="00A04973" w:rsidRDefault="00267818" w:rsidP="00A04973">
      <w:pPr>
        <w:pStyle w:val="FootnoteText"/>
        <w:rPr>
          <w:rFonts w:cs="Times New Roman"/>
        </w:rPr>
      </w:pPr>
    </w:p>
  </w:footnote>
  <w:footnote w:id="58">
    <w:p w14:paraId="052BDECA" w14:textId="230C4869" w:rsidR="00267818" w:rsidRPr="00A04973" w:rsidRDefault="00267818" w:rsidP="00A04973">
      <w:pPr>
        <w:pStyle w:val="FootnoteText"/>
        <w:rPr>
          <w:rFonts w:cs="Times New Roman"/>
        </w:rPr>
      </w:pPr>
      <w:r w:rsidRPr="00A04973">
        <w:rPr>
          <w:rStyle w:val="FootnoteReference"/>
          <w:rFonts w:cs="Times New Roman"/>
        </w:rPr>
        <w:footnoteRef/>
      </w:r>
      <w:r w:rsidRPr="00A04973">
        <w:rPr>
          <w:rFonts w:cs="Times New Roman"/>
        </w:rPr>
        <w:t xml:space="preserve"> Paul Brand, ‘Multis vigiliis excogitatam et inventam: Henry II and the Cr</w:t>
      </w:r>
      <w:r w:rsidR="00B408C0" w:rsidRPr="00A04973">
        <w:rPr>
          <w:rFonts w:cs="Times New Roman"/>
        </w:rPr>
        <w:t>e</w:t>
      </w:r>
      <w:r w:rsidRPr="00A04973">
        <w:rPr>
          <w:rFonts w:cs="Times New Roman"/>
        </w:rPr>
        <w:t xml:space="preserve">ation of the English Common Law’ in </w:t>
      </w:r>
      <w:r w:rsidRPr="00A04973">
        <w:rPr>
          <w:rFonts w:cs="Times New Roman"/>
          <w:i/>
          <w:iCs/>
        </w:rPr>
        <w:t xml:space="preserve">Haskins Society Journal, </w:t>
      </w:r>
      <w:r w:rsidRPr="00A04973">
        <w:rPr>
          <w:rFonts w:cs="Times New Roman"/>
        </w:rPr>
        <w:t xml:space="preserve">2 (1990), pp. 197-222.  See, Anne Duggan, </w:t>
      </w:r>
      <w:r w:rsidR="00B408C0" w:rsidRPr="00A04973">
        <w:rPr>
          <w:rFonts w:cs="Times New Roman"/>
          <w:i/>
          <w:iCs/>
        </w:rPr>
        <w:t xml:space="preserve">Thomas Becket, </w:t>
      </w:r>
      <w:r w:rsidRPr="00A04973">
        <w:rPr>
          <w:rFonts w:cs="Times New Roman"/>
        </w:rPr>
        <w:t>p</w:t>
      </w:r>
      <w:r w:rsidR="000440FE" w:rsidRPr="00A04973">
        <w:rPr>
          <w:rFonts w:cs="Times New Roman"/>
        </w:rPr>
        <w:t>p</w:t>
      </w:r>
      <w:r w:rsidRPr="00A04973">
        <w:rPr>
          <w:rFonts w:cs="Times New Roman"/>
        </w:rPr>
        <w:t>.</w:t>
      </w:r>
      <w:r w:rsidR="000440FE" w:rsidRPr="00A04973">
        <w:rPr>
          <w:rFonts w:cs="Times New Roman"/>
        </w:rPr>
        <w:t xml:space="preserve"> 48-</w:t>
      </w:r>
      <w:r w:rsidRPr="00A04973">
        <w:rPr>
          <w:rFonts w:cs="Times New Roman"/>
        </w:rPr>
        <w:t>9.</w:t>
      </w:r>
    </w:p>
    <w:p w14:paraId="28E97A98" w14:textId="77777777" w:rsidR="00267818" w:rsidRPr="00A04973" w:rsidRDefault="00267818" w:rsidP="00A04973">
      <w:pPr>
        <w:pStyle w:val="FootnoteText"/>
        <w:rPr>
          <w:rFonts w:cs="Times New Roman"/>
        </w:rPr>
      </w:pPr>
    </w:p>
  </w:footnote>
  <w:footnote w:id="59">
    <w:p w14:paraId="18BB4505" w14:textId="162062BA" w:rsidR="00AC5565" w:rsidRPr="00A04973" w:rsidRDefault="0013009E" w:rsidP="00A04973">
      <w:pPr>
        <w:pStyle w:val="FootnoteText"/>
        <w:rPr>
          <w:rFonts w:cs="Times New Roman"/>
        </w:rPr>
      </w:pPr>
      <w:r w:rsidRPr="00A04973">
        <w:rPr>
          <w:rStyle w:val="FootnoteReference"/>
          <w:rFonts w:cs="Times New Roman"/>
        </w:rPr>
        <w:footnoteRef/>
      </w:r>
      <w:r w:rsidRPr="00A04973">
        <w:rPr>
          <w:rFonts w:cs="Times New Roman"/>
        </w:rPr>
        <w:t xml:space="preserve"> Anne Duggan, </w:t>
      </w:r>
      <w:r w:rsidR="000D38C7" w:rsidRPr="00A04973">
        <w:rPr>
          <w:rFonts w:cs="Times New Roman"/>
          <w:i/>
          <w:iCs/>
        </w:rPr>
        <w:t xml:space="preserve">Thomas Becket, </w:t>
      </w:r>
      <w:r w:rsidRPr="00A04973">
        <w:rPr>
          <w:rFonts w:cs="Times New Roman"/>
        </w:rPr>
        <w:t>p</w:t>
      </w:r>
      <w:r w:rsidR="00C86657" w:rsidRPr="00A04973">
        <w:rPr>
          <w:rFonts w:cs="Times New Roman"/>
        </w:rPr>
        <w:t>p</w:t>
      </w:r>
      <w:r w:rsidRPr="00A04973">
        <w:rPr>
          <w:rFonts w:cs="Times New Roman"/>
        </w:rPr>
        <w:t>. 48-9</w:t>
      </w:r>
      <w:r w:rsidR="00AC5565" w:rsidRPr="00A04973">
        <w:rPr>
          <w:rFonts w:cs="Times New Roman"/>
        </w:rPr>
        <w:t xml:space="preserve">; Richard M. Fraher, ‘The Becket Dispute and Two Decretist Traditions: The Bolognese </w:t>
      </w:r>
      <w:r w:rsidR="00A04973" w:rsidRPr="00A04973">
        <w:rPr>
          <w:rFonts w:cs="Times New Roman"/>
        </w:rPr>
        <w:t>Master</w:t>
      </w:r>
      <w:r w:rsidR="00A04973">
        <w:rPr>
          <w:rFonts w:cs="Times New Roman"/>
        </w:rPr>
        <w:t>’</w:t>
      </w:r>
      <w:r w:rsidR="00A04973" w:rsidRPr="00A04973">
        <w:rPr>
          <w:rFonts w:cs="Times New Roman"/>
        </w:rPr>
        <w:t xml:space="preserve">s </w:t>
      </w:r>
      <w:r w:rsidR="00AC5565" w:rsidRPr="00A04973">
        <w:rPr>
          <w:rFonts w:cs="Times New Roman"/>
        </w:rPr>
        <w:t xml:space="preserve">Revisited and Some New Anglo-Norman Texts’ in </w:t>
      </w:r>
      <w:r w:rsidR="00AC5565" w:rsidRPr="00A04973">
        <w:rPr>
          <w:rFonts w:cs="Times New Roman"/>
          <w:i/>
          <w:iCs/>
        </w:rPr>
        <w:t xml:space="preserve">Journal of Medieval History, </w:t>
      </w:r>
      <w:r w:rsidR="00AC5565" w:rsidRPr="00A04973">
        <w:rPr>
          <w:rFonts w:cs="Times New Roman"/>
        </w:rPr>
        <w:t>Vol. 4 (1978), pp. 347-368 (p. 349).</w:t>
      </w:r>
      <w:r w:rsidR="0045385B" w:rsidRPr="00A04973">
        <w:rPr>
          <w:rFonts w:cs="Times New Roman"/>
        </w:rPr>
        <w:t xml:space="preserve"> William Fitzstephen in Robertson, </w:t>
      </w:r>
      <w:r w:rsidR="0045385B" w:rsidRPr="00A04973">
        <w:rPr>
          <w:rFonts w:cs="Times New Roman"/>
          <w:i/>
          <w:iCs/>
        </w:rPr>
        <w:t xml:space="preserve">Materials, </w:t>
      </w:r>
      <w:r w:rsidR="0045385B" w:rsidRPr="00A04973">
        <w:rPr>
          <w:rFonts w:cs="Times New Roman"/>
        </w:rPr>
        <w:t>III, p. 49.</w:t>
      </w:r>
    </w:p>
    <w:p w14:paraId="4A158CCF" w14:textId="49B0A51E" w:rsidR="0013009E" w:rsidRPr="00A04973" w:rsidRDefault="00AC5565" w:rsidP="00A04973">
      <w:pPr>
        <w:pStyle w:val="FootnoteText"/>
        <w:rPr>
          <w:rFonts w:cs="Times New Roman"/>
        </w:rPr>
      </w:pPr>
      <w:r w:rsidRPr="00A04973">
        <w:rPr>
          <w:rFonts w:cs="Times New Roman"/>
        </w:rPr>
        <w:t xml:space="preserve"> </w:t>
      </w:r>
    </w:p>
  </w:footnote>
  <w:footnote w:id="60">
    <w:p w14:paraId="32C3C4D7" w14:textId="77777777" w:rsidR="006F5DE0" w:rsidRPr="00A04973" w:rsidRDefault="006F5DE0" w:rsidP="00A04973">
      <w:pPr>
        <w:pStyle w:val="FootnoteText"/>
        <w:rPr>
          <w:rFonts w:cs="Times New Roman"/>
        </w:rPr>
      </w:pPr>
      <w:r w:rsidRPr="00A04973">
        <w:rPr>
          <w:rStyle w:val="FootnoteReference"/>
          <w:rFonts w:cs="Times New Roman"/>
        </w:rPr>
        <w:footnoteRef/>
      </w:r>
      <w:r w:rsidRPr="00A04973">
        <w:rPr>
          <w:rFonts w:cs="Times New Roman"/>
        </w:rPr>
        <w:t xml:space="preserve"> Guy, </w:t>
      </w:r>
      <w:r w:rsidRPr="00A04973">
        <w:rPr>
          <w:rFonts w:cs="Times New Roman"/>
          <w:i/>
          <w:iCs/>
        </w:rPr>
        <w:t xml:space="preserve">Thomas Becket, </w:t>
      </w:r>
      <w:r w:rsidRPr="00A04973">
        <w:rPr>
          <w:rFonts w:cs="Times New Roman"/>
        </w:rPr>
        <w:t xml:space="preserve">p. 51. </w:t>
      </w:r>
    </w:p>
    <w:p w14:paraId="1B633444" w14:textId="77777777" w:rsidR="006F5DE0" w:rsidRPr="00A04973" w:rsidRDefault="006F5DE0" w:rsidP="00A04973">
      <w:pPr>
        <w:pStyle w:val="FootnoteText"/>
        <w:rPr>
          <w:rFonts w:cs="Times New Roman"/>
        </w:rPr>
      </w:pPr>
    </w:p>
  </w:footnote>
  <w:footnote w:id="61">
    <w:p w14:paraId="3AA5114F" w14:textId="12B0E306" w:rsidR="00496F78" w:rsidRPr="00A04973" w:rsidRDefault="00496F78" w:rsidP="00A04973">
      <w:pPr>
        <w:pStyle w:val="FootnoteText"/>
        <w:rPr>
          <w:rFonts w:cs="Times New Roman"/>
        </w:rPr>
      </w:pPr>
      <w:r w:rsidRPr="00A04973">
        <w:rPr>
          <w:rStyle w:val="FootnoteReference"/>
          <w:rFonts w:cs="Times New Roman"/>
        </w:rPr>
        <w:footnoteRef/>
      </w:r>
      <w:r w:rsidRPr="00A04973">
        <w:rPr>
          <w:rFonts w:cs="Times New Roman"/>
        </w:rPr>
        <w:t xml:space="preserve"> Charles Duggan, </w:t>
      </w:r>
      <w:r w:rsidRPr="00A04973">
        <w:rPr>
          <w:rFonts w:cs="Times New Roman"/>
          <w:i/>
          <w:iCs/>
        </w:rPr>
        <w:t xml:space="preserve">Becket Dispute, </w:t>
      </w:r>
      <w:r w:rsidRPr="00A04973">
        <w:rPr>
          <w:rFonts w:cs="Times New Roman"/>
        </w:rPr>
        <w:t>pp. 6-7.</w:t>
      </w:r>
    </w:p>
    <w:p w14:paraId="3C810967" w14:textId="77777777" w:rsidR="007B0711" w:rsidRPr="00A04973" w:rsidRDefault="007B0711" w:rsidP="00A04973">
      <w:pPr>
        <w:pStyle w:val="FootnoteText"/>
        <w:rPr>
          <w:rFonts w:cs="Times New Roman"/>
        </w:rPr>
      </w:pPr>
    </w:p>
  </w:footnote>
  <w:footnote w:id="62">
    <w:p w14:paraId="38F2586D" w14:textId="08B41FD9" w:rsidR="006F5DE0" w:rsidRPr="00A04973" w:rsidRDefault="006F5DE0" w:rsidP="00A04973">
      <w:pPr>
        <w:pStyle w:val="FootnoteText"/>
        <w:rPr>
          <w:rFonts w:cs="Times New Roman"/>
        </w:rPr>
      </w:pPr>
      <w:r w:rsidRPr="00A04973">
        <w:rPr>
          <w:rStyle w:val="FootnoteReference"/>
          <w:rFonts w:cs="Times New Roman"/>
        </w:rPr>
        <w:footnoteRef/>
      </w:r>
      <w:r w:rsidRPr="00A04973">
        <w:rPr>
          <w:rFonts w:cs="Times New Roman"/>
        </w:rPr>
        <w:t xml:space="preserve"> Fraher, </w:t>
      </w:r>
      <w:r w:rsidR="000F1EBB" w:rsidRPr="00A04973">
        <w:rPr>
          <w:rFonts w:cs="Times New Roman"/>
          <w:i/>
          <w:iCs/>
        </w:rPr>
        <w:t xml:space="preserve">Becket Dispute, </w:t>
      </w:r>
      <w:r w:rsidRPr="00A04973">
        <w:rPr>
          <w:rFonts w:cs="Times New Roman"/>
        </w:rPr>
        <w:t>p</w:t>
      </w:r>
      <w:r w:rsidR="007B0711" w:rsidRPr="00A04973">
        <w:rPr>
          <w:rFonts w:cs="Times New Roman"/>
        </w:rPr>
        <w:t>p</w:t>
      </w:r>
      <w:r w:rsidRPr="00A04973">
        <w:rPr>
          <w:rFonts w:cs="Times New Roman"/>
        </w:rPr>
        <w:t>. 352-5, 356-9.</w:t>
      </w:r>
    </w:p>
    <w:p w14:paraId="2CADDB14" w14:textId="77777777" w:rsidR="00112B95" w:rsidRPr="00A04973" w:rsidRDefault="00112B95" w:rsidP="00A04973">
      <w:pPr>
        <w:pStyle w:val="FootnoteText"/>
        <w:rPr>
          <w:rFonts w:cs="Times New Roman"/>
        </w:rPr>
      </w:pPr>
    </w:p>
  </w:footnote>
  <w:footnote w:id="63">
    <w:p w14:paraId="7D56F5D6" w14:textId="08599798" w:rsidR="006F5DE0" w:rsidRPr="00A04973" w:rsidRDefault="006F5DE0" w:rsidP="00A04973">
      <w:pPr>
        <w:pStyle w:val="FootnoteText"/>
        <w:rPr>
          <w:rFonts w:cs="Times New Roman"/>
        </w:rPr>
      </w:pPr>
      <w:r w:rsidRPr="00A04973">
        <w:rPr>
          <w:rStyle w:val="FootnoteReference"/>
          <w:rFonts w:cs="Times New Roman"/>
        </w:rPr>
        <w:footnoteRef/>
      </w:r>
      <w:r w:rsidRPr="00A04973">
        <w:rPr>
          <w:rFonts w:cs="Times New Roman"/>
        </w:rPr>
        <w:t xml:space="preserve"> Charles Duggan, </w:t>
      </w:r>
      <w:r w:rsidR="00D006DF" w:rsidRPr="00A04973">
        <w:rPr>
          <w:rFonts w:cs="Times New Roman"/>
          <w:i/>
          <w:iCs/>
        </w:rPr>
        <w:t xml:space="preserve">Becket Dispute, </w:t>
      </w:r>
      <w:r w:rsidRPr="00A04973">
        <w:rPr>
          <w:rFonts w:cs="Times New Roman"/>
        </w:rPr>
        <w:t>p. 27.</w:t>
      </w:r>
    </w:p>
    <w:p w14:paraId="0C2219D7" w14:textId="77777777" w:rsidR="006F5DE0" w:rsidRPr="00A04973" w:rsidRDefault="006F5DE0" w:rsidP="00A04973">
      <w:pPr>
        <w:pStyle w:val="FootnoteText"/>
        <w:rPr>
          <w:rFonts w:cs="Times New Roman"/>
        </w:rPr>
      </w:pPr>
    </w:p>
  </w:footnote>
  <w:footnote w:id="64">
    <w:p w14:paraId="134613C4" w14:textId="683E1912" w:rsidR="006F5DE0" w:rsidRPr="00A04973" w:rsidRDefault="006F5DE0" w:rsidP="00A04973">
      <w:pPr>
        <w:pStyle w:val="FootnoteText"/>
        <w:rPr>
          <w:rFonts w:cs="Times New Roman"/>
        </w:rPr>
      </w:pPr>
      <w:r w:rsidRPr="00A04973">
        <w:rPr>
          <w:rStyle w:val="FootnoteReference"/>
          <w:rFonts w:cs="Times New Roman"/>
        </w:rPr>
        <w:footnoteRef/>
      </w:r>
      <w:r w:rsidRPr="00A04973">
        <w:rPr>
          <w:rFonts w:cs="Times New Roman"/>
        </w:rPr>
        <w:t xml:space="preserve"> Charles Duggan, </w:t>
      </w:r>
      <w:r w:rsidR="00D006DF" w:rsidRPr="00A04973">
        <w:rPr>
          <w:rFonts w:cs="Times New Roman"/>
          <w:i/>
          <w:iCs/>
        </w:rPr>
        <w:t>Becket Dispute,</w:t>
      </w:r>
      <w:r w:rsidR="00D006DF" w:rsidRPr="00A04973">
        <w:rPr>
          <w:rFonts w:cs="Times New Roman"/>
        </w:rPr>
        <w:t xml:space="preserve"> </w:t>
      </w:r>
      <w:r w:rsidRPr="00A04973">
        <w:rPr>
          <w:rFonts w:cs="Times New Roman"/>
        </w:rPr>
        <w:t xml:space="preserve">p. 28. </w:t>
      </w:r>
    </w:p>
    <w:p w14:paraId="027104B3" w14:textId="77777777" w:rsidR="006F5DE0" w:rsidRPr="00A04973" w:rsidRDefault="006F5DE0" w:rsidP="00A04973">
      <w:pPr>
        <w:pStyle w:val="FootnoteText"/>
        <w:rPr>
          <w:rFonts w:cs="Times New Roman"/>
        </w:rPr>
      </w:pPr>
    </w:p>
  </w:footnote>
  <w:footnote w:id="65">
    <w:p w14:paraId="4B08D845" w14:textId="04898B92" w:rsidR="00724169" w:rsidRPr="00A04973" w:rsidRDefault="00724169" w:rsidP="00A04973">
      <w:pPr>
        <w:pStyle w:val="FootnoteText"/>
        <w:rPr>
          <w:rFonts w:cs="Times New Roman"/>
          <w:lang w:val="de-DE"/>
        </w:rPr>
      </w:pPr>
      <w:r w:rsidRPr="00A04973">
        <w:rPr>
          <w:rStyle w:val="FootnoteReference"/>
          <w:rFonts w:cs="Times New Roman"/>
        </w:rPr>
        <w:footnoteRef/>
      </w:r>
      <w:r w:rsidRPr="00A04973">
        <w:rPr>
          <w:rFonts w:cs="Times New Roman"/>
          <w:lang w:val="de-DE"/>
        </w:rPr>
        <w:t xml:space="preserve"> Fraher, </w:t>
      </w:r>
      <w:r w:rsidR="005048E9" w:rsidRPr="00A04973">
        <w:rPr>
          <w:rFonts w:cs="Times New Roman"/>
          <w:i/>
          <w:iCs/>
          <w:lang w:val="de-DE"/>
        </w:rPr>
        <w:t>Becket Dispute,</w:t>
      </w:r>
      <w:r w:rsidR="005048E9" w:rsidRPr="00A04973">
        <w:rPr>
          <w:rFonts w:cs="Times New Roman"/>
          <w:lang w:val="de-DE"/>
        </w:rPr>
        <w:t xml:space="preserve"> </w:t>
      </w:r>
      <w:r w:rsidRPr="00A04973">
        <w:rPr>
          <w:rFonts w:cs="Times New Roman"/>
          <w:lang w:val="de-DE"/>
        </w:rPr>
        <w:t>p</w:t>
      </w:r>
      <w:r w:rsidR="005048E9" w:rsidRPr="00A04973">
        <w:rPr>
          <w:rFonts w:cs="Times New Roman"/>
          <w:lang w:val="de-DE"/>
        </w:rPr>
        <w:t>p</w:t>
      </w:r>
      <w:r w:rsidRPr="00A04973">
        <w:rPr>
          <w:rFonts w:cs="Times New Roman"/>
          <w:lang w:val="de-DE"/>
        </w:rPr>
        <w:t>. 348, 353</w:t>
      </w:r>
      <w:r w:rsidR="0055039E" w:rsidRPr="00A04973">
        <w:rPr>
          <w:rFonts w:cs="Times New Roman"/>
          <w:lang w:val="de-DE"/>
        </w:rPr>
        <w:t>.</w:t>
      </w:r>
    </w:p>
    <w:p w14:paraId="666E4158" w14:textId="77777777" w:rsidR="005048E9" w:rsidRPr="00A04973" w:rsidRDefault="005048E9" w:rsidP="00A04973">
      <w:pPr>
        <w:pStyle w:val="FootnoteText"/>
        <w:rPr>
          <w:rFonts w:cs="Times New Roman"/>
          <w:lang w:val="de-DE"/>
        </w:rPr>
      </w:pPr>
    </w:p>
  </w:footnote>
  <w:footnote w:id="66">
    <w:p w14:paraId="072BEEFB" w14:textId="50DF4FAA" w:rsidR="0055039E" w:rsidRPr="00A04973" w:rsidRDefault="0055039E" w:rsidP="00A04973">
      <w:pPr>
        <w:pStyle w:val="FootnoteText"/>
        <w:rPr>
          <w:rFonts w:cs="Times New Roman"/>
          <w:lang w:val="de-DE"/>
        </w:rPr>
      </w:pPr>
      <w:r w:rsidRPr="00A04973">
        <w:rPr>
          <w:rStyle w:val="FootnoteReference"/>
          <w:rFonts w:cs="Times New Roman"/>
        </w:rPr>
        <w:footnoteRef/>
      </w:r>
      <w:r w:rsidRPr="00A04973">
        <w:rPr>
          <w:rFonts w:cs="Times New Roman"/>
          <w:lang w:val="de-DE"/>
        </w:rPr>
        <w:t xml:space="preserve"> Fraher, </w:t>
      </w:r>
      <w:r w:rsidR="005048E9" w:rsidRPr="00A04973">
        <w:rPr>
          <w:rFonts w:cs="Times New Roman"/>
          <w:i/>
          <w:iCs/>
          <w:lang w:val="de-DE"/>
        </w:rPr>
        <w:t>Becket Dispute</w:t>
      </w:r>
      <w:r w:rsidR="005048E9" w:rsidRPr="00A04973">
        <w:rPr>
          <w:rFonts w:cs="Times New Roman"/>
          <w:lang w:val="de-DE"/>
        </w:rPr>
        <w:t xml:space="preserve">, </w:t>
      </w:r>
      <w:r w:rsidRPr="00A04973">
        <w:rPr>
          <w:rFonts w:cs="Times New Roman"/>
          <w:lang w:val="de-DE"/>
        </w:rPr>
        <w:t>p. 355.</w:t>
      </w:r>
    </w:p>
    <w:p w14:paraId="76350B50" w14:textId="77777777" w:rsidR="005048E9" w:rsidRPr="00A04973" w:rsidRDefault="005048E9" w:rsidP="00A04973">
      <w:pPr>
        <w:pStyle w:val="FootnoteText"/>
        <w:rPr>
          <w:rFonts w:cs="Times New Roman"/>
          <w:lang w:val="de-DE"/>
        </w:rPr>
      </w:pPr>
    </w:p>
  </w:footnote>
  <w:footnote w:id="67">
    <w:p w14:paraId="133F161F" w14:textId="2F3CD501" w:rsidR="00947F6D" w:rsidRPr="00A04973" w:rsidRDefault="00947F6D" w:rsidP="00A04973">
      <w:pPr>
        <w:pStyle w:val="FootnoteText"/>
        <w:rPr>
          <w:rFonts w:cs="Times New Roman"/>
        </w:rPr>
      </w:pPr>
      <w:r w:rsidRPr="00A04973">
        <w:rPr>
          <w:rStyle w:val="FootnoteReference"/>
          <w:rFonts w:cs="Times New Roman"/>
        </w:rPr>
        <w:footnoteRef/>
      </w:r>
      <w:r w:rsidRPr="00884001">
        <w:rPr>
          <w:rFonts w:cs="Times New Roman"/>
        </w:rPr>
        <w:t xml:space="preserve"> </w:t>
      </w:r>
      <w:r w:rsidR="006D056A" w:rsidRPr="00884001">
        <w:rPr>
          <w:rFonts w:cs="Times New Roman"/>
        </w:rPr>
        <w:t xml:space="preserve">Warren, </w:t>
      </w:r>
      <w:r w:rsidR="006D056A" w:rsidRPr="00884001">
        <w:rPr>
          <w:rFonts w:cs="Times New Roman"/>
          <w:i/>
          <w:iCs/>
        </w:rPr>
        <w:t xml:space="preserve">Henry II, </w:t>
      </w:r>
      <w:r w:rsidR="006D056A" w:rsidRPr="00884001">
        <w:rPr>
          <w:rFonts w:cs="Times New Roman"/>
        </w:rPr>
        <w:t xml:space="preserve">pp. 80-1. Also, </w:t>
      </w:r>
      <w:r w:rsidR="00BD49C2" w:rsidRPr="00884001">
        <w:rPr>
          <w:rFonts w:cs="Times New Roman"/>
        </w:rPr>
        <w:t xml:space="preserve">William Fitzstephen in Robertson, </w:t>
      </w:r>
      <w:r w:rsidR="00BD49C2" w:rsidRPr="00884001">
        <w:rPr>
          <w:rFonts w:cs="Times New Roman"/>
          <w:i/>
          <w:iCs/>
        </w:rPr>
        <w:t xml:space="preserve">Materials, </w:t>
      </w:r>
      <w:r w:rsidR="00BD49C2" w:rsidRPr="00884001">
        <w:rPr>
          <w:rFonts w:cs="Times New Roman"/>
        </w:rPr>
        <w:t xml:space="preserve">III, pp. 24-5. </w:t>
      </w:r>
      <w:r w:rsidR="00BD49C2" w:rsidRPr="00A04973">
        <w:rPr>
          <w:rFonts w:cs="Times New Roman"/>
        </w:rPr>
        <w:t xml:space="preserve">See </w:t>
      </w:r>
      <w:r w:rsidRPr="00A04973">
        <w:rPr>
          <w:rFonts w:cs="Times New Roman"/>
        </w:rPr>
        <w:t xml:space="preserve">Gourde, </w:t>
      </w:r>
      <w:r w:rsidRPr="00A04973">
        <w:rPr>
          <w:rFonts w:cs="Times New Roman"/>
          <w:i/>
          <w:iCs/>
        </w:rPr>
        <w:t xml:space="preserve">Annotated Life, </w:t>
      </w:r>
      <w:r w:rsidRPr="00A04973">
        <w:rPr>
          <w:rFonts w:cs="Times New Roman"/>
        </w:rPr>
        <w:t>p</w:t>
      </w:r>
      <w:r w:rsidR="00BD49C2" w:rsidRPr="00A04973">
        <w:rPr>
          <w:rFonts w:cs="Times New Roman"/>
        </w:rPr>
        <w:t>p</w:t>
      </w:r>
      <w:r w:rsidRPr="00A04973">
        <w:rPr>
          <w:rFonts w:cs="Times New Roman"/>
        </w:rPr>
        <w:t>. 3</w:t>
      </w:r>
      <w:r w:rsidR="006D056A" w:rsidRPr="00A04973">
        <w:rPr>
          <w:rFonts w:cs="Times New Roman"/>
        </w:rPr>
        <w:t xml:space="preserve">2-3. Als, Herbert of Bosham in Robertson, </w:t>
      </w:r>
      <w:r w:rsidR="006D056A" w:rsidRPr="00A04973">
        <w:rPr>
          <w:rFonts w:cs="Times New Roman"/>
          <w:i/>
          <w:iCs/>
        </w:rPr>
        <w:t xml:space="preserve">Materials, </w:t>
      </w:r>
      <w:r w:rsidR="006D056A" w:rsidRPr="00A04973">
        <w:rPr>
          <w:rFonts w:cs="Times New Roman"/>
        </w:rPr>
        <w:t xml:space="preserve">III, 250-2. See Staunton (tr.), </w:t>
      </w:r>
      <w:r w:rsidR="006D056A" w:rsidRPr="00A04973">
        <w:rPr>
          <w:rFonts w:cs="Times New Roman"/>
          <w:i/>
          <w:iCs/>
        </w:rPr>
        <w:t xml:space="preserve">Thomas Becket, </w:t>
      </w:r>
      <w:r w:rsidR="006D056A" w:rsidRPr="00A04973">
        <w:rPr>
          <w:rFonts w:cs="Times New Roman"/>
        </w:rPr>
        <w:t>pp. 70-2.</w:t>
      </w:r>
    </w:p>
    <w:p w14:paraId="3878FD24" w14:textId="77777777" w:rsidR="00BD49C2" w:rsidRPr="00A04973" w:rsidRDefault="00BD49C2" w:rsidP="00A04973">
      <w:pPr>
        <w:pStyle w:val="FootnoteText"/>
        <w:rPr>
          <w:rFonts w:cs="Times New Roman"/>
        </w:rPr>
      </w:pPr>
    </w:p>
  </w:footnote>
  <w:footnote w:id="68">
    <w:p w14:paraId="7E4EAC83" w14:textId="5C55384F" w:rsidR="00BD49C2" w:rsidRPr="00A04973" w:rsidRDefault="00BD49C2" w:rsidP="00A04973">
      <w:pPr>
        <w:pStyle w:val="FootnoteText"/>
        <w:rPr>
          <w:rFonts w:cs="Times New Roman"/>
        </w:rPr>
      </w:pPr>
      <w:r w:rsidRPr="00A04973">
        <w:rPr>
          <w:rStyle w:val="FootnoteReference"/>
          <w:rFonts w:cs="Times New Roman"/>
        </w:rPr>
        <w:footnoteRef/>
      </w:r>
      <w:r w:rsidRPr="00A04973">
        <w:rPr>
          <w:rFonts w:cs="Times New Roman"/>
        </w:rPr>
        <w:t xml:space="preserve"> William Fitzstephen in Robertson, </w:t>
      </w:r>
      <w:r w:rsidRPr="00A04973">
        <w:rPr>
          <w:rFonts w:cs="Times New Roman"/>
          <w:i/>
          <w:iCs/>
        </w:rPr>
        <w:t xml:space="preserve">Materials, </w:t>
      </w:r>
      <w:r w:rsidRPr="00A04973">
        <w:rPr>
          <w:rFonts w:cs="Times New Roman"/>
        </w:rPr>
        <w:t xml:space="preserve">III, pp. 29. See Gourde, </w:t>
      </w:r>
      <w:r w:rsidRPr="00A04973">
        <w:rPr>
          <w:rFonts w:cs="Times New Roman"/>
          <w:i/>
          <w:iCs/>
        </w:rPr>
        <w:t xml:space="preserve">Annotated Life, </w:t>
      </w:r>
      <w:r w:rsidRPr="00A04973">
        <w:rPr>
          <w:rFonts w:cs="Times New Roman"/>
        </w:rPr>
        <w:t>p. 39.</w:t>
      </w:r>
      <w:r w:rsidR="006D056A" w:rsidRPr="00A04973">
        <w:rPr>
          <w:rFonts w:cs="Times New Roman"/>
        </w:rPr>
        <w:t xml:space="preserve"> Also, Warren, </w:t>
      </w:r>
      <w:r w:rsidR="006D056A" w:rsidRPr="00A04973">
        <w:rPr>
          <w:rFonts w:cs="Times New Roman"/>
          <w:i/>
          <w:iCs/>
        </w:rPr>
        <w:t xml:space="preserve">Henry II, </w:t>
      </w:r>
      <w:r w:rsidR="006D056A" w:rsidRPr="00A04973">
        <w:rPr>
          <w:rFonts w:cs="Times New Roman"/>
        </w:rPr>
        <w:t>p. 393.</w:t>
      </w:r>
    </w:p>
    <w:p w14:paraId="105C701C" w14:textId="77777777" w:rsidR="00BD49C2" w:rsidRPr="00A04973" w:rsidRDefault="00BD49C2" w:rsidP="00A04973">
      <w:pPr>
        <w:pStyle w:val="FootnoteText"/>
        <w:rPr>
          <w:rFonts w:cs="Times New Roman"/>
        </w:rPr>
      </w:pPr>
    </w:p>
  </w:footnote>
  <w:footnote w:id="69">
    <w:p w14:paraId="023C4AEA" w14:textId="19B79E35" w:rsidR="00BD49C2" w:rsidRPr="00A04973" w:rsidRDefault="00BD49C2" w:rsidP="00A04973">
      <w:pPr>
        <w:pStyle w:val="FootnoteText"/>
        <w:rPr>
          <w:rFonts w:cs="Times New Roman"/>
        </w:rPr>
      </w:pPr>
      <w:r w:rsidRPr="00A04973">
        <w:rPr>
          <w:rStyle w:val="FootnoteReference"/>
          <w:rFonts w:cs="Times New Roman"/>
        </w:rPr>
        <w:footnoteRef/>
      </w:r>
      <w:r w:rsidRPr="00A04973">
        <w:rPr>
          <w:rFonts w:cs="Times New Roman"/>
        </w:rPr>
        <w:t xml:space="preserve"> William Fitzstephen in Robertson, </w:t>
      </w:r>
      <w:r w:rsidRPr="00A04973">
        <w:rPr>
          <w:rFonts w:cs="Times New Roman"/>
          <w:i/>
          <w:iCs/>
        </w:rPr>
        <w:t xml:space="preserve">Materials, </w:t>
      </w:r>
      <w:r w:rsidRPr="00A04973">
        <w:rPr>
          <w:rFonts w:cs="Times New Roman"/>
        </w:rPr>
        <w:t xml:space="preserve">III, pp. 25. See Gourde, </w:t>
      </w:r>
      <w:r w:rsidRPr="00A04973">
        <w:rPr>
          <w:rFonts w:cs="Times New Roman"/>
          <w:i/>
          <w:iCs/>
        </w:rPr>
        <w:t xml:space="preserve">Annotated Life, </w:t>
      </w:r>
      <w:r w:rsidRPr="00A04973">
        <w:rPr>
          <w:rFonts w:cs="Times New Roman"/>
        </w:rPr>
        <w:t>p. 33.</w:t>
      </w:r>
    </w:p>
    <w:p w14:paraId="1B429F31" w14:textId="77777777" w:rsidR="00BD49C2" w:rsidRPr="00A04973" w:rsidRDefault="00BD49C2" w:rsidP="00A04973">
      <w:pPr>
        <w:pStyle w:val="FootnoteText"/>
        <w:rPr>
          <w:rFonts w:cs="Times New Roman"/>
        </w:rPr>
      </w:pPr>
    </w:p>
  </w:footnote>
  <w:footnote w:id="70">
    <w:p w14:paraId="58FE2F71" w14:textId="20B2E3CA" w:rsidR="00173973" w:rsidRPr="00884001" w:rsidRDefault="00173973" w:rsidP="00A04973">
      <w:pPr>
        <w:pStyle w:val="FootnoteText"/>
        <w:rPr>
          <w:rFonts w:cs="Times New Roman"/>
          <w:lang w:val="de-DE"/>
        </w:rPr>
      </w:pPr>
      <w:r w:rsidRPr="00A04973">
        <w:rPr>
          <w:rStyle w:val="FootnoteReference"/>
          <w:rFonts w:cs="Times New Roman"/>
        </w:rPr>
        <w:footnoteRef/>
      </w:r>
      <w:r w:rsidRPr="00884001">
        <w:rPr>
          <w:rFonts w:cs="Times New Roman"/>
          <w:lang w:val="de-DE"/>
        </w:rPr>
        <w:t xml:space="preserve"> Warren, </w:t>
      </w:r>
      <w:r w:rsidR="005048E9" w:rsidRPr="00884001">
        <w:rPr>
          <w:rFonts w:cs="Times New Roman"/>
          <w:i/>
          <w:iCs/>
          <w:lang w:val="de-DE"/>
        </w:rPr>
        <w:t xml:space="preserve">Henry II, </w:t>
      </w:r>
      <w:r w:rsidRPr="00884001">
        <w:rPr>
          <w:rFonts w:cs="Times New Roman"/>
          <w:lang w:val="de-DE"/>
        </w:rPr>
        <w:t>p. 98.</w:t>
      </w:r>
    </w:p>
    <w:p w14:paraId="77B604CB" w14:textId="77777777" w:rsidR="005048E9" w:rsidRPr="00884001" w:rsidRDefault="005048E9" w:rsidP="00A04973">
      <w:pPr>
        <w:pStyle w:val="FootnoteText"/>
        <w:rPr>
          <w:rFonts w:cs="Times New Roman"/>
          <w:lang w:val="de-DE"/>
        </w:rPr>
      </w:pPr>
    </w:p>
  </w:footnote>
  <w:footnote w:id="71">
    <w:p w14:paraId="0F31776D" w14:textId="1D5B4682" w:rsidR="006D056A" w:rsidRPr="00884001" w:rsidRDefault="006D056A" w:rsidP="00A04973">
      <w:pPr>
        <w:pStyle w:val="FootnoteText"/>
        <w:rPr>
          <w:rFonts w:cs="Times New Roman"/>
        </w:rPr>
      </w:pPr>
      <w:r w:rsidRPr="00A04973">
        <w:rPr>
          <w:rStyle w:val="FootnoteReference"/>
          <w:rFonts w:cs="Times New Roman"/>
        </w:rPr>
        <w:footnoteRef/>
      </w:r>
      <w:r w:rsidRPr="00884001">
        <w:rPr>
          <w:rFonts w:cs="Times New Roman"/>
          <w:lang w:val="de-DE"/>
        </w:rPr>
        <w:t xml:space="preserve"> Warren, </w:t>
      </w:r>
      <w:r w:rsidRPr="00884001">
        <w:rPr>
          <w:rFonts w:cs="Times New Roman"/>
          <w:i/>
          <w:iCs/>
          <w:lang w:val="de-DE"/>
        </w:rPr>
        <w:t xml:space="preserve">Henry II, </w:t>
      </w:r>
      <w:r w:rsidRPr="00884001">
        <w:rPr>
          <w:rFonts w:cs="Times New Roman"/>
          <w:lang w:val="de-DE"/>
        </w:rPr>
        <w:t xml:space="preserve">pp. 33, 44-5. </w:t>
      </w:r>
      <w:r w:rsidRPr="00884001">
        <w:rPr>
          <w:rFonts w:cs="Times New Roman"/>
        </w:rPr>
        <w:t>210-11.</w:t>
      </w:r>
    </w:p>
    <w:p w14:paraId="6685D13E" w14:textId="77777777" w:rsidR="006D056A" w:rsidRPr="00884001" w:rsidRDefault="006D056A" w:rsidP="00A04973">
      <w:pPr>
        <w:pStyle w:val="FootnoteText"/>
        <w:rPr>
          <w:rFonts w:cs="Times New Roman"/>
        </w:rPr>
      </w:pPr>
    </w:p>
  </w:footnote>
  <w:footnote w:id="72">
    <w:p w14:paraId="26D2DE33" w14:textId="18539B6F" w:rsidR="000E4576" w:rsidRPr="00884001" w:rsidRDefault="000E4576" w:rsidP="00A04973">
      <w:pPr>
        <w:pStyle w:val="FootnoteText"/>
        <w:rPr>
          <w:rFonts w:cs="Times New Roman"/>
        </w:rPr>
      </w:pPr>
      <w:r w:rsidRPr="00A04973">
        <w:rPr>
          <w:rStyle w:val="FootnoteReference"/>
          <w:rFonts w:cs="Times New Roman"/>
        </w:rPr>
        <w:footnoteRef/>
      </w:r>
      <w:r w:rsidRPr="00884001">
        <w:rPr>
          <w:rFonts w:cs="Times New Roman"/>
        </w:rPr>
        <w:t xml:space="preserve"> </w:t>
      </w:r>
      <w:r w:rsidR="009E7C9B" w:rsidRPr="00884001">
        <w:rPr>
          <w:rFonts w:cs="Times New Roman"/>
        </w:rPr>
        <w:t>Robertson</w:t>
      </w:r>
      <w:r w:rsidRPr="00884001">
        <w:rPr>
          <w:rFonts w:cs="Times New Roman"/>
        </w:rPr>
        <w:t xml:space="preserve">, </w:t>
      </w:r>
      <w:r w:rsidRPr="00884001">
        <w:rPr>
          <w:rFonts w:cs="Times New Roman"/>
          <w:i/>
          <w:iCs/>
        </w:rPr>
        <w:t xml:space="preserve">Materials, </w:t>
      </w:r>
      <w:r w:rsidRPr="00884001">
        <w:rPr>
          <w:rFonts w:cs="Times New Roman"/>
        </w:rPr>
        <w:t>III, p. 48.</w:t>
      </w:r>
    </w:p>
    <w:p w14:paraId="533B209E" w14:textId="77777777" w:rsidR="00A11D24" w:rsidRPr="00884001" w:rsidRDefault="00A11D24" w:rsidP="00A04973">
      <w:pPr>
        <w:pStyle w:val="FootnoteText"/>
        <w:rPr>
          <w:rFonts w:cs="Times New Roman"/>
        </w:rPr>
      </w:pPr>
    </w:p>
  </w:footnote>
  <w:footnote w:id="73">
    <w:p w14:paraId="7C72D872" w14:textId="4AA71A10" w:rsidR="003247ED" w:rsidRPr="00A04973" w:rsidRDefault="003247ED"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9E7C9B" w:rsidRPr="00A04973">
        <w:rPr>
          <w:rFonts w:cs="Times New Roman"/>
        </w:rPr>
        <w:t>Robertson</w:t>
      </w:r>
      <w:r w:rsidR="005048E9" w:rsidRPr="00A04973">
        <w:rPr>
          <w:rFonts w:cs="Times New Roman"/>
        </w:rPr>
        <w:t xml:space="preserve">, </w:t>
      </w:r>
      <w:r w:rsidR="005048E9" w:rsidRPr="00A04973">
        <w:rPr>
          <w:rFonts w:cs="Times New Roman"/>
          <w:i/>
          <w:iCs/>
        </w:rPr>
        <w:t xml:space="preserve">Materials, </w:t>
      </w:r>
      <w:r w:rsidR="005048E9" w:rsidRPr="00A04973">
        <w:rPr>
          <w:rFonts w:cs="Times New Roman"/>
        </w:rPr>
        <w:t>III</w:t>
      </w:r>
      <w:r w:rsidRPr="00A04973">
        <w:rPr>
          <w:rFonts w:cs="Times New Roman"/>
        </w:rPr>
        <w:t xml:space="preserve">, </w:t>
      </w:r>
      <w:r w:rsidR="005048E9" w:rsidRPr="00A04973">
        <w:rPr>
          <w:rFonts w:cs="Times New Roman"/>
        </w:rPr>
        <w:t xml:space="preserve">p. </w:t>
      </w:r>
      <w:r w:rsidRPr="00A04973">
        <w:rPr>
          <w:rFonts w:cs="Times New Roman"/>
        </w:rPr>
        <w:t>275</w:t>
      </w:r>
      <w:r w:rsidR="005048E9" w:rsidRPr="00A04973">
        <w:rPr>
          <w:rFonts w:cs="Times New Roman"/>
        </w:rPr>
        <w:t>.</w:t>
      </w:r>
    </w:p>
    <w:p w14:paraId="445CD63A" w14:textId="77777777" w:rsidR="00A11D24" w:rsidRPr="00A04973" w:rsidRDefault="00A11D24" w:rsidP="00A04973">
      <w:pPr>
        <w:pStyle w:val="FootnoteText"/>
        <w:rPr>
          <w:rFonts w:cs="Times New Roman"/>
        </w:rPr>
      </w:pPr>
    </w:p>
  </w:footnote>
  <w:footnote w:id="74">
    <w:p w14:paraId="3639C9CE" w14:textId="509B6268" w:rsidR="006D056A" w:rsidRPr="00A04973" w:rsidRDefault="006D056A"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9B6564" w:rsidRPr="00A04973">
        <w:rPr>
          <w:rFonts w:cs="Times New Roman"/>
        </w:rPr>
        <w:t xml:space="preserve">Roger of Pontigny (Anonymous I) in Robertson, </w:t>
      </w:r>
      <w:r w:rsidR="009B6564" w:rsidRPr="00A04973">
        <w:rPr>
          <w:rFonts w:cs="Times New Roman"/>
          <w:i/>
          <w:iCs/>
        </w:rPr>
        <w:t xml:space="preserve">Materials, </w:t>
      </w:r>
      <w:r w:rsidR="009B6564" w:rsidRPr="00A04973">
        <w:rPr>
          <w:rFonts w:cs="Times New Roman"/>
        </w:rPr>
        <w:t xml:space="preserve">IV, p. 24, translated in Staunton, </w:t>
      </w:r>
      <w:r w:rsidR="009B6564" w:rsidRPr="00A04973">
        <w:rPr>
          <w:rFonts w:cs="Times New Roman"/>
          <w:i/>
          <w:iCs/>
        </w:rPr>
        <w:t>Lives of Thomas Becket</w:t>
      </w:r>
      <w:r w:rsidR="009B6564" w:rsidRPr="00A04973">
        <w:rPr>
          <w:rFonts w:cs="Times New Roman"/>
        </w:rPr>
        <w:t>, pp. 77-8.</w:t>
      </w:r>
    </w:p>
    <w:p w14:paraId="4DF9372A" w14:textId="77777777" w:rsidR="009B6564" w:rsidRPr="00A04973" w:rsidRDefault="009B6564" w:rsidP="00A04973">
      <w:pPr>
        <w:pStyle w:val="FootnoteText"/>
        <w:rPr>
          <w:rFonts w:cs="Times New Roman"/>
        </w:rPr>
      </w:pPr>
    </w:p>
  </w:footnote>
  <w:footnote w:id="75">
    <w:p w14:paraId="236B643B" w14:textId="4803B09D" w:rsidR="009B6564" w:rsidRPr="00A04973" w:rsidRDefault="009B6564" w:rsidP="00A04973">
      <w:pPr>
        <w:pStyle w:val="FootnoteText"/>
        <w:rPr>
          <w:rFonts w:cs="Times New Roman"/>
        </w:rPr>
      </w:pPr>
      <w:r w:rsidRPr="00A04973">
        <w:rPr>
          <w:rStyle w:val="FootnoteReference"/>
          <w:rFonts w:cs="Times New Roman"/>
        </w:rPr>
        <w:footnoteRef/>
      </w:r>
      <w:r w:rsidRPr="00A04973">
        <w:rPr>
          <w:rFonts w:cs="Times New Roman"/>
        </w:rPr>
        <w:t xml:space="preserve"> William Fitzstephen in Robertson, </w:t>
      </w:r>
      <w:r w:rsidRPr="00A04973">
        <w:rPr>
          <w:rFonts w:cs="Times New Roman"/>
          <w:i/>
          <w:iCs/>
        </w:rPr>
        <w:t xml:space="preserve">Materials, </w:t>
      </w:r>
      <w:r w:rsidRPr="00A04973">
        <w:rPr>
          <w:rFonts w:cs="Times New Roman"/>
        </w:rPr>
        <w:t xml:space="preserve">III, pp. 75-6. See Staunton, </w:t>
      </w:r>
      <w:r w:rsidRPr="00A04973">
        <w:rPr>
          <w:rFonts w:cs="Times New Roman"/>
          <w:i/>
          <w:iCs/>
        </w:rPr>
        <w:t>Lives of Thomas Becket</w:t>
      </w:r>
      <w:r w:rsidRPr="00A04973">
        <w:rPr>
          <w:rFonts w:cs="Times New Roman"/>
        </w:rPr>
        <w:t>, pp. 135-6.</w:t>
      </w:r>
    </w:p>
  </w:footnote>
  <w:footnote w:id="76">
    <w:p w14:paraId="5CE67CAE" w14:textId="77777777" w:rsidR="003247ED" w:rsidRPr="00A04973" w:rsidRDefault="003247ED"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Thomas Becket</w:t>
      </w:r>
      <w:r w:rsidRPr="00A04973">
        <w:rPr>
          <w:rFonts w:cs="Times New Roman"/>
        </w:rPr>
        <w:t>, p. 89.</w:t>
      </w:r>
    </w:p>
    <w:p w14:paraId="0DC73603" w14:textId="77777777" w:rsidR="00EF76D8" w:rsidRPr="00A04973" w:rsidRDefault="00EF76D8" w:rsidP="00A04973">
      <w:pPr>
        <w:pStyle w:val="FootnoteText"/>
        <w:rPr>
          <w:rFonts w:cs="Times New Roman"/>
        </w:rPr>
      </w:pPr>
    </w:p>
  </w:footnote>
  <w:footnote w:id="77">
    <w:p w14:paraId="3714B309" w14:textId="159EA996" w:rsidR="009E7C9B" w:rsidRPr="00A04973" w:rsidRDefault="009E7C9B" w:rsidP="00A04973">
      <w:pPr>
        <w:pStyle w:val="FootnoteText"/>
        <w:rPr>
          <w:rFonts w:cs="Times New Roman"/>
        </w:rPr>
      </w:pPr>
      <w:r w:rsidRPr="00A04973">
        <w:rPr>
          <w:rStyle w:val="FootnoteReference"/>
          <w:rFonts w:cs="Times New Roman"/>
        </w:rPr>
        <w:footnoteRef/>
      </w:r>
      <w:r w:rsidRPr="00A04973">
        <w:rPr>
          <w:rFonts w:cs="Times New Roman"/>
        </w:rPr>
        <w:t xml:space="preserve"> Anne Duggan, </w:t>
      </w:r>
      <w:r w:rsidRPr="00A04973">
        <w:rPr>
          <w:rFonts w:cs="Times New Roman"/>
          <w:i/>
          <w:iCs/>
        </w:rPr>
        <w:t xml:space="preserve">Thomas Becket, </w:t>
      </w:r>
      <w:r w:rsidRPr="00A04973">
        <w:rPr>
          <w:rFonts w:cs="Times New Roman"/>
        </w:rPr>
        <w:t>pp. 129-78, 179-81, 190-5.</w:t>
      </w:r>
    </w:p>
    <w:p w14:paraId="66ADDB58" w14:textId="77777777" w:rsidR="009E7C9B" w:rsidRPr="00A04973" w:rsidRDefault="009E7C9B" w:rsidP="00A04973">
      <w:pPr>
        <w:pStyle w:val="FootnoteText"/>
        <w:rPr>
          <w:rFonts w:cs="Times New Roman"/>
        </w:rPr>
      </w:pPr>
    </w:p>
  </w:footnote>
  <w:footnote w:id="78">
    <w:p w14:paraId="0A5E3EF0" w14:textId="36C4B5BC" w:rsidR="00CD3D78" w:rsidRPr="00884001" w:rsidRDefault="00CD3D78" w:rsidP="00A04973">
      <w:pPr>
        <w:pStyle w:val="FootnoteText"/>
        <w:rPr>
          <w:rFonts w:cs="Times New Roman"/>
          <w:lang w:val="de-DE"/>
        </w:rPr>
      </w:pPr>
      <w:r w:rsidRPr="00A04973">
        <w:rPr>
          <w:rStyle w:val="FootnoteReference"/>
          <w:rFonts w:cs="Times New Roman"/>
        </w:rPr>
        <w:footnoteRef/>
      </w:r>
      <w:r w:rsidRPr="00884001">
        <w:rPr>
          <w:rFonts w:cs="Times New Roman"/>
          <w:lang w:val="de-DE"/>
        </w:rPr>
        <w:t xml:space="preserve"> Warren, </w:t>
      </w:r>
      <w:r w:rsidRPr="00884001">
        <w:rPr>
          <w:rFonts w:cs="Times New Roman"/>
          <w:i/>
          <w:iCs/>
          <w:lang w:val="de-DE"/>
        </w:rPr>
        <w:t xml:space="preserve">Henry II, </w:t>
      </w:r>
      <w:r w:rsidRPr="00884001">
        <w:rPr>
          <w:rFonts w:cs="Times New Roman"/>
          <w:lang w:val="de-DE"/>
        </w:rPr>
        <w:t>pp. 319</w:t>
      </w:r>
      <w:r w:rsidR="009E7C9B" w:rsidRPr="00884001">
        <w:rPr>
          <w:rFonts w:cs="Times New Roman"/>
          <w:lang w:val="de-DE"/>
        </w:rPr>
        <w:t>.</w:t>
      </w:r>
    </w:p>
    <w:p w14:paraId="52107C7E" w14:textId="77777777" w:rsidR="009E7C9B" w:rsidRPr="00884001" w:rsidRDefault="009E7C9B" w:rsidP="00A04973">
      <w:pPr>
        <w:pStyle w:val="FootnoteText"/>
        <w:rPr>
          <w:rFonts w:cs="Times New Roman"/>
          <w:lang w:val="de-DE"/>
        </w:rPr>
      </w:pPr>
    </w:p>
  </w:footnote>
  <w:footnote w:id="79">
    <w:p w14:paraId="114A1560" w14:textId="09CE1C36" w:rsidR="003247ED" w:rsidRPr="00A04973" w:rsidRDefault="003247ED" w:rsidP="00A04973">
      <w:pPr>
        <w:pStyle w:val="FootnoteText"/>
        <w:rPr>
          <w:rFonts w:cs="Times New Roman"/>
          <w:lang w:val="de-DE"/>
        </w:rPr>
      </w:pPr>
      <w:r w:rsidRPr="00A04973">
        <w:rPr>
          <w:rStyle w:val="FootnoteReference"/>
          <w:rFonts w:cs="Times New Roman"/>
        </w:rPr>
        <w:footnoteRef/>
      </w:r>
      <w:r w:rsidRPr="00A04973">
        <w:rPr>
          <w:rFonts w:cs="Times New Roman"/>
          <w:lang w:val="de-DE"/>
        </w:rPr>
        <w:t xml:space="preserve"> </w:t>
      </w:r>
      <w:r w:rsidR="000F00C2" w:rsidRPr="00A04973">
        <w:rPr>
          <w:rFonts w:cs="Times New Roman"/>
          <w:lang w:val="de-DE"/>
        </w:rPr>
        <w:t xml:space="preserve">Robertson, </w:t>
      </w:r>
      <w:r w:rsidR="00431974" w:rsidRPr="00A04973">
        <w:rPr>
          <w:rFonts w:cs="Times New Roman"/>
          <w:i/>
          <w:iCs/>
          <w:lang w:val="de-DE"/>
        </w:rPr>
        <w:t xml:space="preserve">Materials, </w:t>
      </w:r>
      <w:r w:rsidR="00431974" w:rsidRPr="00A04973">
        <w:rPr>
          <w:rFonts w:cs="Times New Roman"/>
          <w:lang w:val="de-DE"/>
        </w:rPr>
        <w:t>III, 76-8</w:t>
      </w:r>
      <w:r w:rsidR="008C6271" w:rsidRPr="00A04973">
        <w:rPr>
          <w:rFonts w:cs="Times New Roman"/>
          <w:lang w:val="de-DE"/>
        </w:rPr>
        <w:t>, 107-1</w:t>
      </w:r>
      <w:r w:rsidR="002D269C" w:rsidRPr="00A04973">
        <w:rPr>
          <w:rFonts w:cs="Times New Roman"/>
          <w:lang w:val="de-DE"/>
        </w:rPr>
        <w:t>2</w:t>
      </w:r>
      <w:r w:rsidR="00E35AB0" w:rsidRPr="00A04973">
        <w:rPr>
          <w:rFonts w:cs="Times New Roman"/>
          <w:lang w:val="de-DE"/>
        </w:rPr>
        <w:t>,</w:t>
      </w:r>
      <w:r w:rsidR="00EF7136" w:rsidRPr="00A04973">
        <w:rPr>
          <w:rFonts w:cs="Times New Roman"/>
          <w:lang w:val="de-DE"/>
        </w:rPr>
        <w:t xml:space="preserve"> 141-2.</w:t>
      </w:r>
    </w:p>
    <w:p w14:paraId="3D36D22B" w14:textId="77777777" w:rsidR="00600024" w:rsidRPr="00A04973" w:rsidRDefault="00600024" w:rsidP="00A04973">
      <w:pPr>
        <w:pStyle w:val="FootnoteText"/>
        <w:rPr>
          <w:rFonts w:cs="Times New Roman"/>
          <w:lang w:val="de-DE"/>
        </w:rPr>
      </w:pPr>
    </w:p>
  </w:footnote>
  <w:footnote w:id="80">
    <w:p w14:paraId="593126C2" w14:textId="1D489192" w:rsidR="00365020" w:rsidRPr="00A04973" w:rsidRDefault="003247ED" w:rsidP="00A04973">
      <w:pPr>
        <w:pStyle w:val="FootnoteText"/>
        <w:rPr>
          <w:rFonts w:cs="Times New Roman"/>
        </w:rPr>
      </w:pPr>
      <w:r w:rsidRPr="00A04973">
        <w:rPr>
          <w:rStyle w:val="FootnoteReference"/>
          <w:rFonts w:cs="Times New Roman"/>
        </w:rPr>
        <w:footnoteRef/>
      </w:r>
      <w:r w:rsidRPr="00A04973">
        <w:rPr>
          <w:rFonts w:cs="Times New Roman"/>
        </w:rPr>
        <w:t xml:space="preserve"> </w:t>
      </w:r>
      <w:r w:rsidR="00600024" w:rsidRPr="00A04973">
        <w:rPr>
          <w:rFonts w:cs="Times New Roman"/>
        </w:rPr>
        <w:t xml:space="preserve">Anne Duggan, </w:t>
      </w:r>
      <w:r w:rsidR="00600024" w:rsidRPr="00A04973">
        <w:rPr>
          <w:rFonts w:cs="Times New Roman"/>
          <w:i/>
          <w:iCs/>
        </w:rPr>
        <w:t xml:space="preserve">Thomas Becket, </w:t>
      </w:r>
      <w:r w:rsidR="00600024" w:rsidRPr="00A04973">
        <w:rPr>
          <w:rFonts w:cs="Times New Roman"/>
        </w:rPr>
        <w:t>p. 232.</w:t>
      </w:r>
      <w:r w:rsidR="00365020" w:rsidRPr="00A04973">
        <w:rPr>
          <w:rFonts w:cs="Times New Roman"/>
        </w:rPr>
        <w:t xml:space="preserve"> Diarmuid MacCulloch, </w:t>
      </w:r>
      <w:r w:rsidR="00365020" w:rsidRPr="00A04973">
        <w:rPr>
          <w:rFonts w:cs="Times New Roman"/>
          <w:i/>
          <w:iCs/>
        </w:rPr>
        <w:t xml:space="preserve">A History of Christianity, </w:t>
      </w:r>
      <w:r w:rsidR="00365020" w:rsidRPr="00A04973">
        <w:rPr>
          <w:rFonts w:cs="Times New Roman"/>
        </w:rPr>
        <w:t>(London: Penguin, 2009)</w:t>
      </w:r>
      <w:r w:rsidR="00211CB9" w:rsidRPr="00A04973">
        <w:rPr>
          <w:rFonts w:cs="Times New Roman"/>
        </w:rPr>
        <w:t>, pp. 375-6.</w:t>
      </w:r>
    </w:p>
    <w:p w14:paraId="08007343" w14:textId="77777777" w:rsidR="00600024" w:rsidRPr="00A04973" w:rsidRDefault="00600024" w:rsidP="00A04973">
      <w:pPr>
        <w:pStyle w:val="FootnoteText"/>
        <w:rPr>
          <w:rFonts w:cs="Times New Roman"/>
        </w:rPr>
      </w:pPr>
    </w:p>
  </w:footnote>
  <w:footnote w:id="81">
    <w:p w14:paraId="3340010B" w14:textId="2B2AD1CB" w:rsidR="009C4FDE" w:rsidRPr="00A04973" w:rsidRDefault="009C4FDE" w:rsidP="00A04973">
      <w:pPr>
        <w:pStyle w:val="FootnoteText"/>
        <w:rPr>
          <w:rFonts w:cs="Times New Roman"/>
        </w:rPr>
      </w:pPr>
      <w:r w:rsidRPr="00A04973">
        <w:rPr>
          <w:rStyle w:val="FootnoteReference"/>
          <w:rFonts w:cs="Times New Roman"/>
        </w:rPr>
        <w:footnoteRef/>
      </w:r>
      <w:r w:rsidRPr="00A04973">
        <w:rPr>
          <w:rFonts w:cs="Times New Roman"/>
        </w:rPr>
        <w:t xml:space="preserve"> Barlow, </w:t>
      </w:r>
      <w:r w:rsidRPr="00A04973">
        <w:rPr>
          <w:rFonts w:cs="Times New Roman"/>
          <w:i/>
          <w:iCs/>
        </w:rPr>
        <w:t xml:space="preserve">Thomas Becket, </w:t>
      </w:r>
      <w:r w:rsidRPr="00A04973">
        <w:rPr>
          <w:rFonts w:cs="Times New Roman"/>
        </w:rPr>
        <w:t>pp. 272-3.</w:t>
      </w:r>
    </w:p>
    <w:p w14:paraId="522D6265" w14:textId="77777777" w:rsidR="009C4FDE" w:rsidRPr="00A04973" w:rsidRDefault="009C4FDE" w:rsidP="00A04973">
      <w:pPr>
        <w:pStyle w:val="FootnoteText"/>
        <w:rPr>
          <w:rFonts w:cs="Times New Roman"/>
        </w:rPr>
      </w:pPr>
    </w:p>
  </w:footnote>
  <w:footnote w:id="82">
    <w:p w14:paraId="6B730BC0" w14:textId="739962ED" w:rsidR="003247ED" w:rsidRPr="00A04973" w:rsidRDefault="003247ED" w:rsidP="00A04973">
      <w:pPr>
        <w:pStyle w:val="FootnoteText"/>
        <w:rPr>
          <w:rFonts w:cs="Times New Roman"/>
        </w:rPr>
      </w:pPr>
      <w:r w:rsidRPr="00A04973">
        <w:rPr>
          <w:rStyle w:val="FootnoteReference"/>
          <w:rFonts w:cs="Times New Roman"/>
        </w:rPr>
        <w:footnoteRef/>
      </w:r>
      <w:r w:rsidRPr="00A04973">
        <w:rPr>
          <w:rFonts w:cs="Times New Roman"/>
        </w:rPr>
        <w:t xml:space="preserve"> Warren, </w:t>
      </w:r>
      <w:r w:rsidR="009C4FDE" w:rsidRPr="00A04973">
        <w:rPr>
          <w:rFonts w:cs="Times New Roman"/>
          <w:i/>
          <w:iCs/>
        </w:rPr>
        <w:t xml:space="preserve">Henry II, </w:t>
      </w:r>
      <w:r w:rsidRPr="00A04973">
        <w:rPr>
          <w:rFonts w:cs="Times New Roman"/>
        </w:rPr>
        <w:t>pp. 538-42.</w:t>
      </w:r>
      <w:r w:rsidR="001C208F" w:rsidRPr="00A04973">
        <w:rPr>
          <w:rFonts w:cs="Times New Roman"/>
        </w:rPr>
        <w:t xml:space="preserve"> </w:t>
      </w:r>
    </w:p>
    <w:p w14:paraId="3796AD80" w14:textId="77777777" w:rsidR="003247ED" w:rsidRPr="00A04973" w:rsidRDefault="003247ED" w:rsidP="00A04973">
      <w:pPr>
        <w:pStyle w:val="FootnoteText"/>
        <w:rPr>
          <w:rFonts w:cs="Times New Roman"/>
        </w:rPr>
      </w:pPr>
    </w:p>
  </w:footnote>
  <w:footnote w:id="83">
    <w:p w14:paraId="4ADDF1F4" w14:textId="49E15DD5" w:rsidR="003E323B" w:rsidRPr="00A04973" w:rsidRDefault="003E323B" w:rsidP="00A04973">
      <w:pPr>
        <w:pStyle w:val="FootnoteText"/>
        <w:rPr>
          <w:rFonts w:cs="Times New Roman"/>
        </w:rPr>
      </w:pPr>
      <w:r w:rsidRPr="00A04973">
        <w:rPr>
          <w:rStyle w:val="FootnoteReference"/>
          <w:rFonts w:cs="Times New Roman"/>
        </w:rPr>
        <w:footnoteRef/>
      </w:r>
      <w:r w:rsidRPr="00A04973">
        <w:rPr>
          <w:rFonts w:cs="Times New Roman"/>
        </w:rPr>
        <w:t xml:space="preserve"> G. G. Colton, </w:t>
      </w:r>
      <w:r w:rsidRPr="00A04973">
        <w:rPr>
          <w:rFonts w:cs="Times New Roman"/>
          <w:i/>
          <w:iCs/>
        </w:rPr>
        <w:t xml:space="preserve">Chaucer and His England, </w:t>
      </w:r>
      <w:r w:rsidRPr="00A04973">
        <w:rPr>
          <w:rFonts w:cs="Times New Roman"/>
        </w:rPr>
        <w:t xml:space="preserve">pp. 294- , (p. 295).     </w:t>
      </w:r>
      <w:r w:rsidR="00221F72" w:rsidRPr="00A04973">
        <w:rPr>
          <w:rFonts w:cs="Times New Roman"/>
        </w:rPr>
        <w:t>&lt;</w:t>
      </w:r>
      <w:hyperlink r:id="rId10" w:history="1">
        <w:r w:rsidR="00221F72" w:rsidRPr="00A04973">
          <w:rPr>
            <w:rStyle w:val="Hyperlink"/>
            <w:rFonts w:cs="Times New Roman"/>
          </w:rPr>
          <w:t>https://archive.org/details/chaucerhisenglan00couluoft/page/294/mode/2up?view=theater</w:t>
        </w:r>
      </w:hyperlink>
      <w:r w:rsidRPr="00A04973">
        <w:rPr>
          <w:rFonts w:cs="Times New Roman"/>
        </w:rPr>
        <w:t xml:space="preserve"> </w:t>
      </w:r>
      <w:r w:rsidR="00221F72" w:rsidRPr="00A04973">
        <w:rPr>
          <w:rFonts w:cs="Times New Roman"/>
        </w:rPr>
        <w:t>&gt; [Accessed 6 May 2023].</w:t>
      </w:r>
    </w:p>
    <w:p w14:paraId="67F7F794" w14:textId="77777777" w:rsidR="00221F72" w:rsidRPr="00A04973" w:rsidRDefault="00221F72" w:rsidP="00A04973">
      <w:pPr>
        <w:pStyle w:val="FootnoteText"/>
        <w:rPr>
          <w:rFonts w:cs="Times New Roman"/>
        </w:rPr>
      </w:pPr>
    </w:p>
  </w:footnote>
  <w:footnote w:id="84">
    <w:p w14:paraId="69653496" w14:textId="2EE1E992" w:rsidR="00612F0F" w:rsidRPr="004D3B18" w:rsidRDefault="00612F0F" w:rsidP="00A04973">
      <w:pPr>
        <w:pStyle w:val="FootnoteText"/>
      </w:pPr>
      <w:r w:rsidRPr="00A04973">
        <w:rPr>
          <w:rStyle w:val="FootnoteReference"/>
          <w:rFonts w:cs="Times New Roman"/>
        </w:rPr>
        <w:footnoteRef/>
      </w:r>
      <w:r w:rsidRPr="00A04973">
        <w:rPr>
          <w:rFonts w:cs="Times New Roman"/>
        </w:rPr>
        <w:t xml:space="preserve"> </w:t>
      </w:r>
      <w:r w:rsidR="00BE7491" w:rsidRPr="00A04973">
        <w:rPr>
          <w:rFonts w:cs="Times New Roman"/>
        </w:rPr>
        <w:t>Erasmus</w:t>
      </w:r>
      <w:r w:rsidR="004D0B6F" w:rsidRPr="00A04973">
        <w:rPr>
          <w:rFonts w:cs="Times New Roman"/>
        </w:rPr>
        <w:t xml:space="preserve"> (1526)</w:t>
      </w:r>
      <w:r w:rsidR="00BE7491" w:rsidRPr="00A04973">
        <w:rPr>
          <w:rFonts w:cs="Times New Roman"/>
        </w:rPr>
        <w:t>, Desiderius and Thompson, C. R (tr.</w:t>
      </w:r>
      <w:r w:rsidR="004D3B18" w:rsidRPr="00A04973">
        <w:rPr>
          <w:rFonts w:cs="Times New Roman"/>
        </w:rPr>
        <w:t>, 1911</w:t>
      </w:r>
      <w:r w:rsidR="00BE7491" w:rsidRPr="00A04973">
        <w:rPr>
          <w:rFonts w:cs="Times New Roman"/>
        </w:rPr>
        <w:t>)</w:t>
      </w:r>
      <w:r w:rsidR="004D3B18" w:rsidRPr="00A04973">
        <w:rPr>
          <w:rFonts w:cs="Times New Roman"/>
        </w:rPr>
        <w:t xml:space="preserve">, </w:t>
      </w:r>
      <w:r w:rsidR="004D3B18" w:rsidRPr="00A04973">
        <w:rPr>
          <w:rFonts w:cs="Times New Roman"/>
          <w:i/>
          <w:iCs/>
        </w:rPr>
        <w:t>Ten Colloquies of Erasmus</w:t>
      </w:r>
      <w:r w:rsidR="00221F72" w:rsidRPr="00A04973">
        <w:rPr>
          <w:rFonts w:cs="Times New Roman"/>
          <w:i/>
          <w:iCs/>
        </w:rPr>
        <w:t>,</w:t>
      </w:r>
      <w:r w:rsidR="004D3B18" w:rsidRPr="00A04973">
        <w:rPr>
          <w:rFonts w:cs="Times New Roman"/>
          <w:i/>
          <w:iCs/>
        </w:rPr>
        <w:t xml:space="preserve"> </w:t>
      </w:r>
      <w:r w:rsidR="004D3B18" w:rsidRPr="00A04973">
        <w:rPr>
          <w:rFonts w:cs="Times New Roman"/>
        </w:rPr>
        <w:t>(New York: Liberal Arts Press, 19</w:t>
      </w:r>
      <w:r w:rsidR="00D91B9C" w:rsidRPr="00A04973">
        <w:rPr>
          <w:rFonts w:cs="Times New Roman"/>
        </w:rPr>
        <w:t xml:space="preserve">57), pp. </w:t>
      </w:r>
      <w:r w:rsidR="00AF14FB" w:rsidRPr="00A04973">
        <w:rPr>
          <w:rFonts w:cs="Times New Roman"/>
        </w:rPr>
        <w:t>79</w:t>
      </w:r>
      <w:r w:rsidR="00D91B9C" w:rsidRPr="00A04973">
        <w:rPr>
          <w:rFonts w:cs="Times New Roman"/>
        </w:rPr>
        <w:t>-</w:t>
      </w:r>
      <w:r w:rsidR="0011381B" w:rsidRPr="00A04973">
        <w:rPr>
          <w:rFonts w:cs="Times New Roman"/>
        </w:rPr>
        <w:t>89.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6520925"/>
      <w:docPartObj>
        <w:docPartGallery w:val="Page Numbers (Top of Page)"/>
        <w:docPartUnique/>
      </w:docPartObj>
    </w:sdtPr>
    <w:sdtContent>
      <w:p w14:paraId="15FEE05B" w14:textId="6EE00153" w:rsidR="00431F8F" w:rsidRDefault="00431F8F" w:rsidP="00B111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9029FF" w14:textId="77777777" w:rsidR="00431F8F" w:rsidRDefault="00431F8F" w:rsidP="00431F8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085779"/>
      <w:docPartObj>
        <w:docPartGallery w:val="Page Numbers (Top of Page)"/>
        <w:docPartUnique/>
      </w:docPartObj>
    </w:sdtPr>
    <w:sdtContent>
      <w:p w14:paraId="2A76FC65" w14:textId="46FE210B" w:rsidR="00431F8F" w:rsidRDefault="00431F8F" w:rsidP="00B111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282CA3" w14:textId="77777777" w:rsidR="00431F8F" w:rsidRDefault="00431F8F" w:rsidP="00431F8F">
    <w:pPr>
      <w:pStyle w:val="Header"/>
      <w:tabs>
        <w:tab w:val="clear" w:pos="9026"/>
        <w:tab w:val="right" w:pos="9020"/>
      </w:tabs>
      <w:ind w:right="360"/>
    </w:pPr>
    <w:r>
      <w:t>HPMS7006</w:t>
    </w:r>
    <w:r>
      <w:tab/>
      <w:t>Student ID: 2005872</w:t>
    </w:r>
    <w:r>
      <w:tab/>
    </w:r>
  </w:p>
  <w:p w14:paraId="7142A9CB" w14:textId="574527DB" w:rsidR="00431F8F" w:rsidRDefault="00431F8F" w:rsidP="00431F8F">
    <w:r>
      <w:t>Assignment 3.4: CRIMINOUS CLERKS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19704" w14:textId="77777777" w:rsidR="00195524" w:rsidRDefault="00195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abstractNum w:abstractNumId="1" w15:restartNumberingAfterBreak="0">
    <w:nsid w:val="60B55A5F"/>
    <w:multiLevelType w:val="hybridMultilevel"/>
    <w:tmpl w:val="12602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22267">
    <w:abstractNumId w:val="0"/>
  </w:num>
  <w:num w:numId="2" w16cid:durableId="1454401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F8F"/>
    <w:rsid w:val="00002494"/>
    <w:rsid w:val="00005173"/>
    <w:rsid w:val="000255E4"/>
    <w:rsid w:val="00032BCB"/>
    <w:rsid w:val="000348D2"/>
    <w:rsid w:val="00041F69"/>
    <w:rsid w:val="000440FE"/>
    <w:rsid w:val="0005524A"/>
    <w:rsid w:val="000577C9"/>
    <w:rsid w:val="0006345E"/>
    <w:rsid w:val="00063F82"/>
    <w:rsid w:val="00071D50"/>
    <w:rsid w:val="000864FA"/>
    <w:rsid w:val="00090041"/>
    <w:rsid w:val="00090C18"/>
    <w:rsid w:val="00091C56"/>
    <w:rsid w:val="000925CE"/>
    <w:rsid w:val="000964D4"/>
    <w:rsid w:val="00097F9F"/>
    <w:rsid w:val="000A2A5D"/>
    <w:rsid w:val="000A4623"/>
    <w:rsid w:val="000A6523"/>
    <w:rsid w:val="000B35A6"/>
    <w:rsid w:val="000C71A9"/>
    <w:rsid w:val="000C7B61"/>
    <w:rsid w:val="000D289D"/>
    <w:rsid w:val="000D38C7"/>
    <w:rsid w:val="000E1120"/>
    <w:rsid w:val="000E4576"/>
    <w:rsid w:val="000F00C2"/>
    <w:rsid w:val="000F1EBB"/>
    <w:rsid w:val="000F47D2"/>
    <w:rsid w:val="00112B95"/>
    <w:rsid w:val="0011381B"/>
    <w:rsid w:val="00122AFC"/>
    <w:rsid w:val="0013009E"/>
    <w:rsid w:val="001352DF"/>
    <w:rsid w:val="001372F9"/>
    <w:rsid w:val="00142301"/>
    <w:rsid w:val="00153E94"/>
    <w:rsid w:val="001563D6"/>
    <w:rsid w:val="00166BE2"/>
    <w:rsid w:val="00171AD7"/>
    <w:rsid w:val="00173973"/>
    <w:rsid w:val="00176FCB"/>
    <w:rsid w:val="00183F02"/>
    <w:rsid w:val="00190C8E"/>
    <w:rsid w:val="00195524"/>
    <w:rsid w:val="001A15AE"/>
    <w:rsid w:val="001A3BA6"/>
    <w:rsid w:val="001A5F3A"/>
    <w:rsid w:val="001A75A6"/>
    <w:rsid w:val="001B150D"/>
    <w:rsid w:val="001C208F"/>
    <w:rsid w:val="001C3671"/>
    <w:rsid w:val="001C396C"/>
    <w:rsid w:val="001C5D3D"/>
    <w:rsid w:val="001C7DAF"/>
    <w:rsid w:val="001F72CA"/>
    <w:rsid w:val="00200509"/>
    <w:rsid w:val="002044F1"/>
    <w:rsid w:val="00211CB9"/>
    <w:rsid w:val="00213F6A"/>
    <w:rsid w:val="0022165A"/>
    <w:rsid w:val="0022198C"/>
    <w:rsid w:val="00221F72"/>
    <w:rsid w:val="00231BC1"/>
    <w:rsid w:val="00232407"/>
    <w:rsid w:val="00243C84"/>
    <w:rsid w:val="002462FC"/>
    <w:rsid w:val="00267818"/>
    <w:rsid w:val="00273FE8"/>
    <w:rsid w:val="002745B2"/>
    <w:rsid w:val="0028226C"/>
    <w:rsid w:val="002872D9"/>
    <w:rsid w:val="00290629"/>
    <w:rsid w:val="00292380"/>
    <w:rsid w:val="00294291"/>
    <w:rsid w:val="002A3CE2"/>
    <w:rsid w:val="002A7292"/>
    <w:rsid w:val="002B1D50"/>
    <w:rsid w:val="002B6A28"/>
    <w:rsid w:val="002C3ACC"/>
    <w:rsid w:val="002D269C"/>
    <w:rsid w:val="002E44CF"/>
    <w:rsid w:val="002E46EB"/>
    <w:rsid w:val="002E64A2"/>
    <w:rsid w:val="002F15FC"/>
    <w:rsid w:val="003167E4"/>
    <w:rsid w:val="00320E12"/>
    <w:rsid w:val="00321957"/>
    <w:rsid w:val="00322B69"/>
    <w:rsid w:val="00323861"/>
    <w:rsid w:val="003247ED"/>
    <w:rsid w:val="0032614F"/>
    <w:rsid w:val="003261AE"/>
    <w:rsid w:val="00326F69"/>
    <w:rsid w:val="00331222"/>
    <w:rsid w:val="00334A0E"/>
    <w:rsid w:val="00337477"/>
    <w:rsid w:val="00340666"/>
    <w:rsid w:val="0034419C"/>
    <w:rsid w:val="003524D3"/>
    <w:rsid w:val="00357996"/>
    <w:rsid w:val="003637C7"/>
    <w:rsid w:val="00364F94"/>
    <w:rsid w:val="00365020"/>
    <w:rsid w:val="00367463"/>
    <w:rsid w:val="00377116"/>
    <w:rsid w:val="00381357"/>
    <w:rsid w:val="0039126B"/>
    <w:rsid w:val="003960C2"/>
    <w:rsid w:val="003B1624"/>
    <w:rsid w:val="003B5F5F"/>
    <w:rsid w:val="003B7379"/>
    <w:rsid w:val="003C44FA"/>
    <w:rsid w:val="003C625D"/>
    <w:rsid w:val="003E22F8"/>
    <w:rsid w:val="003E323B"/>
    <w:rsid w:val="003E42F9"/>
    <w:rsid w:val="003F052A"/>
    <w:rsid w:val="003F1708"/>
    <w:rsid w:val="003F2BD2"/>
    <w:rsid w:val="00401403"/>
    <w:rsid w:val="00410B23"/>
    <w:rsid w:val="00410E96"/>
    <w:rsid w:val="00411183"/>
    <w:rsid w:val="00411664"/>
    <w:rsid w:val="004263B5"/>
    <w:rsid w:val="00426694"/>
    <w:rsid w:val="00427028"/>
    <w:rsid w:val="00427D19"/>
    <w:rsid w:val="00431974"/>
    <w:rsid w:val="00431F8F"/>
    <w:rsid w:val="004424DE"/>
    <w:rsid w:val="004503B0"/>
    <w:rsid w:val="00451E00"/>
    <w:rsid w:val="004521ED"/>
    <w:rsid w:val="0045385B"/>
    <w:rsid w:val="004552AB"/>
    <w:rsid w:val="00461629"/>
    <w:rsid w:val="00471E1B"/>
    <w:rsid w:val="004820D5"/>
    <w:rsid w:val="004873DA"/>
    <w:rsid w:val="004936B5"/>
    <w:rsid w:val="00496F78"/>
    <w:rsid w:val="004A4E3C"/>
    <w:rsid w:val="004B25DF"/>
    <w:rsid w:val="004B2A23"/>
    <w:rsid w:val="004C2CC3"/>
    <w:rsid w:val="004D0B6F"/>
    <w:rsid w:val="004D3B18"/>
    <w:rsid w:val="004E235F"/>
    <w:rsid w:val="004E6041"/>
    <w:rsid w:val="004E641D"/>
    <w:rsid w:val="004E6603"/>
    <w:rsid w:val="004E7494"/>
    <w:rsid w:val="004E7D54"/>
    <w:rsid w:val="004F4BA6"/>
    <w:rsid w:val="005048E9"/>
    <w:rsid w:val="00504A90"/>
    <w:rsid w:val="00511EEA"/>
    <w:rsid w:val="0051692F"/>
    <w:rsid w:val="00524501"/>
    <w:rsid w:val="00524BB6"/>
    <w:rsid w:val="00536BD5"/>
    <w:rsid w:val="00537125"/>
    <w:rsid w:val="00544E19"/>
    <w:rsid w:val="00547BB3"/>
    <w:rsid w:val="0055039E"/>
    <w:rsid w:val="005610F8"/>
    <w:rsid w:val="00564F3B"/>
    <w:rsid w:val="00574249"/>
    <w:rsid w:val="00576F0C"/>
    <w:rsid w:val="005830C8"/>
    <w:rsid w:val="005835DC"/>
    <w:rsid w:val="00584340"/>
    <w:rsid w:val="00585147"/>
    <w:rsid w:val="005914EE"/>
    <w:rsid w:val="005916C9"/>
    <w:rsid w:val="005969A8"/>
    <w:rsid w:val="005A2EFC"/>
    <w:rsid w:val="005B75D3"/>
    <w:rsid w:val="005C6937"/>
    <w:rsid w:val="005E2F32"/>
    <w:rsid w:val="005E5869"/>
    <w:rsid w:val="00600024"/>
    <w:rsid w:val="00607AAD"/>
    <w:rsid w:val="00612F0F"/>
    <w:rsid w:val="00621C98"/>
    <w:rsid w:val="006267A9"/>
    <w:rsid w:val="006323F1"/>
    <w:rsid w:val="00634A4A"/>
    <w:rsid w:val="00635F34"/>
    <w:rsid w:val="00644C3A"/>
    <w:rsid w:val="00653742"/>
    <w:rsid w:val="00655D0B"/>
    <w:rsid w:val="006704DD"/>
    <w:rsid w:val="0067489A"/>
    <w:rsid w:val="006801DF"/>
    <w:rsid w:val="0068399D"/>
    <w:rsid w:val="006962AC"/>
    <w:rsid w:val="00696350"/>
    <w:rsid w:val="006C3A2E"/>
    <w:rsid w:val="006C442A"/>
    <w:rsid w:val="006D056A"/>
    <w:rsid w:val="006D4758"/>
    <w:rsid w:val="006D52FA"/>
    <w:rsid w:val="006D68AD"/>
    <w:rsid w:val="006F069D"/>
    <w:rsid w:val="006F3EE5"/>
    <w:rsid w:val="006F535F"/>
    <w:rsid w:val="006F5724"/>
    <w:rsid w:val="006F5DE0"/>
    <w:rsid w:val="007043FB"/>
    <w:rsid w:val="007144F3"/>
    <w:rsid w:val="00724169"/>
    <w:rsid w:val="00724EEF"/>
    <w:rsid w:val="00734CD4"/>
    <w:rsid w:val="00740272"/>
    <w:rsid w:val="00751700"/>
    <w:rsid w:val="0076238B"/>
    <w:rsid w:val="00763704"/>
    <w:rsid w:val="007714D7"/>
    <w:rsid w:val="00771D16"/>
    <w:rsid w:val="00774439"/>
    <w:rsid w:val="00781268"/>
    <w:rsid w:val="007818B6"/>
    <w:rsid w:val="00794677"/>
    <w:rsid w:val="00794E27"/>
    <w:rsid w:val="00795D0B"/>
    <w:rsid w:val="007A227F"/>
    <w:rsid w:val="007B0711"/>
    <w:rsid w:val="007C03CE"/>
    <w:rsid w:val="007C285D"/>
    <w:rsid w:val="007C290E"/>
    <w:rsid w:val="007D3CB1"/>
    <w:rsid w:val="007D7820"/>
    <w:rsid w:val="008013BD"/>
    <w:rsid w:val="00802FB5"/>
    <w:rsid w:val="00815759"/>
    <w:rsid w:val="00837903"/>
    <w:rsid w:val="0084041C"/>
    <w:rsid w:val="00842BCF"/>
    <w:rsid w:val="00846523"/>
    <w:rsid w:val="00850773"/>
    <w:rsid w:val="00857670"/>
    <w:rsid w:val="00863DA9"/>
    <w:rsid w:val="0086685B"/>
    <w:rsid w:val="0086767D"/>
    <w:rsid w:val="00875AD7"/>
    <w:rsid w:val="00883868"/>
    <w:rsid w:val="00884001"/>
    <w:rsid w:val="008860BC"/>
    <w:rsid w:val="00890764"/>
    <w:rsid w:val="008B6333"/>
    <w:rsid w:val="008C6271"/>
    <w:rsid w:val="008D14E6"/>
    <w:rsid w:val="00904025"/>
    <w:rsid w:val="00907261"/>
    <w:rsid w:val="00912434"/>
    <w:rsid w:val="00926A89"/>
    <w:rsid w:val="00930D0C"/>
    <w:rsid w:val="00931F1A"/>
    <w:rsid w:val="00932ABA"/>
    <w:rsid w:val="009363B9"/>
    <w:rsid w:val="00937021"/>
    <w:rsid w:val="00940B30"/>
    <w:rsid w:val="00945BC9"/>
    <w:rsid w:val="00947F6D"/>
    <w:rsid w:val="00957276"/>
    <w:rsid w:val="009600CF"/>
    <w:rsid w:val="00963E1C"/>
    <w:rsid w:val="0098303D"/>
    <w:rsid w:val="00983B31"/>
    <w:rsid w:val="00990470"/>
    <w:rsid w:val="009955DA"/>
    <w:rsid w:val="009A0441"/>
    <w:rsid w:val="009A09FF"/>
    <w:rsid w:val="009B08F3"/>
    <w:rsid w:val="009B1447"/>
    <w:rsid w:val="009B1E29"/>
    <w:rsid w:val="009B2630"/>
    <w:rsid w:val="009B6564"/>
    <w:rsid w:val="009B6ECB"/>
    <w:rsid w:val="009C4FDE"/>
    <w:rsid w:val="009D37F3"/>
    <w:rsid w:val="009E38C3"/>
    <w:rsid w:val="009E7034"/>
    <w:rsid w:val="009E7C9B"/>
    <w:rsid w:val="009F08BC"/>
    <w:rsid w:val="009F21DE"/>
    <w:rsid w:val="009F750A"/>
    <w:rsid w:val="00A03496"/>
    <w:rsid w:val="00A04973"/>
    <w:rsid w:val="00A104C0"/>
    <w:rsid w:val="00A11D24"/>
    <w:rsid w:val="00A21186"/>
    <w:rsid w:val="00A36E14"/>
    <w:rsid w:val="00A401C2"/>
    <w:rsid w:val="00A532D4"/>
    <w:rsid w:val="00A53F1C"/>
    <w:rsid w:val="00A55473"/>
    <w:rsid w:val="00A60115"/>
    <w:rsid w:val="00A604C2"/>
    <w:rsid w:val="00A60C04"/>
    <w:rsid w:val="00A617D4"/>
    <w:rsid w:val="00A6676F"/>
    <w:rsid w:val="00A83ACC"/>
    <w:rsid w:val="00A866E4"/>
    <w:rsid w:val="00A934F7"/>
    <w:rsid w:val="00AC5565"/>
    <w:rsid w:val="00AD4D36"/>
    <w:rsid w:val="00AF14FB"/>
    <w:rsid w:val="00B05E56"/>
    <w:rsid w:val="00B236F8"/>
    <w:rsid w:val="00B257A9"/>
    <w:rsid w:val="00B31D59"/>
    <w:rsid w:val="00B3229A"/>
    <w:rsid w:val="00B34394"/>
    <w:rsid w:val="00B370D1"/>
    <w:rsid w:val="00B37A9A"/>
    <w:rsid w:val="00B408C0"/>
    <w:rsid w:val="00B40F1B"/>
    <w:rsid w:val="00B4126E"/>
    <w:rsid w:val="00B4180A"/>
    <w:rsid w:val="00B61FF8"/>
    <w:rsid w:val="00B76C9D"/>
    <w:rsid w:val="00B770E6"/>
    <w:rsid w:val="00B7785E"/>
    <w:rsid w:val="00B85F3F"/>
    <w:rsid w:val="00B96380"/>
    <w:rsid w:val="00B96683"/>
    <w:rsid w:val="00BA35EA"/>
    <w:rsid w:val="00BA4ABA"/>
    <w:rsid w:val="00BA6FD8"/>
    <w:rsid w:val="00BB0104"/>
    <w:rsid w:val="00BB569B"/>
    <w:rsid w:val="00BB6B68"/>
    <w:rsid w:val="00BD49C2"/>
    <w:rsid w:val="00BE15AB"/>
    <w:rsid w:val="00BE7491"/>
    <w:rsid w:val="00C03088"/>
    <w:rsid w:val="00C05119"/>
    <w:rsid w:val="00C07823"/>
    <w:rsid w:val="00C14297"/>
    <w:rsid w:val="00C14AA5"/>
    <w:rsid w:val="00C159C2"/>
    <w:rsid w:val="00C171F9"/>
    <w:rsid w:val="00C20A1D"/>
    <w:rsid w:val="00C20A73"/>
    <w:rsid w:val="00C40B32"/>
    <w:rsid w:val="00C42142"/>
    <w:rsid w:val="00C442B5"/>
    <w:rsid w:val="00C52EC8"/>
    <w:rsid w:val="00C63335"/>
    <w:rsid w:val="00C84E99"/>
    <w:rsid w:val="00C86657"/>
    <w:rsid w:val="00C86EF0"/>
    <w:rsid w:val="00C909DE"/>
    <w:rsid w:val="00C91C6C"/>
    <w:rsid w:val="00C942C0"/>
    <w:rsid w:val="00C961C4"/>
    <w:rsid w:val="00CB3864"/>
    <w:rsid w:val="00CC1908"/>
    <w:rsid w:val="00CD3D78"/>
    <w:rsid w:val="00CE4C67"/>
    <w:rsid w:val="00CF20CE"/>
    <w:rsid w:val="00D006DF"/>
    <w:rsid w:val="00D01C80"/>
    <w:rsid w:val="00D10C75"/>
    <w:rsid w:val="00D159EF"/>
    <w:rsid w:val="00D2576B"/>
    <w:rsid w:val="00D31CC3"/>
    <w:rsid w:val="00D41A6D"/>
    <w:rsid w:val="00D44EF9"/>
    <w:rsid w:val="00D5007C"/>
    <w:rsid w:val="00D6218D"/>
    <w:rsid w:val="00D624B3"/>
    <w:rsid w:val="00D74D97"/>
    <w:rsid w:val="00D825F9"/>
    <w:rsid w:val="00D849B7"/>
    <w:rsid w:val="00D86A3C"/>
    <w:rsid w:val="00D91B9C"/>
    <w:rsid w:val="00D93D71"/>
    <w:rsid w:val="00D9569C"/>
    <w:rsid w:val="00DB0DD8"/>
    <w:rsid w:val="00DD1AB7"/>
    <w:rsid w:val="00DD2674"/>
    <w:rsid w:val="00DD2F33"/>
    <w:rsid w:val="00DD5CEB"/>
    <w:rsid w:val="00DD7BE7"/>
    <w:rsid w:val="00DE16DB"/>
    <w:rsid w:val="00DE2379"/>
    <w:rsid w:val="00E01416"/>
    <w:rsid w:val="00E065A2"/>
    <w:rsid w:val="00E14F61"/>
    <w:rsid w:val="00E15A50"/>
    <w:rsid w:val="00E23815"/>
    <w:rsid w:val="00E35AB0"/>
    <w:rsid w:val="00E43F0E"/>
    <w:rsid w:val="00E472EC"/>
    <w:rsid w:val="00E50D41"/>
    <w:rsid w:val="00E54995"/>
    <w:rsid w:val="00E66AB3"/>
    <w:rsid w:val="00E67703"/>
    <w:rsid w:val="00E71526"/>
    <w:rsid w:val="00E736FC"/>
    <w:rsid w:val="00E753FE"/>
    <w:rsid w:val="00E759A3"/>
    <w:rsid w:val="00E77309"/>
    <w:rsid w:val="00E94F95"/>
    <w:rsid w:val="00EA4265"/>
    <w:rsid w:val="00EA6958"/>
    <w:rsid w:val="00EA7387"/>
    <w:rsid w:val="00EC329D"/>
    <w:rsid w:val="00EC4020"/>
    <w:rsid w:val="00EC4A2F"/>
    <w:rsid w:val="00ED027C"/>
    <w:rsid w:val="00ED07BB"/>
    <w:rsid w:val="00ED76B1"/>
    <w:rsid w:val="00EF2138"/>
    <w:rsid w:val="00EF7136"/>
    <w:rsid w:val="00EF76D8"/>
    <w:rsid w:val="00F0093F"/>
    <w:rsid w:val="00F1454C"/>
    <w:rsid w:val="00F21B69"/>
    <w:rsid w:val="00F450CA"/>
    <w:rsid w:val="00F4756F"/>
    <w:rsid w:val="00F509F5"/>
    <w:rsid w:val="00F52653"/>
    <w:rsid w:val="00F53454"/>
    <w:rsid w:val="00F60178"/>
    <w:rsid w:val="00F60DC6"/>
    <w:rsid w:val="00F67C4F"/>
    <w:rsid w:val="00F72F06"/>
    <w:rsid w:val="00F76F9E"/>
    <w:rsid w:val="00F857C4"/>
    <w:rsid w:val="00F8721E"/>
    <w:rsid w:val="00F91AE0"/>
    <w:rsid w:val="00FB26F2"/>
    <w:rsid w:val="00FC12D2"/>
    <w:rsid w:val="00FC3934"/>
    <w:rsid w:val="00FC6AB3"/>
    <w:rsid w:val="00FD59FA"/>
    <w:rsid w:val="00FD5AC3"/>
    <w:rsid w:val="00FD64D7"/>
    <w:rsid w:val="00FE1351"/>
    <w:rsid w:val="00FF0CB4"/>
    <w:rsid w:val="00FF5446"/>
    <w:rsid w:val="00FF60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12B4CB"/>
  <w14:defaultImageDpi w14:val="32767"/>
  <w15:chartTrackingRefBased/>
  <w15:docId w15:val="{81C2DFD9-7B86-F247-90C5-997E3D00E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AA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paragraph" w:styleId="Header">
    <w:name w:val="header"/>
    <w:basedOn w:val="Normal"/>
    <w:link w:val="HeaderChar"/>
    <w:uiPriority w:val="99"/>
    <w:unhideWhenUsed/>
    <w:rsid w:val="00431F8F"/>
    <w:pPr>
      <w:tabs>
        <w:tab w:val="center" w:pos="4513"/>
        <w:tab w:val="right" w:pos="9026"/>
      </w:tabs>
    </w:pPr>
  </w:style>
  <w:style w:type="character" w:customStyle="1" w:styleId="HeaderChar">
    <w:name w:val="Header Char"/>
    <w:basedOn w:val="DefaultParagraphFont"/>
    <w:link w:val="Header"/>
    <w:uiPriority w:val="99"/>
    <w:rsid w:val="00431F8F"/>
  </w:style>
  <w:style w:type="paragraph" w:styleId="Footer">
    <w:name w:val="footer"/>
    <w:basedOn w:val="Normal"/>
    <w:link w:val="FooterChar"/>
    <w:uiPriority w:val="99"/>
    <w:unhideWhenUsed/>
    <w:rsid w:val="00431F8F"/>
    <w:pPr>
      <w:tabs>
        <w:tab w:val="center" w:pos="4513"/>
        <w:tab w:val="right" w:pos="9026"/>
      </w:tabs>
    </w:pPr>
  </w:style>
  <w:style w:type="character" w:customStyle="1" w:styleId="FooterChar">
    <w:name w:val="Footer Char"/>
    <w:basedOn w:val="DefaultParagraphFont"/>
    <w:link w:val="Footer"/>
    <w:uiPriority w:val="99"/>
    <w:rsid w:val="00431F8F"/>
  </w:style>
  <w:style w:type="character" w:styleId="PageNumber">
    <w:name w:val="page number"/>
    <w:basedOn w:val="DefaultParagraphFont"/>
    <w:uiPriority w:val="99"/>
    <w:semiHidden/>
    <w:unhideWhenUsed/>
    <w:rsid w:val="00431F8F"/>
  </w:style>
  <w:style w:type="paragraph" w:styleId="FootnoteText">
    <w:name w:val="footnote text"/>
    <w:basedOn w:val="Normal"/>
    <w:link w:val="FootnoteTextChar"/>
    <w:uiPriority w:val="99"/>
    <w:semiHidden/>
    <w:unhideWhenUsed/>
    <w:rsid w:val="00912434"/>
    <w:rPr>
      <w:sz w:val="20"/>
      <w:szCs w:val="20"/>
    </w:rPr>
  </w:style>
  <w:style w:type="character" w:customStyle="1" w:styleId="FootnoteTextChar">
    <w:name w:val="Footnote Text Char"/>
    <w:basedOn w:val="DefaultParagraphFont"/>
    <w:link w:val="FootnoteText"/>
    <w:uiPriority w:val="99"/>
    <w:semiHidden/>
    <w:rsid w:val="00912434"/>
    <w:rPr>
      <w:sz w:val="20"/>
      <w:szCs w:val="20"/>
    </w:rPr>
  </w:style>
  <w:style w:type="character" w:styleId="FootnoteReference">
    <w:name w:val="footnote reference"/>
    <w:basedOn w:val="DefaultParagraphFont"/>
    <w:uiPriority w:val="99"/>
    <w:semiHidden/>
    <w:unhideWhenUsed/>
    <w:rsid w:val="00912434"/>
    <w:rPr>
      <w:vertAlign w:val="superscript"/>
    </w:rPr>
  </w:style>
  <w:style w:type="character" w:customStyle="1" w:styleId="Heading1Char">
    <w:name w:val="Heading 1 Char"/>
    <w:basedOn w:val="DefaultParagraphFont"/>
    <w:link w:val="Heading1"/>
    <w:uiPriority w:val="9"/>
    <w:rsid w:val="00607AAD"/>
    <w:rPr>
      <w:rFonts w:asciiTheme="majorHAnsi" w:eastAsiaTheme="majorEastAsia" w:hAnsiTheme="majorHAnsi" w:cstheme="majorBidi"/>
      <w:color w:val="2F5496" w:themeColor="accent1" w:themeShade="BF"/>
      <w:sz w:val="32"/>
      <w:szCs w:val="32"/>
    </w:rPr>
  </w:style>
  <w:style w:type="character" w:customStyle="1" w:styleId="hwtze">
    <w:name w:val="hwtze"/>
    <w:basedOn w:val="DefaultParagraphFont"/>
    <w:rsid w:val="00607AAD"/>
  </w:style>
  <w:style w:type="character" w:customStyle="1" w:styleId="rynqvb">
    <w:name w:val="rynqvb"/>
    <w:basedOn w:val="DefaultParagraphFont"/>
    <w:rsid w:val="00607AAD"/>
  </w:style>
  <w:style w:type="character" w:styleId="Hyperlink">
    <w:name w:val="Hyperlink"/>
    <w:basedOn w:val="DefaultParagraphFont"/>
    <w:uiPriority w:val="99"/>
    <w:unhideWhenUsed/>
    <w:rsid w:val="00BB0104"/>
    <w:rPr>
      <w:color w:val="0563C1" w:themeColor="hyperlink"/>
      <w:u w:val="single"/>
    </w:rPr>
  </w:style>
  <w:style w:type="character" w:customStyle="1" w:styleId="publisher-location">
    <w:name w:val="publisher-location"/>
    <w:basedOn w:val="DefaultParagraphFont"/>
    <w:rsid w:val="00BB0104"/>
  </w:style>
  <w:style w:type="character" w:customStyle="1" w:styleId="print-publication-date">
    <w:name w:val="print-publication-date"/>
    <w:basedOn w:val="DefaultParagraphFont"/>
    <w:rsid w:val="00BB0104"/>
  </w:style>
  <w:style w:type="character" w:styleId="UnresolvedMention">
    <w:name w:val="Unresolved Mention"/>
    <w:basedOn w:val="DefaultParagraphFont"/>
    <w:uiPriority w:val="99"/>
    <w:rsid w:val="000D289D"/>
    <w:rPr>
      <w:color w:val="605E5C"/>
      <w:shd w:val="clear" w:color="auto" w:fill="E1DFDD"/>
    </w:rPr>
  </w:style>
  <w:style w:type="paragraph" w:styleId="ListParagraph">
    <w:name w:val="List Paragraph"/>
    <w:basedOn w:val="Normal"/>
    <w:uiPriority w:val="34"/>
    <w:qFormat/>
    <w:rsid w:val="00B85F3F"/>
    <w:pPr>
      <w:ind w:left="720"/>
      <w:contextualSpacing/>
    </w:pPr>
  </w:style>
  <w:style w:type="character" w:styleId="FollowedHyperlink">
    <w:name w:val="FollowedHyperlink"/>
    <w:basedOn w:val="DefaultParagraphFont"/>
    <w:uiPriority w:val="99"/>
    <w:semiHidden/>
    <w:unhideWhenUsed/>
    <w:rsid w:val="007C285D"/>
    <w:rPr>
      <w:color w:val="954F72" w:themeColor="followedHyperlink"/>
      <w:u w:val="single"/>
    </w:rPr>
  </w:style>
  <w:style w:type="character" w:customStyle="1" w:styleId="contributors">
    <w:name w:val="contributors"/>
    <w:basedOn w:val="DefaultParagraphFont"/>
    <w:rsid w:val="00410B23"/>
  </w:style>
  <w:style w:type="character" w:styleId="Emphasis">
    <w:name w:val="Emphasis"/>
    <w:basedOn w:val="DefaultParagraphFont"/>
    <w:uiPriority w:val="20"/>
    <w:qFormat/>
    <w:rsid w:val="00410B23"/>
    <w:rPr>
      <w:i/>
      <w:iCs/>
    </w:rPr>
  </w:style>
  <w:style w:type="character" w:customStyle="1" w:styleId="online-edition">
    <w:name w:val="online-edition"/>
    <w:basedOn w:val="DefaultParagraphFont"/>
    <w:rsid w:val="00410B23"/>
  </w:style>
  <w:style w:type="character" w:customStyle="1" w:styleId="containing-site">
    <w:name w:val="containing-site"/>
    <w:basedOn w:val="DefaultParagraphFont"/>
    <w:rsid w:val="00410B23"/>
  </w:style>
  <w:style w:type="character" w:customStyle="1" w:styleId="online-publication-date">
    <w:name w:val="online-publication-date"/>
    <w:basedOn w:val="DefaultParagraphFont"/>
    <w:rsid w:val="00410B23"/>
  </w:style>
  <w:style w:type="character" w:customStyle="1" w:styleId="accessed-date">
    <w:name w:val="accessed-date"/>
    <w:basedOn w:val="DefaultParagraphFont"/>
    <w:rsid w:val="00410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022449">
      <w:bodyDiv w:val="1"/>
      <w:marLeft w:val="0"/>
      <w:marRight w:val="0"/>
      <w:marTop w:val="0"/>
      <w:marBottom w:val="0"/>
      <w:divBdr>
        <w:top w:val="none" w:sz="0" w:space="0" w:color="auto"/>
        <w:left w:val="none" w:sz="0" w:space="0" w:color="auto"/>
        <w:bottom w:val="none" w:sz="0" w:space="0" w:color="auto"/>
        <w:right w:val="none" w:sz="0" w:space="0" w:color="auto"/>
      </w:divBdr>
      <w:divsChild>
        <w:div w:id="378625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statesmansbookof0000unse/page/n3/mode/2up" TargetMode="External"/><Relationship Id="rId13" Type="http://schemas.openxmlformats.org/officeDocument/2006/relationships/hyperlink" Target="https://archive.org/details/chaucerhisenglan00couluoft/page/n7/mode/2up?view=theater" TargetMode="External"/><Relationship Id="rId18" Type="http://schemas.openxmlformats.org/officeDocument/2006/relationships/hyperlink" Target="https://doi.org/10.1093/acprof:oso/9780198702566.001.000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ecommons.luc.edu/luc_theses/622/" TargetMode="External"/><Relationship Id="rId12" Type="http://schemas.openxmlformats.org/officeDocument/2006/relationships/hyperlink" Target="https://archive.org/details/thomasbecket0000barl_r2j6/page/n3/mode/2up" TargetMode="External"/><Relationship Id="rId17" Type="http://schemas.openxmlformats.org/officeDocument/2006/relationships/hyperlink" Target="https://www-jstor-org.ezproxy.uwtsd.ac.uk/stable/10.7722/j.ctt81rgf.13"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archive.org/details/romancanonlawi00mait"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historiareruman02willgoog/mode/2up"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coek.info/pdf-the-becket-dispute-and-two-decretist-traditions-the-bolognese-masters-revisited-.html" TargetMode="External"/><Relationship Id="rId23" Type="http://schemas.openxmlformats.org/officeDocument/2006/relationships/footer" Target="footer2.xml"/><Relationship Id="rId10" Type="http://schemas.openxmlformats.org/officeDocument/2006/relationships/hyperlink" Target="https://ecommons.luc.edu/luc_theses/369" TargetMode="External"/><Relationship Id="rId19" Type="http://schemas.openxmlformats.org/officeDocument/2006/relationships/hyperlink" Target="https://doi.org/10.1093/acprof:oso/9780198702566.003.0009" TargetMode="External"/><Relationship Id="rId4" Type="http://schemas.openxmlformats.org/officeDocument/2006/relationships/webSettings" Target="webSettings.xml"/><Relationship Id="rId9" Type="http://schemas.openxmlformats.org/officeDocument/2006/relationships/hyperlink" Target="https://sourcebooks.fordham.edu/source/hoveden-becket.asp" TargetMode="External"/><Relationship Id="rId14" Type="http://schemas.openxmlformats.org/officeDocument/2006/relationships/hyperlink" Target="https://doi.org/10.1111/j.1468-2281.1962.tb01411.x" TargetMode="External"/><Relationship Id="rId22" Type="http://schemas.openxmlformats.org/officeDocument/2006/relationships/footer" Target="footer1.xm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111/j.1468-2281.1962.tb01411.x" TargetMode="External"/><Relationship Id="rId3" Type="http://schemas.openxmlformats.org/officeDocument/2006/relationships/hyperlink" Target="https://academic.oup.com/book/6332/chapter/150057657" TargetMode="External"/><Relationship Id="rId7" Type="http://schemas.openxmlformats.org/officeDocument/2006/relationships/hyperlink" Target="https://sourcebooks.fordham.edu/source/hoveden-becket.asp" TargetMode="External"/><Relationship Id="rId2" Type="http://schemas.openxmlformats.org/officeDocument/2006/relationships/hyperlink" Target="https://doi.org/10.1093/acprof:oso/9780198702566.001.0001" TargetMode="External"/><Relationship Id="rId1" Type="http://schemas.openxmlformats.org/officeDocument/2006/relationships/hyperlink" Target="https://ecommons.luc.edu/luc_theses/622/" TargetMode="External"/><Relationship Id="rId6" Type="http://schemas.openxmlformats.org/officeDocument/2006/relationships/hyperlink" Target="https://archive.org/details/statesmansbookof0000unse/page/n3/mode/2up" TargetMode="External"/><Relationship Id="rId5" Type="http://schemas.openxmlformats.org/officeDocument/2006/relationships/hyperlink" Target="https://ecommons.luc.edu/luc_theses/622/" TargetMode="External"/><Relationship Id="rId10" Type="http://schemas.openxmlformats.org/officeDocument/2006/relationships/hyperlink" Target="https://archive.org/details/chaucerhisenglan00couluoft/page/294/mode/2up?view=theater" TargetMode="External"/><Relationship Id="rId4" Type="http://schemas.openxmlformats.org/officeDocument/2006/relationships/hyperlink" Target="https://doi.org/10.1093/acprof:oso/9780198702566.003.0009" TargetMode="External"/><Relationship Id="rId9" Type="http://schemas.openxmlformats.org/officeDocument/2006/relationships/hyperlink" Target="https://sourcebooks.fordham.edu/source/hoveden-beck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18</Pages>
  <Words>4694</Words>
  <Characters>26762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31394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9</cp:revision>
  <cp:lastPrinted>2023-05-04T14:44:00Z</cp:lastPrinted>
  <dcterms:created xsi:type="dcterms:W3CDTF">2023-05-06T20:29:00Z</dcterms:created>
  <dcterms:modified xsi:type="dcterms:W3CDTF">2023-05-07T00:05:00Z</dcterms:modified>
  <cp:category/>
</cp:coreProperties>
</file>