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FECF2" w14:textId="77777777" w:rsidR="0018383A" w:rsidRPr="000F5219" w:rsidRDefault="0018383A" w:rsidP="00B06CBA">
      <w:pPr>
        <w:pStyle w:val="NormalWeb"/>
        <w:spacing w:before="0" w:beforeAutospacing="0" w:after="0" w:afterAutospacing="0" w:line="360" w:lineRule="auto"/>
        <w:contextualSpacing/>
        <w:jc w:val="both"/>
        <w:rPr>
          <w:rStyle w:val="Strong"/>
          <w:color w:val="000000" w:themeColor="text1"/>
        </w:rPr>
      </w:pPr>
    </w:p>
    <w:p w14:paraId="32E31EAF" w14:textId="77777777" w:rsidR="0018383A" w:rsidRPr="000F5219" w:rsidRDefault="0018383A" w:rsidP="00B06CBA">
      <w:pPr>
        <w:pStyle w:val="NormalWeb"/>
        <w:spacing w:before="0" w:beforeAutospacing="0" w:after="0" w:afterAutospacing="0" w:line="360" w:lineRule="auto"/>
        <w:contextualSpacing/>
        <w:jc w:val="both"/>
        <w:rPr>
          <w:rStyle w:val="Strong"/>
          <w:color w:val="000000" w:themeColor="text1"/>
        </w:rPr>
      </w:pPr>
    </w:p>
    <w:p w14:paraId="47DB71B7" w14:textId="77777777" w:rsidR="0018383A" w:rsidRPr="00D66576" w:rsidRDefault="0018383A" w:rsidP="00B06CBA">
      <w:pPr>
        <w:pStyle w:val="NormalWeb"/>
        <w:spacing w:before="0" w:beforeAutospacing="0" w:after="0" w:afterAutospacing="0" w:line="360" w:lineRule="auto"/>
        <w:contextualSpacing/>
        <w:jc w:val="center"/>
        <w:rPr>
          <w:rStyle w:val="Strong"/>
          <w:rFonts w:ascii="Arial" w:hAnsi="Arial" w:cs="Arial"/>
          <w:color w:val="000000" w:themeColor="text1"/>
          <w:sz w:val="28"/>
          <w:szCs w:val="28"/>
        </w:rPr>
      </w:pPr>
    </w:p>
    <w:p w14:paraId="3BBF53EE" w14:textId="2805F968"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GLOBAL BUSINESS ENVIRONMENT</w:t>
      </w:r>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Module Code:</w:t>
      </w:r>
      <w:r w:rsidRPr="00D66576">
        <w:rPr>
          <w:rFonts w:ascii="Arial" w:hAnsi="Arial" w:cs="Arial"/>
          <w:color w:val="000000" w:themeColor="text1"/>
          <w:sz w:val="28"/>
          <w:szCs w:val="28"/>
        </w:rPr>
        <w:t xml:space="preserve"> LCBB4016</w:t>
      </w:r>
    </w:p>
    <w:p w14:paraId="3603B5A4" w14:textId="77777777"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Component 2: Coursework Essay</w:t>
      </w:r>
    </w:p>
    <w:p w14:paraId="475C28CC" w14:textId="215E7216"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Essay Title:</w:t>
      </w:r>
      <w:r w:rsidR="00472B60" w:rsidRPr="00D66576">
        <w:rPr>
          <w:rStyle w:val="Emphasis"/>
          <w:rFonts w:ascii="Arial" w:hAnsi="Arial" w:cs="Arial"/>
          <w:color w:val="000000" w:themeColor="text1"/>
          <w:sz w:val="28"/>
          <w:szCs w:val="28"/>
        </w:rPr>
        <w:t xml:space="preserve"> </w:t>
      </w:r>
      <w:r w:rsidRPr="00D66576">
        <w:rPr>
          <w:rStyle w:val="Emphasis"/>
          <w:rFonts w:ascii="Arial" w:hAnsi="Arial" w:cs="Arial"/>
          <w:i w:val="0"/>
          <w:iCs w:val="0"/>
          <w:color w:val="000000" w:themeColor="text1"/>
          <w:sz w:val="28"/>
          <w:szCs w:val="28"/>
        </w:rPr>
        <w:t>The impact of AI adoption, geopolitical supply-chain disruption and sustainability demands on AstraZeneca’s international strategy and operations</w:t>
      </w:r>
    </w:p>
    <w:p w14:paraId="3595FA3E" w14:textId="646C6E26"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Student Name:</w:t>
      </w:r>
      <w:r w:rsidRPr="00D66576">
        <w:rPr>
          <w:rFonts w:ascii="Arial" w:hAnsi="Arial" w:cs="Arial"/>
          <w:color w:val="000000" w:themeColor="text1"/>
          <w:sz w:val="28"/>
          <w:szCs w:val="28"/>
        </w:rPr>
        <w:t xml:space="preserve"> </w:t>
      </w:r>
      <w:r w:rsidR="00D66576" w:rsidRPr="00D66576">
        <w:rPr>
          <w:rFonts w:ascii="Arial" w:hAnsi="Arial" w:cs="Arial"/>
          <w:color w:val="000000" w:themeColor="text1"/>
          <w:sz w:val="28"/>
          <w:szCs w:val="28"/>
        </w:rPr>
        <w:t>Roger Aznar Montero</w:t>
      </w:r>
      <w:r w:rsidR="00D66576" w:rsidRPr="00D66576">
        <w:rPr>
          <w:rFonts w:ascii="Arial" w:hAnsi="Arial" w:cs="Arial"/>
          <w:color w:val="000000" w:themeColor="text1"/>
          <w:sz w:val="28"/>
          <w:szCs w:val="28"/>
        </w:rPr>
        <w:tab/>
      </w:r>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Student ID:</w:t>
      </w:r>
      <w:r w:rsidRPr="00D66576">
        <w:rPr>
          <w:rFonts w:ascii="Arial" w:hAnsi="Arial" w:cs="Arial"/>
          <w:color w:val="000000" w:themeColor="text1"/>
          <w:sz w:val="28"/>
          <w:szCs w:val="28"/>
        </w:rPr>
        <w:t xml:space="preserve"> </w:t>
      </w:r>
      <w:r w:rsidR="00D66576">
        <w:rPr>
          <w:rFonts w:ascii="Arial" w:hAnsi="Arial" w:cs="Arial"/>
          <w:color w:val="000000" w:themeColor="text1"/>
          <w:sz w:val="28"/>
          <w:szCs w:val="28"/>
        </w:rPr>
        <w:t>2442798</w:t>
      </w:r>
      <w:r w:rsidRPr="00D66576">
        <w:rPr>
          <w:rFonts w:ascii="Arial" w:hAnsi="Arial" w:cs="Arial"/>
          <w:color w:val="000000" w:themeColor="text1"/>
          <w:sz w:val="28"/>
          <w:szCs w:val="28"/>
        </w:rPr>
        <w:br/>
      </w:r>
      <w:proofErr w:type="spellStart"/>
      <w:r w:rsidRPr="00D66576">
        <w:rPr>
          <w:rStyle w:val="Strong"/>
          <w:rFonts w:ascii="Arial" w:hAnsi="Arial" w:cs="Arial"/>
          <w:color w:val="000000" w:themeColor="text1"/>
          <w:sz w:val="28"/>
          <w:szCs w:val="28"/>
        </w:rPr>
        <w:t>Programme</w:t>
      </w:r>
      <w:proofErr w:type="spellEnd"/>
      <w:r w:rsidRPr="00D66576">
        <w:rPr>
          <w:rStyle w:val="Strong"/>
          <w:rFonts w:ascii="Arial" w:hAnsi="Arial" w:cs="Arial"/>
          <w:color w:val="000000" w:themeColor="text1"/>
          <w:sz w:val="28"/>
          <w:szCs w:val="28"/>
        </w:rPr>
        <w:t>:</w:t>
      </w:r>
      <w:r w:rsidRPr="00D66576">
        <w:rPr>
          <w:rFonts w:ascii="Arial" w:hAnsi="Arial" w:cs="Arial"/>
          <w:color w:val="000000" w:themeColor="text1"/>
          <w:sz w:val="28"/>
          <w:szCs w:val="28"/>
        </w:rPr>
        <w:t xml:space="preserve"> BA (Hons) Business Management</w:t>
      </w:r>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Module Leader/Lecturer:</w:t>
      </w:r>
      <w:r w:rsidRPr="00D66576">
        <w:rPr>
          <w:rFonts w:ascii="Arial" w:hAnsi="Arial" w:cs="Arial"/>
          <w:color w:val="000000" w:themeColor="text1"/>
          <w:sz w:val="28"/>
          <w:szCs w:val="28"/>
        </w:rPr>
        <w:t xml:space="preserve"> </w:t>
      </w:r>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Submission Date:</w:t>
      </w:r>
      <w:r w:rsidRPr="00D66576">
        <w:rPr>
          <w:rFonts w:ascii="Arial" w:hAnsi="Arial" w:cs="Arial"/>
          <w:color w:val="000000" w:themeColor="text1"/>
          <w:sz w:val="28"/>
          <w:szCs w:val="28"/>
        </w:rPr>
        <w:t xml:space="preserve"> 26 April 2026</w:t>
      </w:r>
      <w:r w:rsidRPr="00D66576">
        <w:rPr>
          <w:rFonts w:ascii="Arial" w:hAnsi="Arial" w:cs="Arial"/>
          <w:color w:val="000000" w:themeColor="text1"/>
          <w:sz w:val="28"/>
          <w:szCs w:val="28"/>
        </w:rPr>
        <w:br/>
      </w:r>
    </w:p>
    <w:p w14:paraId="572BA6BB" w14:textId="4CF09B54" w:rsidR="0018383A" w:rsidRPr="00AD4660" w:rsidRDefault="0018383A" w:rsidP="00B06CBA">
      <w:pPr>
        <w:spacing w:after="0" w:line="360" w:lineRule="auto"/>
        <w:contextualSpacing/>
        <w:jc w:val="both"/>
        <w:rPr>
          <w:rFonts w:ascii="Arial" w:eastAsia="Times New Roman" w:hAnsi="Arial" w:cs="Arial"/>
          <w:color w:val="000000" w:themeColor="text1"/>
          <w:kern w:val="0"/>
          <w:sz w:val="24"/>
          <w:szCs w:val="24"/>
          <w14:ligatures w14:val="none"/>
        </w:rPr>
      </w:pPr>
      <w:r w:rsidRPr="000F5219">
        <w:rPr>
          <w:rFonts w:ascii="Times New Roman" w:hAnsi="Times New Roman" w:cs="Times New Roman"/>
          <w:color w:val="000000" w:themeColor="text1"/>
          <w:sz w:val="24"/>
          <w:szCs w:val="24"/>
        </w:rPr>
        <w:br w:type="page"/>
      </w:r>
    </w:p>
    <w:sdt>
      <w:sdtPr>
        <w:rPr>
          <w:rFonts w:ascii="Arial" w:eastAsiaTheme="minorHAnsi" w:hAnsi="Arial" w:cs="Arial"/>
          <w:b w:val="0"/>
          <w:bCs w:val="0"/>
          <w:i w:val="0"/>
          <w:iCs w:val="0"/>
          <w:color w:val="auto"/>
          <w:kern w:val="2"/>
          <w:sz w:val="22"/>
          <w:szCs w:val="22"/>
          <w14:ligatures w14:val="standardContextual"/>
        </w:rPr>
        <w:id w:val="377593743"/>
        <w:docPartObj>
          <w:docPartGallery w:val="Table of Contents"/>
          <w:docPartUnique/>
        </w:docPartObj>
      </w:sdtPr>
      <w:sdtEndPr>
        <w:rPr>
          <w:rFonts w:asciiTheme="minorHAnsi" w:hAnsiTheme="minorHAnsi" w:cstheme="minorBidi"/>
          <w:noProof/>
        </w:rPr>
      </w:sdtEndPr>
      <w:sdtContent>
        <w:p w14:paraId="3685AD0D" w14:textId="1C077C0D" w:rsidR="0018383A" w:rsidRPr="00AD4660" w:rsidRDefault="00B06CBA" w:rsidP="00B06CBA">
          <w:pPr>
            <w:pStyle w:val="TOCHeading"/>
            <w:spacing w:before="0" w:beforeAutospacing="0" w:after="0" w:afterAutospacing="0" w:line="360" w:lineRule="auto"/>
            <w:contextualSpacing/>
            <w:jc w:val="center"/>
            <w:rPr>
              <w:rFonts w:ascii="Arial" w:hAnsi="Arial" w:cs="Arial"/>
              <w:i w:val="0"/>
              <w:iCs w:val="0"/>
            </w:rPr>
          </w:pPr>
          <w:r w:rsidRPr="00AD4660">
            <w:rPr>
              <w:rFonts w:ascii="Arial" w:hAnsi="Arial" w:cs="Arial"/>
              <w:i w:val="0"/>
              <w:iCs w:val="0"/>
            </w:rPr>
            <w:t>TABLE OF CONTENTS</w:t>
          </w:r>
        </w:p>
        <w:p w14:paraId="215050C5" w14:textId="73098A15" w:rsidR="00C77A07" w:rsidRPr="00AD4660" w:rsidRDefault="0018383A">
          <w:pPr>
            <w:pStyle w:val="TOC1"/>
            <w:tabs>
              <w:tab w:val="right" w:leader="dot" w:pos="9350"/>
            </w:tabs>
            <w:rPr>
              <w:rFonts w:ascii="Arial" w:eastAsiaTheme="minorEastAsia" w:hAnsi="Arial" w:cs="Arial"/>
              <w:noProof/>
              <w:color w:val="000000" w:themeColor="text1"/>
              <w:sz w:val="24"/>
              <w:szCs w:val="24"/>
            </w:rPr>
          </w:pPr>
          <w:r w:rsidRPr="00AD4660">
            <w:rPr>
              <w:rFonts w:ascii="Arial" w:hAnsi="Arial" w:cs="Arial"/>
              <w:color w:val="000000" w:themeColor="text1"/>
              <w:sz w:val="24"/>
              <w:szCs w:val="24"/>
            </w:rPr>
            <w:fldChar w:fldCharType="begin"/>
          </w:r>
          <w:r w:rsidRPr="00AD4660">
            <w:rPr>
              <w:rFonts w:ascii="Arial" w:hAnsi="Arial" w:cs="Arial"/>
              <w:color w:val="000000" w:themeColor="text1"/>
              <w:sz w:val="24"/>
              <w:szCs w:val="24"/>
            </w:rPr>
            <w:instrText xml:space="preserve"> TOC \o "1-3" \h \z \u </w:instrText>
          </w:r>
          <w:r w:rsidRPr="00AD4660">
            <w:rPr>
              <w:rFonts w:ascii="Arial" w:hAnsi="Arial" w:cs="Arial"/>
              <w:color w:val="000000" w:themeColor="text1"/>
              <w:sz w:val="24"/>
              <w:szCs w:val="24"/>
            </w:rPr>
            <w:fldChar w:fldCharType="separate"/>
          </w:r>
          <w:hyperlink w:anchor="_Toc227761522" w:history="1">
            <w:r w:rsidR="00C77A07" w:rsidRPr="00AD4660">
              <w:rPr>
                <w:rStyle w:val="Hyperlink"/>
                <w:rFonts w:ascii="Arial" w:hAnsi="Arial" w:cs="Arial"/>
                <w:noProof/>
                <w:color w:val="000000" w:themeColor="text1"/>
                <w:sz w:val="24"/>
                <w:szCs w:val="24"/>
              </w:rPr>
              <w:t>Introduction</w:t>
            </w:r>
            <w:r w:rsidR="00C77A07" w:rsidRPr="00AD4660">
              <w:rPr>
                <w:rFonts w:ascii="Arial" w:hAnsi="Arial" w:cs="Arial"/>
                <w:noProof/>
                <w:webHidden/>
                <w:color w:val="000000" w:themeColor="text1"/>
                <w:sz w:val="24"/>
                <w:szCs w:val="24"/>
              </w:rPr>
              <w:tab/>
            </w:r>
            <w:r w:rsidR="00C77A07" w:rsidRPr="00AD4660">
              <w:rPr>
                <w:rFonts w:ascii="Arial" w:hAnsi="Arial" w:cs="Arial"/>
                <w:noProof/>
                <w:webHidden/>
                <w:color w:val="000000" w:themeColor="text1"/>
                <w:sz w:val="24"/>
                <w:szCs w:val="24"/>
              </w:rPr>
              <w:fldChar w:fldCharType="begin"/>
            </w:r>
            <w:r w:rsidR="00C77A07" w:rsidRPr="00AD4660">
              <w:rPr>
                <w:rFonts w:ascii="Arial" w:hAnsi="Arial" w:cs="Arial"/>
                <w:noProof/>
                <w:webHidden/>
                <w:color w:val="000000" w:themeColor="text1"/>
                <w:sz w:val="24"/>
                <w:szCs w:val="24"/>
              </w:rPr>
              <w:instrText xml:space="preserve"> PAGEREF _Toc227761522 \h </w:instrText>
            </w:r>
            <w:r w:rsidR="00C77A07" w:rsidRPr="00AD4660">
              <w:rPr>
                <w:rFonts w:ascii="Arial" w:hAnsi="Arial" w:cs="Arial"/>
                <w:noProof/>
                <w:webHidden/>
                <w:color w:val="000000" w:themeColor="text1"/>
                <w:sz w:val="24"/>
                <w:szCs w:val="24"/>
              </w:rPr>
            </w:r>
            <w:r w:rsidR="00C77A07" w:rsidRPr="00AD4660">
              <w:rPr>
                <w:rFonts w:ascii="Arial" w:hAnsi="Arial" w:cs="Arial"/>
                <w:noProof/>
                <w:webHidden/>
                <w:color w:val="000000" w:themeColor="text1"/>
                <w:sz w:val="24"/>
                <w:szCs w:val="24"/>
              </w:rPr>
              <w:fldChar w:fldCharType="separate"/>
            </w:r>
            <w:r w:rsidR="00C77A07" w:rsidRPr="00AD4660">
              <w:rPr>
                <w:rFonts w:ascii="Arial" w:hAnsi="Arial" w:cs="Arial"/>
                <w:noProof/>
                <w:webHidden/>
                <w:color w:val="000000" w:themeColor="text1"/>
                <w:sz w:val="24"/>
                <w:szCs w:val="24"/>
              </w:rPr>
              <w:t>3</w:t>
            </w:r>
            <w:r w:rsidR="00C77A07" w:rsidRPr="00AD4660">
              <w:rPr>
                <w:rFonts w:ascii="Arial" w:hAnsi="Arial" w:cs="Arial"/>
                <w:noProof/>
                <w:webHidden/>
                <w:color w:val="000000" w:themeColor="text1"/>
                <w:sz w:val="24"/>
                <w:szCs w:val="24"/>
              </w:rPr>
              <w:fldChar w:fldCharType="end"/>
            </w:r>
          </w:hyperlink>
        </w:p>
        <w:p w14:paraId="21374B84" w14:textId="071A6582"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23" w:history="1">
            <w:r w:rsidRPr="00AD4660">
              <w:rPr>
                <w:rStyle w:val="Hyperlink"/>
                <w:rFonts w:ascii="Arial" w:hAnsi="Arial" w:cs="Arial"/>
                <w:noProof/>
                <w:color w:val="000000" w:themeColor="text1"/>
                <w:sz w:val="24"/>
                <w:szCs w:val="24"/>
              </w:rPr>
              <w:t>1. Company background</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_Toc227761523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3</w:t>
            </w:r>
            <w:r w:rsidRPr="00AD4660">
              <w:rPr>
                <w:rFonts w:ascii="Arial" w:hAnsi="Arial" w:cs="Arial"/>
                <w:noProof/>
                <w:webHidden/>
                <w:color w:val="000000" w:themeColor="text1"/>
                <w:sz w:val="24"/>
                <w:szCs w:val="24"/>
              </w:rPr>
              <w:fldChar w:fldCharType="end"/>
            </w:r>
          </w:hyperlink>
        </w:p>
        <w:p w14:paraId="6158D866" w14:textId="6BB227D3"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24" w:history="1">
            <w:r w:rsidRPr="00AD4660">
              <w:rPr>
                <w:rStyle w:val="Hyperlink"/>
                <w:rFonts w:ascii="Arial" w:hAnsi="Arial" w:cs="Arial"/>
                <w:noProof/>
                <w:color w:val="000000" w:themeColor="text1"/>
                <w:sz w:val="24"/>
                <w:szCs w:val="24"/>
              </w:rPr>
              <w:t>2. Opportunities by Current Global Forces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_Toc227761524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5</w:t>
            </w:r>
            <w:r w:rsidRPr="00AD4660">
              <w:rPr>
                <w:rFonts w:ascii="Arial" w:hAnsi="Arial" w:cs="Arial"/>
                <w:noProof/>
                <w:webHidden/>
                <w:color w:val="000000" w:themeColor="text1"/>
                <w:sz w:val="24"/>
                <w:szCs w:val="24"/>
              </w:rPr>
              <w:fldChar w:fldCharType="end"/>
            </w:r>
          </w:hyperlink>
        </w:p>
        <w:p w14:paraId="2872ABE7" w14:textId="61D8F8E4"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5" w:history="1">
            <w:r w:rsidRPr="00AD4660">
              <w:rPr>
                <w:rStyle w:val="Hyperlink"/>
                <w:rFonts w:ascii="Arial" w:hAnsi="Arial" w:cs="Arial"/>
                <w:noProof/>
                <w:color w:val="000000" w:themeColor="text1"/>
                <w:sz w:val="24"/>
                <w:szCs w:val="24"/>
              </w:rPr>
              <w:t>AI opportunities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_Toc227761525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5</w:t>
            </w:r>
            <w:r w:rsidRPr="00AD4660">
              <w:rPr>
                <w:rFonts w:ascii="Arial" w:hAnsi="Arial" w:cs="Arial"/>
                <w:noProof/>
                <w:webHidden/>
                <w:color w:val="000000" w:themeColor="text1"/>
                <w:sz w:val="24"/>
                <w:szCs w:val="24"/>
              </w:rPr>
              <w:fldChar w:fldCharType="end"/>
            </w:r>
          </w:hyperlink>
        </w:p>
        <w:p w14:paraId="52399781" w14:textId="1F69C97B"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6" w:history="1">
            <w:r w:rsidRPr="00AD4660">
              <w:rPr>
                <w:rStyle w:val="Hyperlink"/>
                <w:rFonts w:ascii="Arial" w:hAnsi="Arial" w:cs="Arial"/>
                <w:noProof/>
                <w:color w:val="000000" w:themeColor="text1"/>
                <w:sz w:val="24"/>
                <w:szCs w:val="24"/>
              </w:rPr>
              <w:t>Geopolitical and Supply-chain Opportunities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_Toc227761526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5</w:t>
            </w:r>
            <w:r w:rsidRPr="00AD4660">
              <w:rPr>
                <w:rFonts w:ascii="Arial" w:hAnsi="Arial" w:cs="Arial"/>
                <w:noProof/>
                <w:webHidden/>
                <w:color w:val="000000" w:themeColor="text1"/>
                <w:sz w:val="24"/>
                <w:szCs w:val="24"/>
              </w:rPr>
              <w:fldChar w:fldCharType="end"/>
            </w:r>
          </w:hyperlink>
        </w:p>
        <w:p w14:paraId="067620DC" w14:textId="0AC88BED"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7" w:history="1">
            <w:r w:rsidRPr="00AD4660">
              <w:rPr>
                <w:rStyle w:val="Hyperlink"/>
                <w:rFonts w:ascii="Arial" w:hAnsi="Arial" w:cs="Arial"/>
                <w:noProof/>
                <w:color w:val="000000" w:themeColor="text1"/>
                <w:sz w:val="24"/>
                <w:szCs w:val="24"/>
              </w:rPr>
              <w:t>Sustainability and Regulatory Opportunities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_Toc227761527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6</w:t>
            </w:r>
            <w:r w:rsidRPr="00AD4660">
              <w:rPr>
                <w:rFonts w:ascii="Arial" w:hAnsi="Arial" w:cs="Arial"/>
                <w:noProof/>
                <w:webHidden/>
                <w:color w:val="000000" w:themeColor="text1"/>
                <w:sz w:val="24"/>
                <w:szCs w:val="24"/>
              </w:rPr>
              <w:fldChar w:fldCharType="end"/>
            </w:r>
          </w:hyperlink>
        </w:p>
        <w:p w14:paraId="7CD74819" w14:textId="53FFFD9A"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28" w:history="1">
            <w:r w:rsidRPr="00AD4660">
              <w:rPr>
                <w:rStyle w:val="Hyperlink"/>
                <w:rFonts w:ascii="Arial" w:hAnsi="Arial" w:cs="Arial"/>
                <w:noProof/>
                <w:color w:val="000000" w:themeColor="text1"/>
                <w:sz w:val="24"/>
                <w:szCs w:val="24"/>
              </w:rPr>
              <w:t>3. Challenges by Current Global Forces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_Toc227761528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6</w:t>
            </w:r>
            <w:r w:rsidRPr="00AD4660">
              <w:rPr>
                <w:rFonts w:ascii="Arial" w:hAnsi="Arial" w:cs="Arial"/>
                <w:noProof/>
                <w:webHidden/>
                <w:color w:val="000000" w:themeColor="text1"/>
                <w:sz w:val="24"/>
                <w:szCs w:val="24"/>
              </w:rPr>
              <w:fldChar w:fldCharType="end"/>
            </w:r>
          </w:hyperlink>
        </w:p>
        <w:p w14:paraId="69F5DF6A" w14:textId="41E31235"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9" w:history="1">
            <w:r w:rsidRPr="00AD4660">
              <w:rPr>
                <w:rStyle w:val="Hyperlink"/>
                <w:rFonts w:ascii="Arial" w:hAnsi="Arial" w:cs="Arial"/>
                <w:noProof/>
                <w:color w:val="000000" w:themeColor="text1"/>
                <w:sz w:val="24"/>
                <w:szCs w:val="24"/>
              </w:rPr>
              <w:t>AI challenges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_Toc227761529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6</w:t>
            </w:r>
            <w:r w:rsidRPr="00AD4660">
              <w:rPr>
                <w:rFonts w:ascii="Arial" w:hAnsi="Arial" w:cs="Arial"/>
                <w:noProof/>
                <w:webHidden/>
                <w:color w:val="000000" w:themeColor="text1"/>
                <w:sz w:val="24"/>
                <w:szCs w:val="24"/>
              </w:rPr>
              <w:fldChar w:fldCharType="end"/>
            </w:r>
          </w:hyperlink>
        </w:p>
        <w:p w14:paraId="1888DAEC" w14:textId="2AF43274"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30" w:history="1">
            <w:r w:rsidRPr="00AD4660">
              <w:rPr>
                <w:rStyle w:val="Hyperlink"/>
                <w:rFonts w:ascii="Arial" w:hAnsi="Arial" w:cs="Arial"/>
                <w:noProof/>
                <w:color w:val="000000" w:themeColor="text1"/>
                <w:sz w:val="24"/>
                <w:szCs w:val="24"/>
              </w:rPr>
              <w:t>Geopolitical and Supply-chain Challenges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_Toc227761530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7</w:t>
            </w:r>
            <w:r w:rsidRPr="00AD4660">
              <w:rPr>
                <w:rFonts w:ascii="Arial" w:hAnsi="Arial" w:cs="Arial"/>
                <w:noProof/>
                <w:webHidden/>
                <w:color w:val="000000" w:themeColor="text1"/>
                <w:sz w:val="24"/>
                <w:szCs w:val="24"/>
              </w:rPr>
              <w:fldChar w:fldCharType="end"/>
            </w:r>
          </w:hyperlink>
        </w:p>
        <w:p w14:paraId="55435B69" w14:textId="39248317"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31" w:history="1">
            <w:r w:rsidRPr="00AD4660">
              <w:rPr>
                <w:rStyle w:val="Hyperlink"/>
                <w:rFonts w:ascii="Arial" w:hAnsi="Arial" w:cs="Arial"/>
                <w:noProof/>
                <w:color w:val="000000" w:themeColor="text1"/>
                <w:sz w:val="24"/>
                <w:szCs w:val="24"/>
              </w:rPr>
              <w:t>Sustainability and Regulatory Challenges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_Toc227761531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7</w:t>
            </w:r>
            <w:r w:rsidRPr="00AD4660">
              <w:rPr>
                <w:rFonts w:ascii="Arial" w:hAnsi="Arial" w:cs="Arial"/>
                <w:noProof/>
                <w:webHidden/>
                <w:color w:val="000000" w:themeColor="text1"/>
                <w:sz w:val="24"/>
                <w:szCs w:val="24"/>
              </w:rPr>
              <w:fldChar w:fldCharType="end"/>
            </w:r>
          </w:hyperlink>
        </w:p>
        <w:p w14:paraId="1416B685" w14:textId="02CC69D4"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2" w:history="1">
            <w:r w:rsidRPr="0075058A">
              <w:rPr>
                <w:rStyle w:val="Hyperlink"/>
                <w:rFonts w:ascii="Arial" w:hAnsi="Arial" w:cs="Arial"/>
                <w:noProof/>
                <w:sz w:val="24"/>
                <w:szCs w:val="24"/>
              </w:rPr>
              <w:t>4. Critical Impact on Strategy</w:t>
            </w:r>
            <w:r w:rsidR="005137E0" w:rsidRPr="0075058A">
              <w:rPr>
                <w:rStyle w:val="Hyperlink"/>
                <w:rFonts w:ascii="Arial" w:hAnsi="Arial" w:cs="Arial"/>
                <w:noProof/>
                <w:sz w:val="24"/>
                <w:szCs w:val="24"/>
              </w:rPr>
              <w:t>/</w:t>
            </w:r>
            <w:r w:rsidR="0075058A" w:rsidRPr="0075058A">
              <w:rPr>
                <w:rStyle w:val="Hyperlink"/>
                <w:rFonts w:ascii="Arial" w:hAnsi="Arial" w:cs="Arial"/>
                <w:noProof/>
                <w:sz w:val="24"/>
                <w:szCs w:val="24"/>
              </w:rPr>
              <w:t xml:space="preserve">Pestel and Porter’s Five Forces </w:t>
            </w:r>
            <w:r w:rsidR="005137E0" w:rsidRPr="0075058A">
              <w:rPr>
                <w:rStyle w:val="Hyperlink"/>
                <w:rFonts w:ascii="Arial" w:hAnsi="Arial" w:cs="Arial"/>
                <w:noProof/>
                <w:sz w:val="24"/>
                <w:szCs w:val="24"/>
              </w:rPr>
              <w:t xml:space="preserve">Analysis </w:t>
            </w:r>
            <w:r w:rsidRPr="0075058A">
              <w:rPr>
                <w:rStyle w:val="Hyperlink"/>
                <w:rFonts w:ascii="Arial" w:hAnsi="Arial" w:cs="Arial"/>
                <w:noProof/>
                <w:webHidden/>
                <w:sz w:val="24"/>
                <w:szCs w:val="24"/>
              </w:rPr>
              <w:tab/>
            </w:r>
            <w:r w:rsidRPr="0075058A">
              <w:rPr>
                <w:rStyle w:val="Hyperlink"/>
                <w:rFonts w:ascii="Arial" w:hAnsi="Arial" w:cs="Arial"/>
                <w:noProof/>
                <w:webHidden/>
                <w:sz w:val="24"/>
                <w:szCs w:val="24"/>
              </w:rPr>
              <w:fldChar w:fldCharType="begin"/>
            </w:r>
            <w:r w:rsidRPr="0075058A">
              <w:rPr>
                <w:rStyle w:val="Hyperlink"/>
                <w:rFonts w:ascii="Arial" w:hAnsi="Arial" w:cs="Arial"/>
                <w:noProof/>
                <w:webHidden/>
                <w:sz w:val="24"/>
                <w:szCs w:val="24"/>
              </w:rPr>
              <w:instrText xml:space="preserve"> PAGEREF _Toc227761532 \h </w:instrText>
            </w:r>
            <w:r w:rsidRPr="0075058A">
              <w:rPr>
                <w:rStyle w:val="Hyperlink"/>
                <w:rFonts w:ascii="Arial" w:hAnsi="Arial" w:cs="Arial"/>
                <w:noProof/>
                <w:webHidden/>
                <w:sz w:val="24"/>
                <w:szCs w:val="24"/>
              </w:rPr>
            </w:r>
            <w:r w:rsidRPr="0075058A">
              <w:rPr>
                <w:rStyle w:val="Hyperlink"/>
                <w:rFonts w:ascii="Arial" w:hAnsi="Arial" w:cs="Arial"/>
                <w:noProof/>
                <w:webHidden/>
                <w:sz w:val="24"/>
                <w:szCs w:val="24"/>
              </w:rPr>
              <w:fldChar w:fldCharType="separate"/>
            </w:r>
            <w:r w:rsidRPr="0075058A">
              <w:rPr>
                <w:rStyle w:val="Hyperlink"/>
                <w:rFonts w:ascii="Arial" w:hAnsi="Arial" w:cs="Arial"/>
                <w:noProof/>
                <w:webHidden/>
                <w:sz w:val="24"/>
                <w:szCs w:val="24"/>
              </w:rPr>
              <w:t>7</w:t>
            </w:r>
            <w:r w:rsidRPr="0075058A">
              <w:rPr>
                <w:rStyle w:val="Hyperlink"/>
                <w:rFonts w:ascii="Arial" w:hAnsi="Arial" w:cs="Arial"/>
                <w:noProof/>
                <w:webHidden/>
                <w:sz w:val="24"/>
                <w:szCs w:val="24"/>
              </w:rPr>
              <w:fldChar w:fldCharType="end"/>
            </w:r>
          </w:hyperlink>
        </w:p>
        <w:p w14:paraId="4664CAF5" w14:textId="0B59B648"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3" w:history="1">
            <w:r w:rsidRPr="00AD4660">
              <w:rPr>
                <w:rStyle w:val="Hyperlink"/>
                <w:rFonts w:ascii="Arial" w:hAnsi="Arial" w:cs="Arial"/>
                <w:noProof/>
                <w:color w:val="000000" w:themeColor="text1"/>
                <w:sz w:val="24"/>
                <w:szCs w:val="24"/>
              </w:rPr>
              <w:t>5. Strategic Recommendations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_Toc227761533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8</w:t>
            </w:r>
            <w:r w:rsidRPr="00AD4660">
              <w:rPr>
                <w:rFonts w:ascii="Arial" w:hAnsi="Arial" w:cs="Arial"/>
                <w:noProof/>
                <w:webHidden/>
                <w:color w:val="000000" w:themeColor="text1"/>
                <w:sz w:val="24"/>
                <w:szCs w:val="24"/>
              </w:rPr>
              <w:fldChar w:fldCharType="end"/>
            </w:r>
          </w:hyperlink>
        </w:p>
        <w:p w14:paraId="23CAED27" w14:textId="45ACF508"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4" w:history="1">
            <w:r w:rsidRPr="00AD4660">
              <w:rPr>
                <w:rStyle w:val="Hyperlink"/>
                <w:rFonts w:ascii="Arial" w:hAnsi="Arial" w:cs="Arial"/>
                <w:noProof/>
                <w:color w:val="000000" w:themeColor="text1"/>
                <w:sz w:val="24"/>
                <w:szCs w:val="24"/>
              </w:rPr>
              <w:t>Conclusion</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_Toc227761534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9</w:t>
            </w:r>
            <w:r w:rsidRPr="00AD4660">
              <w:rPr>
                <w:rFonts w:ascii="Arial" w:hAnsi="Arial" w:cs="Arial"/>
                <w:noProof/>
                <w:webHidden/>
                <w:color w:val="000000" w:themeColor="text1"/>
                <w:sz w:val="24"/>
                <w:szCs w:val="24"/>
              </w:rPr>
              <w:fldChar w:fldCharType="end"/>
            </w:r>
          </w:hyperlink>
        </w:p>
        <w:p w14:paraId="3AF8A3F8" w14:textId="7BCAD9A3"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5" w:history="1">
            <w:r w:rsidRPr="00AD4660">
              <w:rPr>
                <w:rStyle w:val="Hyperlink"/>
                <w:rFonts w:ascii="Arial" w:hAnsi="Arial" w:cs="Arial"/>
                <w:noProof/>
                <w:color w:val="000000" w:themeColor="text1"/>
                <w:sz w:val="24"/>
                <w:szCs w:val="24"/>
              </w:rPr>
              <w:t>References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_Toc227761535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10</w:t>
            </w:r>
            <w:r w:rsidRPr="00AD4660">
              <w:rPr>
                <w:rFonts w:ascii="Arial" w:hAnsi="Arial" w:cs="Arial"/>
                <w:noProof/>
                <w:webHidden/>
                <w:color w:val="000000" w:themeColor="text1"/>
                <w:sz w:val="24"/>
                <w:szCs w:val="24"/>
              </w:rPr>
              <w:fldChar w:fldCharType="end"/>
            </w:r>
          </w:hyperlink>
        </w:p>
        <w:p w14:paraId="414C8F4F" w14:textId="6FB740C6" w:rsidR="0018383A" w:rsidRPr="00C77A07" w:rsidRDefault="0018383A" w:rsidP="00B06CBA">
          <w:pPr>
            <w:spacing w:after="0" w:line="360" w:lineRule="auto"/>
            <w:contextualSpacing/>
            <w:jc w:val="both"/>
            <w:rPr>
              <w:rFonts w:ascii="Times New Roman" w:hAnsi="Times New Roman" w:cs="Times New Roman"/>
              <w:color w:val="000000" w:themeColor="text1"/>
              <w:sz w:val="24"/>
              <w:szCs w:val="24"/>
            </w:rPr>
          </w:pPr>
          <w:r w:rsidRPr="00AD4660">
            <w:rPr>
              <w:rFonts w:ascii="Arial" w:hAnsi="Arial" w:cs="Arial"/>
              <w:b/>
              <w:bCs/>
              <w:noProof/>
              <w:color w:val="000000" w:themeColor="text1"/>
              <w:sz w:val="24"/>
              <w:szCs w:val="24"/>
            </w:rPr>
            <w:fldChar w:fldCharType="end"/>
          </w:r>
        </w:p>
      </w:sdtContent>
    </w:sdt>
    <w:p w14:paraId="28BE560F" w14:textId="77777777" w:rsidR="0018383A" w:rsidRPr="000F5219" w:rsidRDefault="0018383A" w:rsidP="00B06CBA">
      <w:pPr>
        <w:pStyle w:val="NormalWeb"/>
        <w:spacing w:before="0" w:beforeAutospacing="0" w:after="0" w:afterAutospacing="0" w:line="360" w:lineRule="auto"/>
        <w:contextualSpacing/>
        <w:jc w:val="both"/>
        <w:rPr>
          <w:color w:val="000000" w:themeColor="text1"/>
        </w:rPr>
      </w:pPr>
    </w:p>
    <w:p w14:paraId="04363DC2" w14:textId="19BDA439" w:rsidR="0018383A" w:rsidRPr="00AD4660" w:rsidRDefault="0018383A" w:rsidP="00B06CBA">
      <w:pPr>
        <w:spacing w:after="0" w:line="360" w:lineRule="auto"/>
        <w:contextualSpacing/>
        <w:jc w:val="both"/>
        <w:rPr>
          <w:rFonts w:ascii="Arial" w:eastAsia="Times New Roman" w:hAnsi="Arial" w:cs="Arial"/>
          <w:b/>
          <w:bCs/>
          <w:color w:val="000000" w:themeColor="text1"/>
          <w:kern w:val="0"/>
          <w:sz w:val="24"/>
          <w:szCs w:val="24"/>
          <w14:ligatures w14:val="none"/>
        </w:rPr>
      </w:pPr>
      <w:r w:rsidRPr="000F5219">
        <w:rPr>
          <w:rFonts w:ascii="Times New Roman" w:eastAsia="Times New Roman" w:hAnsi="Times New Roman" w:cs="Times New Roman"/>
          <w:b/>
          <w:bCs/>
          <w:color w:val="000000" w:themeColor="text1"/>
          <w:kern w:val="0"/>
          <w:sz w:val="24"/>
          <w:szCs w:val="24"/>
          <w14:ligatures w14:val="none"/>
        </w:rPr>
        <w:br w:type="page"/>
      </w:r>
    </w:p>
    <w:p w14:paraId="0E80D0C9" w14:textId="71D8A96E" w:rsidR="0018383A" w:rsidRPr="00AD4660" w:rsidRDefault="0018383A" w:rsidP="00AD4660">
      <w:pPr>
        <w:pStyle w:val="Heading1"/>
        <w:spacing w:before="0" w:beforeAutospacing="0" w:after="0" w:afterAutospacing="0" w:line="360" w:lineRule="auto"/>
        <w:contextualSpacing/>
        <w:jc w:val="both"/>
        <w:rPr>
          <w:rFonts w:ascii="Arial" w:hAnsi="Arial" w:cs="Arial"/>
        </w:rPr>
      </w:pPr>
      <w:bookmarkStart w:id="0" w:name="_Toc227761522"/>
      <w:r w:rsidRPr="00AD4660">
        <w:rPr>
          <w:rFonts w:ascii="Arial" w:hAnsi="Arial" w:cs="Arial"/>
        </w:rPr>
        <w:lastRenderedPageBreak/>
        <w:t>Introduction</w:t>
      </w:r>
      <w:bookmarkEnd w:id="0"/>
    </w:p>
    <w:p w14:paraId="15791E87" w14:textId="77777777" w:rsidR="00CE2FB4" w:rsidRDefault="00CE2FB4" w:rsidP="00CE2FB4">
      <w:pPr>
        <w:spacing w:after="0" w:line="360" w:lineRule="auto"/>
        <w:contextualSpacing/>
        <w:jc w:val="both"/>
        <w:rPr>
          <w:rFonts w:ascii="Arial" w:hAnsi="Arial" w:cs="Arial"/>
          <w:color w:val="000000" w:themeColor="text1"/>
          <w:sz w:val="24"/>
          <w:szCs w:val="24"/>
          <w:lang w:val="en-GB"/>
        </w:rPr>
      </w:pPr>
      <w:r w:rsidRPr="00CE2FB4">
        <w:rPr>
          <w:rFonts w:ascii="Arial" w:hAnsi="Arial" w:cs="Arial"/>
          <w:color w:val="000000" w:themeColor="text1"/>
          <w:sz w:val="24"/>
          <w:szCs w:val="24"/>
          <w:lang w:val="en-GB"/>
        </w:rPr>
        <w:t xml:space="preserve">Globalisation refers to the growing interconnection between economies, markets, and knowledge across national borders, allowing firms to operate on an international scale (Dicken, 2020; Hill, 2023). However, in today’s environment, globalisation is no longer driven only by trade expansion. It is increasingly shaped by digital technologies, geopolitical uncertainty, and rising expectations around sustainability. These factors are changing how multinational organisations structure their strategies and manage operations across different regions (Van </w:t>
      </w:r>
      <w:proofErr w:type="spellStart"/>
      <w:r w:rsidRPr="00CE2FB4">
        <w:rPr>
          <w:rFonts w:ascii="Arial" w:hAnsi="Arial" w:cs="Arial"/>
          <w:color w:val="000000" w:themeColor="text1"/>
          <w:sz w:val="24"/>
          <w:szCs w:val="24"/>
          <w:lang w:val="en-GB"/>
        </w:rPr>
        <w:t>Tulder</w:t>
      </w:r>
      <w:proofErr w:type="spellEnd"/>
      <w:r w:rsidRPr="00CE2FB4">
        <w:rPr>
          <w:rFonts w:ascii="Arial" w:hAnsi="Arial" w:cs="Arial"/>
          <w:color w:val="000000" w:themeColor="text1"/>
          <w:sz w:val="24"/>
          <w:szCs w:val="24"/>
          <w:lang w:val="en-GB"/>
        </w:rPr>
        <w:t>, Verbeke and Jankowska, 2024).</w:t>
      </w:r>
    </w:p>
    <w:p w14:paraId="6996CF3D" w14:textId="77777777" w:rsidR="00CE2FB4" w:rsidRPr="00CE2FB4" w:rsidRDefault="00CE2FB4" w:rsidP="00CE2FB4">
      <w:pPr>
        <w:spacing w:after="0" w:line="360" w:lineRule="auto"/>
        <w:contextualSpacing/>
        <w:jc w:val="both"/>
        <w:rPr>
          <w:rFonts w:ascii="Arial" w:hAnsi="Arial" w:cs="Arial"/>
          <w:color w:val="000000" w:themeColor="text1"/>
          <w:sz w:val="24"/>
          <w:szCs w:val="24"/>
          <w:lang w:val="en-GB"/>
        </w:rPr>
      </w:pPr>
    </w:p>
    <w:p w14:paraId="6294CE26" w14:textId="4C053F94" w:rsidR="00CE2FB4" w:rsidRPr="00CE2FB4" w:rsidRDefault="00CE2FB4" w:rsidP="00CE2FB4">
      <w:pPr>
        <w:spacing w:after="0" w:line="360" w:lineRule="auto"/>
        <w:contextualSpacing/>
        <w:jc w:val="both"/>
        <w:rPr>
          <w:rFonts w:ascii="Arial" w:hAnsi="Arial" w:cs="Arial"/>
          <w:color w:val="000000" w:themeColor="text1"/>
          <w:sz w:val="24"/>
          <w:szCs w:val="24"/>
          <w:lang w:val="en-GB"/>
        </w:rPr>
      </w:pPr>
      <w:r w:rsidRPr="00CE2FB4">
        <w:rPr>
          <w:rFonts w:ascii="Arial" w:hAnsi="Arial" w:cs="Arial"/>
          <w:color w:val="000000" w:themeColor="text1"/>
          <w:sz w:val="24"/>
          <w:szCs w:val="24"/>
          <w:lang w:val="en-GB"/>
        </w:rPr>
        <w:t>AstraZeneca, a UK-based multinational pharmaceutical company, operates within this evolving context. With global revenues of over US$54.1 billion in 2024, the company plays a significant role in the global healthcare industry (AstraZeneca, 2025a). This essay examines how three key global forces</w:t>
      </w:r>
      <w:r>
        <w:rPr>
          <w:rFonts w:ascii="Arial" w:hAnsi="Arial" w:cs="Arial"/>
          <w:color w:val="000000" w:themeColor="text1"/>
          <w:sz w:val="24"/>
          <w:szCs w:val="24"/>
          <w:lang w:val="en-GB"/>
        </w:rPr>
        <w:t xml:space="preserve">, </w:t>
      </w:r>
      <w:r w:rsidRPr="00CE2FB4">
        <w:rPr>
          <w:rFonts w:ascii="Arial" w:hAnsi="Arial" w:cs="Arial"/>
          <w:color w:val="000000" w:themeColor="text1"/>
          <w:sz w:val="24"/>
          <w:szCs w:val="24"/>
          <w:lang w:val="en-GB"/>
        </w:rPr>
        <w:t>artificial intelligence (AI), geopolitical supply-chain disruption, and sustainability demands</w:t>
      </w:r>
      <w:r>
        <w:rPr>
          <w:rFonts w:ascii="Arial" w:hAnsi="Arial" w:cs="Arial"/>
          <w:color w:val="000000" w:themeColor="text1"/>
          <w:sz w:val="24"/>
          <w:szCs w:val="24"/>
          <w:lang w:val="en-GB"/>
        </w:rPr>
        <w:t xml:space="preserve">, </w:t>
      </w:r>
      <w:r w:rsidRPr="00CE2FB4">
        <w:rPr>
          <w:rFonts w:ascii="Arial" w:hAnsi="Arial" w:cs="Arial"/>
          <w:color w:val="000000" w:themeColor="text1"/>
          <w:sz w:val="24"/>
          <w:szCs w:val="24"/>
          <w:lang w:val="en-GB"/>
        </w:rPr>
        <w:t>create both opportunities and challenges for AstraZeneca. It also explores how these forces influence the company’s competitiveness, innovation, and overall strategic direction.</w:t>
      </w:r>
    </w:p>
    <w:p w14:paraId="5DC68D59" w14:textId="77777777" w:rsidR="000F5219" w:rsidRPr="00AD4660" w:rsidRDefault="000F5219" w:rsidP="00AD4660">
      <w:pPr>
        <w:spacing w:after="0" w:line="360" w:lineRule="auto"/>
        <w:contextualSpacing/>
        <w:jc w:val="both"/>
        <w:rPr>
          <w:rFonts w:ascii="Arial" w:hAnsi="Arial" w:cs="Arial"/>
          <w:color w:val="000000" w:themeColor="text1"/>
          <w:sz w:val="24"/>
          <w:szCs w:val="24"/>
        </w:rPr>
      </w:pPr>
    </w:p>
    <w:p w14:paraId="0CE22591" w14:textId="3DD9AA51" w:rsidR="0018383A" w:rsidRPr="00AD4660" w:rsidRDefault="0018383A" w:rsidP="00AD4660">
      <w:pPr>
        <w:pStyle w:val="Heading1"/>
        <w:spacing w:before="0" w:beforeAutospacing="0" w:after="0" w:afterAutospacing="0" w:line="360" w:lineRule="auto"/>
        <w:contextualSpacing/>
        <w:jc w:val="both"/>
        <w:rPr>
          <w:rFonts w:ascii="Arial" w:hAnsi="Arial" w:cs="Arial"/>
        </w:rPr>
      </w:pPr>
      <w:bookmarkStart w:id="1" w:name="_Toc227761523"/>
      <w:r w:rsidRPr="00AD4660">
        <w:rPr>
          <w:rFonts w:ascii="Arial" w:hAnsi="Arial" w:cs="Arial"/>
        </w:rPr>
        <w:t xml:space="preserve">1. </w:t>
      </w:r>
      <w:r w:rsidR="000F5219" w:rsidRPr="00AD4660">
        <w:rPr>
          <w:rFonts w:ascii="Arial" w:hAnsi="Arial" w:cs="Arial"/>
        </w:rPr>
        <w:t xml:space="preserve">Company </w:t>
      </w:r>
      <w:r w:rsidR="001C4424" w:rsidRPr="00AD4660">
        <w:rPr>
          <w:rFonts w:ascii="Arial" w:hAnsi="Arial" w:cs="Arial"/>
        </w:rPr>
        <w:t>B</w:t>
      </w:r>
      <w:r w:rsidR="000F5219" w:rsidRPr="00AD4660">
        <w:rPr>
          <w:rFonts w:ascii="Arial" w:hAnsi="Arial" w:cs="Arial"/>
        </w:rPr>
        <w:t>ackground</w:t>
      </w:r>
      <w:bookmarkEnd w:id="1"/>
    </w:p>
    <w:p w14:paraId="62999D7E" w14:textId="77777777" w:rsidR="00CE2FB4" w:rsidRDefault="00CE2FB4" w:rsidP="00CE2FB4">
      <w:pPr>
        <w:spacing w:after="0" w:line="360" w:lineRule="auto"/>
        <w:contextualSpacing/>
        <w:jc w:val="both"/>
        <w:rPr>
          <w:rFonts w:ascii="Arial" w:eastAsia="Times New Roman" w:hAnsi="Arial" w:cs="Arial"/>
          <w:color w:val="000000" w:themeColor="text1"/>
          <w:kern w:val="0"/>
          <w:sz w:val="24"/>
          <w:szCs w:val="24"/>
          <w:lang w:val="en-GB"/>
          <w14:ligatures w14:val="none"/>
        </w:rPr>
      </w:pPr>
      <w:r w:rsidRPr="00CE2FB4">
        <w:rPr>
          <w:rFonts w:ascii="Arial" w:eastAsia="Times New Roman" w:hAnsi="Arial" w:cs="Arial"/>
          <w:color w:val="000000" w:themeColor="text1"/>
          <w:kern w:val="0"/>
          <w:sz w:val="24"/>
          <w:szCs w:val="24"/>
          <w:lang w:val="en-GB"/>
          <w14:ligatures w14:val="none"/>
        </w:rPr>
        <w:t xml:space="preserve">AstraZeneca is a research-driven pharmaceutical company involved in the full process of drug development, from early discovery to global distribution. It operates across several important therapeutic areas, including oncology, cardiovascular diseases, respiratory conditions, and rare diseases (AstraZeneca, 2025a). The pharmaceutical industry is highly complex, requiring significant investment in research and development, long timeframes for product approval, and strict regulatory compliance. As a result, success is not based solely on innovation but also on reliability, trust, and the ability to operate effectively across different markets (Sharma and </w:t>
      </w:r>
      <w:proofErr w:type="spellStart"/>
      <w:r w:rsidRPr="00CE2FB4">
        <w:rPr>
          <w:rFonts w:ascii="Arial" w:eastAsia="Times New Roman" w:hAnsi="Arial" w:cs="Arial"/>
          <w:color w:val="000000" w:themeColor="text1"/>
          <w:kern w:val="0"/>
          <w:sz w:val="24"/>
          <w:szCs w:val="24"/>
          <w:lang w:val="en-GB"/>
          <w14:ligatures w14:val="none"/>
        </w:rPr>
        <w:t>Manchikanti</w:t>
      </w:r>
      <w:proofErr w:type="spellEnd"/>
      <w:r w:rsidRPr="00CE2FB4">
        <w:rPr>
          <w:rFonts w:ascii="Arial" w:eastAsia="Times New Roman" w:hAnsi="Arial" w:cs="Arial"/>
          <w:color w:val="000000" w:themeColor="text1"/>
          <w:kern w:val="0"/>
          <w:sz w:val="24"/>
          <w:szCs w:val="24"/>
          <w:lang w:val="en-GB"/>
          <w14:ligatures w14:val="none"/>
        </w:rPr>
        <w:t>, 2024).</w:t>
      </w:r>
    </w:p>
    <w:p w14:paraId="55FD16A3" w14:textId="77777777" w:rsidR="00CE2FB4" w:rsidRPr="00CE2FB4" w:rsidRDefault="00CE2FB4" w:rsidP="00CE2FB4">
      <w:pPr>
        <w:spacing w:after="0" w:line="360" w:lineRule="auto"/>
        <w:contextualSpacing/>
        <w:jc w:val="both"/>
        <w:rPr>
          <w:rFonts w:ascii="Arial" w:eastAsia="Times New Roman" w:hAnsi="Arial" w:cs="Arial"/>
          <w:color w:val="000000" w:themeColor="text1"/>
          <w:kern w:val="0"/>
          <w:sz w:val="24"/>
          <w:szCs w:val="24"/>
          <w:lang w:val="en-GB"/>
          <w14:ligatures w14:val="none"/>
        </w:rPr>
      </w:pPr>
    </w:p>
    <w:p w14:paraId="3A3BC583" w14:textId="77777777" w:rsidR="00CE2FB4" w:rsidRPr="00CE2FB4" w:rsidRDefault="00CE2FB4" w:rsidP="00CE2FB4">
      <w:pPr>
        <w:spacing w:after="0" w:line="360" w:lineRule="auto"/>
        <w:contextualSpacing/>
        <w:jc w:val="both"/>
        <w:rPr>
          <w:rFonts w:ascii="Arial" w:eastAsia="Times New Roman" w:hAnsi="Arial" w:cs="Arial"/>
          <w:color w:val="000000" w:themeColor="text1"/>
          <w:kern w:val="0"/>
          <w:sz w:val="24"/>
          <w:szCs w:val="24"/>
          <w:lang w:val="en-GB"/>
          <w14:ligatures w14:val="none"/>
        </w:rPr>
      </w:pPr>
      <w:r w:rsidRPr="00CE2FB4">
        <w:rPr>
          <w:rFonts w:ascii="Arial" w:eastAsia="Times New Roman" w:hAnsi="Arial" w:cs="Arial"/>
          <w:color w:val="000000" w:themeColor="text1"/>
          <w:kern w:val="0"/>
          <w:sz w:val="24"/>
          <w:szCs w:val="24"/>
          <w:lang w:val="en-GB"/>
          <w14:ligatures w14:val="none"/>
        </w:rPr>
        <w:t>While AstraZeneca’s global presence allows it to benefit from access to multiple markets and knowledge networks, it also exposes the company to external risks. These include political instability, regulatory differences, and disruptions in global supply chains (</w:t>
      </w:r>
      <w:proofErr w:type="spellStart"/>
      <w:r w:rsidRPr="00CE2FB4">
        <w:rPr>
          <w:rFonts w:ascii="Arial" w:eastAsia="Times New Roman" w:hAnsi="Arial" w:cs="Arial"/>
          <w:color w:val="000000" w:themeColor="text1"/>
          <w:kern w:val="0"/>
          <w:sz w:val="24"/>
          <w:szCs w:val="24"/>
          <w:lang w:val="en-GB"/>
          <w14:ligatures w14:val="none"/>
        </w:rPr>
        <w:t>Nydén</w:t>
      </w:r>
      <w:proofErr w:type="spellEnd"/>
      <w:r w:rsidRPr="00CE2FB4">
        <w:rPr>
          <w:rFonts w:ascii="Arial" w:eastAsia="Times New Roman" w:hAnsi="Arial" w:cs="Arial"/>
          <w:color w:val="000000" w:themeColor="text1"/>
          <w:kern w:val="0"/>
          <w:sz w:val="24"/>
          <w:szCs w:val="24"/>
          <w:lang w:val="en-GB"/>
          <w14:ligatures w14:val="none"/>
        </w:rPr>
        <w:t xml:space="preserve"> </w:t>
      </w:r>
      <w:r w:rsidRPr="00CE2FB4">
        <w:rPr>
          <w:rFonts w:ascii="Arial" w:eastAsia="Times New Roman" w:hAnsi="Arial" w:cs="Arial"/>
          <w:color w:val="000000" w:themeColor="text1"/>
          <w:kern w:val="0"/>
          <w:sz w:val="24"/>
          <w:szCs w:val="24"/>
          <w:lang w:val="en-GB"/>
          <w14:ligatures w14:val="none"/>
        </w:rPr>
        <w:lastRenderedPageBreak/>
        <w:t>and Bika, 2024). This means that the company must continuously adapt its strategy to remain competitive in an increasingly uncertain environment.</w:t>
      </w:r>
    </w:p>
    <w:p w14:paraId="66038013" w14:textId="398D924E" w:rsidR="00EB190F" w:rsidRPr="00AD4660" w:rsidRDefault="00EB190F" w:rsidP="00B06CBA">
      <w:pPr>
        <w:spacing w:after="0" w:line="360" w:lineRule="auto"/>
        <w:contextualSpacing/>
        <w:jc w:val="both"/>
        <w:rPr>
          <w:rFonts w:ascii="Arial" w:eastAsia="Times New Roman" w:hAnsi="Arial" w:cs="Arial"/>
          <w:color w:val="000000" w:themeColor="text1"/>
          <w:kern w:val="0"/>
          <w:sz w:val="24"/>
          <w:szCs w:val="24"/>
          <w14:ligatures w14:val="none"/>
        </w:rPr>
      </w:pPr>
    </w:p>
    <w:p w14:paraId="0ADF4493" w14:textId="3B73C81F" w:rsidR="0018383A" w:rsidRPr="00AD4660" w:rsidRDefault="0018383A" w:rsidP="00B06CBA">
      <w:pPr>
        <w:spacing w:after="0" w:line="360" w:lineRule="auto"/>
        <w:contextualSpacing/>
        <w:jc w:val="both"/>
        <w:rPr>
          <w:rFonts w:ascii="Arial" w:hAnsi="Arial" w:cs="Arial"/>
          <w:b/>
          <w:bCs/>
          <w:color w:val="000000" w:themeColor="text1"/>
          <w:sz w:val="24"/>
          <w:szCs w:val="24"/>
        </w:rPr>
      </w:pPr>
      <w:r w:rsidRPr="00AD4660">
        <w:rPr>
          <w:rFonts w:ascii="Arial" w:hAnsi="Arial" w:cs="Arial"/>
          <w:b/>
          <w:bCs/>
          <w:color w:val="000000" w:themeColor="text1"/>
          <w:sz w:val="24"/>
          <w:szCs w:val="24"/>
        </w:rPr>
        <w:t xml:space="preserve">Table 1: AstraZeneca </w:t>
      </w:r>
      <w:r w:rsidR="00B923FD" w:rsidRPr="00AD4660">
        <w:rPr>
          <w:rFonts w:ascii="Arial" w:hAnsi="Arial" w:cs="Arial"/>
          <w:b/>
          <w:bCs/>
          <w:color w:val="000000" w:themeColor="text1"/>
          <w:sz w:val="24"/>
          <w:szCs w:val="24"/>
        </w:rPr>
        <w:t>C</w:t>
      </w:r>
      <w:r w:rsidRPr="00AD4660">
        <w:rPr>
          <w:rFonts w:ascii="Arial" w:hAnsi="Arial" w:cs="Arial"/>
          <w:b/>
          <w:bCs/>
          <w:color w:val="000000" w:themeColor="text1"/>
          <w:sz w:val="24"/>
          <w:szCs w:val="24"/>
        </w:rPr>
        <w:t xml:space="preserve">ontext and </w:t>
      </w:r>
      <w:r w:rsidR="00B923FD" w:rsidRPr="00AD4660">
        <w:rPr>
          <w:rFonts w:ascii="Arial" w:hAnsi="Arial" w:cs="Arial"/>
          <w:b/>
          <w:bCs/>
          <w:color w:val="000000" w:themeColor="text1"/>
          <w:sz w:val="24"/>
          <w:szCs w:val="24"/>
        </w:rPr>
        <w:t>S</w:t>
      </w:r>
      <w:r w:rsidRPr="00AD4660">
        <w:rPr>
          <w:rFonts w:ascii="Arial" w:hAnsi="Arial" w:cs="Arial"/>
          <w:b/>
          <w:bCs/>
          <w:color w:val="000000" w:themeColor="text1"/>
          <w:sz w:val="24"/>
          <w:szCs w:val="24"/>
        </w:rPr>
        <w:t xml:space="preserve">elected </w:t>
      </w:r>
      <w:r w:rsidR="00AD21F4" w:rsidRPr="00AD4660">
        <w:rPr>
          <w:rFonts w:ascii="Arial" w:hAnsi="Arial" w:cs="Arial"/>
          <w:b/>
          <w:bCs/>
          <w:color w:val="000000" w:themeColor="text1"/>
          <w:sz w:val="24"/>
          <w:szCs w:val="24"/>
        </w:rPr>
        <w:t>I</w:t>
      </w:r>
      <w:r w:rsidRPr="00AD4660">
        <w:rPr>
          <w:rFonts w:ascii="Arial" w:hAnsi="Arial" w:cs="Arial"/>
          <w:b/>
          <w:bCs/>
          <w:color w:val="000000" w:themeColor="text1"/>
          <w:sz w:val="24"/>
          <w:szCs w:val="24"/>
        </w:rPr>
        <w:t>ndicators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59"/>
        <w:gridCol w:w="3538"/>
        <w:gridCol w:w="4153"/>
      </w:tblGrid>
      <w:tr w:rsidR="000F5219" w:rsidRPr="00AD4660" w14:paraId="3887D422" w14:textId="77777777" w:rsidTr="00B923FD">
        <w:trPr>
          <w:tblHeader/>
          <w:tblCellSpacing w:w="15" w:type="dxa"/>
          <w:jc w:val="center"/>
        </w:trPr>
        <w:tc>
          <w:tcPr>
            <w:tcW w:w="0" w:type="auto"/>
            <w:vAlign w:val="center"/>
            <w:hideMark/>
          </w:tcPr>
          <w:p w14:paraId="325682E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Indicator</w:t>
            </w:r>
          </w:p>
        </w:tc>
        <w:tc>
          <w:tcPr>
            <w:tcW w:w="0" w:type="auto"/>
            <w:vAlign w:val="center"/>
            <w:hideMark/>
          </w:tcPr>
          <w:p w14:paraId="3BE7FCE1"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Evidence</w:t>
            </w:r>
          </w:p>
        </w:tc>
        <w:tc>
          <w:tcPr>
            <w:tcW w:w="0" w:type="auto"/>
            <w:vAlign w:val="center"/>
            <w:hideMark/>
          </w:tcPr>
          <w:p w14:paraId="4DDD2957"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Strategic relevance</w:t>
            </w:r>
          </w:p>
        </w:tc>
      </w:tr>
      <w:tr w:rsidR="000F5219" w:rsidRPr="00AD4660" w14:paraId="6A180F54" w14:textId="77777777" w:rsidTr="00B923FD">
        <w:trPr>
          <w:tblCellSpacing w:w="15" w:type="dxa"/>
          <w:jc w:val="center"/>
        </w:trPr>
        <w:tc>
          <w:tcPr>
            <w:tcW w:w="0" w:type="auto"/>
            <w:vAlign w:val="center"/>
            <w:hideMark/>
          </w:tcPr>
          <w:p w14:paraId="4DE1FAE9"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2024 total revenue</w:t>
            </w:r>
          </w:p>
        </w:tc>
        <w:tc>
          <w:tcPr>
            <w:tcW w:w="0" w:type="auto"/>
            <w:vAlign w:val="center"/>
            <w:hideMark/>
          </w:tcPr>
          <w:p w14:paraId="71639F5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US$54.1bn</w:t>
            </w:r>
          </w:p>
        </w:tc>
        <w:tc>
          <w:tcPr>
            <w:tcW w:w="0" w:type="auto"/>
            <w:vAlign w:val="center"/>
            <w:hideMark/>
          </w:tcPr>
          <w:p w14:paraId="0909784E" w14:textId="77777777" w:rsidR="00B923FD"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Shows global scale</w:t>
            </w:r>
            <w:r w:rsidR="00B923FD" w:rsidRPr="00AD4660">
              <w:rPr>
                <w:rFonts w:ascii="Arial" w:hAnsi="Arial" w:cs="Arial"/>
                <w:color w:val="000000" w:themeColor="text1"/>
                <w:sz w:val="24"/>
                <w:szCs w:val="24"/>
              </w:rPr>
              <w:t>.</w:t>
            </w:r>
          </w:p>
          <w:p w14:paraId="15E41576" w14:textId="7B939300" w:rsidR="0018383A" w:rsidRPr="00AD4660" w:rsidRDefault="00B923FD"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Has i</w:t>
            </w:r>
            <w:r w:rsidR="0018383A" w:rsidRPr="00AD4660">
              <w:rPr>
                <w:rFonts w:ascii="Arial" w:hAnsi="Arial" w:cs="Arial"/>
                <w:color w:val="000000" w:themeColor="text1"/>
                <w:sz w:val="24"/>
                <w:szCs w:val="24"/>
              </w:rPr>
              <w:t>nternational market significance</w:t>
            </w:r>
          </w:p>
        </w:tc>
      </w:tr>
      <w:tr w:rsidR="000F5219" w:rsidRPr="00AD4660" w14:paraId="62CE0C94" w14:textId="77777777" w:rsidTr="00B923FD">
        <w:trPr>
          <w:tblCellSpacing w:w="15" w:type="dxa"/>
          <w:jc w:val="center"/>
        </w:trPr>
        <w:tc>
          <w:tcPr>
            <w:tcW w:w="0" w:type="auto"/>
            <w:vAlign w:val="center"/>
            <w:hideMark/>
          </w:tcPr>
          <w:p w14:paraId="381103F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Industry type</w:t>
            </w:r>
          </w:p>
        </w:tc>
        <w:tc>
          <w:tcPr>
            <w:tcW w:w="0" w:type="auto"/>
            <w:vAlign w:val="center"/>
            <w:hideMark/>
          </w:tcPr>
          <w:p w14:paraId="7FD15378"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Research-intensive biopharmaceuticals</w:t>
            </w:r>
          </w:p>
        </w:tc>
        <w:tc>
          <w:tcPr>
            <w:tcW w:w="0" w:type="auto"/>
            <w:vAlign w:val="center"/>
            <w:hideMark/>
          </w:tcPr>
          <w:p w14:paraId="1C7C2CC4"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Makes AI and innovation especially important</w:t>
            </w:r>
          </w:p>
        </w:tc>
      </w:tr>
      <w:tr w:rsidR="000F5219" w:rsidRPr="00AD4660" w14:paraId="759EBE6B" w14:textId="77777777" w:rsidTr="00B923FD">
        <w:trPr>
          <w:tblCellSpacing w:w="15" w:type="dxa"/>
          <w:jc w:val="center"/>
        </w:trPr>
        <w:tc>
          <w:tcPr>
            <w:tcW w:w="0" w:type="auto"/>
            <w:vAlign w:val="center"/>
            <w:hideMark/>
          </w:tcPr>
          <w:p w14:paraId="15C57E82"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Operating model</w:t>
            </w:r>
          </w:p>
        </w:tc>
        <w:tc>
          <w:tcPr>
            <w:tcW w:w="0" w:type="auto"/>
            <w:vAlign w:val="center"/>
            <w:hideMark/>
          </w:tcPr>
          <w:p w14:paraId="5492F48D"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Global R&amp;D, manufacturing and distribution</w:t>
            </w:r>
          </w:p>
        </w:tc>
        <w:tc>
          <w:tcPr>
            <w:tcW w:w="0" w:type="auto"/>
            <w:vAlign w:val="center"/>
            <w:hideMark/>
          </w:tcPr>
          <w:p w14:paraId="24BCAF5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Creates both reach and exposure to cross-border disruption</w:t>
            </w:r>
          </w:p>
        </w:tc>
      </w:tr>
    </w:tbl>
    <w:p w14:paraId="54563A0E" w14:textId="77777777" w:rsidR="00AD21F4" w:rsidRPr="00AD4660" w:rsidRDefault="00AD21F4" w:rsidP="00AD4660">
      <w:pPr>
        <w:spacing w:line="360" w:lineRule="auto"/>
        <w:jc w:val="both"/>
        <w:rPr>
          <w:rFonts w:ascii="Arial" w:hAnsi="Arial" w:cs="Arial"/>
          <w:sz w:val="24"/>
          <w:szCs w:val="24"/>
        </w:rPr>
      </w:pPr>
      <w:bookmarkStart w:id="2" w:name="_Toc227761524"/>
    </w:p>
    <w:p w14:paraId="65FC02B5" w14:textId="63D12B25" w:rsidR="0018383A" w:rsidRPr="00AD4660" w:rsidRDefault="0018383A" w:rsidP="00AD4660">
      <w:pPr>
        <w:pStyle w:val="Heading1"/>
        <w:spacing w:before="0" w:beforeAutospacing="0" w:after="0" w:afterAutospacing="0" w:line="360" w:lineRule="auto"/>
        <w:contextualSpacing/>
        <w:jc w:val="both"/>
        <w:rPr>
          <w:rFonts w:ascii="Arial" w:hAnsi="Arial" w:cs="Arial"/>
        </w:rPr>
      </w:pPr>
      <w:r w:rsidRPr="00AD4660">
        <w:rPr>
          <w:rFonts w:ascii="Arial" w:hAnsi="Arial" w:cs="Arial"/>
        </w:rPr>
        <w:t xml:space="preserve">2. Opportunities by </w:t>
      </w:r>
      <w:r w:rsidR="000F5219" w:rsidRPr="00AD4660">
        <w:rPr>
          <w:rFonts w:ascii="Arial" w:hAnsi="Arial" w:cs="Arial"/>
        </w:rPr>
        <w:t>Current Global Forces</w:t>
      </w:r>
      <w:bookmarkEnd w:id="2"/>
    </w:p>
    <w:p w14:paraId="636452F1"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bookmarkStart w:id="3" w:name="_Toc227761528"/>
      <w:r w:rsidRPr="00CE2FB4">
        <w:rPr>
          <w:rFonts w:ascii="Arial" w:hAnsi="Arial" w:cs="Arial"/>
          <w:b w:val="0"/>
          <w:bCs w:val="0"/>
          <w:i w:val="0"/>
          <w:iCs w:val="0"/>
          <w:lang w:val="en-GB"/>
        </w:rPr>
        <w:t>AI Opportunities</w:t>
      </w:r>
    </w:p>
    <w:p w14:paraId="1ACED327" w14:textId="77777777" w:rsid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 xml:space="preserve">Artificial intelligence offers significant potential for improving efficiency within AstraZeneca’s research and development activities. </w:t>
      </w:r>
      <w:proofErr w:type="gramStart"/>
      <w:r w:rsidRPr="00CE2FB4">
        <w:rPr>
          <w:rFonts w:ascii="Arial" w:hAnsi="Arial" w:cs="Arial"/>
          <w:b w:val="0"/>
          <w:bCs w:val="0"/>
          <w:i w:val="0"/>
          <w:iCs w:val="0"/>
          <w:lang w:val="en-GB"/>
        </w:rPr>
        <w:t>In particular, AI</w:t>
      </w:r>
      <w:proofErr w:type="gramEnd"/>
      <w:r w:rsidRPr="00CE2FB4">
        <w:rPr>
          <w:rFonts w:ascii="Arial" w:hAnsi="Arial" w:cs="Arial"/>
          <w:b w:val="0"/>
          <w:bCs w:val="0"/>
          <w:i w:val="0"/>
          <w:iCs w:val="0"/>
          <w:lang w:val="en-GB"/>
        </w:rPr>
        <w:t xml:space="preserve"> can support tasks such as identifying drug targets, analysing large datasets, and improving clinical trial design (Sharma and </w:t>
      </w:r>
      <w:proofErr w:type="spellStart"/>
      <w:r w:rsidRPr="00CE2FB4">
        <w:rPr>
          <w:rFonts w:ascii="Arial" w:hAnsi="Arial" w:cs="Arial"/>
          <w:b w:val="0"/>
          <w:bCs w:val="0"/>
          <w:i w:val="0"/>
          <w:iCs w:val="0"/>
          <w:lang w:val="en-GB"/>
        </w:rPr>
        <w:t>Manchikanti</w:t>
      </w:r>
      <w:proofErr w:type="spellEnd"/>
      <w:r w:rsidRPr="00CE2FB4">
        <w:rPr>
          <w:rFonts w:ascii="Arial" w:hAnsi="Arial" w:cs="Arial"/>
          <w:b w:val="0"/>
          <w:bCs w:val="0"/>
          <w:i w:val="0"/>
          <w:iCs w:val="0"/>
          <w:lang w:val="en-GB"/>
        </w:rPr>
        <w:t>, 2024; Jain et al., 2025). Given the high costs and risks involved in pharmaceutical development, even small improvements in decision-making can have a meaningful impact.</w:t>
      </w:r>
    </w:p>
    <w:p w14:paraId="3F332D04" w14:textId="77777777" w:rsidR="00CE2FB4" w:rsidRPr="00CE2FB4" w:rsidRDefault="00CE2FB4" w:rsidP="00CE2FB4">
      <w:pPr>
        <w:rPr>
          <w:lang w:val="en-GB"/>
        </w:rPr>
      </w:pPr>
    </w:p>
    <w:p w14:paraId="0B872C5A"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AstraZeneca has already begun integrating AI into its operations through collaborations focused on drug discovery. This suggests that digital capabilities are becoming an important part of its innovation strategy. By speeding up certain stages of development, AI can help reduce the time needed to bring new treatments to market, which is particularly valuable in an industry where timing is closely linked to competitive advantage. However, it is important to recognise that AI is not a complete solution. Its effectiveness depends on the quality of available data, internal capabilities, and regulatory approval. This means that its benefits are not guaranteed and must be carefully managed (</w:t>
      </w:r>
      <w:proofErr w:type="spellStart"/>
      <w:r w:rsidRPr="00CE2FB4">
        <w:rPr>
          <w:rFonts w:ascii="Arial" w:hAnsi="Arial" w:cs="Arial"/>
          <w:b w:val="0"/>
          <w:bCs w:val="0"/>
          <w:i w:val="0"/>
          <w:iCs w:val="0"/>
          <w:lang w:val="en-GB"/>
        </w:rPr>
        <w:t>Nydén</w:t>
      </w:r>
      <w:proofErr w:type="spellEnd"/>
      <w:r w:rsidRPr="00CE2FB4">
        <w:rPr>
          <w:rFonts w:ascii="Arial" w:hAnsi="Arial" w:cs="Arial"/>
          <w:b w:val="0"/>
          <w:bCs w:val="0"/>
          <w:i w:val="0"/>
          <w:iCs w:val="0"/>
          <w:lang w:val="en-GB"/>
        </w:rPr>
        <w:t xml:space="preserve"> and Bika, 2024).</w:t>
      </w:r>
    </w:p>
    <w:p w14:paraId="5BBD407A" w14:textId="2952D86F" w:rsidR="00CE2FB4" w:rsidRPr="00CE2FB4" w:rsidRDefault="00CE2FB4" w:rsidP="00CE2FB4">
      <w:pPr>
        <w:pStyle w:val="Heading1"/>
        <w:spacing w:line="360" w:lineRule="auto"/>
        <w:contextualSpacing/>
        <w:jc w:val="both"/>
        <w:rPr>
          <w:rFonts w:ascii="Arial" w:hAnsi="Arial" w:cs="Arial"/>
          <w:lang w:val="en-GB"/>
        </w:rPr>
      </w:pPr>
    </w:p>
    <w:p w14:paraId="065F629D"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lang w:val="en-GB"/>
        </w:rPr>
      </w:pPr>
      <w:r w:rsidRPr="00CE2FB4">
        <w:rPr>
          <w:rFonts w:ascii="Arial" w:hAnsi="Arial" w:cs="Arial"/>
          <w:lang w:val="en-GB"/>
        </w:rPr>
        <w:t>Geopolitical and Supply-Chain Opportunities</w:t>
      </w:r>
    </w:p>
    <w:p w14:paraId="1456CFCB" w14:textId="77777777" w:rsid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Although geopolitical tensions often create disruption, they can also encourage organisations to rethink their operating models. Recent issues affecting global shipping routes have exposed weaknesses in highly centralised supply chains (Belal et al., 2025).</w:t>
      </w:r>
    </w:p>
    <w:p w14:paraId="7EA26C5E" w14:textId="77777777" w:rsidR="00CE2FB4" w:rsidRPr="00CE2FB4" w:rsidRDefault="00CE2FB4" w:rsidP="00CE2FB4">
      <w:pPr>
        <w:rPr>
          <w:lang w:val="en-GB"/>
        </w:rPr>
      </w:pPr>
    </w:p>
    <w:p w14:paraId="616E5F68"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For AstraZeneca, this creates an opportunity to strengthen its resilience. By diversifying suppliers and developing more regional production capabilities, the company can reduce its dependence on specific locations. While these changes may lead to higher costs in the short term, they can improve stability and reduce risk over time. In this sense, supply-chain resilience can become a competitive strength rather than simply a reaction to external pressure.</w:t>
      </w:r>
    </w:p>
    <w:p w14:paraId="624F0F9E" w14:textId="67AF2F0F" w:rsidR="00CE2FB4" w:rsidRPr="00CE2FB4" w:rsidRDefault="00CE2FB4" w:rsidP="00CE2FB4">
      <w:pPr>
        <w:pStyle w:val="Heading1"/>
        <w:spacing w:line="360" w:lineRule="auto"/>
        <w:contextualSpacing/>
        <w:jc w:val="both"/>
        <w:rPr>
          <w:rFonts w:ascii="Arial" w:hAnsi="Arial" w:cs="Arial"/>
          <w:lang w:val="en-GB"/>
        </w:rPr>
      </w:pPr>
    </w:p>
    <w:p w14:paraId="0E16FD63"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lang w:val="en-GB"/>
        </w:rPr>
      </w:pPr>
      <w:r w:rsidRPr="00CE2FB4">
        <w:rPr>
          <w:rFonts w:ascii="Arial" w:hAnsi="Arial" w:cs="Arial"/>
          <w:lang w:val="en-GB"/>
        </w:rPr>
        <w:t>Sustainability and Regulatory Opportunities</w:t>
      </w:r>
    </w:p>
    <w:p w14:paraId="23038267" w14:textId="77777777" w:rsid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Sustainability is becoming increasingly important for global organisations, particularly in industries such as pharmaceuticals where public trust is essential. Strong environmental performance can improve relationships with regulators, investors, and other stakeholders (Booth, 2025).</w:t>
      </w:r>
    </w:p>
    <w:p w14:paraId="63E57EF6" w14:textId="77777777" w:rsidR="00CE2FB4" w:rsidRPr="00CE2FB4" w:rsidRDefault="00CE2FB4" w:rsidP="00CE2FB4">
      <w:pPr>
        <w:rPr>
          <w:lang w:val="en-GB"/>
        </w:rPr>
      </w:pPr>
    </w:p>
    <w:p w14:paraId="58AE6F2D"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For AstraZeneca, integrating sustainability into its operations can lead to more efficient use of resources and improved long-term performance. However, these benefits depend on how sustainability is approached. If it is treated only as a reporting requirement, its impact will be limited. In contrast, embedding sustainability into everyday decision-making can create real strategic value and strengthen the company’s overall position (Belal et al., 2025).</w:t>
      </w:r>
    </w:p>
    <w:p w14:paraId="077A5BAD" w14:textId="4C970BD9" w:rsidR="0018383A" w:rsidRPr="00AD4660" w:rsidRDefault="0018383A" w:rsidP="00AD4660">
      <w:pPr>
        <w:pStyle w:val="Heading1"/>
        <w:spacing w:before="0" w:beforeAutospacing="0" w:after="0" w:afterAutospacing="0" w:line="360" w:lineRule="auto"/>
        <w:contextualSpacing/>
        <w:jc w:val="both"/>
        <w:rPr>
          <w:rFonts w:ascii="Arial" w:hAnsi="Arial" w:cs="Arial"/>
        </w:rPr>
      </w:pPr>
      <w:r w:rsidRPr="00AD4660">
        <w:rPr>
          <w:rFonts w:ascii="Arial" w:hAnsi="Arial" w:cs="Arial"/>
        </w:rPr>
        <w:t xml:space="preserve">3. Challenges by </w:t>
      </w:r>
      <w:r w:rsidR="000F5219" w:rsidRPr="00AD4660">
        <w:rPr>
          <w:rFonts w:ascii="Arial" w:hAnsi="Arial" w:cs="Arial"/>
        </w:rPr>
        <w:t>Current Global Forces</w:t>
      </w:r>
      <w:bookmarkEnd w:id="3"/>
    </w:p>
    <w:p w14:paraId="7C1BC0EE" w14:textId="77777777" w:rsidR="0018383A" w:rsidRPr="00AD4660" w:rsidRDefault="0018383A" w:rsidP="00AD4660">
      <w:pPr>
        <w:pStyle w:val="Heading2"/>
        <w:spacing w:before="0" w:beforeAutospacing="0" w:after="0" w:afterAutospacing="0" w:line="360" w:lineRule="auto"/>
        <w:contextualSpacing/>
        <w:rPr>
          <w:rFonts w:ascii="Arial" w:hAnsi="Arial" w:cs="Arial"/>
        </w:rPr>
      </w:pPr>
      <w:bookmarkStart w:id="4" w:name="_Toc227761529"/>
      <w:r w:rsidRPr="00AD4660">
        <w:rPr>
          <w:rFonts w:ascii="Arial" w:hAnsi="Arial" w:cs="Arial"/>
        </w:rPr>
        <w:t>AI challenges</w:t>
      </w:r>
      <w:bookmarkEnd w:id="4"/>
    </w:p>
    <w:p w14:paraId="4FC5566F" w14:textId="166216E0" w:rsidR="0018383A" w:rsidRPr="00AD4660" w:rsidRDefault="00B923FD" w:rsidP="00AD4660">
      <w:pPr>
        <w:spacing w:after="0" w:line="360" w:lineRule="auto"/>
        <w:ind w:firstLine="720"/>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 xml:space="preserve">Although it seems promising, AI poses significant challenges to AstraZeneca. To begin with, it is costly to implement, as it will demand investment in data infrastructure, specialized software, cybersecurity and highly trained personnel, prior to recording any measurable returns (Dwivedi, 2026; Hammad et al., 2025). Secondly, pharmaceutical AI </w:t>
      </w:r>
      <w:r w:rsidRPr="00AD4660">
        <w:rPr>
          <w:rFonts w:ascii="Arial" w:hAnsi="Arial" w:cs="Arial"/>
          <w:color w:val="000000" w:themeColor="text1"/>
          <w:sz w:val="24"/>
          <w:szCs w:val="24"/>
        </w:rPr>
        <w:lastRenderedPageBreak/>
        <w:t>requires access to large, high-quality datasets, but clinical and patient information has stringent privacy and control restrictions, which restrict the speed and flexibility of application (</w:t>
      </w:r>
      <w:proofErr w:type="spellStart"/>
      <w:r w:rsidRPr="00AD4660">
        <w:rPr>
          <w:rFonts w:ascii="Arial" w:hAnsi="Arial" w:cs="Arial"/>
          <w:color w:val="000000" w:themeColor="text1"/>
          <w:sz w:val="24"/>
          <w:szCs w:val="24"/>
        </w:rPr>
        <w:t>Mökander</w:t>
      </w:r>
      <w:proofErr w:type="spellEnd"/>
      <w:r w:rsidRPr="00AD4660">
        <w:rPr>
          <w:rFonts w:ascii="Arial" w:hAnsi="Arial" w:cs="Arial"/>
          <w:color w:val="000000" w:themeColor="text1"/>
          <w:sz w:val="24"/>
          <w:szCs w:val="24"/>
        </w:rPr>
        <w:t xml:space="preserve"> et al., 2024). Moral issues also play an important role, especially </w:t>
      </w:r>
      <w:proofErr w:type="gramStart"/>
      <w:r w:rsidRPr="00AD4660">
        <w:rPr>
          <w:rFonts w:ascii="Arial" w:hAnsi="Arial" w:cs="Arial"/>
          <w:color w:val="000000" w:themeColor="text1"/>
          <w:sz w:val="24"/>
          <w:szCs w:val="24"/>
        </w:rPr>
        <w:t>in the area of</w:t>
      </w:r>
      <w:proofErr w:type="gramEnd"/>
      <w:r w:rsidRPr="00AD4660">
        <w:rPr>
          <w:rFonts w:ascii="Arial" w:hAnsi="Arial" w:cs="Arial"/>
          <w:color w:val="000000" w:themeColor="text1"/>
          <w:sz w:val="24"/>
          <w:szCs w:val="24"/>
        </w:rPr>
        <w:t xml:space="preserve"> algorithmic bias, explainability and accountability in high-stakes healthcare decision-making (</w:t>
      </w:r>
      <w:proofErr w:type="spellStart"/>
      <w:r w:rsidRPr="00AD4660">
        <w:rPr>
          <w:rFonts w:ascii="Arial" w:hAnsi="Arial" w:cs="Arial"/>
          <w:color w:val="000000" w:themeColor="text1"/>
          <w:sz w:val="24"/>
          <w:szCs w:val="24"/>
        </w:rPr>
        <w:t>Kalagbor</w:t>
      </w:r>
      <w:proofErr w:type="spellEnd"/>
      <w:r w:rsidRPr="00AD4660">
        <w:rPr>
          <w:rFonts w:ascii="Arial" w:hAnsi="Arial" w:cs="Arial"/>
          <w:color w:val="000000" w:themeColor="text1"/>
          <w:sz w:val="24"/>
          <w:szCs w:val="24"/>
        </w:rPr>
        <w:t xml:space="preserve"> et al., 2025). Additionally, there is uncertainty in terms of regulations, which makes adoption difficult. The growth of AI governance structures, such as a closer examination of data provenance and model transparency, implies that AstraZeneca will not be able to regard AI as a productivity tool and will need to manage it as a strategic risk (</w:t>
      </w:r>
      <w:proofErr w:type="spellStart"/>
      <w:r w:rsidRPr="00AD4660">
        <w:rPr>
          <w:rFonts w:ascii="Arial" w:hAnsi="Arial" w:cs="Arial"/>
          <w:color w:val="000000" w:themeColor="text1"/>
          <w:sz w:val="24"/>
          <w:szCs w:val="24"/>
        </w:rPr>
        <w:t>Mökander</w:t>
      </w:r>
      <w:proofErr w:type="spellEnd"/>
      <w:r w:rsidRPr="00AD4660">
        <w:rPr>
          <w:rFonts w:ascii="Arial" w:hAnsi="Arial" w:cs="Arial"/>
          <w:color w:val="000000" w:themeColor="text1"/>
          <w:sz w:val="24"/>
          <w:szCs w:val="24"/>
        </w:rPr>
        <w:t xml:space="preserve"> et al., 2024).</w:t>
      </w:r>
    </w:p>
    <w:p w14:paraId="0FF090CF" w14:textId="77777777" w:rsidR="000F5219" w:rsidRPr="00AD4660" w:rsidRDefault="000F5219" w:rsidP="00AD4660">
      <w:pPr>
        <w:spacing w:after="0" w:line="360" w:lineRule="auto"/>
        <w:contextualSpacing/>
        <w:jc w:val="both"/>
        <w:rPr>
          <w:rFonts w:ascii="Arial" w:hAnsi="Arial" w:cs="Arial"/>
          <w:color w:val="000000" w:themeColor="text1"/>
          <w:sz w:val="24"/>
          <w:szCs w:val="24"/>
        </w:rPr>
      </w:pPr>
    </w:p>
    <w:p w14:paraId="6091B06C" w14:textId="431D3DBD" w:rsidR="0018383A" w:rsidRPr="0075058A" w:rsidRDefault="0018383A" w:rsidP="00AD4660">
      <w:pPr>
        <w:pStyle w:val="Heading2"/>
        <w:spacing w:before="0" w:beforeAutospacing="0" w:after="0" w:afterAutospacing="0" w:line="360" w:lineRule="auto"/>
        <w:contextualSpacing/>
        <w:rPr>
          <w:rFonts w:ascii="Arial" w:hAnsi="Arial" w:cs="Arial"/>
          <w:b/>
          <w:bCs/>
        </w:rPr>
      </w:pPr>
      <w:bookmarkStart w:id="5" w:name="_Toc227761530"/>
      <w:r w:rsidRPr="0075058A">
        <w:rPr>
          <w:rFonts w:ascii="Arial" w:hAnsi="Arial" w:cs="Arial"/>
          <w:b/>
          <w:bCs/>
        </w:rPr>
        <w:t xml:space="preserve">Geopolitical and </w:t>
      </w:r>
      <w:r w:rsidR="000F5219" w:rsidRPr="0075058A">
        <w:rPr>
          <w:rFonts w:ascii="Arial" w:hAnsi="Arial" w:cs="Arial"/>
          <w:b/>
          <w:bCs/>
        </w:rPr>
        <w:t>S</w:t>
      </w:r>
      <w:r w:rsidRPr="0075058A">
        <w:rPr>
          <w:rFonts w:ascii="Arial" w:hAnsi="Arial" w:cs="Arial"/>
          <w:b/>
          <w:bCs/>
        </w:rPr>
        <w:t xml:space="preserve">upply-chain </w:t>
      </w:r>
      <w:r w:rsidR="000F5219" w:rsidRPr="0075058A">
        <w:rPr>
          <w:rFonts w:ascii="Arial" w:hAnsi="Arial" w:cs="Arial"/>
          <w:b/>
          <w:bCs/>
        </w:rPr>
        <w:t>C</w:t>
      </w:r>
      <w:r w:rsidRPr="0075058A">
        <w:rPr>
          <w:rFonts w:ascii="Arial" w:hAnsi="Arial" w:cs="Arial"/>
          <w:b/>
          <w:bCs/>
        </w:rPr>
        <w:t>hallenges</w:t>
      </w:r>
      <w:bookmarkEnd w:id="5"/>
    </w:p>
    <w:p w14:paraId="5029FFBE" w14:textId="045849DA" w:rsidR="0018383A" w:rsidRPr="00AD4660" w:rsidRDefault="00B923FD" w:rsidP="00AD4660">
      <w:pPr>
        <w:spacing w:after="0" w:line="360" w:lineRule="auto"/>
        <w:ind w:firstLine="720"/>
        <w:contextualSpacing/>
        <w:jc w:val="both"/>
        <w:rPr>
          <w:rStyle w:val="cursor-pointer"/>
          <w:rFonts w:ascii="Arial" w:hAnsi="Arial" w:cs="Arial"/>
          <w:color w:val="000000" w:themeColor="text1"/>
          <w:sz w:val="24"/>
          <w:szCs w:val="24"/>
        </w:rPr>
      </w:pPr>
      <w:r w:rsidRPr="00AD4660">
        <w:rPr>
          <w:rStyle w:val="cursor-pointer"/>
          <w:rFonts w:ascii="Arial" w:hAnsi="Arial" w:cs="Arial"/>
          <w:color w:val="000000" w:themeColor="text1"/>
          <w:sz w:val="24"/>
          <w:szCs w:val="24"/>
        </w:rPr>
        <w:t>Geopolitical instability poses direct operational risks to AstraZeneca since pharmaceuticals are dependent on suppliers spread all over the world, producing inputs to manufacture and logistics that are sensitive to temperatures.</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 xml:space="preserve">Shipping routes, such as instability in the Red Sea, can cause increased transit times, insurance rates and freight expenses, </w:t>
      </w:r>
      <w:proofErr w:type="gramStart"/>
      <w:r w:rsidRPr="00AD4660">
        <w:rPr>
          <w:rStyle w:val="cursor-pointer"/>
          <w:rFonts w:ascii="Arial" w:hAnsi="Arial" w:cs="Arial"/>
          <w:color w:val="000000" w:themeColor="text1"/>
          <w:sz w:val="24"/>
          <w:szCs w:val="24"/>
        </w:rPr>
        <w:t>reducing</w:t>
      </w:r>
      <w:proofErr w:type="gramEnd"/>
      <w:r w:rsidRPr="00AD4660">
        <w:rPr>
          <w:rStyle w:val="cursor-pointer"/>
          <w:rFonts w:ascii="Arial" w:hAnsi="Arial" w:cs="Arial"/>
          <w:color w:val="000000" w:themeColor="text1"/>
          <w:sz w:val="24"/>
          <w:szCs w:val="24"/>
        </w:rPr>
        <w:t xml:space="preserve"> supply reliability and potentially impacting access to medicine in foreign markets (</w:t>
      </w:r>
      <w:proofErr w:type="spellStart"/>
      <w:r w:rsidRPr="00AD4660">
        <w:rPr>
          <w:rStyle w:val="cursor-pointer"/>
          <w:rFonts w:ascii="Arial" w:hAnsi="Arial" w:cs="Arial"/>
          <w:color w:val="000000" w:themeColor="text1"/>
          <w:sz w:val="24"/>
          <w:szCs w:val="24"/>
        </w:rPr>
        <w:t>Sazvar</w:t>
      </w:r>
      <w:proofErr w:type="spellEnd"/>
      <w:r w:rsidRPr="00AD4660">
        <w:rPr>
          <w:rStyle w:val="cursor-pointer"/>
          <w:rFonts w:ascii="Arial" w:hAnsi="Arial" w:cs="Arial"/>
          <w:color w:val="000000" w:themeColor="text1"/>
          <w:sz w:val="24"/>
          <w:szCs w:val="24"/>
        </w:rPr>
        <w:t>, 2025).</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 xml:space="preserve">Reliance on foreign suppliers also poses sourcing risk, especially in </w:t>
      </w:r>
      <w:proofErr w:type="gramStart"/>
      <w:r w:rsidRPr="00AD4660">
        <w:rPr>
          <w:rStyle w:val="cursor-pointer"/>
          <w:rFonts w:ascii="Arial" w:hAnsi="Arial" w:cs="Arial"/>
          <w:color w:val="000000" w:themeColor="text1"/>
          <w:sz w:val="24"/>
          <w:szCs w:val="24"/>
        </w:rPr>
        <w:t>the cases</w:t>
      </w:r>
      <w:proofErr w:type="gramEnd"/>
      <w:r w:rsidRPr="00AD4660">
        <w:rPr>
          <w:rStyle w:val="cursor-pointer"/>
          <w:rFonts w:ascii="Arial" w:hAnsi="Arial" w:cs="Arial"/>
          <w:color w:val="000000" w:themeColor="text1"/>
          <w:sz w:val="24"/>
          <w:szCs w:val="24"/>
        </w:rPr>
        <w:t xml:space="preserve"> where active ingredients or packaging materials or specialized parts are concentrated in only a few jurisdictions.</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In a wider sense, the risks of sanctions, trade fragmentation, and geopolitical tensions may disrupt the procurement decision-making process and inventory management, compelling firms to carry larger inventories and lower efficiency (Belal et al., 2025).</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 xml:space="preserve">In the case of AstraZeneca, this is a strategically significant factor as delays do not only impact cost but can </w:t>
      </w:r>
      <w:proofErr w:type="gramStart"/>
      <w:r w:rsidRPr="00AD4660">
        <w:rPr>
          <w:rStyle w:val="cursor-pointer"/>
          <w:rFonts w:ascii="Arial" w:hAnsi="Arial" w:cs="Arial"/>
          <w:color w:val="000000" w:themeColor="text1"/>
          <w:sz w:val="24"/>
          <w:szCs w:val="24"/>
        </w:rPr>
        <w:t>have an effect on</w:t>
      </w:r>
      <w:proofErr w:type="gramEnd"/>
      <w:r w:rsidRPr="00AD4660">
        <w:rPr>
          <w:rStyle w:val="cursor-pointer"/>
          <w:rFonts w:ascii="Arial" w:hAnsi="Arial" w:cs="Arial"/>
          <w:color w:val="000000" w:themeColor="text1"/>
          <w:sz w:val="24"/>
          <w:szCs w:val="24"/>
        </w:rPr>
        <w:t xml:space="preserve"> the access of patients, regulatory requirements and corporate reputation.</w:t>
      </w:r>
      <w:r w:rsidRPr="00AD4660">
        <w:rPr>
          <w:rFonts w:ascii="Arial" w:hAnsi="Arial" w:cs="Arial"/>
          <w:color w:val="000000" w:themeColor="text1"/>
          <w:sz w:val="24"/>
          <w:szCs w:val="24"/>
        </w:rPr>
        <w:t xml:space="preserve"> </w:t>
      </w:r>
    </w:p>
    <w:p w14:paraId="4D15CB97" w14:textId="77777777" w:rsidR="000F5219" w:rsidRPr="00AD4660" w:rsidRDefault="000F5219" w:rsidP="00AD4660">
      <w:pPr>
        <w:spacing w:after="0" w:line="360" w:lineRule="auto"/>
        <w:contextualSpacing/>
        <w:jc w:val="both"/>
        <w:rPr>
          <w:rFonts w:ascii="Arial" w:hAnsi="Arial" w:cs="Arial"/>
          <w:color w:val="000000" w:themeColor="text1"/>
          <w:sz w:val="24"/>
          <w:szCs w:val="24"/>
        </w:rPr>
      </w:pPr>
    </w:p>
    <w:p w14:paraId="7644F410" w14:textId="43D8FDBC" w:rsidR="0018383A" w:rsidRPr="0075058A" w:rsidRDefault="0018383A" w:rsidP="00AD4660">
      <w:pPr>
        <w:pStyle w:val="Heading2"/>
        <w:spacing w:before="0" w:beforeAutospacing="0" w:after="0" w:afterAutospacing="0" w:line="360" w:lineRule="auto"/>
        <w:contextualSpacing/>
        <w:rPr>
          <w:rFonts w:ascii="Arial" w:hAnsi="Arial" w:cs="Arial"/>
          <w:b/>
          <w:bCs/>
        </w:rPr>
      </w:pPr>
      <w:bookmarkStart w:id="6" w:name="_Toc227761531"/>
      <w:r w:rsidRPr="0075058A">
        <w:rPr>
          <w:rFonts w:ascii="Arial" w:hAnsi="Arial" w:cs="Arial"/>
          <w:b/>
          <w:bCs/>
        </w:rPr>
        <w:t xml:space="preserve">Sustainability and </w:t>
      </w:r>
      <w:r w:rsidR="000F5219" w:rsidRPr="0075058A">
        <w:rPr>
          <w:rFonts w:ascii="Arial" w:hAnsi="Arial" w:cs="Arial"/>
          <w:b/>
          <w:bCs/>
        </w:rPr>
        <w:t>R</w:t>
      </w:r>
      <w:r w:rsidRPr="0075058A">
        <w:rPr>
          <w:rFonts w:ascii="Arial" w:hAnsi="Arial" w:cs="Arial"/>
          <w:b/>
          <w:bCs/>
        </w:rPr>
        <w:t xml:space="preserve">egulatory </w:t>
      </w:r>
      <w:r w:rsidR="000F5219" w:rsidRPr="0075058A">
        <w:rPr>
          <w:rFonts w:ascii="Arial" w:hAnsi="Arial" w:cs="Arial"/>
          <w:b/>
          <w:bCs/>
        </w:rPr>
        <w:t>C</w:t>
      </w:r>
      <w:r w:rsidRPr="0075058A">
        <w:rPr>
          <w:rFonts w:ascii="Arial" w:hAnsi="Arial" w:cs="Arial"/>
          <w:b/>
          <w:bCs/>
        </w:rPr>
        <w:t>hallenges</w:t>
      </w:r>
      <w:bookmarkEnd w:id="6"/>
    </w:p>
    <w:p w14:paraId="4E53F40F" w14:textId="2F27624A" w:rsidR="0018383A" w:rsidRPr="00AD4660" w:rsidRDefault="00B923FD" w:rsidP="00AD4660">
      <w:pPr>
        <w:spacing w:after="0" w:line="360" w:lineRule="auto"/>
        <w:ind w:firstLine="720"/>
        <w:contextualSpacing/>
        <w:jc w:val="both"/>
        <w:rPr>
          <w:rStyle w:val="cursor-pointer"/>
          <w:rFonts w:ascii="Arial" w:hAnsi="Arial" w:cs="Arial"/>
          <w:color w:val="000000" w:themeColor="text1"/>
          <w:sz w:val="24"/>
          <w:szCs w:val="24"/>
        </w:rPr>
      </w:pPr>
      <w:r w:rsidRPr="00AD4660">
        <w:rPr>
          <w:rStyle w:val="cursor-pointer"/>
          <w:rFonts w:ascii="Arial" w:hAnsi="Arial" w:cs="Arial"/>
          <w:color w:val="000000" w:themeColor="text1"/>
          <w:sz w:val="24"/>
          <w:szCs w:val="24"/>
        </w:rPr>
        <w:t xml:space="preserve">Sustainability pressures increase the cost of compliance, increase the complexities of reporting and the process of </w:t>
      </w:r>
      <w:proofErr w:type="spellStart"/>
      <w:r w:rsidR="007B1D08" w:rsidRPr="00AD4660">
        <w:rPr>
          <w:rStyle w:val="cursor-pointer"/>
          <w:rFonts w:ascii="Arial" w:hAnsi="Arial" w:cs="Arial"/>
          <w:color w:val="000000" w:themeColor="text1"/>
          <w:sz w:val="24"/>
          <w:szCs w:val="24"/>
        </w:rPr>
        <w:t>decarboni</w:t>
      </w:r>
      <w:r w:rsidR="007B1D08">
        <w:rPr>
          <w:rStyle w:val="cursor-pointer"/>
          <w:rFonts w:ascii="Arial" w:hAnsi="Arial" w:cs="Arial"/>
          <w:color w:val="000000" w:themeColor="text1"/>
          <w:sz w:val="24"/>
          <w:szCs w:val="24"/>
        </w:rPr>
        <w:t>s</w:t>
      </w:r>
      <w:r w:rsidR="007B1D08" w:rsidRPr="00AD4660">
        <w:rPr>
          <w:rStyle w:val="cursor-pointer"/>
          <w:rFonts w:ascii="Arial" w:hAnsi="Arial" w:cs="Arial"/>
          <w:color w:val="000000" w:themeColor="text1"/>
          <w:sz w:val="24"/>
          <w:szCs w:val="24"/>
        </w:rPr>
        <w:t>ing</w:t>
      </w:r>
      <w:proofErr w:type="spellEnd"/>
      <w:r w:rsidRPr="00AD4660">
        <w:rPr>
          <w:rStyle w:val="cursor-pointer"/>
          <w:rFonts w:ascii="Arial" w:hAnsi="Arial" w:cs="Arial"/>
          <w:color w:val="000000" w:themeColor="text1"/>
          <w:sz w:val="24"/>
          <w:szCs w:val="24"/>
        </w:rPr>
        <w:t xml:space="preserve"> operations without reducing profitability.</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In the case of AstraZeneca, increased disclosure expectations, and scrutiny of supply-chain means a heavier burden on data collection and verification of global operations, which is administratively challenging (</w:t>
      </w:r>
      <w:proofErr w:type="spellStart"/>
      <w:r w:rsidRPr="00AD4660">
        <w:rPr>
          <w:rStyle w:val="cursor-pointer"/>
          <w:rFonts w:ascii="Arial" w:hAnsi="Arial" w:cs="Arial"/>
          <w:color w:val="000000" w:themeColor="text1"/>
          <w:sz w:val="24"/>
          <w:szCs w:val="24"/>
        </w:rPr>
        <w:t>Alakhir</w:t>
      </w:r>
      <w:proofErr w:type="spellEnd"/>
      <w:r w:rsidRPr="00AD4660">
        <w:rPr>
          <w:rStyle w:val="cursor-pointer"/>
          <w:rFonts w:ascii="Arial" w:hAnsi="Arial" w:cs="Arial"/>
          <w:color w:val="000000" w:themeColor="text1"/>
          <w:sz w:val="24"/>
          <w:szCs w:val="24"/>
        </w:rPr>
        <w:t xml:space="preserve"> and Benic, 2025).</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 xml:space="preserve">Meanwhile, </w:t>
      </w:r>
      <w:r w:rsidRPr="00AD4660">
        <w:rPr>
          <w:rStyle w:val="cursor-pointer"/>
          <w:rFonts w:ascii="Arial" w:hAnsi="Arial" w:cs="Arial"/>
          <w:color w:val="000000" w:themeColor="text1"/>
          <w:sz w:val="24"/>
          <w:szCs w:val="24"/>
        </w:rPr>
        <w:lastRenderedPageBreak/>
        <w:t>manufacturing, transport and supplier emissions reduction can be costly, in terms of process redesign and investment (Booth, 2025).</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 xml:space="preserve">The dilemma is thus to strike a balance between environmental requirements and the </w:t>
      </w:r>
      <w:proofErr w:type="gramStart"/>
      <w:r w:rsidRPr="00AD4660">
        <w:rPr>
          <w:rStyle w:val="cursor-pointer"/>
          <w:rFonts w:ascii="Arial" w:hAnsi="Arial" w:cs="Arial"/>
          <w:color w:val="000000" w:themeColor="text1"/>
          <w:sz w:val="24"/>
          <w:szCs w:val="24"/>
        </w:rPr>
        <w:t>shareholders</w:t>
      </w:r>
      <w:proofErr w:type="gramEnd"/>
      <w:r w:rsidRPr="00AD4660">
        <w:rPr>
          <w:rStyle w:val="cursor-pointer"/>
          <w:rFonts w:ascii="Arial" w:hAnsi="Arial" w:cs="Arial"/>
          <w:color w:val="000000" w:themeColor="text1"/>
          <w:sz w:val="24"/>
          <w:szCs w:val="24"/>
        </w:rPr>
        <w:t xml:space="preserve"> concern and further investment in innovations.</w:t>
      </w:r>
    </w:p>
    <w:p w14:paraId="3A49B783" w14:textId="77777777" w:rsidR="00B06CBA" w:rsidRPr="00AD4660" w:rsidRDefault="00B06CBA" w:rsidP="00B06CBA">
      <w:pPr>
        <w:spacing w:after="0" w:line="360" w:lineRule="auto"/>
        <w:contextualSpacing/>
        <w:jc w:val="both"/>
        <w:rPr>
          <w:rStyle w:val="cursor-pointer"/>
          <w:rFonts w:ascii="Arial" w:hAnsi="Arial" w:cs="Arial"/>
          <w:color w:val="000000" w:themeColor="text1"/>
          <w:sz w:val="24"/>
          <w:szCs w:val="24"/>
        </w:rPr>
      </w:pPr>
    </w:p>
    <w:p w14:paraId="05C6D32C" w14:textId="01AAD7BE" w:rsidR="0018383A" w:rsidRDefault="0018383A" w:rsidP="00AD4660">
      <w:pPr>
        <w:pStyle w:val="Heading1"/>
        <w:spacing w:line="360" w:lineRule="auto"/>
        <w:jc w:val="both"/>
        <w:rPr>
          <w:rFonts w:ascii="Arial" w:hAnsi="Arial" w:cs="Arial"/>
        </w:rPr>
      </w:pPr>
      <w:bookmarkStart w:id="7" w:name="_Toc227761532"/>
      <w:r w:rsidRPr="00AD4660">
        <w:rPr>
          <w:rFonts w:ascii="Arial" w:hAnsi="Arial" w:cs="Arial"/>
        </w:rPr>
        <w:t xml:space="preserve">4. Critical </w:t>
      </w:r>
      <w:r w:rsidR="000F5219" w:rsidRPr="00AD4660">
        <w:rPr>
          <w:rFonts w:ascii="Arial" w:hAnsi="Arial" w:cs="Arial"/>
        </w:rPr>
        <w:t xml:space="preserve">Impact </w:t>
      </w:r>
      <w:r w:rsidRPr="00AD4660">
        <w:rPr>
          <w:rFonts w:ascii="Arial" w:hAnsi="Arial" w:cs="Arial"/>
        </w:rPr>
        <w:t xml:space="preserve">on </w:t>
      </w:r>
      <w:r w:rsidR="000F5219" w:rsidRPr="00AD4660">
        <w:rPr>
          <w:rFonts w:ascii="Arial" w:hAnsi="Arial" w:cs="Arial"/>
        </w:rPr>
        <w:t>S</w:t>
      </w:r>
      <w:r w:rsidRPr="00AD4660">
        <w:rPr>
          <w:rFonts w:ascii="Arial" w:hAnsi="Arial" w:cs="Arial"/>
        </w:rPr>
        <w:t>trategy</w:t>
      </w:r>
      <w:bookmarkEnd w:id="7"/>
    </w:p>
    <w:p w14:paraId="22C02113" w14:textId="08CA3276" w:rsidR="00043216" w:rsidRPr="00043216" w:rsidRDefault="00043216" w:rsidP="00043216">
      <w:pPr>
        <w:rPr>
          <w:rFonts w:ascii="Arial" w:hAnsi="Arial" w:cs="Arial"/>
          <w:b/>
          <w:bCs/>
          <w:sz w:val="24"/>
          <w:szCs w:val="24"/>
          <w:lang w:val="en-GB"/>
        </w:rPr>
      </w:pPr>
      <w:r w:rsidRPr="00043216">
        <w:rPr>
          <w:rFonts w:ascii="Arial" w:hAnsi="Arial" w:cs="Arial"/>
          <w:b/>
          <w:bCs/>
          <w:sz w:val="24"/>
          <w:szCs w:val="24"/>
          <w:lang w:val="en-GB"/>
        </w:rPr>
        <w:t>PESTEL and Five Forces</w:t>
      </w:r>
    </w:p>
    <w:p w14:paraId="231D8BE9" w14:textId="77777777" w:rsidR="00B80937" w:rsidRPr="00B80937" w:rsidRDefault="00B80937" w:rsidP="00B80937">
      <w:pPr>
        <w:spacing w:after="0" w:line="360" w:lineRule="auto"/>
        <w:ind w:firstLine="720"/>
        <w:contextualSpacing/>
        <w:jc w:val="both"/>
        <w:rPr>
          <w:rFonts w:ascii="Arial" w:hAnsi="Arial" w:cs="Arial"/>
          <w:color w:val="000000" w:themeColor="text1"/>
          <w:sz w:val="24"/>
          <w:szCs w:val="24"/>
          <w:lang w:val="en-GB"/>
        </w:rPr>
      </w:pPr>
      <w:r w:rsidRPr="00B80937">
        <w:rPr>
          <w:rFonts w:ascii="Arial" w:hAnsi="Arial" w:cs="Arial"/>
          <w:color w:val="000000" w:themeColor="text1"/>
          <w:sz w:val="24"/>
          <w:szCs w:val="24"/>
          <w:lang w:val="en-GB"/>
        </w:rPr>
        <w:t>A clearer understanding of how global forces influence AstraZeneca can be achieved through a PESTEL framework. Politically, instability in key regions, such as disruptions in the Red Sea, increases uncertainty and weakens supply-chain reliability. Economically, rising transport and production costs place pressure on margins, while changes in global healthcare demand create both risks and opportunities. Social expectations are also evolving, with greater emphasis on ethical practices and sustainability, increasing scrutiny from stakeholders. Technological developments, particularly in artificial intelligence, are transforming drug discovery and clinical processes, improving efficiency while creating dependence on advanced digital capabilities. Environmental regulations increase operational costs, while evolving legal frameworks around data protection and AI governance make technological adoption more complex (Hill, 2023).</w:t>
      </w:r>
    </w:p>
    <w:p w14:paraId="3F8D1F85" w14:textId="77777777" w:rsidR="00B80937" w:rsidRDefault="00B80937" w:rsidP="00B80937">
      <w:pPr>
        <w:spacing w:after="0" w:line="360" w:lineRule="auto"/>
        <w:ind w:firstLine="720"/>
        <w:contextualSpacing/>
        <w:jc w:val="both"/>
        <w:rPr>
          <w:rFonts w:ascii="Arial" w:hAnsi="Arial" w:cs="Arial"/>
          <w:color w:val="000000" w:themeColor="text1"/>
          <w:sz w:val="24"/>
          <w:szCs w:val="24"/>
          <w:lang w:val="en-GB"/>
        </w:rPr>
      </w:pPr>
      <w:r w:rsidRPr="00B80937">
        <w:rPr>
          <w:rFonts w:ascii="Arial" w:hAnsi="Arial" w:cs="Arial"/>
          <w:color w:val="000000" w:themeColor="text1"/>
          <w:sz w:val="24"/>
          <w:szCs w:val="24"/>
          <w:lang w:val="en-GB"/>
        </w:rPr>
        <w:t xml:space="preserve">Porter’s Five Forces further explains how these external pressures translate into industry competition. Competitive rivalry remains intense due to high R&amp;D costs and patent-driven competition, while the threat of new entrants is limited by strict regulation and high capital requirements. However, supplier power is increasing, particularly where key inputs are sourced from limited regions, making firms more vulnerable to disruption. Buyer power is also rising, as governments and healthcare providers demand lower prices and greater transparency. Meanwhile, the threat of substitutes is gradually increasing through alternative treatments and technological innovation (Sharma and </w:t>
      </w:r>
      <w:proofErr w:type="spellStart"/>
      <w:r w:rsidRPr="00B80937">
        <w:rPr>
          <w:rFonts w:ascii="Arial" w:hAnsi="Arial" w:cs="Arial"/>
          <w:color w:val="000000" w:themeColor="text1"/>
          <w:sz w:val="24"/>
          <w:szCs w:val="24"/>
          <w:lang w:val="en-GB"/>
        </w:rPr>
        <w:t>Manchikanti</w:t>
      </w:r>
      <w:proofErr w:type="spellEnd"/>
      <w:r w:rsidRPr="00B80937">
        <w:rPr>
          <w:rFonts w:ascii="Arial" w:hAnsi="Arial" w:cs="Arial"/>
          <w:color w:val="000000" w:themeColor="text1"/>
          <w:sz w:val="24"/>
          <w:szCs w:val="24"/>
          <w:lang w:val="en-GB"/>
        </w:rPr>
        <w:t>, 2024).</w:t>
      </w:r>
    </w:p>
    <w:p w14:paraId="7757E9EA" w14:textId="77777777" w:rsidR="00852879" w:rsidRDefault="00852879" w:rsidP="00B80937">
      <w:pPr>
        <w:spacing w:after="0" w:line="360" w:lineRule="auto"/>
        <w:ind w:firstLine="720"/>
        <w:contextualSpacing/>
        <w:jc w:val="both"/>
        <w:rPr>
          <w:rFonts w:ascii="Arial" w:hAnsi="Arial" w:cs="Arial"/>
          <w:color w:val="000000" w:themeColor="text1"/>
          <w:sz w:val="24"/>
          <w:szCs w:val="24"/>
          <w:lang w:val="en-GB"/>
        </w:rPr>
      </w:pPr>
    </w:p>
    <w:p w14:paraId="0E0B1F2A" w14:textId="77777777" w:rsidR="00852879" w:rsidRPr="00B80937" w:rsidRDefault="00852879" w:rsidP="00B80937">
      <w:pPr>
        <w:spacing w:after="0" w:line="360" w:lineRule="auto"/>
        <w:ind w:firstLine="720"/>
        <w:contextualSpacing/>
        <w:jc w:val="both"/>
        <w:rPr>
          <w:rFonts w:ascii="Arial" w:hAnsi="Arial" w:cs="Arial"/>
          <w:color w:val="000000" w:themeColor="text1"/>
          <w:sz w:val="24"/>
          <w:szCs w:val="24"/>
          <w:lang w:val="en-GB"/>
        </w:rPr>
      </w:pPr>
    </w:p>
    <w:p w14:paraId="23FEFBCC" w14:textId="77777777" w:rsidR="00B80937" w:rsidRPr="00B80937" w:rsidRDefault="00B80937" w:rsidP="00B80937">
      <w:pPr>
        <w:spacing w:after="0" w:line="360" w:lineRule="auto"/>
        <w:ind w:firstLine="720"/>
        <w:contextualSpacing/>
        <w:jc w:val="both"/>
        <w:rPr>
          <w:rFonts w:ascii="Arial" w:hAnsi="Arial" w:cs="Arial"/>
          <w:color w:val="000000" w:themeColor="text1"/>
          <w:sz w:val="24"/>
          <w:szCs w:val="24"/>
          <w:lang w:val="en-GB"/>
        </w:rPr>
      </w:pPr>
      <w:r w:rsidRPr="00B80937">
        <w:rPr>
          <w:rFonts w:ascii="Arial" w:hAnsi="Arial" w:cs="Arial"/>
          <w:color w:val="000000" w:themeColor="text1"/>
          <w:sz w:val="24"/>
          <w:szCs w:val="24"/>
          <w:lang w:val="en-GB"/>
        </w:rPr>
        <w:lastRenderedPageBreak/>
        <w:t>Importantly, these frameworks are closely interconnected. External pressures identified in the PESTEL analysis directly shape the competitive forces within the industry. For example, geopolitical instability increases supplier power, while rapid technological advancements intensify competitive rivalry. This demonstrates that environmental factors do not operate independently but actively reshape industry dynamics. As a result, AstraZeneca must align its strategy with both external conditions and competitive pressures.</w:t>
      </w:r>
    </w:p>
    <w:p w14:paraId="080E89B8" w14:textId="58AED394" w:rsidR="00B80937" w:rsidRPr="00B80937" w:rsidRDefault="00852879" w:rsidP="00B80937">
      <w:pPr>
        <w:spacing w:after="0" w:line="360" w:lineRule="auto"/>
        <w:ind w:firstLine="720"/>
        <w:contextualSpacing/>
        <w:jc w:val="both"/>
        <w:rPr>
          <w:rFonts w:ascii="Arial" w:hAnsi="Arial" w:cs="Arial"/>
          <w:color w:val="000000" w:themeColor="text1"/>
          <w:sz w:val="24"/>
          <w:szCs w:val="24"/>
          <w:lang w:val="en-GB"/>
        </w:rPr>
      </w:pPr>
      <w:r w:rsidRPr="00852879">
        <w:rPr>
          <w:rFonts w:ascii="Arial" w:hAnsi="Arial" w:cs="Arial"/>
          <w:color w:val="000000" w:themeColor="text1"/>
          <w:sz w:val="24"/>
          <w:szCs w:val="24"/>
        </w:rPr>
        <w:t xml:space="preserve">This suggests that while AI enhances efficiency, it simultaneously increases AstraZeneca’s dependency on </w:t>
      </w:r>
      <w:proofErr w:type="spellStart"/>
      <w:r w:rsidRPr="00852879">
        <w:rPr>
          <w:rFonts w:ascii="Arial" w:hAnsi="Arial" w:cs="Arial"/>
          <w:color w:val="000000" w:themeColor="text1"/>
          <w:sz w:val="24"/>
          <w:szCs w:val="24"/>
        </w:rPr>
        <w:t>specialised</w:t>
      </w:r>
      <w:proofErr w:type="spellEnd"/>
      <w:r w:rsidRPr="00852879">
        <w:rPr>
          <w:rFonts w:ascii="Arial" w:hAnsi="Arial" w:cs="Arial"/>
          <w:color w:val="000000" w:themeColor="text1"/>
          <w:sz w:val="24"/>
          <w:szCs w:val="24"/>
        </w:rPr>
        <w:t xml:space="preserve"> capabilities, creating long-term strategic risk</w:t>
      </w:r>
      <w:r>
        <w:rPr>
          <w:rFonts w:ascii="Arial" w:hAnsi="Arial" w:cs="Arial"/>
          <w:color w:val="000000" w:themeColor="text1"/>
          <w:sz w:val="24"/>
          <w:szCs w:val="24"/>
        </w:rPr>
        <w:t xml:space="preserve"> </w:t>
      </w:r>
      <w:proofErr w:type="gramStart"/>
      <w:r w:rsidR="00B80937" w:rsidRPr="00B80937">
        <w:rPr>
          <w:rFonts w:ascii="Arial" w:hAnsi="Arial" w:cs="Arial"/>
          <w:color w:val="000000" w:themeColor="text1"/>
          <w:sz w:val="24"/>
          <w:szCs w:val="24"/>
          <w:lang w:val="en-GB"/>
        </w:rPr>
        <w:t>From</w:t>
      </w:r>
      <w:proofErr w:type="gramEnd"/>
      <w:r w:rsidR="00B80937" w:rsidRPr="00B80937">
        <w:rPr>
          <w:rFonts w:ascii="Arial" w:hAnsi="Arial" w:cs="Arial"/>
          <w:color w:val="000000" w:themeColor="text1"/>
          <w:sz w:val="24"/>
          <w:szCs w:val="24"/>
          <w:lang w:val="en-GB"/>
        </w:rPr>
        <w:t xml:space="preserve"> a strategic perspective, AI adoption can strengthen market positioning by accelerating drug development and improving decision-making. However, its effectiveness depends on governance, data quality, and specialised talent (</w:t>
      </w:r>
      <w:proofErr w:type="spellStart"/>
      <w:r w:rsidR="00B80937" w:rsidRPr="00B80937">
        <w:rPr>
          <w:rFonts w:ascii="Arial" w:hAnsi="Arial" w:cs="Arial"/>
          <w:color w:val="000000" w:themeColor="text1"/>
          <w:sz w:val="24"/>
          <w:szCs w:val="24"/>
          <w:lang w:val="en-GB"/>
        </w:rPr>
        <w:t>Mökander</w:t>
      </w:r>
      <w:proofErr w:type="spellEnd"/>
      <w:r w:rsidR="00B80937" w:rsidRPr="00B80937">
        <w:rPr>
          <w:rFonts w:ascii="Arial" w:hAnsi="Arial" w:cs="Arial"/>
          <w:color w:val="000000" w:themeColor="text1"/>
          <w:sz w:val="24"/>
          <w:szCs w:val="24"/>
          <w:lang w:val="en-GB"/>
        </w:rPr>
        <w:t xml:space="preserve"> et al., 2024). At the same time, supply-chain disruption reduces short-term efficiency but encourages more resilient operating models, such as supplier diversification and regional production (Belal et al., 2025; </w:t>
      </w:r>
      <w:proofErr w:type="spellStart"/>
      <w:r w:rsidR="00B80937" w:rsidRPr="00B80937">
        <w:rPr>
          <w:rFonts w:ascii="Arial" w:hAnsi="Arial" w:cs="Arial"/>
          <w:color w:val="000000" w:themeColor="text1"/>
          <w:sz w:val="24"/>
          <w:szCs w:val="24"/>
          <w:lang w:val="en-GB"/>
        </w:rPr>
        <w:t>Sazvar</w:t>
      </w:r>
      <w:proofErr w:type="spellEnd"/>
      <w:r w:rsidR="00B80937" w:rsidRPr="00B80937">
        <w:rPr>
          <w:rFonts w:ascii="Arial" w:hAnsi="Arial" w:cs="Arial"/>
          <w:color w:val="000000" w:themeColor="text1"/>
          <w:sz w:val="24"/>
          <w:szCs w:val="24"/>
          <w:lang w:val="en-GB"/>
        </w:rPr>
        <w:t>, 2025). Similarly, sustainability increases compliance costs, but strong ESG performance can enhance stakeholder trust and support long-term competitiveness (Booth, 2025).</w:t>
      </w:r>
    </w:p>
    <w:p w14:paraId="55081D0C" w14:textId="77777777" w:rsidR="00B06CBA" w:rsidRPr="00AD4660" w:rsidRDefault="00B06CBA" w:rsidP="00B06CBA">
      <w:pPr>
        <w:spacing w:after="0" w:line="360" w:lineRule="auto"/>
        <w:ind w:firstLine="720"/>
        <w:contextualSpacing/>
        <w:jc w:val="both"/>
        <w:rPr>
          <w:rFonts w:ascii="Arial" w:hAnsi="Arial" w:cs="Arial"/>
          <w:color w:val="000000" w:themeColor="text1"/>
          <w:sz w:val="24"/>
          <w:szCs w:val="24"/>
        </w:rPr>
      </w:pPr>
    </w:p>
    <w:p w14:paraId="304BDB45" w14:textId="7CDB91A3" w:rsidR="0018383A" w:rsidRPr="00AD4660" w:rsidRDefault="0018383A" w:rsidP="00B06CBA">
      <w:pPr>
        <w:pStyle w:val="Heading1"/>
        <w:rPr>
          <w:rFonts w:ascii="Arial" w:hAnsi="Arial" w:cs="Arial"/>
        </w:rPr>
      </w:pPr>
      <w:bookmarkStart w:id="8" w:name="_Toc227761533"/>
      <w:r w:rsidRPr="00AD4660">
        <w:rPr>
          <w:rFonts w:ascii="Arial" w:hAnsi="Arial" w:cs="Arial"/>
        </w:rPr>
        <w:t xml:space="preserve">5. Strategic </w:t>
      </w:r>
      <w:r w:rsidR="000F5219" w:rsidRPr="00AD4660">
        <w:rPr>
          <w:rFonts w:ascii="Arial" w:hAnsi="Arial" w:cs="Arial"/>
        </w:rPr>
        <w:t>R</w:t>
      </w:r>
      <w:r w:rsidRPr="00AD4660">
        <w:rPr>
          <w:rFonts w:ascii="Arial" w:hAnsi="Arial" w:cs="Arial"/>
        </w:rPr>
        <w:t>ecommendations</w:t>
      </w:r>
      <w:bookmarkEnd w:id="8"/>
    </w:p>
    <w:p w14:paraId="77C68F25" w14:textId="20D2AB87" w:rsidR="00B923FD" w:rsidRPr="00AD4660" w:rsidRDefault="00B923FD" w:rsidP="00B06CBA">
      <w:pPr>
        <w:spacing w:after="0" w:line="360" w:lineRule="auto"/>
        <w:ind w:firstLine="720"/>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AstraZeneca needs to invest in responsible AI governance and workforce capability. It implies integrating AI application with employee education, more accountable, better model validation and tighter data management, minimizing moral and legal risk and enhancing real utility of AI systems (</w:t>
      </w:r>
      <w:proofErr w:type="spellStart"/>
      <w:r w:rsidRPr="00AD4660">
        <w:rPr>
          <w:rFonts w:ascii="Arial" w:hAnsi="Arial" w:cs="Arial"/>
          <w:color w:val="000000" w:themeColor="text1"/>
          <w:sz w:val="24"/>
          <w:szCs w:val="24"/>
        </w:rPr>
        <w:t>Mökander</w:t>
      </w:r>
      <w:proofErr w:type="spellEnd"/>
      <w:r w:rsidRPr="00AD4660">
        <w:rPr>
          <w:rFonts w:ascii="Arial" w:hAnsi="Arial" w:cs="Arial"/>
          <w:color w:val="000000" w:themeColor="text1"/>
          <w:sz w:val="24"/>
          <w:szCs w:val="24"/>
        </w:rPr>
        <w:t xml:space="preserve"> et al., 2024).</w:t>
      </w:r>
    </w:p>
    <w:p w14:paraId="176E714F" w14:textId="77777777" w:rsidR="00B923FD" w:rsidRPr="00AD4660" w:rsidRDefault="00B923FD" w:rsidP="00B06CBA">
      <w:pPr>
        <w:spacing w:after="0" w:line="360" w:lineRule="auto"/>
        <w:ind w:firstLine="720"/>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Second, the firm ought to diversify supply chains as well as broaden regional resilience planning. More supplier dispersion, scenario planning and regionalized manufacturing would minimize reliance on vulnerable routes and concentrated sources of sourcing, although some short-term increases in costs may be inevitable (Belal et al., 2025).</w:t>
      </w:r>
    </w:p>
    <w:p w14:paraId="51BAAD22" w14:textId="02FDA8B6" w:rsidR="0018383A" w:rsidRPr="00AD4660" w:rsidRDefault="00B923FD" w:rsidP="00B06CBA">
      <w:pPr>
        <w:spacing w:after="0" w:line="360" w:lineRule="auto"/>
        <w:ind w:firstLine="720"/>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 xml:space="preserve">Thirdly, AstraZeneca needs to enhance sustainability reporting by integrating ESG </w:t>
      </w:r>
      <w:proofErr w:type="gramStart"/>
      <w:r w:rsidRPr="00AD4660">
        <w:rPr>
          <w:rFonts w:ascii="Arial" w:hAnsi="Arial" w:cs="Arial"/>
          <w:color w:val="000000" w:themeColor="text1"/>
          <w:sz w:val="24"/>
          <w:szCs w:val="24"/>
        </w:rPr>
        <w:t>in</w:t>
      </w:r>
      <w:proofErr w:type="gramEnd"/>
      <w:r w:rsidRPr="00AD4660">
        <w:rPr>
          <w:rFonts w:ascii="Arial" w:hAnsi="Arial" w:cs="Arial"/>
          <w:color w:val="000000" w:themeColor="text1"/>
          <w:sz w:val="24"/>
          <w:szCs w:val="24"/>
        </w:rPr>
        <w:t xml:space="preserve"> operations as opposed to perceiving it as a reporting process. The quality of compliance </w:t>
      </w:r>
      <w:r w:rsidRPr="00AD4660">
        <w:rPr>
          <w:rFonts w:ascii="Arial" w:hAnsi="Arial" w:cs="Arial"/>
          <w:color w:val="000000" w:themeColor="text1"/>
          <w:sz w:val="24"/>
          <w:szCs w:val="24"/>
        </w:rPr>
        <w:lastRenderedPageBreak/>
        <w:t>and credibility of stakeholders would be enhanced with the system of improved supplier monitoring, measurement of emissions, and integration of sustainability targets into operational decisions contributing to the increased efficiency in the long term (</w:t>
      </w:r>
      <w:proofErr w:type="spellStart"/>
      <w:r w:rsidRPr="00AD4660">
        <w:rPr>
          <w:rFonts w:ascii="Arial" w:hAnsi="Arial" w:cs="Arial"/>
          <w:color w:val="000000" w:themeColor="text1"/>
          <w:sz w:val="24"/>
          <w:szCs w:val="24"/>
        </w:rPr>
        <w:t>Alakhir</w:t>
      </w:r>
      <w:proofErr w:type="spellEnd"/>
      <w:r w:rsidRPr="00AD4660">
        <w:rPr>
          <w:rFonts w:ascii="Arial" w:hAnsi="Arial" w:cs="Arial"/>
          <w:color w:val="000000" w:themeColor="text1"/>
          <w:sz w:val="24"/>
          <w:szCs w:val="24"/>
        </w:rPr>
        <w:t xml:space="preserve"> and Benic, 2025; Booth, 2025).</w:t>
      </w:r>
    </w:p>
    <w:p w14:paraId="776454B4" w14:textId="77777777" w:rsidR="00B06CBA" w:rsidRPr="00AD4660" w:rsidRDefault="00B06CBA" w:rsidP="00B06CBA">
      <w:pPr>
        <w:spacing w:after="0" w:line="360" w:lineRule="auto"/>
        <w:ind w:firstLine="720"/>
        <w:contextualSpacing/>
        <w:jc w:val="both"/>
        <w:rPr>
          <w:rFonts w:ascii="Arial" w:hAnsi="Arial" w:cs="Arial"/>
          <w:color w:val="000000" w:themeColor="text1"/>
          <w:sz w:val="24"/>
          <w:szCs w:val="24"/>
        </w:rPr>
      </w:pPr>
    </w:p>
    <w:p w14:paraId="0190C400" w14:textId="33930C37" w:rsidR="0018383A" w:rsidRPr="00AD4660" w:rsidRDefault="0018383A" w:rsidP="00B06CBA">
      <w:pPr>
        <w:pStyle w:val="Heading1"/>
        <w:rPr>
          <w:rFonts w:ascii="Arial" w:hAnsi="Arial" w:cs="Arial"/>
        </w:rPr>
      </w:pPr>
      <w:bookmarkStart w:id="9" w:name="_Toc227761534"/>
      <w:r w:rsidRPr="00AD4660">
        <w:rPr>
          <w:rFonts w:ascii="Arial" w:hAnsi="Arial" w:cs="Arial"/>
        </w:rPr>
        <w:t>Conclusion</w:t>
      </w:r>
      <w:bookmarkEnd w:id="9"/>
    </w:p>
    <w:p w14:paraId="29BBF4E4" w14:textId="604BD86F" w:rsidR="0018383A" w:rsidRPr="00AD4660" w:rsidRDefault="00B923FD" w:rsidP="00B06CBA">
      <w:pPr>
        <w:spacing w:after="0" w:line="360" w:lineRule="auto"/>
        <w:ind w:firstLine="720"/>
        <w:contextualSpacing/>
        <w:jc w:val="both"/>
        <w:rPr>
          <w:rFonts w:ascii="Arial" w:hAnsi="Arial" w:cs="Arial"/>
          <w:color w:val="000000" w:themeColor="text1"/>
          <w:sz w:val="24"/>
          <w:szCs w:val="24"/>
        </w:rPr>
      </w:pPr>
      <w:r w:rsidRPr="00AD4660">
        <w:rPr>
          <w:rStyle w:val="cursor-pointer"/>
          <w:rFonts w:ascii="Arial" w:hAnsi="Arial" w:cs="Arial"/>
          <w:color w:val="000000" w:themeColor="text1"/>
          <w:sz w:val="24"/>
          <w:szCs w:val="24"/>
        </w:rPr>
        <w:t>AstraZeneca operates in a global business environment that poses both strategic opportunities and major threats due to AI, geopolitical disruption and sustainability needs.</w:t>
      </w:r>
      <w:r w:rsidRPr="00AD4660">
        <w:rPr>
          <w:rFonts w:ascii="Arial" w:hAnsi="Arial" w:cs="Arial"/>
          <w:color w:val="000000" w:themeColor="text1"/>
          <w:sz w:val="24"/>
          <w:szCs w:val="24"/>
        </w:rPr>
        <w:t xml:space="preserve"> </w:t>
      </w:r>
      <w:r w:rsidRPr="00AD4660">
        <w:rPr>
          <w:rStyle w:val="cursor-pointer"/>
          <w:rFonts w:ascii="Arial" w:hAnsi="Arial" w:cs="Arial"/>
          <w:color w:val="000000" w:themeColor="text1"/>
          <w:sz w:val="24"/>
          <w:szCs w:val="24"/>
        </w:rPr>
        <w:t>It will be successful in the long term based on its ability to match innovation, talent, supply resilience and governance to transform external pressure into greater international competitiveness and not operational vulnerability.</w:t>
      </w:r>
    </w:p>
    <w:p w14:paraId="447E265B" w14:textId="77777777" w:rsidR="00B923FD" w:rsidRPr="00AD4660" w:rsidRDefault="00B923FD" w:rsidP="00B06CBA">
      <w:pPr>
        <w:spacing w:after="0" w:line="360" w:lineRule="auto"/>
        <w:contextualSpacing/>
        <w:jc w:val="both"/>
        <w:rPr>
          <w:rFonts w:ascii="Arial" w:eastAsia="Times New Roman" w:hAnsi="Arial" w:cs="Arial"/>
          <w:b/>
          <w:bCs/>
          <w:color w:val="000000" w:themeColor="text1"/>
          <w:kern w:val="0"/>
          <w:sz w:val="24"/>
          <w:szCs w:val="24"/>
          <w14:ligatures w14:val="none"/>
        </w:rPr>
      </w:pPr>
      <w:r w:rsidRPr="000F5219">
        <w:rPr>
          <w:rFonts w:ascii="Times New Roman" w:hAnsi="Times New Roman" w:cs="Times New Roman"/>
          <w:color w:val="000000" w:themeColor="text1"/>
          <w:sz w:val="24"/>
          <w:szCs w:val="24"/>
        </w:rPr>
        <w:br w:type="page"/>
      </w:r>
    </w:p>
    <w:p w14:paraId="2AAE8DD8" w14:textId="7536A6B4" w:rsidR="0018383A" w:rsidRPr="00AD4660" w:rsidRDefault="0018383A" w:rsidP="00AD4660">
      <w:pPr>
        <w:pStyle w:val="Heading1"/>
        <w:spacing w:before="0" w:beforeAutospacing="0" w:after="0" w:afterAutospacing="0" w:line="360" w:lineRule="auto"/>
        <w:contextualSpacing/>
        <w:jc w:val="both"/>
        <w:rPr>
          <w:rFonts w:ascii="Arial" w:hAnsi="Arial" w:cs="Arial"/>
          <w:i w:val="0"/>
          <w:iCs w:val="0"/>
        </w:rPr>
      </w:pPr>
      <w:bookmarkStart w:id="10" w:name="_Toc227761535"/>
      <w:r w:rsidRPr="00AD4660">
        <w:rPr>
          <w:rFonts w:ascii="Arial" w:hAnsi="Arial" w:cs="Arial"/>
          <w:i w:val="0"/>
          <w:iCs w:val="0"/>
        </w:rPr>
        <w:lastRenderedPageBreak/>
        <w:t>Reference</w:t>
      </w:r>
      <w:r w:rsidR="007B4984" w:rsidRPr="00AD4660">
        <w:rPr>
          <w:rFonts w:ascii="Arial" w:hAnsi="Arial" w:cs="Arial"/>
          <w:i w:val="0"/>
          <w:iCs w:val="0"/>
        </w:rPr>
        <w:t>s</w:t>
      </w:r>
      <w:bookmarkEnd w:id="10"/>
    </w:p>
    <w:p w14:paraId="66045156" w14:textId="1E358415" w:rsidR="00AD4660" w:rsidRPr="007B1D08" w:rsidRDefault="00A811D1" w:rsidP="00AD4660">
      <w:pPr>
        <w:spacing w:after="0" w:line="360" w:lineRule="auto"/>
        <w:contextualSpacing/>
        <w:jc w:val="both"/>
        <w:rPr>
          <w:rFonts w:ascii="Arial" w:hAnsi="Arial" w:cs="Arial"/>
          <w:color w:val="000000" w:themeColor="text1"/>
          <w:sz w:val="24"/>
          <w:szCs w:val="24"/>
          <w:lang w:val="en-GB"/>
        </w:rPr>
      </w:pPr>
      <w:proofErr w:type="spellStart"/>
      <w:r w:rsidRPr="00AD4660">
        <w:rPr>
          <w:rFonts w:ascii="Arial" w:hAnsi="Arial" w:cs="Arial"/>
          <w:color w:val="000000" w:themeColor="text1"/>
          <w:sz w:val="24"/>
          <w:szCs w:val="24"/>
        </w:rPr>
        <w:t>Alakhir</w:t>
      </w:r>
      <w:proofErr w:type="spellEnd"/>
      <w:r w:rsidR="00AD4660" w:rsidRPr="007B1D08">
        <w:rPr>
          <w:rFonts w:ascii="Arial" w:hAnsi="Arial" w:cs="Arial"/>
          <w:color w:val="000000" w:themeColor="text1"/>
          <w:sz w:val="24"/>
          <w:szCs w:val="24"/>
          <w:lang w:val="en-GB"/>
        </w:rPr>
        <w:t xml:space="preserve">, H. and Benic, T. (2025) </w:t>
      </w:r>
      <w:r w:rsidR="00AD4660" w:rsidRPr="007B1D08">
        <w:rPr>
          <w:rFonts w:ascii="Arial" w:hAnsi="Arial" w:cs="Arial"/>
          <w:i/>
          <w:iCs/>
          <w:color w:val="000000" w:themeColor="text1"/>
          <w:sz w:val="24"/>
          <w:szCs w:val="24"/>
          <w:lang w:val="en-GB"/>
        </w:rPr>
        <w:t>Information systems for environmental sustainability: A qualitative study on digital reporting in the pharmaceutical industry</w:t>
      </w:r>
      <w:r w:rsidR="00AD4660" w:rsidRPr="007B1D08">
        <w:rPr>
          <w:rFonts w:ascii="Arial" w:hAnsi="Arial" w:cs="Arial"/>
          <w:color w:val="000000" w:themeColor="text1"/>
          <w:sz w:val="24"/>
          <w:szCs w:val="24"/>
          <w:lang w:val="en-GB"/>
        </w:rPr>
        <w:t xml:space="preserve">. Available at: </w:t>
      </w:r>
      <w:hyperlink r:id="rId7" w:tgtFrame="_new" w:history="1">
        <w:r w:rsidR="00AD4660" w:rsidRPr="007B1D08">
          <w:rPr>
            <w:rStyle w:val="Hyperlink"/>
            <w:rFonts w:ascii="Arial" w:hAnsi="Arial" w:cs="Arial"/>
            <w:color w:val="000000" w:themeColor="text1"/>
            <w:sz w:val="24"/>
            <w:szCs w:val="24"/>
            <w:lang w:val="en-GB"/>
          </w:rPr>
          <w:t>https://lup.lub.lu.se/luur/download?func=downloadFile&amp;recordOId=9202282&amp;fileOId=9202286</w:t>
        </w:r>
      </w:hyperlink>
      <w:r w:rsidR="00AD4660" w:rsidRPr="007B1D08">
        <w:rPr>
          <w:rFonts w:ascii="Arial" w:hAnsi="Arial" w:cs="Arial"/>
          <w:color w:val="000000" w:themeColor="text1"/>
          <w:sz w:val="24"/>
          <w:szCs w:val="24"/>
          <w:lang w:val="en-GB"/>
        </w:rPr>
        <w:t xml:space="preserve"> (Accessed: 01 April 2026).</w:t>
      </w:r>
    </w:p>
    <w:p w14:paraId="4EB13A57" w14:textId="58461E71"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AstraZeneca (2025a) </w:t>
      </w:r>
      <w:r w:rsidRPr="007B1D08">
        <w:rPr>
          <w:rFonts w:ascii="Arial" w:hAnsi="Arial" w:cs="Arial"/>
          <w:i/>
          <w:iCs/>
          <w:color w:val="000000" w:themeColor="text1"/>
          <w:sz w:val="24"/>
          <w:szCs w:val="24"/>
          <w:lang w:val="en-GB"/>
        </w:rPr>
        <w:t>Full year and Q4 2024 results</w:t>
      </w:r>
      <w:r w:rsidRPr="007B1D08">
        <w:rPr>
          <w:rFonts w:ascii="Arial" w:hAnsi="Arial" w:cs="Arial"/>
          <w:color w:val="000000" w:themeColor="text1"/>
          <w:sz w:val="24"/>
          <w:szCs w:val="24"/>
          <w:lang w:val="en-GB"/>
        </w:rPr>
        <w:t xml:space="preserve">. Available at: </w:t>
      </w:r>
      <w:hyperlink r:id="rId8" w:tgtFrame="_new" w:history="1">
        <w:r w:rsidRPr="007B1D08">
          <w:rPr>
            <w:rStyle w:val="Hyperlink"/>
            <w:rFonts w:ascii="Arial" w:hAnsi="Arial" w:cs="Arial"/>
            <w:color w:val="000000" w:themeColor="text1"/>
            <w:sz w:val="24"/>
            <w:szCs w:val="24"/>
            <w:lang w:val="en-GB"/>
          </w:rPr>
          <w:t>https://www.astrazeneca.com/media-centre/press-releases/2025/full-year-and-q4-2024-results.html</w:t>
        </w:r>
      </w:hyperlink>
      <w:r w:rsidRPr="007B1D08">
        <w:rPr>
          <w:rFonts w:ascii="Arial" w:hAnsi="Arial" w:cs="Arial"/>
          <w:color w:val="000000" w:themeColor="text1"/>
          <w:sz w:val="24"/>
          <w:szCs w:val="24"/>
          <w:lang w:val="en-GB"/>
        </w:rPr>
        <w:t xml:space="preserve"> (Accessed: 10 April 2026).</w:t>
      </w:r>
    </w:p>
    <w:p w14:paraId="0017FD3E" w14:textId="38F64E4D"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AstraZeneca (2025b) </w:t>
      </w:r>
      <w:r w:rsidRPr="007B1D08">
        <w:rPr>
          <w:rFonts w:ascii="Arial" w:hAnsi="Arial" w:cs="Arial"/>
          <w:i/>
          <w:iCs/>
          <w:color w:val="000000" w:themeColor="text1"/>
          <w:sz w:val="24"/>
          <w:szCs w:val="24"/>
          <w:lang w:val="en-GB"/>
        </w:rPr>
        <w:t>Sustainability at AstraZeneca</w:t>
      </w:r>
      <w:r w:rsidRPr="007B1D08">
        <w:rPr>
          <w:rFonts w:ascii="Arial" w:hAnsi="Arial" w:cs="Arial"/>
          <w:color w:val="000000" w:themeColor="text1"/>
          <w:sz w:val="24"/>
          <w:szCs w:val="24"/>
          <w:lang w:val="en-GB"/>
        </w:rPr>
        <w:t xml:space="preserve">. Available at: </w:t>
      </w:r>
      <w:hyperlink r:id="rId9" w:tgtFrame="_new" w:history="1">
        <w:r w:rsidRPr="007B1D08">
          <w:rPr>
            <w:rStyle w:val="Hyperlink"/>
            <w:rFonts w:ascii="Arial" w:hAnsi="Arial" w:cs="Arial"/>
            <w:color w:val="000000" w:themeColor="text1"/>
            <w:sz w:val="24"/>
            <w:szCs w:val="24"/>
            <w:lang w:val="en-GB"/>
          </w:rPr>
          <w:t>https://www.astrazeneca.com/sustainability.html</w:t>
        </w:r>
      </w:hyperlink>
      <w:r w:rsidRPr="007B1D08">
        <w:rPr>
          <w:rFonts w:ascii="Arial" w:hAnsi="Arial" w:cs="Arial"/>
          <w:color w:val="000000" w:themeColor="text1"/>
          <w:sz w:val="24"/>
          <w:szCs w:val="24"/>
          <w:lang w:val="en-GB"/>
        </w:rPr>
        <w:t xml:space="preserve"> (Accessed: 5 April 2026).</w:t>
      </w:r>
    </w:p>
    <w:p w14:paraId="335ADAA3" w14:textId="3B6AC044"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Belal, M.M., Shukla, V. </w:t>
      </w:r>
      <w:r w:rsidRPr="007B1D08">
        <w:rPr>
          <w:rFonts w:ascii="Arial" w:hAnsi="Arial" w:cs="Arial"/>
          <w:i/>
          <w:iCs/>
          <w:color w:val="000000" w:themeColor="text1"/>
          <w:sz w:val="24"/>
          <w:szCs w:val="24"/>
          <w:lang w:val="en-GB"/>
        </w:rPr>
        <w:t>et al.</w:t>
      </w:r>
      <w:r w:rsidRPr="007B1D08">
        <w:rPr>
          <w:rFonts w:ascii="Arial" w:hAnsi="Arial" w:cs="Arial"/>
          <w:color w:val="000000" w:themeColor="text1"/>
          <w:sz w:val="24"/>
          <w:szCs w:val="24"/>
          <w:lang w:val="en-GB"/>
        </w:rPr>
        <w:t xml:space="preserve"> (2025) ‘Greening the pharmaceutical supply chain’, </w:t>
      </w:r>
      <w:r w:rsidRPr="007B1D08">
        <w:rPr>
          <w:rFonts w:ascii="Arial" w:hAnsi="Arial" w:cs="Arial"/>
          <w:i/>
          <w:iCs/>
          <w:color w:val="000000" w:themeColor="text1"/>
          <w:sz w:val="24"/>
          <w:szCs w:val="24"/>
          <w:lang w:val="en-GB"/>
        </w:rPr>
        <w:t>Business Strategy and the Environment</w:t>
      </w:r>
      <w:r w:rsidRPr="007B1D08">
        <w:rPr>
          <w:rFonts w:ascii="Arial" w:hAnsi="Arial" w:cs="Arial"/>
          <w:color w:val="000000" w:themeColor="text1"/>
          <w:sz w:val="24"/>
          <w:szCs w:val="24"/>
          <w:lang w:val="en-GB"/>
        </w:rPr>
        <w:t xml:space="preserve">. Available at: </w:t>
      </w:r>
      <w:hyperlink r:id="rId10" w:tgtFrame="_new" w:history="1">
        <w:r w:rsidRPr="007B1D08">
          <w:rPr>
            <w:rStyle w:val="Hyperlink"/>
            <w:rFonts w:ascii="Arial" w:hAnsi="Arial" w:cs="Arial"/>
            <w:color w:val="000000" w:themeColor="text1"/>
            <w:sz w:val="24"/>
            <w:szCs w:val="24"/>
            <w:lang w:val="en-GB"/>
          </w:rPr>
          <w:t>https://onlinelibrary.wiley.com/doi/abs/10.1002/bse.4077</w:t>
        </w:r>
      </w:hyperlink>
      <w:r w:rsidRPr="007B1D08">
        <w:rPr>
          <w:rFonts w:ascii="Arial" w:hAnsi="Arial" w:cs="Arial"/>
          <w:color w:val="000000" w:themeColor="text1"/>
          <w:sz w:val="24"/>
          <w:szCs w:val="24"/>
          <w:lang w:val="en-GB"/>
        </w:rPr>
        <w:t xml:space="preserve"> (Accessed: 02 April 2026).</w:t>
      </w:r>
    </w:p>
    <w:p w14:paraId="3F827203" w14:textId="372D058E"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Booth, A. (2025) </w:t>
      </w:r>
      <w:r w:rsidRPr="007B1D08">
        <w:rPr>
          <w:rFonts w:ascii="Arial" w:hAnsi="Arial" w:cs="Arial"/>
          <w:i/>
          <w:iCs/>
          <w:color w:val="000000" w:themeColor="text1"/>
          <w:sz w:val="24"/>
          <w:szCs w:val="24"/>
          <w:lang w:val="en-GB"/>
        </w:rPr>
        <w:t>Shifting the discourse on multinational pharmaceutical companies’ climate action to support net zero progress: An adapted argumentative discourse analysis</w:t>
      </w:r>
      <w:r w:rsidRPr="007B1D08">
        <w:rPr>
          <w:rFonts w:ascii="Arial" w:hAnsi="Arial" w:cs="Arial"/>
          <w:color w:val="000000" w:themeColor="text1"/>
          <w:sz w:val="24"/>
          <w:szCs w:val="24"/>
          <w:lang w:val="en-GB"/>
        </w:rPr>
        <w:t xml:space="preserve">. Available at: </w:t>
      </w:r>
      <w:hyperlink r:id="rId11" w:tgtFrame="_new" w:history="1">
        <w:r w:rsidRPr="007B1D08">
          <w:rPr>
            <w:rStyle w:val="Hyperlink"/>
            <w:rFonts w:ascii="Arial" w:hAnsi="Arial" w:cs="Arial"/>
            <w:color w:val="000000" w:themeColor="text1"/>
            <w:sz w:val="24"/>
            <w:szCs w:val="24"/>
            <w:lang w:val="en-GB"/>
          </w:rPr>
          <w:t>https://ora.ox.ac.uk/objects/uuid:ae4f1691-abdf-4f08-9315-86b657c29cfc</w:t>
        </w:r>
      </w:hyperlink>
      <w:r w:rsidRPr="007B1D08">
        <w:rPr>
          <w:rFonts w:ascii="Arial" w:hAnsi="Arial" w:cs="Arial"/>
          <w:color w:val="000000" w:themeColor="text1"/>
          <w:sz w:val="24"/>
          <w:szCs w:val="24"/>
          <w:lang w:val="en-GB"/>
        </w:rPr>
        <w:t xml:space="preserve"> (Accessed: 19 March 2026).</w:t>
      </w:r>
    </w:p>
    <w:p w14:paraId="0A5CB98E"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Dicken, P. (2020) </w:t>
      </w:r>
      <w:r w:rsidRPr="007B1D08">
        <w:rPr>
          <w:rFonts w:ascii="Arial" w:hAnsi="Arial" w:cs="Arial"/>
          <w:i/>
          <w:iCs/>
          <w:color w:val="000000" w:themeColor="text1"/>
          <w:sz w:val="24"/>
          <w:szCs w:val="24"/>
          <w:lang w:val="en-GB"/>
        </w:rPr>
        <w:t>Global shift: Mapping the changing contours of the world economy</w:t>
      </w:r>
      <w:r w:rsidRPr="007B1D08">
        <w:rPr>
          <w:rFonts w:ascii="Arial" w:hAnsi="Arial" w:cs="Arial"/>
          <w:color w:val="000000" w:themeColor="text1"/>
          <w:sz w:val="24"/>
          <w:szCs w:val="24"/>
          <w:lang w:val="en-GB"/>
        </w:rPr>
        <w:t xml:space="preserve">. 8th </w:t>
      </w:r>
      <w:proofErr w:type="spellStart"/>
      <w:r w:rsidRPr="007B1D08">
        <w:rPr>
          <w:rFonts w:ascii="Arial" w:hAnsi="Arial" w:cs="Arial"/>
          <w:color w:val="000000" w:themeColor="text1"/>
          <w:sz w:val="24"/>
          <w:szCs w:val="24"/>
          <w:lang w:val="en-GB"/>
        </w:rPr>
        <w:t>edn</w:t>
      </w:r>
      <w:proofErr w:type="spellEnd"/>
      <w:r w:rsidRPr="007B1D08">
        <w:rPr>
          <w:rFonts w:ascii="Arial" w:hAnsi="Arial" w:cs="Arial"/>
          <w:color w:val="000000" w:themeColor="text1"/>
          <w:sz w:val="24"/>
          <w:szCs w:val="24"/>
          <w:lang w:val="en-GB"/>
        </w:rPr>
        <w:t>. London: Sage.</w:t>
      </w:r>
    </w:p>
    <w:p w14:paraId="2247359C"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Dwivedi, C. (2026) </w:t>
      </w:r>
      <w:r w:rsidRPr="007B1D08">
        <w:rPr>
          <w:rFonts w:ascii="Arial" w:hAnsi="Arial" w:cs="Arial"/>
          <w:i/>
          <w:iCs/>
          <w:color w:val="000000" w:themeColor="text1"/>
          <w:sz w:val="24"/>
          <w:szCs w:val="24"/>
          <w:lang w:val="en-GB"/>
        </w:rPr>
        <w:t>Strategic leadership and artificial intelligence integration in the pharmaceutical industry</w:t>
      </w:r>
      <w:r w:rsidRPr="007B1D08">
        <w:rPr>
          <w:rFonts w:ascii="Arial" w:hAnsi="Arial" w:cs="Arial"/>
          <w:color w:val="000000" w:themeColor="text1"/>
          <w:sz w:val="24"/>
          <w:szCs w:val="24"/>
          <w:lang w:val="en-GB"/>
        </w:rPr>
        <w:t xml:space="preserve">. Available at: </w:t>
      </w:r>
      <w:hyperlink r:id="rId12" w:tgtFrame="_new" w:history="1">
        <w:r w:rsidRPr="007B1D08">
          <w:rPr>
            <w:rStyle w:val="Hyperlink"/>
            <w:rFonts w:ascii="Arial" w:hAnsi="Arial" w:cs="Arial"/>
            <w:color w:val="000000" w:themeColor="text1"/>
            <w:sz w:val="24"/>
            <w:szCs w:val="24"/>
            <w:lang w:val="en-GB"/>
          </w:rPr>
          <w:t>https://repository.learn-portal.org/index.php/rps/article/view/1243</w:t>
        </w:r>
      </w:hyperlink>
      <w:r w:rsidRPr="007B1D08">
        <w:rPr>
          <w:rFonts w:ascii="Arial" w:hAnsi="Arial" w:cs="Arial"/>
          <w:color w:val="000000" w:themeColor="text1"/>
          <w:sz w:val="24"/>
          <w:szCs w:val="24"/>
          <w:lang w:val="en-GB"/>
        </w:rPr>
        <w:t xml:space="preserve"> (Accessed: 23 April 2026).</w:t>
      </w:r>
    </w:p>
    <w:p w14:paraId="20E05DEB" w14:textId="52AC632C"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Hammad, M., </w:t>
      </w:r>
      <w:proofErr w:type="spellStart"/>
      <w:r w:rsidRPr="007B1D08">
        <w:rPr>
          <w:rFonts w:ascii="Arial" w:hAnsi="Arial" w:cs="Arial"/>
          <w:color w:val="000000" w:themeColor="text1"/>
          <w:sz w:val="24"/>
          <w:szCs w:val="24"/>
          <w:lang w:val="en-GB"/>
        </w:rPr>
        <w:t>Panaousis</w:t>
      </w:r>
      <w:proofErr w:type="spellEnd"/>
      <w:r w:rsidRPr="007B1D08">
        <w:rPr>
          <w:rFonts w:ascii="Arial" w:hAnsi="Arial" w:cs="Arial"/>
          <w:color w:val="000000" w:themeColor="text1"/>
          <w:sz w:val="24"/>
          <w:szCs w:val="24"/>
          <w:lang w:val="en-GB"/>
        </w:rPr>
        <w:t xml:space="preserve">, M., Ali, H. and Khan, W.A. (2025) ‘Industry 4.0 in pharmaceuticals: A new era of smart manufacturing’, in </w:t>
      </w:r>
      <w:r w:rsidRPr="007B1D08">
        <w:rPr>
          <w:rFonts w:ascii="Arial" w:hAnsi="Arial" w:cs="Arial"/>
          <w:i/>
          <w:iCs/>
          <w:color w:val="000000" w:themeColor="text1"/>
          <w:sz w:val="24"/>
          <w:szCs w:val="24"/>
          <w:lang w:val="en-GB"/>
        </w:rPr>
        <w:t>Smart manufacturing blueprint in pharmaceuticals</w:t>
      </w:r>
      <w:r w:rsidRPr="007B1D08">
        <w:rPr>
          <w:rFonts w:ascii="Arial" w:hAnsi="Arial" w:cs="Arial"/>
          <w:color w:val="000000" w:themeColor="text1"/>
          <w:sz w:val="24"/>
          <w:szCs w:val="24"/>
          <w:lang w:val="en-GB"/>
        </w:rPr>
        <w:t xml:space="preserve">. Cham: Springer. Available at: </w:t>
      </w:r>
      <w:hyperlink r:id="rId13" w:tgtFrame="_new" w:history="1">
        <w:r w:rsidRPr="007B1D08">
          <w:rPr>
            <w:rStyle w:val="Hyperlink"/>
            <w:rFonts w:ascii="Arial" w:hAnsi="Arial" w:cs="Arial"/>
            <w:color w:val="000000" w:themeColor="text1"/>
            <w:sz w:val="24"/>
            <w:szCs w:val="24"/>
            <w:lang w:val="en-GB"/>
          </w:rPr>
          <w:t>https://link.springer.com/chapter/10.1007/978-3-032-00214-3_6</w:t>
        </w:r>
      </w:hyperlink>
      <w:r w:rsidRPr="007B1D08">
        <w:rPr>
          <w:rFonts w:ascii="Arial" w:hAnsi="Arial" w:cs="Arial"/>
          <w:color w:val="000000" w:themeColor="text1"/>
          <w:sz w:val="24"/>
          <w:szCs w:val="24"/>
          <w:lang w:val="en-GB"/>
        </w:rPr>
        <w:t xml:space="preserve"> (Accessed: 22 April 2026).</w:t>
      </w:r>
    </w:p>
    <w:p w14:paraId="5A7FB558"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Hill, C.W.L. (2023) </w:t>
      </w:r>
      <w:r w:rsidRPr="007B1D08">
        <w:rPr>
          <w:rFonts w:ascii="Arial" w:hAnsi="Arial" w:cs="Arial"/>
          <w:i/>
          <w:iCs/>
          <w:color w:val="000000" w:themeColor="text1"/>
          <w:sz w:val="24"/>
          <w:szCs w:val="24"/>
          <w:lang w:val="en-GB"/>
        </w:rPr>
        <w:t>International business: Competing in the global marketplace</w:t>
      </w:r>
      <w:r w:rsidRPr="007B1D08">
        <w:rPr>
          <w:rFonts w:ascii="Arial" w:hAnsi="Arial" w:cs="Arial"/>
          <w:color w:val="000000" w:themeColor="text1"/>
          <w:sz w:val="24"/>
          <w:szCs w:val="24"/>
          <w:lang w:val="en-GB"/>
        </w:rPr>
        <w:t xml:space="preserve">. 14th </w:t>
      </w:r>
      <w:proofErr w:type="spellStart"/>
      <w:r w:rsidRPr="007B1D08">
        <w:rPr>
          <w:rFonts w:ascii="Arial" w:hAnsi="Arial" w:cs="Arial"/>
          <w:color w:val="000000" w:themeColor="text1"/>
          <w:sz w:val="24"/>
          <w:szCs w:val="24"/>
          <w:lang w:val="en-GB"/>
        </w:rPr>
        <w:t>edn</w:t>
      </w:r>
      <w:proofErr w:type="spellEnd"/>
      <w:r w:rsidRPr="007B1D08">
        <w:rPr>
          <w:rFonts w:ascii="Arial" w:hAnsi="Arial" w:cs="Arial"/>
          <w:color w:val="000000" w:themeColor="text1"/>
          <w:sz w:val="24"/>
          <w:szCs w:val="24"/>
          <w:lang w:val="en-GB"/>
        </w:rPr>
        <w:t>. New York: McGraw-Hill.</w:t>
      </w:r>
    </w:p>
    <w:p w14:paraId="705CDAEA"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Ibáñez-Hernández, A. (2025) ‘Responsibility of the pharmaceutical industry: Sustainability and communication with publics’, </w:t>
      </w:r>
      <w:r w:rsidRPr="007B1D08">
        <w:rPr>
          <w:rFonts w:ascii="Arial" w:hAnsi="Arial" w:cs="Arial"/>
          <w:i/>
          <w:iCs/>
          <w:color w:val="000000" w:themeColor="text1"/>
          <w:sz w:val="24"/>
          <w:szCs w:val="24"/>
          <w:lang w:val="en-GB"/>
        </w:rPr>
        <w:t xml:space="preserve">Catalan Journal of Communication &amp; </w:t>
      </w:r>
      <w:r w:rsidRPr="007B1D08">
        <w:rPr>
          <w:rFonts w:ascii="Arial" w:hAnsi="Arial" w:cs="Arial"/>
          <w:i/>
          <w:iCs/>
          <w:color w:val="000000" w:themeColor="text1"/>
          <w:sz w:val="24"/>
          <w:szCs w:val="24"/>
          <w:lang w:val="en-GB"/>
        </w:rPr>
        <w:lastRenderedPageBreak/>
        <w:t>Cultural Studies</w:t>
      </w:r>
      <w:r w:rsidRPr="007B1D08">
        <w:rPr>
          <w:rFonts w:ascii="Arial" w:hAnsi="Arial" w:cs="Arial"/>
          <w:color w:val="000000" w:themeColor="text1"/>
          <w:sz w:val="24"/>
          <w:szCs w:val="24"/>
          <w:lang w:val="en-GB"/>
        </w:rPr>
        <w:t xml:space="preserve">. Available at: </w:t>
      </w:r>
      <w:hyperlink r:id="rId14" w:tgtFrame="_new" w:history="1">
        <w:r w:rsidRPr="007B1D08">
          <w:rPr>
            <w:rStyle w:val="Hyperlink"/>
            <w:rFonts w:ascii="Arial" w:hAnsi="Arial" w:cs="Arial"/>
            <w:color w:val="000000" w:themeColor="text1"/>
            <w:sz w:val="24"/>
            <w:szCs w:val="24"/>
            <w:lang w:val="en-GB"/>
          </w:rPr>
          <w:t>https://intellectdiscover.com/content/journals/10.1386/cjcs_00104_1</w:t>
        </w:r>
      </w:hyperlink>
      <w:r w:rsidRPr="007B1D08">
        <w:rPr>
          <w:rFonts w:ascii="Arial" w:hAnsi="Arial" w:cs="Arial"/>
          <w:color w:val="000000" w:themeColor="text1"/>
          <w:sz w:val="24"/>
          <w:szCs w:val="24"/>
          <w:lang w:val="en-GB"/>
        </w:rPr>
        <w:t xml:space="preserve"> (Accessed: 23 April 2026).</w:t>
      </w:r>
    </w:p>
    <w:p w14:paraId="35473D11" w14:textId="47B5D252"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AD4660">
        <w:rPr>
          <w:rFonts w:ascii="Arial" w:hAnsi="Arial" w:cs="Arial"/>
          <w:color w:val="000000" w:themeColor="text1"/>
          <w:sz w:val="24"/>
          <w:szCs w:val="24"/>
          <w:lang w:val="en-GB"/>
        </w:rPr>
        <w:t xml:space="preserve">Jain, D., Chandra, P., Ali, Z., Fatma, N. </w:t>
      </w:r>
      <w:r w:rsidRPr="00AD4660">
        <w:rPr>
          <w:rFonts w:ascii="Arial" w:hAnsi="Arial" w:cs="Arial"/>
          <w:i/>
          <w:iCs/>
          <w:color w:val="000000" w:themeColor="text1"/>
          <w:sz w:val="24"/>
          <w:szCs w:val="24"/>
          <w:lang w:val="en-GB"/>
        </w:rPr>
        <w:t>et al.</w:t>
      </w:r>
      <w:r w:rsidRPr="00AD4660">
        <w:rPr>
          <w:rFonts w:ascii="Arial" w:hAnsi="Arial" w:cs="Arial"/>
          <w:color w:val="000000" w:themeColor="text1"/>
          <w:sz w:val="24"/>
          <w:szCs w:val="24"/>
          <w:lang w:val="en-GB"/>
        </w:rPr>
        <w:t xml:space="preserve"> (2025) ‘A comprehensive investigation: Developing the pharmaceutical industry through artificial intelligence’, </w:t>
      </w:r>
      <w:r w:rsidRPr="00AD4660">
        <w:rPr>
          <w:rFonts w:ascii="Arial" w:hAnsi="Arial" w:cs="Arial"/>
          <w:i/>
          <w:iCs/>
          <w:color w:val="000000" w:themeColor="text1"/>
          <w:sz w:val="24"/>
          <w:szCs w:val="24"/>
          <w:lang w:val="en-GB"/>
        </w:rPr>
        <w:t>Current Drug Discovery Technologies</w:t>
      </w:r>
      <w:r w:rsidRPr="00AD4660">
        <w:rPr>
          <w:rFonts w:ascii="Arial" w:hAnsi="Arial" w:cs="Arial"/>
          <w:color w:val="000000" w:themeColor="text1"/>
          <w:sz w:val="24"/>
          <w:szCs w:val="24"/>
          <w:lang w:val="en-GB"/>
        </w:rPr>
        <w:t xml:space="preserve">. Available at: </w:t>
      </w:r>
      <w:hyperlink r:id="rId15" w:tgtFrame="_new" w:history="1">
        <w:r w:rsidRPr="007B1D08">
          <w:rPr>
            <w:rStyle w:val="Hyperlink"/>
            <w:rFonts w:ascii="Arial" w:hAnsi="Arial" w:cs="Arial"/>
            <w:color w:val="000000" w:themeColor="text1"/>
            <w:sz w:val="24"/>
            <w:szCs w:val="24"/>
            <w:lang w:val="en-GB"/>
          </w:rPr>
          <w:t>https://www.benthamdirect.com/content/journals/cddt/10.2174/0115701638313233240830132804</w:t>
        </w:r>
      </w:hyperlink>
      <w:r w:rsidRPr="007B1D08">
        <w:rPr>
          <w:rFonts w:ascii="Arial" w:hAnsi="Arial" w:cs="Arial"/>
          <w:color w:val="000000" w:themeColor="text1"/>
          <w:sz w:val="24"/>
          <w:szCs w:val="24"/>
          <w:lang w:val="en-GB"/>
        </w:rPr>
        <w:t xml:space="preserve"> (Accessed: 01 March 2026).</w:t>
      </w:r>
    </w:p>
    <w:p w14:paraId="08FE8AF9" w14:textId="49F0D144"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Kalagbor</w:t>
      </w:r>
      <w:proofErr w:type="spellEnd"/>
      <w:r w:rsidRPr="007B1D08">
        <w:rPr>
          <w:rFonts w:ascii="Arial" w:hAnsi="Arial" w:cs="Arial"/>
          <w:color w:val="000000" w:themeColor="text1"/>
          <w:sz w:val="24"/>
          <w:szCs w:val="24"/>
          <w:lang w:val="en-GB"/>
        </w:rPr>
        <w:t xml:space="preserve">, T.C., Koshechkin, K., Oseshi, P.E. </w:t>
      </w:r>
      <w:r w:rsidRPr="007B1D08">
        <w:rPr>
          <w:rFonts w:ascii="Arial" w:hAnsi="Arial" w:cs="Arial"/>
          <w:i/>
          <w:iCs/>
          <w:color w:val="000000" w:themeColor="text1"/>
          <w:sz w:val="24"/>
          <w:szCs w:val="24"/>
          <w:lang w:val="en-GB"/>
        </w:rPr>
        <w:t>et al.</w:t>
      </w:r>
      <w:r w:rsidRPr="007B1D08">
        <w:rPr>
          <w:rFonts w:ascii="Arial" w:hAnsi="Arial" w:cs="Arial"/>
          <w:color w:val="000000" w:themeColor="text1"/>
          <w:sz w:val="24"/>
          <w:szCs w:val="24"/>
          <w:lang w:val="en-GB"/>
        </w:rPr>
        <w:t xml:space="preserve"> (2025) ‘Innovation management for artificial intelligence adoption in healthcare and biopharma: A mini-systematic review’, </w:t>
      </w:r>
      <w:r w:rsidRPr="007B1D08">
        <w:rPr>
          <w:rFonts w:ascii="Arial" w:hAnsi="Arial" w:cs="Arial"/>
          <w:i/>
          <w:iCs/>
          <w:color w:val="000000" w:themeColor="text1"/>
          <w:sz w:val="24"/>
          <w:szCs w:val="24"/>
          <w:lang w:val="en-GB"/>
        </w:rPr>
        <w:t>Artificial Intelligence in Health</w:t>
      </w:r>
      <w:r w:rsidRPr="007B1D08">
        <w:rPr>
          <w:rFonts w:ascii="Arial" w:hAnsi="Arial" w:cs="Arial"/>
          <w:color w:val="000000" w:themeColor="text1"/>
          <w:sz w:val="24"/>
          <w:szCs w:val="24"/>
          <w:lang w:val="en-GB"/>
        </w:rPr>
        <w:t xml:space="preserve">. Available at: </w:t>
      </w:r>
      <w:hyperlink r:id="rId16" w:tgtFrame="_new" w:history="1">
        <w:r w:rsidRPr="007B1D08">
          <w:rPr>
            <w:rStyle w:val="Hyperlink"/>
            <w:rFonts w:ascii="Arial" w:hAnsi="Arial" w:cs="Arial"/>
            <w:color w:val="000000" w:themeColor="text1"/>
            <w:sz w:val="24"/>
            <w:szCs w:val="24"/>
            <w:lang w:val="en-GB"/>
          </w:rPr>
          <w:t>https://journal.hep.com.cn/aih/EN/10.36922/AIH025180038</w:t>
        </w:r>
      </w:hyperlink>
      <w:r w:rsidRPr="007B1D08">
        <w:rPr>
          <w:rFonts w:ascii="Arial" w:hAnsi="Arial" w:cs="Arial"/>
          <w:color w:val="000000" w:themeColor="text1"/>
          <w:sz w:val="24"/>
          <w:szCs w:val="24"/>
          <w:lang w:val="en-GB"/>
        </w:rPr>
        <w:t xml:space="preserve"> (Accessed: 10 April 2026).</w:t>
      </w:r>
    </w:p>
    <w:p w14:paraId="2826251C" w14:textId="62D8DD17"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Mökander</w:t>
      </w:r>
      <w:proofErr w:type="spellEnd"/>
      <w:r w:rsidRPr="007B1D08">
        <w:rPr>
          <w:rFonts w:ascii="Arial" w:hAnsi="Arial" w:cs="Arial"/>
          <w:color w:val="000000" w:themeColor="text1"/>
          <w:sz w:val="24"/>
          <w:szCs w:val="24"/>
          <w:lang w:val="en-GB"/>
        </w:rPr>
        <w:t xml:space="preserve">, J., Sheth, M., </w:t>
      </w:r>
      <w:proofErr w:type="spellStart"/>
      <w:r w:rsidRPr="007B1D08">
        <w:rPr>
          <w:rFonts w:ascii="Arial" w:hAnsi="Arial" w:cs="Arial"/>
          <w:color w:val="000000" w:themeColor="text1"/>
          <w:sz w:val="24"/>
          <w:szCs w:val="24"/>
          <w:lang w:val="en-GB"/>
        </w:rPr>
        <w:t>Gersbro-Sundler</w:t>
      </w:r>
      <w:proofErr w:type="spellEnd"/>
      <w:r w:rsidRPr="007B1D08">
        <w:rPr>
          <w:rFonts w:ascii="Arial" w:hAnsi="Arial" w:cs="Arial"/>
          <w:color w:val="000000" w:themeColor="text1"/>
          <w:sz w:val="24"/>
          <w:szCs w:val="24"/>
          <w:lang w:val="en-GB"/>
        </w:rPr>
        <w:t xml:space="preserve">, M. </w:t>
      </w:r>
      <w:r w:rsidRPr="007B1D08">
        <w:rPr>
          <w:rFonts w:ascii="Arial" w:hAnsi="Arial" w:cs="Arial"/>
          <w:i/>
          <w:iCs/>
          <w:color w:val="000000" w:themeColor="text1"/>
          <w:sz w:val="24"/>
          <w:szCs w:val="24"/>
          <w:lang w:val="en-GB"/>
        </w:rPr>
        <w:t>et al.</w:t>
      </w:r>
      <w:r w:rsidRPr="007B1D08">
        <w:rPr>
          <w:rFonts w:ascii="Arial" w:hAnsi="Arial" w:cs="Arial"/>
          <w:color w:val="000000" w:themeColor="text1"/>
          <w:sz w:val="24"/>
          <w:szCs w:val="24"/>
          <w:lang w:val="en-GB"/>
        </w:rPr>
        <w:t xml:space="preserve"> (2024) </w:t>
      </w:r>
      <w:r w:rsidRPr="007B1D08">
        <w:rPr>
          <w:rFonts w:ascii="Arial" w:hAnsi="Arial" w:cs="Arial"/>
          <w:i/>
          <w:iCs/>
          <w:color w:val="000000" w:themeColor="text1"/>
          <w:sz w:val="24"/>
          <w:szCs w:val="24"/>
          <w:lang w:val="en-GB"/>
        </w:rPr>
        <w:t>Challenges and best practices in corporate AI governance: Lessons from the biopharmaceutical industry</w:t>
      </w:r>
      <w:r w:rsidRPr="007B1D08">
        <w:rPr>
          <w:rFonts w:ascii="Arial" w:hAnsi="Arial" w:cs="Arial"/>
          <w:color w:val="000000" w:themeColor="text1"/>
          <w:sz w:val="24"/>
          <w:szCs w:val="24"/>
          <w:lang w:val="en-GB"/>
        </w:rPr>
        <w:t xml:space="preserve">. Available at: </w:t>
      </w:r>
      <w:hyperlink r:id="rId17" w:tgtFrame="_new" w:history="1">
        <w:r w:rsidRPr="007B1D08">
          <w:rPr>
            <w:rStyle w:val="Hyperlink"/>
            <w:rFonts w:ascii="Arial" w:hAnsi="Arial" w:cs="Arial"/>
            <w:color w:val="000000" w:themeColor="text1"/>
            <w:sz w:val="24"/>
            <w:szCs w:val="24"/>
            <w:lang w:val="en-GB"/>
          </w:rPr>
          <w:t>https://arxiv.org/abs/2407.05339</w:t>
        </w:r>
      </w:hyperlink>
      <w:r w:rsidRPr="007B1D08">
        <w:rPr>
          <w:rFonts w:ascii="Arial" w:hAnsi="Arial" w:cs="Arial"/>
          <w:color w:val="000000" w:themeColor="text1"/>
          <w:sz w:val="24"/>
          <w:szCs w:val="24"/>
          <w:lang w:val="en-GB"/>
        </w:rPr>
        <w:t xml:space="preserve"> (Accessed: 10 April 2026).</w:t>
      </w:r>
    </w:p>
    <w:p w14:paraId="5A6A74EB"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Nydén</w:t>
      </w:r>
      <w:proofErr w:type="spellEnd"/>
      <w:r w:rsidRPr="007B1D08">
        <w:rPr>
          <w:rFonts w:ascii="Arial" w:hAnsi="Arial" w:cs="Arial"/>
          <w:color w:val="000000" w:themeColor="text1"/>
          <w:sz w:val="24"/>
          <w:szCs w:val="24"/>
          <w:lang w:val="en-GB"/>
        </w:rPr>
        <w:t xml:space="preserve">, M. and Bika, D. (2024) ‘New medicines design, development and commercialization in the era of AI’, in </w:t>
      </w:r>
      <w:r w:rsidRPr="007B1D08">
        <w:rPr>
          <w:rFonts w:ascii="Arial" w:hAnsi="Arial" w:cs="Arial"/>
          <w:i/>
          <w:iCs/>
          <w:color w:val="000000" w:themeColor="text1"/>
          <w:sz w:val="24"/>
          <w:szCs w:val="24"/>
          <w:lang w:val="en-GB"/>
        </w:rPr>
        <w:t>LMDE Conference Proceedings</w:t>
      </w:r>
      <w:r w:rsidRPr="007B1D08">
        <w:rPr>
          <w:rFonts w:ascii="Arial" w:hAnsi="Arial" w:cs="Arial"/>
          <w:color w:val="000000" w:themeColor="text1"/>
          <w:sz w:val="24"/>
          <w:szCs w:val="24"/>
          <w:lang w:val="en-GB"/>
        </w:rPr>
        <w:t xml:space="preserve">. Cham: Springer. Available at: </w:t>
      </w:r>
      <w:hyperlink r:id="rId18" w:tgtFrame="_new" w:history="1">
        <w:r w:rsidRPr="007B1D08">
          <w:rPr>
            <w:rStyle w:val="Hyperlink"/>
            <w:rFonts w:ascii="Arial" w:hAnsi="Arial" w:cs="Arial"/>
            <w:color w:val="000000" w:themeColor="text1"/>
            <w:sz w:val="24"/>
            <w:szCs w:val="24"/>
            <w:lang w:val="en-GB"/>
          </w:rPr>
          <w:t>https://link.springer.com/chapter/10.1007/978-3-031-65782-5_10</w:t>
        </w:r>
      </w:hyperlink>
      <w:r w:rsidRPr="007B1D08">
        <w:rPr>
          <w:rFonts w:ascii="Arial" w:hAnsi="Arial" w:cs="Arial"/>
          <w:color w:val="000000" w:themeColor="text1"/>
          <w:sz w:val="24"/>
          <w:szCs w:val="24"/>
          <w:lang w:val="en-GB"/>
        </w:rPr>
        <w:t xml:space="preserve"> (Accessed: 23 April 2026).</w:t>
      </w:r>
    </w:p>
    <w:p w14:paraId="41143BBB"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Sazvar</w:t>
      </w:r>
      <w:proofErr w:type="spellEnd"/>
      <w:r w:rsidRPr="007B1D08">
        <w:rPr>
          <w:rFonts w:ascii="Arial" w:hAnsi="Arial" w:cs="Arial"/>
          <w:color w:val="000000" w:themeColor="text1"/>
          <w:sz w:val="24"/>
          <w:szCs w:val="24"/>
          <w:lang w:val="en-GB"/>
        </w:rPr>
        <w:t xml:space="preserve">, Z. (2025) ‘Sustainability in the pharmaceutical supply chain’, in </w:t>
      </w:r>
      <w:r w:rsidRPr="007B1D08">
        <w:rPr>
          <w:rFonts w:ascii="Arial" w:hAnsi="Arial" w:cs="Arial"/>
          <w:i/>
          <w:iCs/>
          <w:color w:val="000000" w:themeColor="text1"/>
          <w:sz w:val="24"/>
          <w:szCs w:val="24"/>
          <w:lang w:val="en-GB"/>
        </w:rPr>
        <w:t>Sustainability in the manufacturing of pharmaceuticals</w:t>
      </w:r>
      <w:r w:rsidRPr="007B1D08">
        <w:rPr>
          <w:rFonts w:ascii="Arial" w:hAnsi="Arial" w:cs="Arial"/>
          <w:color w:val="000000" w:themeColor="text1"/>
          <w:sz w:val="24"/>
          <w:szCs w:val="24"/>
          <w:lang w:val="en-GB"/>
        </w:rPr>
        <w:t xml:space="preserve">. Elsevier. Available at: </w:t>
      </w:r>
      <w:hyperlink r:id="rId19" w:tgtFrame="_new" w:history="1">
        <w:r w:rsidRPr="007B1D08">
          <w:rPr>
            <w:rStyle w:val="Hyperlink"/>
            <w:rFonts w:ascii="Arial" w:hAnsi="Arial" w:cs="Arial"/>
            <w:color w:val="000000" w:themeColor="text1"/>
            <w:sz w:val="24"/>
            <w:szCs w:val="24"/>
            <w:lang w:val="en-GB"/>
          </w:rPr>
          <w:t>https://www.sciencedirect.com/science/article/pii/B978044328921700004X</w:t>
        </w:r>
      </w:hyperlink>
      <w:r w:rsidRPr="007B1D08">
        <w:rPr>
          <w:rFonts w:ascii="Arial" w:hAnsi="Arial" w:cs="Arial"/>
          <w:color w:val="000000" w:themeColor="text1"/>
          <w:sz w:val="24"/>
          <w:szCs w:val="24"/>
          <w:lang w:val="en-GB"/>
        </w:rPr>
        <w:t xml:space="preserve"> (Accessed: 23 April 2026).</w:t>
      </w:r>
    </w:p>
    <w:p w14:paraId="40443F0A" w14:textId="35249BBC"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Sharma, K. and </w:t>
      </w:r>
      <w:proofErr w:type="spellStart"/>
      <w:r w:rsidRPr="007B1D08">
        <w:rPr>
          <w:rFonts w:ascii="Arial" w:hAnsi="Arial" w:cs="Arial"/>
          <w:color w:val="000000" w:themeColor="text1"/>
          <w:sz w:val="24"/>
          <w:szCs w:val="24"/>
          <w:lang w:val="en-GB"/>
        </w:rPr>
        <w:t>Manchikanti</w:t>
      </w:r>
      <w:proofErr w:type="spellEnd"/>
      <w:r w:rsidRPr="007B1D08">
        <w:rPr>
          <w:rFonts w:ascii="Arial" w:hAnsi="Arial" w:cs="Arial"/>
          <w:color w:val="000000" w:themeColor="text1"/>
          <w:sz w:val="24"/>
          <w:szCs w:val="24"/>
          <w:lang w:val="en-GB"/>
        </w:rPr>
        <w:t xml:space="preserve">, P. (2024) ‘Artificial intelligence in drug development and healthcare—nature and scope’, in </w:t>
      </w:r>
      <w:r w:rsidRPr="007B1D08">
        <w:rPr>
          <w:rFonts w:ascii="Arial" w:hAnsi="Arial" w:cs="Arial"/>
          <w:i/>
          <w:iCs/>
          <w:color w:val="000000" w:themeColor="text1"/>
          <w:sz w:val="24"/>
          <w:szCs w:val="24"/>
          <w:lang w:val="en-GB"/>
        </w:rPr>
        <w:t>Artificial intelligence in drug development and healthcare</w:t>
      </w:r>
      <w:r w:rsidRPr="007B1D08">
        <w:rPr>
          <w:rFonts w:ascii="Arial" w:hAnsi="Arial" w:cs="Arial"/>
          <w:color w:val="000000" w:themeColor="text1"/>
          <w:sz w:val="24"/>
          <w:szCs w:val="24"/>
          <w:lang w:val="en-GB"/>
        </w:rPr>
        <w:t xml:space="preserve">. Singapore: Springer. Available at: </w:t>
      </w:r>
      <w:hyperlink r:id="rId20" w:tgtFrame="_new" w:history="1">
        <w:r w:rsidRPr="007B1D08">
          <w:rPr>
            <w:rStyle w:val="Hyperlink"/>
            <w:rFonts w:ascii="Arial" w:hAnsi="Arial" w:cs="Arial"/>
            <w:color w:val="000000" w:themeColor="text1"/>
            <w:sz w:val="24"/>
            <w:szCs w:val="24"/>
            <w:lang w:val="en-GB"/>
          </w:rPr>
          <w:t>https://link.springer.com/chapter/10.1007/978-981-97-2954-8_1</w:t>
        </w:r>
      </w:hyperlink>
      <w:r w:rsidRPr="007B1D08">
        <w:rPr>
          <w:rFonts w:ascii="Arial" w:hAnsi="Arial" w:cs="Arial"/>
          <w:color w:val="000000" w:themeColor="text1"/>
          <w:sz w:val="24"/>
          <w:szCs w:val="24"/>
          <w:lang w:val="en-GB"/>
        </w:rPr>
        <w:t xml:space="preserve"> (Accessed: 10 April 2026).</w:t>
      </w:r>
    </w:p>
    <w:p w14:paraId="15332EC3" w14:textId="77777777" w:rsidR="00AD4660"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Van Tulder, R., Verbeke, A. and Jankowska, B. (2024) </w:t>
      </w:r>
      <w:r w:rsidRPr="007B1D08">
        <w:rPr>
          <w:rFonts w:ascii="Arial" w:hAnsi="Arial" w:cs="Arial"/>
          <w:i/>
          <w:iCs/>
          <w:color w:val="000000" w:themeColor="text1"/>
          <w:sz w:val="24"/>
          <w:szCs w:val="24"/>
          <w:lang w:val="en-GB"/>
        </w:rPr>
        <w:t>International business in a turbulent world</w:t>
      </w:r>
      <w:r w:rsidRPr="007B1D08">
        <w:rPr>
          <w:rFonts w:ascii="Arial" w:hAnsi="Arial" w:cs="Arial"/>
          <w:color w:val="000000" w:themeColor="text1"/>
          <w:sz w:val="24"/>
          <w:szCs w:val="24"/>
          <w:lang w:val="en-GB"/>
        </w:rPr>
        <w:t>. Abingdon: Routledge.</w:t>
      </w:r>
    </w:p>
    <w:p w14:paraId="5F2142DE" w14:textId="77777777" w:rsidR="00D302D7" w:rsidRDefault="00D302D7" w:rsidP="00AD4660">
      <w:pPr>
        <w:spacing w:after="0" w:line="360" w:lineRule="auto"/>
        <w:contextualSpacing/>
        <w:jc w:val="both"/>
        <w:rPr>
          <w:rFonts w:ascii="Arial" w:hAnsi="Arial" w:cs="Arial"/>
          <w:color w:val="000000" w:themeColor="text1"/>
          <w:sz w:val="24"/>
          <w:szCs w:val="24"/>
          <w:lang w:val="en-GB"/>
        </w:rPr>
      </w:pPr>
    </w:p>
    <w:p w14:paraId="50C39E3A" w14:textId="77777777" w:rsidR="00D302D7" w:rsidRPr="007B1D08" w:rsidRDefault="00D302D7" w:rsidP="00AD4660">
      <w:pPr>
        <w:spacing w:after="0" w:line="360" w:lineRule="auto"/>
        <w:contextualSpacing/>
        <w:jc w:val="both"/>
        <w:rPr>
          <w:rFonts w:ascii="Arial" w:hAnsi="Arial" w:cs="Arial"/>
          <w:color w:val="000000" w:themeColor="text1"/>
          <w:sz w:val="24"/>
          <w:szCs w:val="24"/>
          <w:lang w:val="en-GB"/>
        </w:rPr>
      </w:pPr>
    </w:p>
    <w:p w14:paraId="0B070704" w14:textId="77777777" w:rsidR="00C0247D" w:rsidRPr="00AD4660" w:rsidRDefault="00C0247D" w:rsidP="00B06CBA">
      <w:pPr>
        <w:spacing w:after="0" w:line="360" w:lineRule="auto"/>
        <w:contextualSpacing/>
        <w:jc w:val="both"/>
        <w:rPr>
          <w:rFonts w:ascii="Arial" w:hAnsi="Arial" w:cs="Arial"/>
          <w:color w:val="000000" w:themeColor="text1"/>
          <w:sz w:val="24"/>
          <w:szCs w:val="24"/>
        </w:rPr>
      </w:pPr>
    </w:p>
    <w:sectPr w:rsidR="00C0247D" w:rsidRPr="00AD4660" w:rsidSect="004A7F8E">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8C5D0" w14:textId="77777777" w:rsidR="00F21352" w:rsidRDefault="00F21352" w:rsidP="004A7F8E">
      <w:pPr>
        <w:spacing w:after="0" w:line="240" w:lineRule="auto"/>
      </w:pPr>
      <w:r>
        <w:separator/>
      </w:r>
    </w:p>
  </w:endnote>
  <w:endnote w:type="continuationSeparator" w:id="0">
    <w:p w14:paraId="2630907A" w14:textId="77777777" w:rsidR="00F21352" w:rsidRDefault="00F21352" w:rsidP="004A7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8E7CE" w14:textId="77777777" w:rsidR="00F21352" w:rsidRDefault="00F21352" w:rsidP="004A7F8E">
      <w:pPr>
        <w:spacing w:after="0" w:line="240" w:lineRule="auto"/>
      </w:pPr>
      <w:r>
        <w:separator/>
      </w:r>
    </w:p>
  </w:footnote>
  <w:footnote w:type="continuationSeparator" w:id="0">
    <w:p w14:paraId="22844138" w14:textId="77777777" w:rsidR="00F21352" w:rsidRDefault="00F21352" w:rsidP="004A7F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603121"/>
      <w:docPartObj>
        <w:docPartGallery w:val="Page Numbers (Top of Page)"/>
        <w:docPartUnique/>
      </w:docPartObj>
    </w:sdtPr>
    <w:sdtEndPr>
      <w:rPr>
        <w:noProof/>
      </w:rPr>
    </w:sdtEndPr>
    <w:sdtContent>
      <w:p w14:paraId="5B618AB0" w14:textId="06966D98" w:rsidR="004A7F8E" w:rsidRDefault="004A7F8E">
        <w:pPr>
          <w:pStyle w:val="Header"/>
          <w:jc w:val="right"/>
        </w:pPr>
        <w:r w:rsidRPr="004A7F8E">
          <w:rPr>
            <w:rFonts w:ascii="Times New Roman" w:hAnsi="Times New Roman" w:cs="Times New Roman"/>
            <w:color w:val="000000" w:themeColor="text1"/>
            <w:sz w:val="24"/>
            <w:szCs w:val="24"/>
          </w:rPr>
          <w:fldChar w:fldCharType="begin"/>
        </w:r>
        <w:r w:rsidRPr="004A7F8E">
          <w:rPr>
            <w:rFonts w:ascii="Times New Roman" w:hAnsi="Times New Roman" w:cs="Times New Roman"/>
            <w:color w:val="000000" w:themeColor="text1"/>
            <w:sz w:val="24"/>
            <w:szCs w:val="24"/>
          </w:rPr>
          <w:instrText xml:space="preserve"> PAGE   \* MERGEFORMAT </w:instrText>
        </w:r>
        <w:r w:rsidRPr="004A7F8E">
          <w:rPr>
            <w:rFonts w:ascii="Times New Roman" w:hAnsi="Times New Roman" w:cs="Times New Roman"/>
            <w:color w:val="000000" w:themeColor="text1"/>
            <w:sz w:val="24"/>
            <w:szCs w:val="24"/>
          </w:rPr>
          <w:fldChar w:fldCharType="separate"/>
        </w:r>
        <w:r w:rsidRPr="004A7F8E">
          <w:rPr>
            <w:rFonts w:ascii="Times New Roman" w:hAnsi="Times New Roman" w:cs="Times New Roman"/>
            <w:noProof/>
            <w:color w:val="000000" w:themeColor="text1"/>
            <w:sz w:val="24"/>
            <w:szCs w:val="24"/>
          </w:rPr>
          <w:t>2</w:t>
        </w:r>
        <w:r w:rsidRPr="004A7F8E">
          <w:rPr>
            <w:rFonts w:ascii="Times New Roman" w:hAnsi="Times New Roman" w:cs="Times New Roman"/>
            <w:noProof/>
            <w:color w:val="000000" w:themeColor="text1"/>
            <w:sz w:val="24"/>
            <w:szCs w:val="24"/>
          </w:rPr>
          <w:fldChar w:fldCharType="end"/>
        </w:r>
      </w:p>
    </w:sdtContent>
  </w:sdt>
  <w:p w14:paraId="32AE41B0" w14:textId="77777777" w:rsidR="004A7F8E" w:rsidRDefault="004A7F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83A"/>
    <w:rsid w:val="000019E6"/>
    <w:rsid w:val="00043216"/>
    <w:rsid w:val="000A057B"/>
    <w:rsid w:val="000F5219"/>
    <w:rsid w:val="001714A7"/>
    <w:rsid w:val="0018383A"/>
    <w:rsid w:val="001C4424"/>
    <w:rsid w:val="00276F09"/>
    <w:rsid w:val="002B12B6"/>
    <w:rsid w:val="00377138"/>
    <w:rsid w:val="003908D1"/>
    <w:rsid w:val="00400E35"/>
    <w:rsid w:val="00401A5A"/>
    <w:rsid w:val="00472B60"/>
    <w:rsid w:val="0048379E"/>
    <w:rsid w:val="004A7F8E"/>
    <w:rsid w:val="004E6D7B"/>
    <w:rsid w:val="005137E0"/>
    <w:rsid w:val="005673CE"/>
    <w:rsid w:val="0057735B"/>
    <w:rsid w:val="005E72FD"/>
    <w:rsid w:val="00633E14"/>
    <w:rsid w:val="00712A01"/>
    <w:rsid w:val="00743DBD"/>
    <w:rsid w:val="0075058A"/>
    <w:rsid w:val="007B1D08"/>
    <w:rsid w:val="007B4984"/>
    <w:rsid w:val="00852879"/>
    <w:rsid w:val="008F1C34"/>
    <w:rsid w:val="00A3448B"/>
    <w:rsid w:val="00A76C80"/>
    <w:rsid w:val="00A811D1"/>
    <w:rsid w:val="00AA1B98"/>
    <w:rsid w:val="00AD21F4"/>
    <w:rsid w:val="00AD4660"/>
    <w:rsid w:val="00B06CBA"/>
    <w:rsid w:val="00B80937"/>
    <w:rsid w:val="00B923FD"/>
    <w:rsid w:val="00C0247D"/>
    <w:rsid w:val="00C62AF5"/>
    <w:rsid w:val="00C77A07"/>
    <w:rsid w:val="00CE2FB4"/>
    <w:rsid w:val="00D302D7"/>
    <w:rsid w:val="00D66576"/>
    <w:rsid w:val="00E026BC"/>
    <w:rsid w:val="00E165A8"/>
    <w:rsid w:val="00E663E3"/>
    <w:rsid w:val="00EB190F"/>
    <w:rsid w:val="00F21352"/>
    <w:rsid w:val="00F62B17"/>
    <w:rsid w:val="00FC4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D984"/>
  <w15:chartTrackingRefBased/>
  <w15:docId w15:val="{900F20B6-84C8-4122-9B84-A6C3C2626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3FD"/>
    <w:pPr>
      <w:spacing w:before="100" w:beforeAutospacing="1" w:after="100" w:afterAutospacing="1" w:line="240" w:lineRule="auto"/>
      <w:outlineLvl w:val="0"/>
    </w:pPr>
    <w:rPr>
      <w:rFonts w:ascii="Times New Roman" w:eastAsia="Times New Roman" w:hAnsi="Times New Roman" w:cs="Times New Roman"/>
      <w:b/>
      <w:bCs/>
      <w:i/>
      <w:iCs/>
      <w:color w:val="000000" w:themeColor="text1"/>
      <w:kern w:val="0"/>
      <w:sz w:val="24"/>
      <w:szCs w:val="24"/>
      <w14:ligatures w14:val="none"/>
    </w:rPr>
  </w:style>
  <w:style w:type="paragraph" w:styleId="Heading2">
    <w:name w:val="heading 2"/>
    <w:basedOn w:val="Normal"/>
    <w:link w:val="Heading2Char"/>
    <w:uiPriority w:val="9"/>
    <w:qFormat/>
    <w:rsid w:val="000F5219"/>
    <w:pPr>
      <w:spacing w:before="100" w:beforeAutospacing="1" w:after="100" w:afterAutospacing="1" w:line="240" w:lineRule="auto"/>
      <w:jc w:val="both"/>
      <w:outlineLvl w:val="1"/>
    </w:pPr>
    <w:rPr>
      <w:rFonts w:ascii="Times New Roman" w:eastAsia="Times New Roman" w:hAnsi="Times New Roman" w:cs="Times New Roman"/>
      <w:i/>
      <w:iCs/>
      <w:color w:val="000000" w:themeColor="text1"/>
      <w:kern w:val="0"/>
      <w:sz w:val="24"/>
      <w:szCs w:val="24"/>
      <w14:ligatures w14:val="none"/>
    </w:rPr>
  </w:style>
  <w:style w:type="paragraph" w:styleId="Heading3">
    <w:name w:val="heading 3"/>
    <w:basedOn w:val="Normal"/>
    <w:link w:val="Heading3Char"/>
    <w:uiPriority w:val="9"/>
    <w:qFormat/>
    <w:rsid w:val="0018383A"/>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CE2FB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5219"/>
    <w:rPr>
      <w:rFonts w:ascii="Times New Roman" w:eastAsia="Times New Roman" w:hAnsi="Times New Roman" w:cs="Times New Roman"/>
      <w:i/>
      <w:iCs/>
      <w:color w:val="000000" w:themeColor="text1"/>
      <w:kern w:val="0"/>
      <w:sz w:val="24"/>
      <w:szCs w:val="24"/>
      <w14:ligatures w14:val="none"/>
    </w:rPr>
  </w:style>
  <w:style w:type="character" w:customStyle="1" w:styleId="Heading3Char">
    <w:name w:val="Heading 3 Char"/>
    <w:basedOn w:val="DefaultParagraphFont"/>
    <w:link w:val="Heading3"/>
    <w:uiPriority w:val="9"/>
    <w:rsid w:val="0018383A"/>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18383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18383A"/>
    <w:rPr>
      <w:b/>
      <w:bCs/>
    </w:rPr>
  </w:style>
  <w:style w:type="character" w:styleId="Emphasis">
    <w:name w:val="Emphasis"/>
    <w:basedOn w:val="DefaultParagraphFont"/>
    <w:uiPriority w:val="20"/>
    <w:qFormat/>
    <w:rsid w:val="0018383A"/>
    <w:rPr>
      <w:i/>
      <w:iCs/>
    </w:rPr>
  </w:style>
  <w:style w:type="character" w:styleId="Hyperlink">
    <w:name w:val="Hyperlink"/>
    <w:basedOn w:val="DefaultParagraphFont"/>
    <w:uiPriority w:val="99"/>
    <w:unhideWhenUsed/>
    <w:rsid w:val="0018383A"/>
    <w:rPr>
      <w:color w:val="0000FF"/>
      <w:u w:val="single"/>
    </w:rPr>
  </w:style>
  <w:style w:type="character" w:customStyle="1" w:styleId="Heading1Char">
    <w:name w:val="Heading 1 Char"/>
    <w:basedOn w:val="DefaultParagraphFont"/>
    <w:link w:val="Heading1"/>
    <w:uiPriority w:val="9"/>
    <w:rsid w:val="00B923FD"/>
    <w:rPr>
      <w:rFonts w:ascii="Times New Roman" w:eastAsia="Times New Roman" w:hAnsi="Times New Roman" w:cs="Times New Roman"/>
      <w:b/>
      <w:bCs/>
      <w:i/>
      <w:iCs/>
      <w:color w:val="000000" w:themeColor="text1"/>
      <w:kern w:val="0"/>
      <w:sz w:val="24"/>
      <w:szCs w:val="24"/>
      <w14:ligatures w14:val="none"/>
    </w:rPr>
  </w:style>
  <w:style w:type="paragraph" w:styleId="TOCHeading">
    <w:name w:val="TOC Heading"/>
    <w:basedOn w:val="Heading1"/>
    <w:next w:val="Normal"/>
    <w:uiPriority w:val="39"/>
    <w:unhideWhenUsed/>
    <w:qFormat/>
    <w:rsid w:val="0018383A"/>
    <w:pPr>
      <w:outlineLvl w:val="9"/>
    </w:pPr>
  </w:style>
  <w:style w:type="paragraph" w:styleId="TOC2">
    <w:name w:val="toc 2"/>
    <w:basedOn w:val="Normal"/>
    <w:next w:val="Normal"/>
    <w:autoRedefine/>
    <w:uiPriority w:val="39"/>
    <w:unhideWhenUsed/>
    <w:rsid w:val="0018383A"/>
    <w:pPr>
      <w:spacing w:after="100"/>
      <w:ind w:left="220"/>
    </w:pPr>
  </w:style>
  <w:style w:type="paragraph" w:styleId="TOC3">
    <w:name w:val="toc 3"/>
    <w:basedOn w:val="Normal"/>
    <w:next w:val="Normal"/>
    <w:autoRedefine/>
    <w:uiPriority w:val="39"/>
    <w:unhideWhenUsed/>
    <w:rsid w:val="0018383A"/>
    <w:pPr>
      <w:spacing w:after="100"/>
      <w:ind w:left="440"/>
    </w:pPr>
  </w:style>
  <w:style w:type="character" w:customStyle="1" w:styleId="cursor-pointer">
    <w:name w:val="cursor-pointer"/>
    <w:basedOn w:val="DefaultParagraphFont"/>
    <w:rsid w:val="00B923FD"/>
  </w:style>
  <w:style w:type="paragraph" w:styleId="TOC1">
    <w:name w:val="toc 1"/>
    <w:basedOn w:val="Normal"/>
    <w:next w:val="Normal"/>
    <w:autoRedefine/>
    <w:uiPriority w:val="39"/>
    <w:unhideWhenUsed/>
    <w:rsid w:val="00B06CBA"/>
    <w:pPr>
      <w:spacing w:after="100"/>
    </w:pPr>
  </w:style>
  <w:style w:type="paragraph" w:styleId="Header">
    <w:name w:val="header"/>
    <w:basedOn w:val="Normal"/>
    <w:link w:val="HeaderChar"/>
    <w:uiPriority w:val="99"/>
    <w:unhideWhenUsed/>
    <w:rsid w:val="004A7F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F8E"/>
  </w:style>
  <w:style w:type="paragraph" w:styleId="Footer">
    <w:name w:val="footer"/>
    <w:basedOn w:val="Normal"/>
    <w:link w:val="FooterChar"/>
    <w:uiPriority w:val="99"/>
    <w:unhideWhenUsed/>
    <w:rsid w:val="004A7F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F8E"/>
  </w:style>
  <w:style w:type="character" w:styleId="UnresolvedMention">
    <w:name w:val="Unresolved Mention"/>
    <w:basedOn w:val="DefaultParagraphFont"/>
    <w:uiPriority w:val="99"/>
    <w:semiHidden/>
    <w:unhideWhenUsed/>
    <w:rsid w:val="00AD4660"/>
    <w:rPr>
      <w:color w:val="605E5C"/>
      <w:shd w:val="clear" w:color="auto" w:fill="E1DFDD"/>
    </w:rPr>
  </w:style>
  <w:style w:type="character" w:customStyle="1" w:styleId="Heading4Char">
    <w:name w:val="Heading 4 Char"/>
    <w:basedOn w:val="DefaultParagraphFont"/>
    <w:link w:val="Heading4"/>
    <w:uiPriority w:val="9"/>
    <w:semiHidden/>
    <w:rsid w:val="00CE2FB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260741">
      <w:bodyDiv w:val="1"/>
      <w:marLeft w:val="0"/>
      <w:marRight w:val="0"/>
      <w:marTop w:val="0"/>
      <w:marBottom w:val="0"/>
      <w:divBdr>
        <w:top w:val="none" w:sz="0" w:space="0" w:color="auto"/>
        <w:left w:val="none" w:sz="0" w:space="0" w:color="auto"/>
        <w:bottom w:val="none" w:sz="0" w:space="0" w:color="auto"/>
        <w:right w:val="none" w:sz="0" w:space="0" w:color="auto"/>
      </w:divBdr>
      <w:divsChild>
        <w:div w:id="1740247462">
          <w:marLeft w:val="0"/>
          <w:marRight w:val="0"/>
          <w:marTop w:val="0"/>
          <w:marBottom w:val="0"/>
          <w:divBdr>
            <w:top w:val="none" w:sz="0" w:space="0" w:color="auto"/>
            <w:left w:val="none" w:sz="0" w:space="0" w:color="auto"/>
            <w:bottom w:val="none" w:sz="0" w:space="0" w:color="auto"/>
            <w:right w:val="none" w:sz="0" w:space="0" w:color="auto"/>
          </w:divBdr>
          <w:divsChild>
            <w:div w:id="9022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260502">
      <w:bodyDiv w:val="1"/>
      <w:marLeft w:val="0"/>
      <w:marRight w:val="0"/>
      <w:marTop w:val="0"/>
      <w:marBottom w:val="0"/>
      <w:divBdr>
        <w:top w:val="none" w:sz="0" w:space="0" w:color="auto"/>
        <w:left w:val="none" w:sz="0" w:space="0" w:color="auto"/>
        <w:bottom w:val="none" w:sz="0" w:space="0" w:color="auto"/>
        <w:right w:val="none" w:sz="0" w:space="0" w:color="auto"/>
      </w:divBdr>
    </w:div>
    <w:div w:id="587538022">
      <w:bodyDiv w:val="1"/>
      <w:marLeft w:val="0"/>
      <w:marRight w:val="0"/>
      <w:marTop w:val="0"/>
      <w:marBottom w:val="0"/>
      <w:divBdr>
        <w:top w:val="none" w:sz="0" w:space="0" w:color="auto"/>
        <w:left w:val="none" w:sz="0" w:space="0" w:color="auto"/>
        <w:bottom w:val="none" w:sz="0" w:space="0" w:color="auto"/>
        <w:right w:val="none" w:sz="0" w:space="0" w:color="auto"/>
      </w:divBdr>
    </w:div>
    <w:div w:id="836967650">
      <w:bodyDiv w:val="1"/>
      <w:marLeft w:val="0"/>
      <w:marRight w:val="0"/>
      <w:marTop w:val="0"/>
      <w:marBottom w:val="0"/>
      <w:divBdr>
        <w:top w:val="none" w:sz="0" w:space="0" w:color="auto"/>
        <w:left w:val="none" w:sz="0" w:space="0" w:color="auto"/>
        <w:bottom w:val="none" w:sz="0" w:space="0" w:color="auto"/>
        <w:right w:val="none" w:sz="0" w:space="0" w:color="auto"/>
      </w:divBdr>
    </w:div>
    <w:div w:id="1521626964">
      <w:bodyDiv w:val="1"/>
      <w:marLeft w:val="0"/>
      <w:marRight w:val="0"/>
      <w:marTop w:val="0"/>
      <w:marBottom w:val="0"/>
      <w:divBdr>
        <w:top w:val="none" w:sz="0" w:space="0" w:color="auto"/>
        <w:left w:val="none" w:sz="0" w:space="0" w:color="auto"/>
        <w:bottom w:val="none" w:sz="0" w:space="0" w:color="auto"/>
        <w:right w:val="none" w:sz="0" w:space="0" w:color="auto"/>
      </w:divBdr>
    </w:div>
    <w:div w:id="1577131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razeneca.com/media-centre/press-releases/2025/full-year-and-q4-2024-results.html" TargetMode="External"/><Relationship Id="rId13" Type="http://schemas.openxmlformats.org/officeDocument/2006/relationships/hyperlink" Target="https://link.springer.com/chapter/10.1007/978-3-032-00214-3_6" TargetMode="External"/><Relationship Id="rId18" Type="http://schemas.openxmlformats.org/officeDocument/2006/relationships/hyperlink" Target="https://link.springer.com/chapter/10.1007/978-3-031-65782-5_10"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lup.lub.lu.se/luur/download?func=downloadFile&amp;recordOId=9202282&amp;fileOId=9202286" TargetMode="External"/><Relationship Id="rId12" Type="http://schemas.openxmlformats.org/officeDocument/2006/relationships/hyperlink" Target="https://repository.learn-portal.org/index.php/rps/article/view/1243" TargetMode="External"/><Relationship Id="rId17" Type="http://schemas.openxmlformats.org/officeDocument/2006/relationships/hyperlink" Target="https://arxiv.org/abs/2407.05339" TargetMode="External"/><Relationship Id="rId2" Type="http://schemas.openxmlformats.org/officeDocument/2006/relationships/styles" Target="styles.xml"/><Relationship Id="rId16" Type="http://schemas.openxmlformats.org/officeDocument/2006/relationships/hyperlink" Target="https://journal.hep.com.cn/aih/EN/10.36922/AIH025180038" TargetMode="External"/><Relationship Id="rId20" Type="http://schemas.openxmlformats.org/officeDocument/2006/relationships/hyperlink" Target="https://link.springer.com/chapter/10.1007/978-981-97-2954-8_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ra.ox.ac.uk/objects/uuid:ae4f1691-abdf-4f08-9315-86b657c29cfc" TargetMode="External"/><Relationship Id="rId5" Type="http://schemas.openxmlformats.org/officeDocument/2006/relationships/footnotes" Target="footnotes.xml"/><Relationship Id="rId15" Type="http://schemas.openxmlformats.org/officeDocument/2006/relationships/hyperlink" Target="https://www.benthamdirect.com/content/journals/cddt/10.2174/0115701638313233240830132804" TargetMode="External"/><Relationship Id="rId23" Type="http://schemas.openxmlformats.org/officeDocument/2006/relationships/theme" Target="theme/theme1.xml"/><Relationship Id="rId10" Type="http://schemas.openxmlformats.org/officeDocument/2006/relationships/hyperlink" Target="https://onlinelibrary.wiley.com/doi/abs/10.1002/bse.4077" TargetMode="External"/><Relationship Id="rId19" Type="http://schemas.openxmlformats.org/officeDocument/2006/relationships/hyperlink" Target="https://www.sciencedirect.com/science/article/pii/B978044328921700004X" TargetMode="External"/><Relationship Id="rId4" Type="http://schemas.openxmlformats.org/officeDocument/2006/relationships/webSettings" Target="webSettings.xml"/><Relationship Id="rId9" Type="http://schemas.openxmlformats.org/officeDocument/2006/relationships/hyperlink" Target="https://www.astrazeneca.com/sustainability.html" TargetMode="External"/><Relationship Id="rId14" Type="http://schemas.openxmlformats.org/officeDocument/2006/relationships/hyperlink" Target="https://intellectdiscover.com/content/journals/10.1386/cjcs_00104_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6FF771-611D-4E4C-8D62-2099B7970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3008</Words>
  <Characters>17147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 Aznar Montero</dc:creator>
  <cp:keywords/>
  <dc:description/>
  <cp:lastModifiedBy>Roger Aznar Montero</cp:lastModifiedBy>
  <cp:revision>5</cp:revision>
  <dcterms:created xsi:type="dcterms:W3CDTF">2026-04-24T17:30:00Z</dcterms:created>
  <dcterms:modified xsi:type="dcterms:W3CDTF">2026-04-24T17:49:00Z</dcterms:modified>
</cp:coreProperties>
</file>