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before="240" w:line="360" w:lineRule="auto"/>
        <w:rPr>
          <w:b w:val="1"/>
          <w:sz w:val="36"/>
          <w:szCs w:val="36"/>
        </w:rPr>
      </w:pPr>
      <w:r w:rsidDel="00000000" w:rsidR="00000000" w:rsidRPr="00000000">
        <w:rPr>
          <w:rtl w:val="0"/>
        </w:rPr>
      </w:r>
    </w:p>
    <w:p w:rsidR="00000000" w:rsidDel="00000000" w:rsidP="00000000" w:rsidRDefault="00000000" w:rsidRPr="00000000" w14:paraId="00000002">
      <w:pPr>
        <w:spacing w:before="240" w:line="360" w:lineRule="auto"/>
        <w:jc w:val="center"/>
        <w:rPr>
          <w:b w:val="1"/>
          <w:sz w:val="36"/>
          <w:szCs w:val="36"/>
        </w:rPr>
      </w:pPr>
      <w:r w:rsidDel="00000000" w:rsidR="00000000" w:rsidRPr="00000000">
        <w:rPr/>
        <w:drawing>
          <wp:inline distB="0" distT="0" distL="0" distR="0">
            <wp:extent cx="2667000" cy="1162050"/>
            <wp:effectExtent b="0" l="0" r="0" t="0"/>
            <wp:docPr id="5"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2667000" cy="1162050"/>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spacing w:before="240" w:line="360" w:lineRule="auto"/>
        <w:jc w:val="center"/>
        <w:rPr>
          <w:b w:val="1"/>
          <w:sz w:val="36"/>
          <w:szCs w:val="36"/>
        </w:rPr>
      </w:pPr>
      <w:r w:rsidDel="00000000" w:rsidR="00000000" w:rsidRPr="00000000">
        <w:rPr>
          <w:b w:val="1"/>
          <w:sz w:val="36"/>
          <w:szCs w:val="36"/>
          <w:rtl w:val="0"/>
        </w:rPr>
        <w:t xml:space="preserve">Kamil Chodnicki 2020641</w:t>
      </w:r>
    </w:p>
    <w:p w:rsidR="00000000" w:rsidDel="00000000" w:rsidP="00000000" w:rsidRDefault="00000000" w:rsidRPr="00000000" w14:paraId="00000004">
      <w:pPr>
        <w:spacing w:before="240" w:line="360" w:lineRule="auto"/>
        <w:jc w:val="center"/>
        <w:rPr>
          <w:b w:val="1"/>
          <w:sz w:val="36"/>
          <w:szCs w:val="36"/>
        </w:rPr>
      </w:pPr>
      <w:r w:rsidDel="00000000" w:rsidR="00000000" w:rsidRPr="00000000">
        <w:rPr>
          <w:b w:val="1"/>
          <w:sz w:val="36"/>
          <w:szCs w:val="36"/>
          <w:rtl w:val="0"/>
        </w:rPr>
        <w:t xml:space="preserve">LCBB6004</w:t>
      </w:r>
    </w:p>
    <w:p w:rsidR="00000000" w:rsidDel="00000000" w:rsidP="00000000" w:rsidRDefault="00000000" w:rsidRPr="00000000" w14:paraId="00000005">
      <w:pPr>
        <w:spacing w:before="240" w:line="360" w:lineRule="auto"/>
        <w:jc w:val="center"/>
        <w:rPr>
          <w:b w:val="1"/>
          <w:sz w:val="36"/>
          <w:szCs w:val="36"/>
        </w:rPr>
      </w:pPr>
      <w:r w:rsidDel="00000000" w:rsidR="00000000" w:rsidRPr="00000000">
        <w:rPr>
          <w:b w:val="1"/>
          <w:sz w:val="36"/>
          <w:szCs w:val="36"/>
          <w:rtl w:val="0"/>
        </w:rPr>
        <w:t xml:space="preserve">Strategic Management and Sustainability</w:t>
      </w:r>
    </w:p>
    <w:p w:rsidR="00000000" w:rsidDel="00000000" w:rsidP="00000000" w:rsidRDefault="00000000" w:rsidRPr="00000000" w14:paraId="00000006">
      <w:pPr>
        <w:spacing w:before="240" w:line="360" w:lineRule="auto"/>
        <w:jc w:val="center"/>
        <w:rPr>
          <w:b w:val="1"/>
          <w:sz w:val="36"/>
          <w:szCs w:val="36"/>
        </w:rPr>
      </w:pPr>
      <w:r w:rsidDel="00000000" w:rsidR="00000000" w:rsidRPr="00000000">
        <w:rPr>
          <w:b w:val="1"/>
          <w:sz w:val="36"/>
          <w:szCs w:val="36"/>
          <w:rtl w:val="0"/>
        </w:rPr>
        <w:t xml:space="preserve">Report</w:t>
      </w:r>
    </w:p>
    <w:p w:rsidR="00000000" w:rsidDel="00000000" w:rsidP="00000000" w:rsidRDefault="00000000" w:rsidRPr="00000000" w14:paraId="00000007">
      <w:pPr>
        <w:spacing w:before="240" w:line="360" w:lineRule="auto"/>
        <w:jc w:val="left"/>
        <w:rPr>
          <w:b w:val="1"/>
          <w:sz w:val="32"/>
          <w:szCs w:val="32"/>
        </w:rPr>
      </w:pPr>
      <w:r w:rsidDel="00000000" w:rsidR="00000000" w:rsidRPr="00000000">
        <w:rPr>
          <w:rtl w:val="0"/>
        </w:rPr>
      </w:r>
    </w:p>
    <w:p w:rsidR="00000000" w:rsidDel="00000000" w:rsidP="00000000" w:rsidRDefault="00000000" w:rsidRPr="00000000" w14:paraId="00000008">
      <w:pPr>
        <w:spacing w:before="240" w:line="360" w:lineRule="auto"/>
        <w:jc w:val="left"/>
        <w:rPr>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1"/>
          <w:i w:val="0"/>
          <w:smallCaps w:val="0"/>
          <w:strike w:val="0"/>
          <w:color w:val="2e75b5"/>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2e75b5"/>
          <w:sz w:val="32"/>
          <w:szCs w:val="3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7"/>
            </w:tabs>
            <w:spacing w:after="10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7"/>
            </w:tabs>
            <w:spacing w:after="10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Key Business Strategies Used by Volkswagen over the Past Five Years</w:t>
              <w:tab/>
              <w:t xml:space="preserve">4</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7"/>
            </w:tabs>
            <w:spacing w:after="10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Volkswagen's resources and capabilities throughout the last five years</w:t>
              <w:tab/>
              <w:t xml:space="preserve">7</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7"/>
            </w:tabs>
            <w:spacing w:after="10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Volkswagen's Competitive Strategy and Sustainability Initiatives</w:t>
              <w:tab/>
              <w:t xml:space="preserve">10</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7"/>
            </w:tabs>
            <w:spacing w:after="10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Recommendations for Developing Competitive Advantages for Volkswagen</w:t>
              <w:tab/>
              <w:t xml:space="preserve">12</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7"/>
            </w:tabs>
            <w:spacing w:after="10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14</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7"/>
            </w:tabs>
            <w:spacing w:after="10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15</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7"/>
            </w:tabs>
            <w:spacing w:after="10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Appendix</w:t>
              <w:tab/>
              <w:t xml:space="preserve">17</w:t>
            </w:r>
          </w:hyperlink>
          <w:r w:rsidDel="00000000" w:rsidR="00000000" w:rsidRPr="00000000">
            <w:rPr>
              <w:rtl w:val="0"/>
            </w:rPr>
          </w:r>
        </w:p>
        <w:p w:rsidR="00000000" w:rsidDel="00000000" w:rsidP="00000000" w:rsidRDefault="00000000" w:rsidRPr="00000000" w14:paraId="00000012">
          <w:pPr>
            <w:spacing w:before="240" w:line="36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3">
      <w:pPr>
        <w:spacing w:before="240" w:line="360" w:lineRule="auto"/>
        <w:jc w:val="left"/>
        <w:rPr>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4">
      <w:pPr>
        <w:pStyle w:val="Heading1"/>
        <w:spacing w:line="360" w:lineRule="auto"/>
        <w:rPr/>
      </w:pPr>
      <w:bookmarkStart w:colFirst="0" w:colLast="0" w:name="_heading=h.gjdgxs" w:id="0"/>
      <w:bookmarkEnd w:id="0"/>
      <w:r w:rsidDel="00000000" w:rsidR="00000000" w:rsidRPr="00000000">
        <w:rPr>
          <w:rtl w:val="0"/>
        </w:rPr>
        <w:t xml:space="preserve">Introduction </w:t>
      </w:r>
    </w:p>
    <w:p w:rsidR="00000000" w:rsidDel="00000000" w:rsidP="00000000" w:rsidRDefault="00000000" w:rsidRPr="00000000" w14:paraId="00000015">
      <w:pPr>
        <w:spacing w:before="240" w:line="360" w:lineRule="auto"/>
        <w:rPr/>
      </w:pPr>
      <w:r w:rsidDel="00000000" w:rsidR="00000000" w:rsidRPr="00000000">
        <w:rPr>
          <w:rtl w:val="0"/>
        </w:rPr>
        <w:t xml:space="preserve">This particular report focuses on exploring Volkswagen's strategic objectives, which is a well-known automaker, to create competitive advantages via sustainable transportation methods. This report examines at the fallout from the "Dieselgate" affair and the company's dedication to reestablishing confidence and putting sustainable practices in place (Ashrafi and Mueller, 2015). Using SWOT and PESTEL analyses, the report assesses Volkswagen's capabilities, resources, and alignment with corporate strategy. Additionally, it evaluates how Porter's Five Forces Model will affect the company's competitiveness (Markovic, Sancha, and Lindgreen, 2021). Based on this understanding, the report also provides suggestions for how Volkswagen might use sustainability initiatives to its advantage in the dynamic automotive market of the future.</w:t>
      </w:r>
    </w:p>
    <w:p w:rsidR="00000000" w:rsidDel="00000000" w:rsidP="00000000" w:rsidRDefault="00000000" w:rsidRPr="00000000" w14:paraId="00000016">
      <w:pPr>
        <w:spacing w:before="240" w:line="360" w:lineRule="auto"/>
        <w:jc w:val="left"/>
        <w:rPr>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7">
      <w:pPr>
        <w:pStyle w:val="Heading1"/>
        <w:spacing w:line="360" w:lineRule="auto"/>
        <w:rPr/>
      </w:pPr>
      <w:bookmarkStart w:colFirst="0" w:colLast="0" w:name="_heading=h.30j0zll" w:id="1"/>
      <w:bookmarkEnd w:id="1"/>
      <w:r w:rsidDel="00000000" w:rsidR="00000000" w:rsidRPr="00000000">
        <w:rPr>
          <w:rtl w:val="0"/>
        </w:rPr>
        <w:t xml:space="preserve">Key Business Strategies Used by Volkswagen over the Past Five Years</w:t>
      </w:r>
    </w:p>
    <w:p w:rsidR="00000000" w:rsidDel="00000000" w:rsidP="00000000" w:rsidRDefault="00000000" w:rsidRPr="00000000" w14:paraId="00000018">
      <w:pPr>
        <w:spacing w:before="240" w:line="360" w:lineRule="auto"/>
        <w:rPr/>
      </w:pPr>
      <w:r w:rsidDel="00000000" w:rsidR="00000000" w:rsidRPr="00000000">
        <w:rPr>
          <w:rtl w:val="0"/>
        </w:rPr>
        <w:t xml:space="preserve">Volkswagen (VW) has undertaken several significant business initiatives over the last five years to deal with the aftermath of the "dieselgate" incident and rebuild customer confidence. To further understand the motivations for the pursuit or modification of these strategies, the following analyze is provided using the SWOT framework.</w:t>
      </w:r>
    </w:p>
    <w:p w:rsidR="00000000" w:rsidDel="00000000" w:rsidP="00000000" w:rsidRDefault="00000000" w:rsidRPr="00000000" w14:paraId="00000019">
      <w:pPr>
        <w:spacing w:before="240" w:line="360" w:lineRule="auto"/>
        <w:rPr>
          <w:b w:val="1"/>
        </w:rPr>
      </w:pPr>
      <w:r w:rsidDel="00000000" w:rsidR="00000000" w:rsidRPr="00000000">
        <w:rPr>
          <w:b w:val="1"/>
          <w:rtl w:val="0"/>
        </w:rPr>
        <w:t xml:space="preserve">Strengths:</w:t>
      </w:r>
    </w:p>
    <w:p w:rsidR="00000000" w:rsidDel="00000000" w:rsidP="00000000" w:rsidRDefault="00000000" w:rsidRPr="00000000" w14:paraId="0000001A">
      <w:pPr>
        <w:spacing w:before="240" w:line="360" w:lineRule="auto"/>
        <w:ind w:left="720" w:firstLine="0"/>
        <w:rPr/>
      </w:pPr>
      <w:r w:rsidDel="00000000" w:rsidR="00000000" w:rsidRPr="00000000">
        <w:rPr>
          <w:b w:val="1"/>
          <w:i w:val="1"/>
          <w:rtl w:val="0"/>
        </w:rPr>
        <w:t xml:space="preserve">Strong Global Presence:</w:t>
      </w:r>
      <w:r w:rsidDel="00000000" w:rsidR="00000000" w:rsidRPr="00000000">
        <w:rPr>
          <w:rtl w:val="0"/>
        </w:rPr>
        <w:t xml:space="preserve"> With a broad selection of vehicles available in many areas, Volkswagen has maintained a strong global presence (Narandas, 2013). Due to this strength, the business has been able to take advantage of possibilities in developing markets and make up for regional deficiencies.</w:t>
      </w:r>
    </w:p>
    <w:p w:rsidR="00000000" w:rsidDel="00000000" w:rsidP="00000000" w:rsidRDefault="00000000" w:rsidRPr="00000000" w14:paraId="0000001B">
      <w:pPr>
        <w:spacing w:before="240" w:line="360" w:lineRule="auto"/>
        <w:ind w:left="720" w:firstLine="0"/>
        <w:rPr/>
      </w:pPr>
      <w:r w:rsidDel="00000000" w:rsidR="00000000" w:rsidRPr="00000000">
        <w:rPr>
          <w:b w:val="1"/>
          <w:i w:val="1"/>
          <w:rtl w:val="0"/>
        </w:rPr>
        <w:t xml:space="preserve">Varied Brand Portfolio:</w:t>
      </w:r>
      <w:r w:rsidDel="00000000" w:rsidR="00000000" w:rsidRPr="00000000">
        <w:rPr>
          <w:rtl w:val="0"/>
        </w:rPr>
        <w:t xml:space="preserve"> Volkswagen has a varied brand portfolio that caters to many market segments due to its subsidiaries, including Audi, Seat, and Skoda. This has made it possible for the business to target different client preferences and increase its market share.</w:t>
      </w:r>
    </w:p>
    <w:p w:rsidR="00000000" w:rsidDel="00000000" w:rsidP="00000000" w:rsidRDefault="00000000" w:rsidRPr="00000000" w14:paraId="0000001C">
      <w:pPr>
        <w:spacing w:before="240" w:line="360" w:lineRule="auto"/>
        <w:ind w:left="720" w:firstLine="0"/>
        <w:rPr/>
      </w:pPr>
      <w:r w:rsidDel="00000000" w:rsidR="00000000" w:rsidRPr="00000000">
        <w:rPr>
          <w:b w:val="1"/>
          <w:i w:val="1"/>
          <w:rtl w:val="0"/>
        </w:rPr>
        <w:t xml:space="preserve">Investment in R&amp;D: </w:t>
      </w:r>
      <w:r w:rsidDel="00000000" w:rsidR="00000000" w:rsidRPr="00000000">
        <w:rPr>
          <w:rtl w:val="0"/>
        </w:rPr>
        <w:t xml:space="preserve">Volkswagen has constantly made research and development investments, which have resulted in technical improvements in electric and driverless cars. Adopting cutting-edge technology has positioned VW as a manufacturer with a forward-looking attitude.</w:t>
      </w:r>
    </w:p>
    <w:p w:rsidR="00000000" w:rsidDel="00000000" w:rsidP="00000000" w:rsidRDefault="00000000" w:rsidRPr="00000000" w14:paraId="0000001D">
      <w:pPr>
        <w:spacing w:before="240" w:line="360" w:lineRule="auto"/>
        <w:rPr>
          <w:b w:val="1"/>
        </w:rPr>
      </w:pPr>
      <w:r w:rsidDel="00000000" w:rsidR="00000000" w:rsidRPr="00000000">
        <w:rPr>
          <w:b w:val="1"/>
          <w:rtl w:val="0"/>
        </w:rPr>
        <w:t xml:space="preserve">Weaknesses:</w:t>
      </w:r>
    </w:p>
    <w:p w:rsidR="00000000" w:rsidDel="00000000" w:rsidP="00000000" w:rsidRDefault="00000000" w:rsidRPr="00000000" w14:paraId="0000001E">
      <w:pPr>
        <w:spacing w:before="240" w:line="360" w:lineRule="auto"/>
        <w:ind w:left="720" w:firstLine="0"/>
        <w:rPr/>
      </w:pPr>
      <w:r w:rsidDel="00000000" w:rsidR="00000000" w:rsidRPr="00000000">
        <w:rPr>
          <w:b w:val="1"/>
          <w:i w:val="1"/>
          <w:rtl w:val="0"/>
        </w:rPr>
        <w:t xml:space="preserve">The fallout from the Emissions affair:</w:t>
      </w:r>
      <w:r w:rsidDel="00000000" w:rsidR="00000000" w:rsidRPr="00000000">
        <w:rPr>
          <w:rtl w:val="0"/>
        </w:rPr>
        <w:t xml:space="preserve"> The "Dieselgate" affair badly harmed Volkswagen's brand and resulted in large financial fines and legal action on a global scale. This shortcoming called for a strategy change to win back consumers' confidence and provide compensation.</w:t>
      </w:r>
    </w:p>
    <w:p w:rsidR="00000000" w:rsidDel="00000000" w:rsidP="00000000" w:rsidRDefault="00000000" w:rsidRPr="00000000" w14:paraId="0000001F">
      <w:pPr>
        <w:spacing w:before="240" w:line="360" w:lineRule="auto"/>
        <w:ind w:left="720" w:firstLine="0"/>
        <w:rPr/>
      </w:pPr>
      <w:r w:rsidDel="00000000" w:rsidR="00000000" w:rsidRPr="00000000">
        <w:rPr>
          <w:b w:val="1"/>
          <w:i w:val="1"/>
          <w:rtl w:val="0"/>
        </w:rPr>
        <w:t xml:space="preserve">Dependence on Combustion Engines:</w:t>
      </w:r>
      <w:r w:rsidDel="00000000" w:rsidR="00000000" w:rsidRPr="00000000">
        <w:rPr>
          <w:rtl w:val="0"/>
        </w:rPr>
        <w:t xml:space="preserve"> VW still significantly depends on conventional combustion engine models despite research and development efforts towards electrified cars (Markovic, Sancha, and Lindgreen, 2021). Due to this dependency, the business is more susceptible to shifting consumer preferences and tighter emissions restrictions.</w:t>
      </w:r>
    </w:p>
    <w:p w:rsidR="00000000" w:rsidDel="00000000" w:rsidP="00000000" w:rsidRDefault="00000000" w:rsidRPr="00000000" w14:paraId="00000020">
      <w:pPr>
        <w:spacing w:before="240" w:line="360" w:lineRule="auto"/>
        <w:rPr>
          <w:b w:val="1"/>
        </w:rPr>
      </w:pPr>
      <w:r w:rsidDel="00000000" w:rsidR="00000000" w:rsidRPr="00000000">
        <w:rPr>
          <w:b w:val="1"/>
          <w:rtl w:val="0"/>
        </w:rPr>
        <w:t xml:space="preserve">Opportunities:</w:t>
      </w:r>
    </w:p>
    <w:p w:rsidR="00000000" w:rsidDel="00000000" w:rsidP="00000000" w:rsidRDefault="00000000" w:rsidRPr="00000000" w14:paraId="00000021">
      <w:pPr>
        <w:spacing w:before="240" w:line="360" w:lineRule="auto"/>
        <w:ind w:left="720" w:firstLine="0"/>
        <w:rPr/>
      </w:pPr>
      <w:r w:rsidDel="00000000" w:rsidR="00000000" w:rsidRPr="00000000">
        <w:rPr>
          <w:b w:val="1"/>
          <w:i w:val="1"/>
          <w:rtl w:val="0"/>
        </w:rPr>
        <w:t xml:space="preserve">Growth of the electric car market:</w:t>
      </w:r>
      <w:r w:rsidDel="00000000" w:rsidR="00000000" w:rsidRPr="00000000">
        <w:rPr>
          <w:rtl w:val="0"/>
        </w:rPr>
        <w:t xml:space="preserve"> VW has a great chance to move towards sustainable transportation options due to the rising demand for electric vehicles (Ashrafi and Mueller, 2015). Adopting this trend may increase the company's market share in the EV sector and help it connect with environmental concerns.</w:t>
      </w:r>
    </w:p>
    <w:p w:rsidR="00000000" w:rsidDel="00000000" w:rsidP="00000000" w:rsidRDefault="00000000" w:rsidRPr="00000000" w14:paraId="00000022">
      <w:pPr>
        <w:spacing w:before="240" w:line="360" w:lineRule="auto"/>
        <w:ind w:left="720" w:firstLine="0"/>
        <w:rPr/>
      </w:pPr>
      <w:r w:rsidDel="00000000" w:rsidR="00000000" w:rsidRPr="00000000">
        <w:rPr>
          <w:b w:val="1"/>
          <w:i w:val="1"/>
          <w:rtl w:val="0"/>
        </w:rPr>
        <w:t xml:space="preserve">Market Expansion in Emerging Economies:</w:t>
      </w:r>
      <w:r w:rsidDel="00000000" w:rsidR="00000000" w:rsidRPr="00000000">
        <w:rPr>
          <w:rtl w:val="0"/>
        </w:rPr>
        <w:t xml:space="preserve"> VW is well-positioned to take advantage of the expanding markets in emerging economies due to its worldwide footprint. The business may acquire a competitive advantage in these areas by customizing its goods and pricing policies to fit regional tastes (Jiang, 2014).</w:t>
      </w:r>
    </w:p>
    <w:p w:rsidR="00000000" w:rsidDel="00000000" w:rsidP="00000000" w:rsidRDefault="00000000" w:rsidRPr="00000000" w14:paraId="00000023">
      <w:pPr>
        <w:spacing w:before="240" w:line="360" w:lineRule="auto"/>
        <w:rPr>
          <w:b w:val="1"/>
        </w:rPr>
      </w:pPr>
      <w:r w:rsidDel="00000000" w:rsidR="00000000" w:rsidRPr="00000000">
        <w:rPr>
          <w:b w:val="1"/>
          <w:rtl w:val="0"/>
        </w:rPr>
        <w:t xml:space="preserve">Threats:</w:t>
      </w:r>
    </w:p>
    <w:p w:rsidR="00000000" w:rsidDel="00000000" w:rsidP="00000000" w:rsidRDefault="00000000" w:rsidRPr="00000000" w14:paraId="00000024">
      <w:pPr>
        <w:spacing w:before="240" w:line="360" w:lineRule="auto"/>
        <w:ind w:left="720" w:firstLine="0"/>
        <w:rPr/>
      </w:pPr>
      <w:r w:rsidDel="00000000" w:rsidR="00000000" w:rsidRPr="00000000">
        <w:rPr>
          <w:b w:val="1"/>
          <w:i w:val="1"/>
          <w:rtl w:val="0"/>
        </w:rPr>
        <w:t xml:space="preserve">Fierce competition:</w:t>
      </w:r>
      <w:r w:rsidDel="00000000" w:rsidR="00000000" w:rsidRPr="00000000">
        <w:rPr>
          <w:rtl w:val="0"/>
        </w:rPr>
        <w:t xml:space="preserve"> Competition is fierce in the automobile sector, with both established businesses and recent newcomers fighting for market power (Leonidou </w:t>
      </w:r>
      <w:r w:rsidDel="00000000" w:rsidR="00000000" w:rsidRPr="00000000">
        <w:rPr>
          <w:i w:val="1"/>
          <w:rtl w:val="0"/>
        </w:rPr>
        <w:t xml:space="preserve">et al.</w:t>
      </w:r>
      <w:r w:rsidDel="00000000" w:rsidR="00000000" w:rsidRPr="00000000">
        <w:rPr>
          <w:rtl w:val="0"/>
        </w:rPr>
        <w:t xml:space="preserve">, 2013). Other significant automakers and tech firms operating in the electric and autonomous car fields pose a challenge to VW.</w:t>
      </w:r>
    </w:p>
    <w:p w:rsidR="00000000" w:rsidDel="00000000" w:rsidP="00000000" w:rsidRDefault="00000000" w:rsidRPr="00000000" w14:paraId="00000025">
      <w:pPr>
        <w:spacing w:before="240" w:line="360" w:lineRule="auto"/>
        <w:ind w:left="720" w:firstLine="0"/>
        <w:rPr/>
      </w:pPr>
      <w:r w:rsidDel="00000000" w:rsidR="00000000" w:rsidRPr="00000000">
        <w:rPr>
          <w:b w:val="1"/>
          <w:i w:val="1"/>
          <w:rtl w:val="0"/>
        </w:rPr>
        <w:t xml:space="preserve">Regulatory and Compliance Challenges: </w:t>
      </w:r>
      <w:r w:rsidDel="00000000" w:rsidR="00000000" w:rsidRPr="00000000">
        <w:rPr>
          <w:rtl w:val="0"/>
        </w:rPr>
        <w:t xml:space="preserve">Given its prior emissions crisis, VW faces a battle with the world's stricter pollution rules (Narandas, 2013). Failure to abide by these rules may result in severe financial penalties and further harm to the company.</w:t>
      </w:r>
    </w:p>
    <w:p w:rsidR="00000000" w:rsidDel="00000000" w:rsidP="00000000" w:rsidRDefault="00000000" w:rsidRPr="00000000" w14:paraId="00000026">
      <w:pPr>
        <w:spacing w:before="240" w:line="360" w:lineRule="auto"/>
        <w:rPr>
          <w:b w:val="1"/>
        </w:rPr>
      </w:pPr>
      <w:r w:rsidDel="00000000" w:rsidR="00000000" w:rsidRPr="00000000">
        <w:rPr>
          <w:b w:val="1"/>
          <w:rtl w:val="0"/>
        </w:rPr>
        <w:t xml:space="preserve">Changes and strategic pursuits:</w:t>
      </w:r>
    </w:p>
    <w:p w:rsidR="00000000" w:rsidDel="00000000" w:rsidP="00000000" w:rsidRDefault="00000000" w:rsidRPr="00000000" w14:paraId="00000027">
      <w:pPr>
        <w:spacing w:before="240" w:line="360" w:lineRule="auto"/>
        <w:rPr/>
      </w:pPr>
      <w:r w:rsidDel="00000000" w:rsidR="00000000" w:rsidRPr="00000000">
        <w:rPr>
          <w:b w:val="1"/>
          <w:i w:val="1"/>
          <w:rtl w:val="0"/>
        </w:rPr>
        <w:t xml:space="preserve">Emphasis on Electric cars:</w:t>
      </w:r>
      <w:r w:rsidDel="00000000" w:rsidR="00000000" w:rsidRPr="00000000">
        <w:rPr>
          <w:rtl w:val="0"/>
        </w:rPr>
        <w:t xml:space="preserve"> VW's strategy over the last five years has included a greater emphasis on electric cars (Azevedo </w:t>
      </w:r>
      <w:r w:rsidDel="00000000" w:rsidR="00000000" w:rsidRPr="00000000">
        <w:rPr>
          <w:i w:val="1"/>
          <w:rtl w:val="0"/>
        </w:rPr>
        <w:t xml:space="preserve">et al.</w:t>
      </w:r>
      <w:r w:rsidDel="00000000" w:rsidR="00000000" w:rsidRPr="00000000">
        <w:rPr>
          <w:rtl w:val="0"/>
        </w:rPr>
        <w:t xml:space="preserve">, 2015). Aiming to dominate the EV industry, the business unveiled ambitious ambitions to introduce a variety of electric cars across its brands.</w:t>
      </w:r>
    </w:p>
    <w:p w:rsidR="00000000" w:rsidDel="00000000" w:rsidP="00000000" w:rsidRDefault="00000000" w:rsidRPr="00000000" w14:paraId="00000028">
      <w:pPr>
        <w:spacing w:before="240" w:line="360" w:lineRule="auto"/>
        <w:rPr/>
      </w:pPr>
      <w:r w:rsidDel="00000000" w:rsidR="00000000" w:rsidRPr="00000000">
        <w:rPr>
          <w:b w:val="1"/>
          <w:i w:val="1"/>
          <w:rtl w:val="0"/>
        </w:rPr>
        <w:t xml:space="preserve">Settlement and Compensation:</w:t>
      </w:r>
      <w:r w:rsidDel="00000000" w:rsidR="00000000" w:rsidRPr="00000000">
        <w:rPr>
          <w:rtl w:val="0"/>
        </w:rPr>
        <w:t xml:space="preserve"> Volkswagen's choice to pay £193 million in settlement and compensation to resolve the "dieselgate" claim in England and Wales showed that it was attempting to deal with the scandal's fallout. With this strategy, it is hoped to save time in the courtroom and win back the confidence of the clients.</w:t>
      </w:r>
    </w:p>
    <w:p w:rsidR="00000000" w:rsidDel="00000000" w:rsidP="00000000" w:rsidRDefault="00000000" w:rsidRPr="00000000" w14:paraId="00000029">
      <w:pPr>
        <w:spacing w:before="240" w:line="360" w:lineRule="auto"/>
        <w:rPr/>
      </w:pPr>
      <w:r w:rsidDel="00000000" w:rsidR="00000000" w:rsidRPr="00000000">
        <w:rPr>
          <w:b w:val="1"/>
          <w:i w:val="1"/>
          <w:rtl w:val="0"/>
        </w:rPr>
        <w:t xml:space="preserve">Brand Repositioning:</w:t>
      </w:r>
      <w:r w:rsidDel="00000000" w:rsidR="00000000" w:rsidRPr="00000000">
        <w:rPr>
          <w:rtl w:val="0"/>
        </w:rPr>
        <w:t xml:space="preserve"> VW started a thorough brand repositioning effort to restore customer confidence and revamp its image. To show its dedication to change, the corporation placed a strong emphasis on sustainability, transparency, and moral behavior.</w:t>
      </w:r>
    </w:p>
    <w:p w:rsidR="00000000" w:rsidDel="00000000" w:rsidP="00000000" w:rsidRDefault="00000000" w:rsidRPr="00000000" w14:paraId="0000002A">
      <w:pPr>
        <w:spacing w:before="240" w:line="360" w:lineRule="auto"/>
        <w:rPr/>
      </w:pPr>
      <w:r w:rsidDel="00000000" w:rsidR="00000000" w:rsidRPr="00000000">
        <w:rPr>
          <w:rtl w:val="0"/>
        </w:rPr>
        <w:t xml:space="preserve">Volkswagen has pursued important tactics over the last five years to rectify vulnerabilities brought on by the "dieselgate" incident, seize market opportunities, and combat challenges in the automotive sector (Jiang, 2014). The company's focus on electric cars, brand reinvention, and investment in R&amp;D are signs of its dedication to mending relationships with customers and guiding the development of a more sustainable future. However, VW will need to continue to be flexible and sensitive to shifting market dynamics due to continuous competitiveness and regulatory problems.</w:t>
      </w:r>
    </w:p>
    <w:p w:rsidR="00000000" w:rsidDel="00000000" w:rsidP="00000000" w:rsidRDefault="00000000" w:rsidRPr="00000000" w14:paraId="0000002B">
      <w:pPr>
        <w:spacing w:before="240" w:line="360" w:lineRule="auto"/>
        <w:jc w:val="left"/>
        <w:rPr>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2C">
      <w:pPr>
        <w:pStyle w:val="Heading1"/>
        <w:spacing w:line="360" w:lineRule="auto"/>
        <w:rPr/>
      </w:pPr>
      <w:bookmarkStart w:colFirst="0" w:colLast="0" w:name="_heading=h.1fob9te" w:id="2"/>
      <w:bookmarkEnd w:id="2"/>
      <w:r w:rsidDel="00000000" w:rsidR="00000000" w:rsidRPr="00000000">
        <w:rPr>
          <w:rtl w:val="0"/>
        </w:rPr>
        <w:t xml:space="preserve">Volkswagen's resources and capabilities throughout the last five years</w:t>
      </w:r>
    </w:p>
    <w:p w:rsidR="00000000" w:rsidDel="00000000" w:rsidP="00000000" w:rsidRDefault="00000000" w:rsidRPr="00000000" w14:paraId="0000002D">
      <w:pPr>
        <w:spacing w:before="240" w:line="360" w:lineRule="auto"/>
        <w:rPr>
          <w:b w:val="1"/>
        </w:rPr>
      </w:pPr>
      <w:r w:rsidDel="00000000" w:rsidR="00000000" w:rsidRPr="00000000">
        <w:rPr>
          <w:b w:val="1"/>
          <w:rtl w:val="0"/>
        </w:rPr>
        <w:t xml:space="preserve">Resources:</w:t>
      </w:r>
    </w:p>
    <w:p w:rsidR="00000000" w:rsidDel="00000000" w:rsidP="00000000" w:rsidRDefault="00000000" w:rsidRPr="00000000" w14:paraId="0000002E">
      <w:pPr>
        <w:spacing w:before="240" w:line="360" w:lineRule="auto"/>
        <w:rPr/>
      </w:pPr>
      <w:r w:rsidDel="00000000" w:rsidR="00000000" w:rsidRPr="00000000">
        <w:rPr>
          <w:b w:val="1"/>
          <w:i w:val="1"/>
          <w:rtl w:val="0"/>
        </w:rPr>
        <w:t xml:space="preserve">Financial:</w:t>
      </w:r>
      <w:r w:rsidDel="00000000" w:rsidR="00000000" w:rsidRPr="00000000">
        <w:rPr>
          <w:rtl w:val="0"/>
        </w:rPr>
        <w:t xml:space="preserve"> Volkswagen still has strong financial standing despite the negative financial impact of the "dieselgate" scandal. To fulfill fines, awards, settlements from legal actions, and buyback programs, around €30 billion (£26 billion) has been paid out internationally, proving the company's ability to handle substantial financial commitments.</w:t>
      </w:r>
    </w:p>
    <w:p w:rsidR="00000000" w:rsidDel="00000000" w:rsidP="00000000" w:rsidRDefault="00000000" w:rsidRPr="00000000" w14:paraId="0000002F">
      <w:pPr>
        <w:spacing w:before="240" w:line="360" w:lineRule="auto"/>
        <w:rPr/>
      </w:pPr>
      <w:r w:rsidDel="00000000" w:rsidR="00000000" w:rsidRPr="00000000">
        <w:rPr>
          <w:b w:val="1"/>
          <w:i w:val="1"/>
          <w:rtl w:val="0"/>
        </w:rPr>
        <w:t xml:space="preserve">Technology: </w:t>
      </w:r>
      <w:r w:rsidDel="00000000" w:rsidR="00000000" w:rsidRPr="00000000">
        <w:rPr>
          <w:rtl w:val="0"/>
        </w:rPr>
        <w:t xml:space="preserve">Volkswagen has cutting-edge expertise in the design and manufacture of autos. The company has invested in research and development throughout the years, which has led to improvements in electric vehicles and autonomous driving technologies (Hogarth, 2018).</w:t>
      </w:r>
    </w:p>
    <w:p w:rsidR="00000000" w:rsidDel="00000000" w:rsidP="00000000" w:rsidRDefault="00000000" w:rsidRPr="00000000" w14:paraId="00000030">
      <w:pPr>
        <w:spacing w:before="240" w:line="360" w:lineRule="auto"/>
        <w:rPr/>
      </w:pPr>
      <w:r w:rsidDel="00000000" w:rsidR="00000000" w:rsidRPr="00000000">
        <w:rPr>
          <w:b w:val="1"/>
          <w:i w:val="1"/>
          <w:rtl w:val="0"/>
        </w:rPr>
        <w:t xml:space="preserve">HR capitals:</w:t>
      </w:r>
      <w:r w:rsidDel="00000000" w:rsidR="00000000" w:rsidRPr="00000000">
        <w:rPr>
          <w:rtl w:val="0"/>
        </w:rPr>
        <w:t xml:space="preserve"> Volkswagen works with talented engineers, designers, and marketers to produce high-quality vehicles and carry out successful marketing plans (Leonidou </w:t>
      </w:r>
      <w:r w:rsidDel="00000000" w:rsidR="00000000" w:rsidRPr="00000000">
        <w:rPr>
          <w:i w:val="1"/>
          <w:rtl w:val="0"/>
        </w:rPr>
        <w:t xml:space="preserve">et al.</w:t>
      </w:r>
      <w:r w:rsidDel="00000000" w:rsidR="00000000" w:rsidRPr="00000000">
        <w:rPr>
          <w:rtl w:val="0"/>
        </w:rPr>
        <w:t xml:space="preserve">, 2013). Those experts' innovation is used to produce high-quality transportation cars and marketing strategies for the company.</w:t>
      </w:r>
    </w:p>
    <w:p w:rsidR="00000000" w:rsidDel="00000000" w:rsidP="00000000" w:rsidRDefault="00000000" w:rsidRPr="00000000" w14:paraId="00000031">
      <w:pPr>
        <w:spacing w:before="240" w:line="360" w:lineRule="auto"/>
        <w:rPr>
          <w:b w:val="1"/>
        </w:rPr>
      </w:pPr>
      <w:r w:rsidDel="00000000" w:rsidR="00000000" w:rsidRPr="00000000">
        <w:rPr>
          <w:b w:val="1"/>
          <w:rtl w:val="0"/>
        </w:rPr>
        <w:t xml:space="preserve">Capabilities:</w:t>
      </w:r>
    </w:p>
    <w:p w:rsidR="00000000" w:rsidDel="00000000" w:rsidP="00000000" w:rsidRDefault="00000000" w:rsidRPr="00000000" w14:paraId="00000032">
      <w:pPr>
        <w:spacing w:before="240" w:line="360" w:lineRule="auto"/>
        <w:rPr/>
      </w:pPr>
      <w:r w:rsidDel="00000000" w:rsidR="00000000" w:rsidRPr="00000000">
        <w:rPr>
          <w:b w:val="1"/>
          <w:i w:val="1"/>
          <w:rtl w:val="0"/>
        </w:rPr>
        <w:t xml:space="preserve">Product Development:</w:t>
      </w:r>
      <w:r w:rsidDel="00000000" w:rsidR="00000000" w:rsidRPr="00000000">
        <w:rPr>
          <w:rtl w:val="0"/>
        </w:rPr>
        <w:t xml:space="preserve"> Volkswagen's greatest assets are its outstanding product development skills, which allow the business to create a wide variety of cars that are tailored to different client categories (Nijssen and Frambach, 2013). Volkswagen continually produces high-quality vehicles that appeal to customers because of its engineering, design, and research capabilities.</w:t>
      </w:r>
    </w:p>
    <w:p w:rsidR="00000000" w:rsidDel="00000000" w:rsidP="00000000" w:rsidRDefault="00000000" w:rsidRPr="00000000" w14:paraId="00000033">
      <w:pPr>
        <w:spacing w:before="240" w:line="360" w:lineRule="auto"/>
        <w:rPr/>
      </w:pPr>
      <w:r w:rsidDel="00000000" w:rsidR="00000000" w:rsidRPr="00000000">
        <w:rPr>
          <w:b w:val="1"/>
          <w:i w:val="1"/>
          <w:rtl w:val="0"/>
        </w:rPr>
        <w:t xml:space="preserve">Worldwide Manufacturing and Supply Chain:</w:t>
      </w:r>
      <w:r w:rsidDel="00000000" w:rsidR="00000000" w:rsidRPr="00000000">
        <w:rPr>
          <w:rtl w:val="0"/>
        </w:rPr>
        <w:t xml:space="preserve"> The Company’s expertise in global manufacturing and supply chain management also guarantees effective vehicle production and distribution around the world (Azevedo </w:t>
      </w:r>
      <w:r w:rsidDel="00000000" w:rsidR="00000000" w:rsidRPr="00000000">
        <w:rPr>
          <w:i w:val="1"/>
          <w:rtl w:val="0"/>
        </w:rPr>
        <w:t xml:space="preserve">et al.</w:t>
      </w:r>
      <w:r w:rsidDel="00000000" w:rsidR="00000000" w:rsidRPr="00000000">
        <w:rPr>
          <w:rtl w:val="0"/>
        </w:rPr>
        <w:t xml:space="preserve">, 2015). Volkswagen can respond quickly to shifting market conditions and satisfactorily to client expectations due to its strategic competency.</w:t>
      </w:r>
    </w:p>
    <w:p w:rsidR="00000000" w:rsidDel="00000000" w:rsidP="00000000" w:rsidRDefault="00000000" w:rsidRPr="00000000" w14:paraId="00000034">
      <w:pPr>
        <w:spacing w:before="240" w:line="360" w:lineRule="auto"/>
        <w:rPr/>
      </w:pPr>
      <w:r w:rsidDel="00000000" w:rsidR="00000000" w:rsidRPr="00000000">
        <w:rPr>
          <w:b w:val="1"/>
          <w:i w:val="1"/>
          <w:rtl w:val="0"/>
        </w:rPr>
        <w:t xml:space="preserve">Marketing and branding:</w:t>
      </w:r>
      <w:r w:rsidDel="00000000" w:rsidR="00000000" w:rsidRPr="00000000">
        <w:rPr>
          <w:rtl w:val="0"/>
        </w:rPr>
        <w:t xml:space="preserve"> Despite the setback brought on by the emissions problem, Volkswagen has kept up its marketing and branding efforts. The business' marketing initiatives continue to be successful in reaching and interacting with its target audience, demonstrating its capacity to maintain its brand image even under trying circumstances.</w:t>
      </w:r>
    </w:p>
    <w:p w:rsidR="00000000" w:rsidDel="00000000" w:rsidP="00000000" w:rsidRDefault="00000000" w:rsidRPr="00000000" w14:paraId="00000035">
      <w:pPr>
        <w:spacing w:before="240" w:line="360" w:lineRule="auto"/>
        <w:rPr>
          <w:b w:val="1"/>
        </w:rPr>
      </w:pPr>
      <w:r w:rsidDel="00000000" w:rsidR="00000000" w:rsidRPr="00000000">
        <w:rPr>
          <w:b w:val="1"/>
          <w:rtl w:val="0"/>
        </w:rPr>
        <w:t xml:space="preserve">PESTEL analysis</w:t>
      </w:r>
    </w:p>
    <w:p w:rsidR="00000000" w:rsidDel="00000000" w:rsidP="00000000" w:rsidRDefault="00000000" w:rsidRPr="00000000" w14:paraId="00000036">
      <w:pPr>
        <w:spacing w:before="240" w:line="360" w:lineRule="auto"/>
        <w:rPr/>
      </w:pPr>
      <w:r w:rsidDel="00000000" w:rsidR="00000000" w:rsidRPr="00000000">
        <w:rPr>
          <w:rtl w:val="0"/>
        </w:rPr>
        <w:t xml:space="preserve">In terms of understanding and identifying VW’s business strategy with different resources and capabilities PESTEL analysis is used and provided below:</w:t>
      </w:r>
    </w:p>
    <w:p w:rsidR="00000000" w:rsidDel="00000000" w:rsidP="00000000" w:rsidRDefault="00000000" w:rsidRPr="00000000" w14:paraId="00000037">
      <w:pPr>
        <w:spacing w:before="240" w:line="360" w:lineRule="auto"/>
        <w:rPr/>
      </w:pPr>
      <w:r w:rsidDel="00000000" w:rsidR="00000000" w:rsidRPr="00000000">
        <w:rPr>
          <w:b w:val="1"/>
          <w:i w:val="1"/>
          <w:rtl w:val="0"/>
        </w:rPr>
        <w:t xml:space="preserve">Political Aspects:</w:t>
      </w:r>
      <w:r w:rsidDel="00000000" w:rsidR="00000000" w:rsidRPr="00000000">
        <w:rPr>
          <w:rtl w:val="0"/>
        </w:rPr>
        <w:t xml:space="preserve"> The "Dieselgate" scandal's political ramifications brought a great deal of political pressure and legal difficulties. VW was able to fulfill its commitments, nevertheless, due to its strong financial position, by settling lawsuits, paying penalties, and compensating harmed clients (Barney, 2012). The knowledge and resources of the legal staff were crucial in drafting agreements to prevent lengthy legal disputes.</w:t>
      </w:r>
    </w:p>
    <w:p w:rsidR="00000000" w:rsidDel="00000000" w:rsidP="00000000" w:rsidRDefault="00000000" w:rsidRPr="00000000" w14:paraId="00000038">
      <w:pPr>
        <w:spacing w:before="240" w:line="360" w:lineRule="auto"/>
        <w:rPr/>
      </w:pPr>
      <w:r w:rsidDel="00000000" w:rsidR="00000000" w:rsidRPr="00000000">
        <w:rPr>
          <w:b w:val="1"/>
          <w:i w:val="1"/>
          <w:rtl w:val="0"/>
        </w:rPr>
        <w:t xml:space="preserve">Economic Factors:</w:t>
      </w:r>
      <w:r w:rsidDel="00000000" w:rsidR="00000000" w:rsidRPr="00000000">
        <w:rPr>
          <w:rtl w:val="0"/>
        </w:rPr>
        <w:t xml:space="preserve"> In terms of the economy, Volkswagen's financial stability served as a safeguard against the expenses associated with the crisis. The business understood the significance of efficiency and cost-cutting measures, nevertheless. The company's current technical capabilities were compatible with the strategy emphasis on investing in electric car technology to take advantage of the rising demand for sustainable transportation solutions. </w:t>
      </w:r>
    </w:p>
    <w:p w:rsidR="00000000" w:rsidDel="00000000" w:rsidP="00000000" w:rsidRDefault="00000000" w:rsidRPr="00000000" w14:paraId="00000039">
      <w:pPr>
        <w:spacing w:before="240" w:line="360" w:lineRule="auto"/>
        <w:rPr/>
      </w:pPr>
      <w:r w:rsidDel="00000000" w:rsidR="00000000" w:rsidRPr="00000000">
        <w:rPr>
          <w:b w:val="1"/>
          <w:i w:val="1"/>
          <w:rtl w:val="0"/>
        </w:rPr>
        <w:t xml:space="preserve">Social Factors: </w:t>
      </w:r>
      <w:r w:rsidDel="00000000" w:rsidR="00000000" w:rsidRPr="00000000">
        <w:rPr>
          <w:rtl w:val="0"/>
        </w:rPr>
        <w:t xml:space="preserve">The emission issue badly hampered the brand reputation and customer satisfaction level of the company. The corporation responded by highlighting its marketing and branding expertise to reestablish confidence and demonstrate a dedication to sustainability. The emphasis on electric cars also matched the shifting customer tastes toward greener products.</w:t>
      </w:r>
    </w:p>
    <w:p w:rsidR="00000000" w:rsidDel="00000000" w:rsidP="00000000" w:rsidRDefault="00000000" w:rsidRPr="00000000" w14:paraId="0000003A">
      <w:pPr>
        <w:spacing w:before="240" w:line="360" w:lineRule="auto"/>
        <w:rPr/>
      </w:pPr>
      <w:r w:rsidDel="00000000" w:rsidR="00000000" w:rsidRPr="00000000">
        <w:rPr>
          <w:b w:val="1"/>
          <w:i w:val="1"/>
          <w:rtl w:val="0"/>
        </w:rPr>
        <w:t xml:space="preserve">Technological factor:</w:t>
      </w:r>
      <w:r w:rsidDel="00000000" w:rsidR="00000000" w:rsidRPr="00000000">
        <w:rPr>
          <w:rtl w:val="0"/>
        </w:rPr>
        <w:t xml:space="preserve"> Volkswagen's technology talents and resources were crucial to the company's plan to transition to electric cars (Hogarth, 2018). The corporation used its knowledge of automotive engineering and innovation to invest in research and development to create competitive electric car solutions.</w:t>
      </w:r>
    </w:p>
    <w:p w:rsidR="00000000" w:rsidDel="00000000" w:rsidP="00000000" w:rsidRDefault="00000000" w:rsidRPr="00000000" w14:paraId="0000003B">
      <w:pPr>
        <w:spacing w:before="240" w:line="360" w:lineRule="auto"/>
        <w:rPr/>
      </w:pPr>
      <w:r w:rsidDel="00000000" w:rsidR="00000000" w:rsidRPr="00000000">
        <w:rPr>
          <w:b w:val="1"/>
          <w:i w:val="1"/>
          <w:rtl w:val="0"/>
        </w:rPr>
        <w:t xml:space="preserve">Environmental factor:</w:t>
      </w:r>
      <w:r w:rsidDel="00000000" w:rsidR="00000000" w:rsidRPr="00000000">
        <w:rPr>
          <w:rtl w:val="0"/>
        </w:rPr>
        <w:t xml:space="preserve"> The emissions crisis emphasized the necessity for environmental compliance, and VW's environmental compliance skills were bolstered to meet more stringent standards (Royer, 2013). The business's dedication to electric cars was in line with the international movement to cut carbon emissions and address climate change concerns.</w:t>
      </w:r>
    </w:p>
    <w:p w:rsidR="00000000" w:rsidDel="00000000" w:rsidP="00000000" w:rsidRDefault="00000000" w:rsidRPr="00000000" w14:paraId="0000003C">
      <w:pPr>
        <w:spacing w:before="240" w:line="360" w:lineRule="auto"/>
        <w:rPr/>
      </w:pPr>
      <w:r w:rsidDel="00000000" w:rsidR="00000000" w:rsidRPr="00000000">
        <w:rPr>
          <w:b w:val="1"/>
          <w:i w:val="1"/>
          <w:rtl w:val="0"/>
        </w:rPr>
        <w:t xml:space="preserve">Legal Aspects:</w:t>
      </w:r>
      <w:r w:rsidDel="00000000" w:rsidR="00000000" w:rsidRPr="00000000">
        <w:rPr>
          <w:rtl w:val="0"/>
        </w:rPr>
        <w:t xml:space="preserve"> To negotiate complicated litigation and secure settlements while being subject to legal action in many countries, Volkswagen extensively relied on its legal resources and talents (Higgins, Omer, and Phillips, 2014). The business was able to settle the dispute in England and Wales for £193 million because of its financial stability and legal know-how (Barney, 2012).</w:t>
      </w:r>
    </w:p>
    <w:p w:rsidR="00000000" w:rsidDel="00000000" w:rsidP="00000000" w:rsidRDefault="00000000" w:rsidRPr="00000000" w14:paraId="0000003D">
      <w:pPr>
        <w:spacing w:before="240" w:line="360" w:lineRule="auto"/>
        <w:rPr/>
      </w:pPr>
      <w:r w:rsidDel="00000000" w:rsidR="00000000" w:rsidRPr="00000000">
        <w:rPr>
          <w:rtl w:val="0"/>
        </w:rPr>
        <w:t xml:space="preserve">In conclusion, Volkswagen's resources and competencies have been in line with its business strategy for the last five years to deal with the "dieselgate" scandal's repercussions and embrace the change to sustainable transportation solutions (Borland </w:t>
      </w:r>
      <w:r w:rsidDel="00000000" w:rsidR="00000000" w:rsidRPr="00000000">
        <w:rPr>
          <w:i w:val="1"/>
          <w:rtl w:val="0"/>
        </w:rPr>
        <w:t xml:space="preserve">et al.</w:t>
      </w:r>
      <w:r w:rsidDel="00000000" w:rsidR="00000000" w:rsidRPr="00000000">
        <w:rPr>
          <w:rtl w:val="0"/>
        </w:rPr>
        <w:t xml:space="preserve">, 2018). The corporation has carefully used its financial resources, technical prowess, and marketing know-how to reestablish confidence, invest in electric cars, and adhere to environmental standards, supporting its attempts to move beyond the events of 2015.</w:t>
      </w:r>
    </w:p>
    <w:p w:rsidR="00000000" w:rsidDel="00000000" w:rsidP="00000000" w:rsidRDefault="00000000" w:rsidRPr="00000000" w14:paraId="0000003E">
      <w:pPr>
        <w:spacing w:before="240" w:line="360" w:lineRule="auto"/>
        <w:jc w:val="left"/>
        <w:rPr>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3F">
      <w:pPr>
        <w:pStyle w:val="Heading1"/>
        <w:spacing w:line="360" w:lineRule="auto"/>
        <w:rPr/>
      </w:pPr>
      <w:bookmarkStart w:colFirst="0" w:colLast="0" w:name="_heading=h.3znysh7" w:id="3"/>
      <w:bookmarkEnd w:id="3"/>
      <w:r w:rsidDel="00000000" w:rsidR="00000000" w:rsidRPr="00000000">
        <w:rPr>
          <w:rtl w:val="0"/>
        </w:rPr>
        <w:t xml:space="preserve">Volkswagen's Competitive Strategy and Sustainability Initiatives</w:t>
      </w:r>
    </w:p>
    <w:p w:rsidR="00000000" w:rsidDel="00000000" w:rsidP="00000000" w:rsidRDefault="00000000" w:rsidRPr="00000000" w14:paraId="00000040">
      <w:pPr>
        <w:spacing w:before="240" w:line="360" w:lineRule="auto"/>
        <w:rPr/>
      </w:pPr>
      <w:r w:rsidDel="00000000" w:rsidR="00000000" w:rsidRPr="00000000">
        <w:rPr>
          <w:rtl w:val="0"/>
        </w:rPr>
        <w:t xml:space="preserve">Using porters five force model Volkswagen’s competitive strategy and sustainability issues are described below:</w:t>
      </w:r>
    </w:p>
    <w:p w:rsidR="00000000" w:rsidDel="00000000" w:rsidP="00000000" w:rsidRDefault="00000000" w:rsidRPr="00000000" w14:paraId="00000041">
      <w:pPr>
        <w:spacing w:before="240" w:line="360" w:lineRule="auto"/>
        <w:rPr/>
      </w:pPr>
      <w:r w:rsidDel="00000000" w:rsidR="00000000" w:rsidRPr="00000000">
        <w:rPr>
          <w:b w:val="1"/>
          <w:i w:val="1"/>
          <w:rtl w:val="0"/>
        </w:rPr>
        <w:t xml:space="preserve">Threat of New Entrants</w:t>
      </w:r>
      <w:r w:rsidDel="00000000" w:rsidR="00000000" w:rsidRPr="00000000">
        <w:rPr>
          <w:rtl w:val="0"/>
        </w:rPr>
        <w:t xml:space="preserve"> </w:t>
      </w:r>
    </w:p>
    <w:p w:rsidR="00000000" w:rsidDel="00000000" w:rsidP="00000000" w:rsidRDefault="00000000" w:rsidRPr="00000000" w14:paraId="00000042">
      <w:pPr>
        <w:spacing w:before="240" w:line="360" w:lineRule="auto"/>
        <w:rPr/>
      </w:pPr>
      <w:r w:rsidDel="00000000" w:rsidR="00000000" w:rsidRPr="00000000">
        <w:rPr>
          <w:rtl w:val="0"/>
        </w:rPr>
        <w:t xml:space="preserve">New players in the automobile business pose a modest threat to Volkswagen. New entrants face obstacles because of the high capital needs, broad distribution networks, and sophisticated production procedures. However, the increased demand for electric cars and the development of autonomous technologies may draw in new competitors with a concentration on these fields (Cummings and Angwin, 2015). Volkswagen has established a policy of making significant investments in research and development, notably in electric cars and sustainable transportation solutions, to address this danger. Volkswagen wants to preserve its competitive advantage and take a sizable chunk of the developing electric car industry by continuously inventing and releasing new models.</w:t>
      </w:r>
    </w:p>
    <w:p w:rsidR="00000000" w:rsidDel="00000000" w:rsidP="00000000" w:rsidRDefault="00000000" w:rsidRPr="00000000" w14:paraId="00000043">
      <w:pPr>
        <w:spacing w:before="240" w:line="360" w:lineRule="auto"/>
        <w:rPr>
          <w:b w:val="1"/>
          <w:i w:val="1"/>
        </w:rPr>
      </w:pPr>
      <w:r w:rsidDel="00000000" w:rsidR="00000000" w:rsidRPr="00000000">
        <w:rPr>
          <w:b w:val="1"/>
          <w:i w:val="1"/>
          <w:rtl w:val="0"/>
        </w:rPr>
        <w:t xml:space="preserve">Supplier’s bargaining power</w:t>
      </w:r>
    </w:p>
    <w:p w:rsidR="00000000" w:rsidDel="00000000" w:rsidP="00000000" w:rsidRDefault="00000000" w:rsidRPr="00000000" w14:paraId="00000044">
      <w:pPr>
        <w:spacing w:before="240" w:line="360" w:lineRule="auto"/>
        <w:rPr/>
      </w:pPr>
      <w:r w:rsidDel="00000000" w:rsidR="00000000" w:rsidRPr="00000000">
        <w:rPr>
          <w:rtl w:val="0"/>
        </w:rPr>
        <w:t xml:space="preserve">Due to the industry's heavy reliance on specialized parts and materials, suppliers in the automobile sector may have tremendous negotiating leverage. However, Volkswagen can negotiate favourable prices with suppliers because of its substantial worldwide presence and economies of scale (Royer, 2013). Volkswagen also partners with suppliers that adhere to strict environmental requirements as a result of its focus on sustainability and environmental compliance. Volkswagen aligns its sourcing practices with its sustainability aims and maintains a secure supply chain by working with environmentally friendly suppliers.</w:t>
      </w:r>
    </w:p>
    <w:p w:rsidR="00000000" w:rsidDel="00000000" w:rsidP="00000000" w:rsidRDefault="00000000" w:rsidRPr="00000000" w14:paraId="00000045">
      <w:pPr>
        <w:spacing w:before="240" w:line="360" w:lineRule="auto"/>
        <w:rPr>
          <w:b w:val="1"/>
          <w:i w:val="1"/>
        </w:rPr>
      </w:pPr>
      <w:r w:rsidDel="00000000" w:rsidR="00000000" w:rsidRPr="00000000">
        <w:rPr>
          <w:b w:val="1"/>
          <w:i w:val="1"/>
          <w:rtl w:val="0"/>
        </w:rPr>
        <w:t xml:space="preserve">Buyers' Bargaining Power</w:t>
      </w:r>
    </w:p>
    <w:p w:rsidR="00000000" w:rsidDel="00000000" w:rsidP="00000000" w:rsidRDefault="00000000" w:rsidRPr="00000000" w14:paraId="00000046">
      <w:pPr>
        <w:spacing w:before="240" w:line="360" w:lineRule="auto"/>
        <w:rPr/>
      </w:pPr>
      <w:r w:rsidDel="00000000" w:rsidR="00000000" w:rsidRPr="00000000">
        <w:rPr>
          <w:rtl w:val="0"/>
        </w:rPr>
        <w:t xml:space="preserve">Since there is fierce rivalry in the automobile sector, buyers have a lot of negotiating power. Customers' faith in Volkswagen was badly damaged by the "dieselgate" affair, which led to increasing price sensitivity and an emphasis on sustainable practices. VW has responded to this by using price tactics to maintain competition while providing incentives for buying eco-friendly vehicles. The firm hopes to attract environmentally concerned customers with its investment in electric cars and dedication to sustainability, strengthening its competitive position.</w:t>
      </w:r>
    </w:p>
    <w:p w:rsidR="00000000" w:rsidDel="00000000" w:rsidP="00000000" w:rsidRDefault="00000000" w:rsidRPr="00000000" w14:paraId="00000047">
      <w:pPr>
        <w:spacing w:before="240" w:line="360" w:lineRule="auto"/>
        <w:rPr>
          <w:b w:val="1"/>
          <w:i w:val="1"/>
        </w:rPr>
      </w:pPr>
      <w:r w:rsidDel="00000000" w:rsidR="00000000" w:rsidRPr="00000000">
        <w:rPr>
          <w:b w:val="1"/>
          <w:i w:val="1"/>
          <w:rtl w:val="0"/>
        </w:rPr>
        <w:t xml:space="preserve">Threat of Substitutes </w:t>
      </w:r>
    </w:p>
    <w:p w:rsidR="00000000" w:rsidDel="00000000" w:rsidP="00000000" w:rsidRDefault="00000000" w:rsidRPr="00000000" w14:paraId="00000048">
      <w:pPr>
        <w:spacing w:before="240" w:line="360" w:lineRule="auto"/>
        <w:rPr/>
      </w:pPr>
      <w:r w:rsidDel="00000000" w:rsidR="00000000" w:rsidRPr="00000000">
        <w:rPr>
          <w:rtl w:val="0"/>
        </w:rPr>
        <w:t xml:space="preserve">The growth of shared mobility services and other means of transportation poses a threat to the automobile industry. Volkswagen has broadened its business strategy in response to this challenge by investigating mobility services, such as ride-sharing and car-sharing platforms (Higgins, Omer, and Phillips, 2014). VW hopes to lessen the effect of replacements while coordinating its business strategy with environmental goals by making investments in these sectors and creating cutting-edge mobility solutions.</w:t>
      </w:r>
    </w:p>
    <w:p w:rsidR="00000000" w:rsidDel="00000000" w:rsidP="00000000" w:rsidRDefault="00000000" w:rsidRPr="00000000" w14:paraId="00000049">
      <w:pPr>
        <w:spacing w:before="240" w:line="360" w:lineRule="auto"/>
        <w:rPr>
          <w:b w:val="1"/>
          <w:i w:val="1"/>
        </w:rPr>
      </w:pPr>
      <w:r w:rsidDel="00000000" w:rsidR="00000000" w:rsidRPr="00000000">
        <w:rPr>
          <w:b w:val="1"/>
          <w:i w:val="1"/>
          <w:rtl w:val="0"/>
        </w:rPr>
        <w:t xml:space="preserve">Rivalry in the industry</w:t>
      </w:r>
    </w:p>
    <w:p w:rsidR="00000000" w:rsidDel="00000000" w:rsidP="00000000" w:rsidRDefault="00000000" w:rsidRPr="00000000" w14:paraId="0000004A">
      <w:pPr>
        <w:spacing w:before="240" w:line="360" w:lineRule="auto"/>
        <w:rPr/>
      </w:pPr>
      <w:r w:rsidDel="00000000" w:rsidR="00000000" w:rsidRPr="00000000">
        <w:rPr>
          <w:rtl w:val="0"/>
        </w:rPr>
        <w:t xml:space="preserve">Competition in the automobile business is fierce, with several international competitors fighting for market dominance. Major manufacturers like Toyota, General Motors, and others fiercely compete with Volkswagen (Dethine, Enjolras, and Monticolo, 2020). VW has intentionally focused on sustainability and electric cars to stand out from rivals and increase its competitiveness. Volkswagen seeks to acquire a competitive edge and solidify its position as a pioneer in sustainable mobility by forging a significant presence in the electric car industry.</w:t>
      </w:r>
    </w:p>
    <w:p w:rsidR="00000000" w:rsidDel="00000000" w:rsidP="00000000" w:rsidRDefault="00000000" w:rsidRPr="00000000" w14:paraId="0000004B">
      <w:pPr>
        <w:spacing w:before="240" w:line="360" w:lineRule="auto"/>
        <w:rPr/>
      </w:pPr>
      <w:r w:rsidDel="00000000" w:rsidR="00000000" w:rsidRPr="00000000">
        <w:rPr>
          <w:rtl w:val="0"/>
        </w:rPr>
        <w:t xml:space="preserve">Volkswagen has used a complex strategy to raise its level of competitiveness while taking sustainability and the environment into account. The corporation has made significant investments in research and development, notably in electric cars and environmentally friendly transportation options (Guesalaga </w:t>
      </w:r>
      <w:r w:rsidDel="00000000" w:rsidR="00000000" w:rsidRPr="00000000">
        <w:rPr>
          <w:i w:val="1"/>
          <w:rtl w:val="0"/>
        </w:rPr>
        <w:t xml:space="preserve">et al.</w:t>
      </w:r>
      <w:r w:rsidDel="00000000" w:rsidR="00000000" w:rsidRPr="00000000">
        <w:rPr>
          <w:rtl w:val="0"/>
        </w:rPr>
        <w:t xml:space="preserve">, 2018). VW has also partnered with eco-aware suppliers and matched its procurement methods with environmental criteria. In addition to addressing the "dieselgate" repercussions and establishing itself as a market leader in the expanding electric car industry, the company's strategy emphasizes sustainability and attempts to reestablish consumer confidence. Volkswagen has developed strategies to overcome industry issues and strengthen its competitive advantage while embracing sustainability and environmental responsibility by using the insights offered by Porter's Five Forces Model.</w:t>
      </w:r>
    </w:p>
    <w:p w:rsidR="00000000" w:rsidDel="00000000" w:rsidP="00000000" w:rsidRDefault="00000000" w:rsidRPr="00000000" w14:paraId="0000004C">
      <w:pPr>
        <w:spacing w:before="240" w:line="360" w:lineRule="auto"/>
        <w:jc w:val="left"/>
        <w:rPr>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4D">
      <w:pPr>
        <w:pStyle w:val="Heading1"/>
        <w:spacing w:line="360" w:lineRule="auto"/>
        <w:rPr/>
      </w:pPr>
      <w:bookmarkStart w:colFirst="0" w:colLast="0" w:name="_heading=h.2et92p0" w:id="4"/>
      <w:bookmarkEnd w:id="4"/>
      <w:r w:rsidDel="00000000" w:rsidR="00000000" w:rsidRPr="00000000">
        <w:rPr>
          <w:rtl w:val="0"/>
        </w:rPr>
        <w:t xml:space="preserve">Recommendations for Developing Competitive Advantages for Volkswagen </w:t>
      </w:r>
    </w:p>
    <w:p w:rsidR="00000000" w:rsidDel="00000000" w:rsidP="00000000" w:rsidRDefault="00000000" w:rsidRPr="00000000" w14:paraId="0000004E">
      <w:pPr>
        <w:spacing w:before="240" w:line="360" w:lineRule="auto"/>
        <w:rPr/>
      </w:pPr>
      <w:r w:rsidDel="00000000" w:rsidR="00000000" w:rsidRPr="00000000">
        <w:rPr>
          <w:rtl w:val="0"/>
        </w:rPr>
        <w:t xml:space="preserve">The following describes some key recommendations for Volkswagen in terms of gaining a competitive advantage in the global market.</w:t>
      </w:r>
    </w:p>
    <w:p w:rsidR="00000000" w:rsidDel="00000000" w:rsidP="00000000" w:rsidRDefault="00000000" w:rsidRPr="00000000" w14:paraId="0000004F">
      <w:pPr>
        <w:spacing w:before="240" w:line="360" w:lineRule="auto"/>
        <w:rPr/>
      </w:pPr>
      <w:r w:rsidDel="00000000" w:rsidR="00000000" w:rsidRPr="00000000">
        <w:rPr>
          <w:b w:val="1"/>
          <w:i w:val="1"/>
          <w:rtl w:val="0"/>
        </w:rPr>
        <w:t xml:space="preserve">Fast-track the Transition to Electric Cars:</w:t>
      </w:r>
      <w:r w:rsidDel="00000000" w:rsidR="00000000" w:rsidRPr="00000000">
        <w:rPr>
          <w:rtl w:val="0"/>
        </w:rPr>
        <w:t xml:space="preserve"> As a crucial sustainability strategy, Volkswagen should step up its efforts to make the switch to electric cars (EVs). The business may increase its portfolio of electric vehicles and provide a varied selection of electric models to suit a variety of consumer preferences by spending more on EV technology research and development (Dethine, Enjolras, and Monticolo, 2020). Volkswagen may gain a competitive edge by offering a wide range of EVs, particularly as customer demand for eco-friendly transportation keeps rising. </w:t>
      </w:r>
    </w:p>
    <w:p w:rsidR="00000000" w:rsidDel="00000000" w:rsidP="00000000" w:rsidRDefault="00000000" w:rsidRPr="00000000" w14:paraId="00000050">
      <w:pPr>
        <w:spacing w:before="240" w:line="360" w:lineRule="auto"/>
        <w:rPr/>
      </w:pPr>
      <w:r w:rsidDel="00000000" w:rsidR="00000000" w:rsidRPr="00000000">
        <w:rPr>
          <w:b w:val="1"/>
          <w:i w:val="1"/>
          <w:rtl w:val="0"/>
        </w:rPr>
        <w:t xml:space="preserve">Strengthen Sustainable Supply Chain Management:</w:t>
      </w:r>
      <w:r w:rsidDel="00000000" w:rsidR="00000000" w:rsidRPr="00000000">
        <w:rPr>
          <w:rtl w:val="0"/>
        </w:rPr>
        <w:t xml:space="preserve"> VW should put sustainability first across its supply chain by working with vendors that follow stringent ethical and environmental guidelines. A responsible and sustainable supply chain may be ensured by doing regular audits to evaluate suppliers' environmental practices, labor conditions, and adherence to sustainability standards (Glavas and Mish, 2014). Volkswagen can strengthen its brand name and attract customers who care about the environment by incorporating eco-friendly practices into the sourcing and production processes. </w:t>
      </w:r>
    </w:p>
    <w:p w:rsidR="00000000" w:rsidDel="00000000" w:rsidP="00000000" w:rsidRDefault="00000000" w:rsidRPr="00000000" w14:paraId="00000051">
      <w:pPr>
        <w:spacing w:before="240" w:line="360" w:lineRule="auto"/>
        <w:rPr/>
      </w:pPr>
      <w:r w:rsidDel="00000000" w:rsidR="00000000" w:rsidRPr="00000000">
        <w:rPr>
          <w:b w:val="1"/>
          <w:i w:val="1"/>
          <w:rtl w:val="0"/>
        </w:rPr>
        <w:t xml:space="preserve">Improve Communication and Transparency:</w:t>
      </w:r>
      <w:r w:rsidDel="00000000" w:rsidR="00000000" w:rsidRPr="00000000">
        <w:rPr>
          <w:rtl w:val="0"/>
        </w:rPr>
        <w:t xml:space="preserve"> Volkswagen should communicate more openly about its sustainability initiatives to gain and keep the confidence of consumers and other stakeholders. VW will show its commitment to sustainability by releasing transparent and thorough sustainability reports that include environmental performance, progress toward emission reduction targets, and ethical business practices (J, 2014). Transparent communication will help the business regain its reputation, grow customer confidence, and set it apart from rivals. </w:t>
      </w:r>
    </w:p>
    <w:p w:rsidR="00000000" w:rsidDel="00000000" w:rsidP="00000000" w:rsidRDefault="00000000" w:rsidRPr="00000000" w14:paraId="00000052">
      <w:pPr>
        <w:spacing w:before="240" w:line="360" w:lineRule="auto"/>
        <w:rPr/>
      </w:pPr>
      <w:r w:rsidDel="00000000" w:rsidR="00000000" w:rsidRPr="00000000">
        <w:rPr>
          <w:b w:val="1"/>
          <w:i w:val="1"/>
          <w:rtl w:val="0"/>
        </w:rPr>
        <w:t xml:space="preserve">Invest in Green Technology and Infrastructure:</w:t>
      </w:r>
      <w:r w:rsidDel="00000000" w:rsidR="00000000" w:rsidRPr="00000000">
        <w:rPr>
          <w:rtl w:val="0"/>
        </w:rPr>
        <w:t xml:space="preserve"> By making investments in green technology and an infrastructure that supports electric mobility, Volkswagen may gain a competitive edge. Consumers will find owning an EV more easy and more enticing if governments and energy companies work together to increase charging networks and encourage renewable energy sources. Furthermore, VW will be seen as a progressive and creative corporation if it develops and uses cutting-edge technology like smart charging options and vehicle-to-grid connections. </w:t>
      </w:r>
    </w:p>
    <w:p w:rsidR="00000000" w:rsidDel="00000000" w:rsidP="00000000" w:rsidRDefault="00000000" w:rsidRPr="00000000" w14:paraId="00000053">
      <w:pPr>
        <w:spacing w:before="240" w:line="360" w:lineRule="auto"/>
        <w:rPr/>
      </w:pPr>
      <w:r w:rsidDel="00000000" w:rsidR="00000000" w:rsidRPr="00000000">
        <w:rPr>
          <w:b w:val="1"/>
          <w:i w:val="1"/>
          <w:rtl w:val="0"/>
        </w:rPr>
        <w:t xml:space="preserve">Adopt Circular Economy concepts: </w:t>
      </w:r>
      <w:r w:rsidDel="00000000" w:rsidR="00000000" w:rsidRPr="00000000">
        <w:rPr>
          <w:rtl w:val="0"/>
        </w:rPr>
        <w:t xml:space="preserve">Volkswagen should adopt circular economy concepts to better improve sustainability practices (Guesalaga </w:t>
      </w:r>
      <w:r w:rsidDel="00000000" w:rsidR="00000000" w:rsidRPr="00000000">
        <w:rPr>
          <w:i w:val="1"/>
          <w:rtl w:val="0"/>
        </w:rPr>
        <w:t xml:space="preserve">et al.</w:t>
      </w:r>
      <w:r w:rsidDel="00000000" w:rsidR="00000000" w:rsidRPr="00000000">
        <w:rPr>
          <w:rtl w:val="0"/>
        </w:rPr>
        <w:t xml:space="preserve">, 2018). The corporation may lessen waste and the environmental effect of its goods by developing cars with recyclability and resource efficiency in mind. Investigating possibilities for the reuse and remanufacturing of vehicle parts and materials would not only help to preserve the environment but will also save money and lead to better resource management. VW's commitment to sustainability will be shown by adopting a circular economy strategy, which will also provide the company with a competitive edge as customers place more value on businesses that care about the environment.</w:t>
      </w:r>
    </w:p>
    <w:p w:rsidR="00000000" w:rsidDel="00000000" w:rsidP="00000000" w:rsidRDefault="00000000" w:rsidRPr="00000000" w14:paraId="00000054">
      <w:pPr>
        <w:spacing w:before="240" w:line="360" w:lineRule="auto"/>
        <w:rPr/>
      </w:pPr>
      <w:r w:rsidDel="00000000" w:rsidR="00000000" w:rsidRPr="00000000">
        <w:rPr>
          <w:rtl w:val="0"/>
        </w:rPr>
        <w:t xml:space="preserve">In conclusion, it can be said that by adopting more sustainable practices, Volkswagen may gain a competitive edge in the future (Glavas and Mish, 2014). The company will be positioned as a leader in sustainable mobility solutions if it accelerates the switch to electric vehicles, strengthens sustainable supply chain management, improves transparency and communication, invests in green technology and infrastructure, and adopts circular economy principles.</w:t>
      </w:r>
    </w:p>
    <w:p w:rsidR="00000000" w:rsidDel="00000000" w:rsidP="00000000" w:rsidRDefault="00000000" w:rsidRPr="00000000" w14:paraId="00000055">
      <w:pPr>
        <w:spacing w:before="240" w:line="360" w:lineRule="auto"/>
        <w:jc w:val="left"/>
        <w:rPr>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56">
      <w:pPr>
        <w:pStyle w:val="Heading1"/>
        <w:spacing w:line="360" w:lineRule="auto"/>
        <w:rPr/>
      </w:pPr>
      <w:bookmarkStart w:colFirst="0" w:colLast="0" w:name="_heading=h.tyjcwt" w:id="5"/>
      <w:bookmarkEnd w:id="5"/>
      <w:r w:rsidDel="00000000" w:rsidR="00000000" w:rsidRPr="00000000">
        <w:rPr>
          <w:rtl w:val="0"/>
        </w:rPr>
        <w:t xml:space="preserve">Conclusion </w:t>
      </w:r>
    </w:p>
    <w:p w:rsidR="00000000" w:rsidDel="00000000" w:rsidP="00000000" w:rsidRDefault="00000000" w:rsidRPr="00000000" w14:paraId="00000057">
      <w:pPr>
        <w:spacing w:before="240" w:line="360" w:lineRule="auto"/>
        <w:rPr/>
      </w:pPr>
      <w:r w:rsidDel="00000000" w:rsidR="00000000" w:rsidRPr="00000000">
        <w:rPr>
          <w:rtl w:val="0"/>
        </w:rPr>
        <w:t xml:space="preserve">This report determines by highlighting Volkswagen's efforts to improve its competitive advantages via green mobility strategies. As a result of the company's reaction to the "Dieselgate" incident, major investments in electric cars, sustainability, and ethical supply chain management have been made (Sanchez </w:t>
      </w:r>
      <w:r w:rsidDel="00000000" w:rsidR="00000000" w:rsidRPr="00000000">
        <w:rPr>
          <w:i w:val="1"/>
          <w:rtl w:val="0"/>
        </w:rPr>
        <w:t xml:space="preserve">et al.</w:t>
      </w:r>
      <w:r w:rsidDel="00000000" w:rsidR="00000000" w:rsidRPr="00000000">
        <w:rPr>
          <w:rtl w:val="0"/>
        </w:rPr>
        <w:t xml:space="preserve">, 2017). Volkswagen has adapted its business strategy to the shifting market needs and environmental concerns by using its financial resources, technical prowess, and strong brand recognition. Volkswagen has established itself as a leader in sustainable mobility solutions by adopting sustainability initiatives, open communication, and a dedication to circular economy concepts (J, 2014). With these actions, the firm hopes to regain consumer satisfaction, stand out from the competition, and succeed in the coming automobile market.</w:t>
      </w:r>
    </w:p>
    <w:p w:rsidR="00000000" w:rsidDel="00000000" w:rsidP="00000000" w:rsidRDefault="00000000" w:rsidRPr="00000000" w14:paraId="00000058">
      <w:pPr>
        <w:spacing w:before="240" w:line="360" w:lineRule="auto"/>
        <w:jc w:val="left"/>
        <w:rPr>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59">
      <w:pPr>
        <w:pStyle w:val="Heading1"/>
        <w:spacing w:line="360" w:lineRule="auto"/>
        <w:rPr/>
      </w:pPr>
      <w:bookmarkStart w:colFirst="0" w:colLast="0" w:name="_heading=h.3dy6vkm" w:id="6"/>
      <w:bookmarkEnd w:id="6"/>
      <w:r w:rsidDel="00000000" w:rsidR="00000000" w:rsidRPr="00000000">
        <w:rPr>
          <w:rtl w:val="0"/>
        </w:rPr>
        <w:t xml:space="preserve">References </w:t>
      </w:r>
    </w:p>
    <w:p w:rsidR="00000000" w:rsidDel="00000000" w:rsidP="00000000" w:rsidRDefault="00000000" w:rsidRPr="00000000" w14:paraId="0000005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Ashrafi, R. and Mueller, J. (2015) “Delineating IT resources and capabilities to obtain competitive advantage and improve firm performance,”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Information Systems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32(1), pp. 15–38. Available at: https://doi.org/10.1080/10580530.2015.983016.</w:t>
      </w:r>
    </w:p>
    <w:p w:rsidR="00000000" w:rsidDel="00000000" w:rsidP="00000000" w:rsidRDefault="00000000" w:rsidRPr="00000000" w14:paraId="0000005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Azevedo, C.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(2015) “Modeling resources and capabilities in enterprise architecture: A well-founded ontology-based proposal for ArchiMate,”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Information Systems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54, pp. 235–262. Available at: https://doi.org/10.1016/j.is.2015.04.008.</w:t>
      </w:r>
    </w:p>
    <w:p w:rsidR="00000000" w:rsidDel="00000000" w:rsidP="00000000" w:rsidRDefault="00000000" w:rsidRPr="00000000" w14:paraId="0000005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Barney, J.B. (2012) “Gaining and sustaining a competitive advantage,” in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Routledge eBooks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 313–335. Available at: https://doi.org/10.4324/9780080492780-16.</w:t>
      </w:r>
    </w:p>
    <w:p w:rsidR="00000000" w:rsidDel="00000000" w:rsidP="00000000" w:rsidRDefault="00000000" w:rsidRPr="00000000" w14:paraId="0000005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Borland, H.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(2018)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Business Strategies for Sustainability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Routledge.</w:t>
      </w:r>
    </w:p>
    <w:p w:rsidR="00000000" w:rsidDel="00000000" w:rsidP="00000000" w:rsidRDefault="00000000" w:rsidRPr="00000000" w14:paraId="0000005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Cummings, S. and Angwin, D. (2015)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Strategy Builder: How to Create and Communicate More Effective Strategies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John Wiley &amp; Sons.</w:t>
      </w:r>
    </w:p>
    <w:p w:rsidR="00000000" w:rsidDel="00000000" w:rsidP="00000000" w:rsidRDefault="00000000" w:rsidRPr="00000000" w14:paraId="0000005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 Bruin, L. (2020) “Porter’s Five Forces,”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B2U - Business-to-you.com</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[Preprint]. Available at: https://www.business-to-you.com/porters-five-forces/.</w:t>
      </w:r>
    </w:p>
    <w:p w:rsidR="00000000" w:rsidDel="00000000" w:rsidP="00000000" w:rsidRDefault="00000000" w:rsidRPr="00000000" w14:paraId="0000006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Dethine, B., Enjolras, M. and Monticolo, D. (2020) “Digitalization and SMEs’ export Management: Impacts on resources and capabilities,”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Technology Innovation Management Review</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10(4), pp. 18–34. Available at: https://doi.org/10.22215/timreview/1344.</w:t>
      </w:r>
    </w:p>
    <w:p w:rsidR="00000000" w:rsidDel="00000000" w:rsidP="00000000" w:rsidRDefault="00000000" w:rsidRPr="00000000" w14:paraId="0000006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Elodie (2022) “Pestel analysis: A tool to understand the market,”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Waalaxy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[Preprint]. Available at: https://blog.waalaxy.com/en/pestel-analysis/.</w:t>
      </w:r>
    </w:p>
    <w:p w:rsidR="00000000" w:rsidDel="00000000" w:rsidP="00000000" w:rsidRDefault="00000000" w:rsidRPr="00000000" w14:paraId="0000006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Glavas, A. and Mish, J. (2014) “Resources and capabilities of triple bottom line firms: going over old or breaking new ground?”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Business Ethics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127(3), pp. 623–642. Available at: https://doi.org/10.1007/s10551-014-2067-1.</w:t>
      </w:r>
    </w:p>
    <w:p w:rsidR="00000000" w:rsidDel="00000000" w:rsidP="00000000" w:rsidRDefault="00000000" w:rsidRPr="00000000" w14:paraId="0000006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Guesalaga, R.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(2018) “Which resources and capabilities underpin strategic key account management?”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Industrial Marketing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75, pp. 160–172. Available at: https://doi.org/10.1016/j.indmarman.2018.05.006.</w:t>
      </w:r>
    </w:p>
    <w:p w:rsidR="00000000" w:rsidDel="00000000" w:rsidP="00000000" w:rsidRDefault="00000000" w:rsidRPr="00000000" w14:paraId="0000006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Higgins, D., Omer, T.C. and Phillips, J.A. (2014) “The Influence of a Firm’s Business Strategy on its Tax Aggressiveness,”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Contemporary Accounting Research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32(2), pp. 674–702. Available at: https://doi.org/10.1111/1911-3846.12087.</w:t>
      </w:r>
    </w:p>
    <w:p w:rsidR="00000000" w:rsidDel="00000000" w:rsidP="00000000" w:rsidRDefault="00000000" w:rsidRPr="00000000" w14:paraId="0000006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Hogarth, M. (2018)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Business Strategies for magazine publishing: How to Survive in the Digital Age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Routledge.</w:t>
      </w:r>
    </w:p>
    <w:p w:rsidR="00000000" w:rsidDel="00000000" w:rsidP="00000000" w:rsidRDefault="00000000" w:rsidRPr="00000000" w14:paraId="0000006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 S.S./ D.M.M./ S. a. &amp; P. (2014)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Business Policy and Strategic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 Chand Publishing.</w:t>
      </w:r>
    </w:p>
    <w:p w:rsidR="00000000" w:rsidDel="00000000" w:rsidP="00000000" w:rsidRDefault="00000000" w:rsidRPr="00000000" w14:paraId="0000006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Jiang, W. (2014)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Business partnerships and organizational performance: The Role of Resources and Capabilities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Springer.</w:t>
      </w:r>
    </w:p>
    <w:p w:rsidR="00000000" w:rsidDel="00000000" w:rsidP="00000000" w:rsidRDefault="00000000" w:rsidRPr="00000000" w14:paraId="0000006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Leonidou, L.C.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(2013) “Resources and capabilities as drivers of hotel environmental marketing strategy: Implications for competitive advantage and performance,”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Tourism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35, pp. 94–110. Available at: https://doi.org/10.1016/j.tourman.2012.06.003.</w:t>
      </w:r>
    </w:p>
    <w:p w:rsidR="00000000" w:rsidDel="00000000" w:rsidP="00000000" w:rsidRDefault="00000000" w:rsidRPr="00000000" w14:paraId="0000006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Markovic, S., Sancha, C. and Lindgreen, A. (2021)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Handbook of Sustainability-Driven Business Strategies in Practice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Edward Elgar Publishing.</w:t>
      </w:r>
    </w:p>
    <w:p w:rsidR="00000000" w:rsidDel="00000000" w:rsidP="00000000" w:rsidRDefault="00000000" w:rsidRPr="00000000" w14:paraId="0000006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Maurer, D. (2016)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Strategies and systematic implementation of innovation management for sustainable business success: An analysis of Google Inc.</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GRIN Verlag.</w:t>
      </w:r>
    </w:p>
    <w:p w:rsidR="00000000" w:rsidDel="00000000" w:rsidP="00000000" w:rsidRDefault="00000000" w:rsidRPr="00000000" w14:paraId="0000006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McGrath, R.G. (2013)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end of competitive advantage: How to Keep Your Strategy Moving as Fast as Your Business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Harvard Business Review Press.</w:t>
      </w:r>
    </w:p>
    <w:p w:rsidR="00000000" w:rsidDel="00000000" w:rsidP="00000000" w:rsidRDefault="00000000" w:rsidRPr="00000000" w14:paraId="0000006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Narandas, Y. (2013)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effect of information systems resources and capabilities on company performance in the South African financial services industry: A Resource Based Perspective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6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Nijssen, E.J. and Frambach, R.T. (2013)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Creating customer value through strategic marketing planning: A Management Approach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Springer Science &amp; Business Media.</w:t>
      </w:r>
    </w:p>
    <w:p w:rsidR="00000000" w:rsidDel="00000000" w:rsidP="00000000" w:rsidRDefault="00000000" w:rsidRPr="00000000" w14:paraId="0000006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Royer, S. (2013)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Strategic management and online selling: Creating Competitive Advantage with Intangible Web Goods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Routledge.</w:t>
      </w:r>
    </w:p>
    <w:p w:rsidR="00000000" w:rsidDel="00000000" w:rsidP="00000000" w:rsidRDefault="00000000" w:rsidRPr="00000000" w14:paraId="0000006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Sanchez, R.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(2017)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Mid-Range Management Theory: Competence Perspectives on Modularity and Dynamic Capabilities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Emerald Group Publishing.</w:t>
      </w:r>
    </w:p>
    <w:p w:rsidR="00000000" w:rsidDel="00000000" w:rsidP="00000000" w:rsidRDefault="00000000" w:rsidRPr="00000000" w14:paraId="0000007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Shewan, D. (2022) “How to do a SWOT Analysis (Examples &amp; free template!),”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WordStream</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3 September. Available at: https://www.wordstream.com/blog/ws/2017/12/20/swot-analysis.</w:t>
      </w:r>
    </w:p>
    <w:p w:rsidR="00000000" w:rsidDel="00000000" w:rsidP="00000000" w:rsidRDefault="00000000" w:rsidRPr="00000000" w14:paraId="00000071">
      <w:pPr>
        <w:spacing w:before="240" w:line="360" w:lineRule="auto"/>
        <w:rPr/>
      </w:pPr>
      <w:r w:rsidDel="00000000" w:rsidR="00000000" w:rsidRPr="00000000">
        <w:rPr>
          <w:rtl w:val="0"/>
        </w:rPr>
      </w:r>
    </w:p>
    <w:p w:rsidR="00000000" w:rsidDel="00000000" w:rsidP="00000000" w:rsidRDefault="00000000" w:rsidRPr="00000000" w14:paraId="0000007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240" w:line="360" w:lineRule="auto"/>
        <w:ind w:left="720" w:right="0" w:hanging="360"/>
        <w:jc w:val="left"/>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73">
      <w:pPr>
        <w:pStyle w:val="Heading1"/>
        <w:spacing w:line="360" w:lineRule="auto"/>
        <w:rPr/>
      </w:pPr>
      <w:bookmarkStart w:colFirst="0" w:colLast="0" w:name="_heading=h.1t3h5sf" w:id="7"/>
      <w:bookmarkEnd w:id="7"/>
      <w:r w:rsidDel="00000000" w:rsidR="00000000" w:rsidRPr="00000000">
        <w:rPr>
          <w:rtl w:val="0"/>
        </w:rPr>
        <w:t xml:space="preserve">Appendix</w:t>
      </w:r>
    </w:p>
    <w:p w:rsidR="00000000" w:rsidDel="00000000" w:rsidP="00000000" w:rsidRDefault="00000000" w:rsidRPr="00000000" w14:paraId="00000074">
      <w:pPr>
        <w:spacing w:before="240" w:line="360" w:lineRule="auto"/>
        <w:rPr>
          <w:b w:val="1"/>
        </w:rPr>
      </w:pPr>
      <w:r w:rsidDel="00000000" w:rsidR="00000000" w:rsidRPr="00000000">
        <w:rPr>
          <w:b w:val="1"/>
          <w:rtl w:val="0"/>
        </w:rPr>
        <w:t xml:space="preserve">SWOT analysis </w:t>
      </w:r>
    </w:p>
    <w:p w:rsidR="00000000" w:rsidDel="00000000" w:rsidP="00000000" w:rsidRDefault="00000000" w:rsidRPr="00000000" w14:paraId="00000075">
      <w:pPr>
        <w:spacing w:before="240" w:line="360" w:lineRule="auto"/>
        <w:rPr/>
      </w:pPr>
      <w:r w:rsidDel="00000000" w:rsidR="00000000" w:rsidRPr="00000000">
        <w:rPr/>
        <w:drawing>
          <wp:inline distB="0" distT="0" distL="0" distR="0">
            <wp:extent cx="3926473" cy="2966123"/>
            <wp:effectExtent b="0" l="0" r="0" t="0"/>
            <wp:docPr descr="How to Do a SWOT Analysis (Examples &amp; Free Template!)" id="7" name="image2.png"/>
            <a:graphic>
              <a:graphicData uri="http://schemas.openxmlformats.org/drawingml/2006/picture">
                <pic:pic>
                  <pic:nvPicPr>
                    <pic:cNvPr descr="How to Do a SWOT Analysis (Examples &amp; Free Template!)" id="0" name="image2.png"/>
                    <pic:cNvPicPr preferRelativeResize="0"/>
                  </pic:nvPicPr>
                  <pic:blipFill>
                    <a:blip r:embed="rId8"/>
                    <a:srcRect b="0" l="0" r="0" t="0"/>
                    <a:stretch>
                      <a:fillRect/>
                    </a:stretch>
                  </pic:blipFill>
                  <pic:spPr>
                    <a:xfrm>
                      <a:off x="0" y="0"/>
                      <a:ext cx="3926473" cy="2966123"/>
                    </a:xfrm>
                    <a:prstGeom prst="rect"/>
                    <a:ln/>
                  </pic:spPr>
                </pic:pic>
              </a:graphicData>
            </a:graphic>
          </wp:inline>
        </w:drawing>
      </w:r>
      <w:r w:rsidDel="00000000" w:rsidR="00000000" w:rsidRPr="00000000">
        <w:rPr>
          <w:rtl w:val="0"/>
        </w:rPr>
      </w:r>
    </w:p>
    <w:p w:rsidR="00000000" w:rsidDel="00000000" w:rsidP="00000000" w:rsidRDefault="00000000" w:rsidRPr="00000000" w14:paraId="00000076">
      <w:pPr>
        <w:spacing w:before="240" w:line="360" w:lineRule="auto"/>
        <w:rPr/>
      </w:pPr>
      <w:r w:rsidDel="00000000" w:rsidR="00000000" w:rsidRPr="00000000">
        <w:rPr>
          <w:rtl w:val="0"/>
        </w:rPr>
        <w:t xml:space="preserve">Source: (Shewan, 2022)</w:t>
      </w:r>
    </w:p>
    <w:p w:rsidR="00000000" w:rsidDel="00000000" w:rsidP="00000000" w:rsidRDefault="00000000" w:rsidRPr="00000000" w14:paraId="00000077">
      <w:pPr>
        <w:spacing w:before="240" w:line="360" w:lineRule="auto"/>
        <w:rPr>
          <w:b w:val="1"/>
        </w:rPr>
      </w:pPr>
      <w:r w:rsidDel="00000000" w:rsidR="00000000" w:rsidRPr="00000000">
        <w:rPr>
          <w:b w:val="1"/>
          <w:rtl w:val="0"/>
        </w:rPr>
        <w:t xml:space="preserve">PESTEL analysis</w:t>
      </w:r>
    </w:p>
    <w:p w:rsidR="00000000" w:rsidDel="00000000" w:rsidP="00000000" w:rsidRDefault="00000000" w:rsidRPr="00000000" w14:paraId="00000078">
      <w:pPr>
        <w:spacing w:before="240" w:line="360" w:lineRule="auto"/>
        <w:rPr/>
      </w:pPr>
      <w:r w:rsidDel="00000000" w:rsidR="00000000" w:rsidRPr="00000000">
        <w:rPr/>
        <w:drawing>
          <wp:inline distB="0" distT="0" distL="0" distR="0">
            <wp:extent cx="4165027" cy="2944909"/>
            <wp:effectExtent b="0" l="0" r="0" t="0"/>
            <wp:docPr descr="PESTEL analysis = Definition and Examples in USA [2023 ]" id="6" name="image4.png"/>
            <a:graphic>
              <a:graphicData uri="http://schemas.openxmlformats.org/drawingml/2006/picture">
                <pic:pic>
                  <pic:nvPicPr>
                    <pic:cNvPr descr="PESTEL analysis = Definition and Examples in USA [2023 ]" id="0" name="image4.png"/>
                    <pic:cNvPicPr preferRelativeResize="0"/>
                  </pic:nvPicPr>
                  <pic:blipFill>
                    <a:blip r:embed="rId9"/>
                    <a:srcRect b="0" l="0" r="0" t="0"/>
                    <a:stretch>
                      <a:fillRect/>
                    </a:stretch>
                  </pic:blipFill>
                  <pic:spPr>
                    <a:xfrm>
                      <a:off x="0" y="0"/>
                      <a:ext cx="4165027" cy="2944909"/>
                    </a:xfrm>
                    <a:prstGeom prst="rect"/>
                    <a:ln/>
                  </pic:spPr>
                </pic:pic>
              </a:graphicData>
            </a:graphic>
          </wp:inline>
        </w:drawing>
      </w:r>
      <w:r w:rsidDel="00000000" w:rsidR="00000000" w:rsidRPr="00000000">
        <w:rPr>
          <w:rtl w:val="0"/>
        </w:rPr>
      </w:r>
    </w:p>
    <w:p w:rsidR="00000000" w:rsidDel="00000000" w:rsidP="00000000" w:rsidRDefault="00000000" w:rsidRPr="00000000" w14:paraId="00000079">
      <w:pPr>
        <w:spacing w:before="240" w:line="360" w:lineRule="auto"/>
        <w:rPr/>
      </w:pPr>
      <w:r w:rsidDel="00000000" w:rsidR="00000000" w:rsidRPr="00000000">
        <w:rPr>
          <w:rtl w:val="0"/>
        </w:rPr>
        <w:t xml:space="preserve">Source: (Elodie, 2022)</w:t>
      </w:r>
    </w:p>
    <w:p w:rsidR="00000000" w:rsidDel="00000000" w:rsidP="00000000" w:rsidRDefault="00000000" w:rsidRPr="00000000" w14:paraId="0000007A">
      <w:pPr>
        <w:spacing w:before="240" w:line="360" w:lineRule="auto"/>
        <w:rPr>
          <w:b w:val="1"/>
        </w:rPr>
      </w:pPr>
      <w:r w:rsidDel="00000000" w:rsidR="00000000" w:rsidRPr="00000000">
        <w:rPr>
          <w:b w:val="1"/>
          <w:rtl w:val="0"/>
        </w:rPr>
        <w:t xml:space="preserve">Porter’s five force model</w:t>
      </w:r>
    </w:p>
    <w:p w:rsidR="00000000" w:rsidDel="00000000" w:rsidP="00000000" w:rsidRDefault="00000000" w:rsidRPr="00000000" w14:paraId="0000007B">
      <w:pPr>
        <w:spacing w:before="240" w:line="360" w:lineRule="auto"/>
        <w:rPr/>
      </w:pPr>
      <w:r w:rsidDel="00000000" w:rsidR="00000000" w:rsidRPr="00000000">
        <w:rPr/>
        <w:drawing>
          <wp:inline distB="0" distT="0" distL="0" distR="0">
            <wp:extent cx="4868976" cy="2736474"/>
            <wp:effectExtent b="0" l="0" r="0" t="0"/>
            <wp:docPr descr="Porter's Five Forces EXPLAINED with EXAMPLES | B2U" id="8" name="image1.png"/>
            <a:graphic>
              <a:graphicData uri="http://schemas.openxmlformats.org/drawingml/2006/picture">
                <pic:pic>
                  <pic:nvPicPr>
                    <pic:cNvPr descr="Porter's Five Forces EXPLAINED with EXAMPLES | B2U" id="0" name="image1.png"/>
                    <pic:cNvPicPr preferRelativeResize="0"/>
                  </pic:nvPicPr>
                  <pic:blipFill>
                    <a:blip r:embed="rId10"/>
                    <a:srcRect b="0" l="0" r="0" t="0"/>
                    <a:stretch>
                      <a:fillRect/>
                    </a:stretch>
                  </pic:blipFill>
                  <pic:spPr>
                    <a:xfrm>
                      <a:off x="0" y="0"/>
                      <a:ext cx="4868976" cy="2736474"/>
                    </a:xfrm>
                    <a:prstGeom prst="rect"/>
                    <a:ln/>
                  </pic:spPr>
                </pic:pic>
              </a:graphicData>
            </a:graphic>
          </wp:inline>
        </w:drawing>
      </w:r>
      <w:r w:rsidDel="00000000" w:rsidR="00000000" w:rsidRPr="00000000">
        <w:rPr>
          <w:rtl w:val="0"/>
        </w:rPr>
      </w:r>
    </w:p>
    <w:p w:rsidR="00000000" w:rsidDel="00000000" w:rsidP="00000000" w:rsidRDefault="00000000" w:rsidRPr="00000000" w14:paraId="0000007C">
      <w:pPr>
        <w:spacing w:before="240" w:line="360" w:lineRule="auto"/>
        <w:rPr/>
      </w:pPr>
      <w:r w:rsidDel="00000000" w:rsidR="00000000" w:rsidRPr="00000000">
        <w:rPr>
          <w:rtl w:val="0"/>
        </w:rPr>
        <w:t xml:space="preserve">Source: (De Bruin, 2020)</w:t>
      </w:r>
    </w:p>
    <w:p w:rsidR="00000000" w:rsidDel="00000000" w:rsidP="00000000" w:rsidRDefault="00000000" w:rsidRPr="00000000" w14:paraId="0000007D">
      <w:pPr>
        <w:spacing w:before="240" w:line="360" w:lineRule="auto"/>
        <w:rPr/>
      </w:pPr>
      <w:r w:rsidDel="00000000" w:rsidR="00000000" w:rsidRPr="00000000">
        <w:rPr>
          <w:rtl w:val="0"/>
        </w:rPr>
      </w:r>
    </w:p>
    <w:p w:rsidR="00000000" w:rsidDel="00000000" w:rsidP="00000000" w:rsidRDefault="00000000" w:rsidRPr="00000000" w14:paraId="0000007E">
      <w:pPr>
        <w:spacing w:before="240" w:line="360" w:lineRule="auto"/>
        <w:rPr/>
      </w:pPr>
      <w:r w:rsidDel="00000000" w:rsidR="00000000" w:rsidRPr="00000000">
        <w:rPr>
          <w:rtl w:val="0"/>
        </w:rPr>
      </w:r>
    </w:p>
    <w:sectPr>
      <w:footerReference r:id="rId11" w:type="default"/>
      <w:pgSz w:h="16839" w:w="11907"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60" w:line="259"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480" w:lineRule="auto"/>
    </w:pPr>
    <w:rPr>
      <w:b w:val="1"/>
      <w:sz w:val="32"/>
      <w:szCs w:val="32"/>
    </w:rPr>
  </w:style>
  <w:style w:type="paragraph" w:styleId="Heading2">
    <w:name w:val="heading 2"/>
    <w:basedOn w:val="Normal"/>
    <w:next w:val="Normal"/>
    <w:pPr>
      <w:keepNext w:val="1"/>
      <w:keepLines w:val="1"/>
      <w:spacing w:after="0" w:before="40" w:line="360" w:lineRule="auto"/>
    </w:pPr>
    <w:rPr>
      <w:b w:val="1"/>
      <w:i w:val="1"/>
      <w:sz w:val="28"/>
      <w:szCs w:val="28"/>
    </w:rPr>
  </w:style>
  <w:style w:type="paragraph" w:styleId="Heading3">
    <w:name w:val="heading 3"/>
    <w:basedOn w:val="Normal"/>
    <w:next w:val="Normal"/>
    <w:pPr>
      <w:keepNext w:val="1"/>
      <w:keepLines w:val="1"/>
      <w:spacing w:after="0" w:before="40" w:lineRule="auto"/>
    </w:pPr>
    <w:rPr>
      <w:rFonts w:ascii="Calibri" w:cs="Calibri" w:eastAsia="Calibri" w:hAnsi="Calibri"/>
      <w:color w:val="1e4d78"/>
    </w:rPr>
  </w:style>
  <w:style w:type="paragraph" w:styleId="Heading4">
    <w:name w:val="heading 4"/>
    <w:basedOn w:val="Normal"/>
    <w:next w:val="Normal"/>
    <w:pPr>
      <w:keepNext w:val="1"/>
      <w:keepLines w:val="1"/>
      <w:spacing w:after="0" w:before="40" w:lineRule="auto"/>
    </w:pPr>
    <w:rPr>
      <w:rFonts w:ascii="Calibri" w:cs="Calibri" w:eastAsia="Calibri" w:hAnsi="Calibri"/>
      <w:i w:val="1"/>
      <w:color w:val="2e75b5"/>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line="240" w:lineRule="auto"/>
      <w:jc w:val="center"/>
    </w:pPr>
    <w:rPr>
      <w:rFonts w:ascii="Arial" w:cs="Arial" w:eastAsia="Arial" w:hAnsi="Arial"/>
      <w:b w:val="1"/>
      <w:color w:val="ff0000"/>
      <w:sz w:val="44"/>
      <w:szCs w:val="44"/>
    </w:rPr>
  </w:style>
  <w:style w:type="paragraph" w:styleId="Normal" w:default="1">
    <w:name w:val="Normal"/>
    <w:qFormat w:val="1"/>
    <w:rsid w:val="001C287C"/>
    <w:pPr>
      <w:jc w:val="both"/>
    </w:pPr>
    <w:rPr>
      <w:rFonts w:ascii="Times New Roman" w:cs="Vrinda" w:hAnsi="Times New Roman"/>
      <w:sz w:val="24"/>
    </w:rPr>
  </w:style>
  <w:style w:type="paragraph" w:styleId="Heading1">
    <w:name w:val="heading 1"/>
    <w:basedOn w:val="Normal"/>
    <w:next w:val="Normal"/>
    <w:link w:val="Heading1Char"/>
    <w:uiPriority w:val="9"/>
    <w:qFormat w:val="1"/>
    <w:rsid w:val="00D7341F"/>
    <w:pPr>
      <w:keepNext w:val="1"/>
      <w:keepLines w:val="1"/>
      <w:spacing w:after="0" w:before="240" w:line="480" w:lineRule="auto"/>
      <w:outlineLvl w:val="0"/>
    </w:pPr>
    <w:rPr>
      <w:rFonts w:cstheme="majorBidi" w:eastAsiaTheme="majorEastAsia"/>
      <w:b w:val="1"/>
      <w:sz w:val="32"/>
      <w:szCs w:val="40"/>
    </w:rPr>
  </w:style>
  <w:style w:type="paragraph" w:styleId="Heading2">
    <w:name w:val="heading 2"/>
    <w:basedOn w:val="Normal"/>
    <w:next w:val="Normal"/>
    <w:link w:val="Heading2Char"/>
    <w:uiPriority w:val="9"/>
    <w:unhideWhenUsed w:val="1"/>
    <w:qFormat w:val="1"/>
    <w:rsid w:val="001D06F7"/>
    <w:pPr>
      <w:keepNext w:val="1"/>
      <w:keepLines w:val="1"/>
      <w:spacing w:after="0" w:before="40" w:line="360" w:lineRule="auto"/>
      <w:outlineLvl w:val="1"/>
    </w:pPr>
    <w:rPr>
      <w:rFonts w:cstheme="majorBidi" w:eastAsiaTheme="majorEastAsia"/>
      <w:b w:val="1"/>
      <w:i w:val="1"/>
      <w:sz w:val="28"/>
      <w:szCs w:val="33"/>
    </w:rPr>
  </w:style>
  <w:style w:type="paragraph" w:styleId="Heading3">
    <w:name w:val="heading 3"/>
    <w:basedOn w:val="Normal"/>
    <w:next w:val="Normal"/>
    <w:link w:val="Heading3Char"/>
    <w:uiPriority w:val="9"/>
    <w:unhideWhenUsed w:val="1"/>
    <w:qFormat w:val="1"/>
    <w:rsid w:val="00B86A03"/>
    <w:pPr>
      <w:keepNext w:val="1"/>
      <w:keepLines w:val="1"/>
      <w:spacing w:after="0" w:before="40"/>
      <w:outlineLvl w:val="2"/>
    </w:pPr>
    <w:rPr>
      <w:rFonts w:asciiTheme="majorHAnsi" w:cstheme="majorBidi" w:eastAsiaTheme="majorEastAsia" w:hAnsiTheme="majorHAnsi"/>
      <w:color w:val="1f4d78" w:themeColor="accent1" w:themeShade="00007F"/>
      <w:szCs w:val="30"/>
    </w:rPr>
  </w:style>
  <w:style w:type="paragraph" w:styleId="Heading4">
    <w:name w:val="heading 4"/>
    <w:basedOn w:val="Normal"/>
    <w:next w:val="Normal"/>
    <w:link w:val="Heading4Char"/>
    <w:uiPriority w:val="9"/>
    <w:semiHidden w:val="1"/>
    <w:unhideWhenUsed w:val="1"/>
    <w:qFormat w:val="1"/>
    <w:rsid w:val="009F39E4"/>
    <w:pPr>
      <w:keepNext w:val="1"/>
      <w:keepLines w:val="1"/>
      <w:spacing w:after="0" w:before="40"/>
      <w:outlineLvl w:val="3"/>
    </w:pPr>
    <w:rPr>
      <w:rFonts w:asciiTheme="majorHAnsi" w:cstheme="majorBidi" w:eastAsiaTheme="majorEastAsia" w:hAnsiTheme="majorHAnsi"/>
      <w:i w:val="1"/>
      <w:iCs w:val="1"/>
      <w:color w:val="2e74b5" w:themeColor="accent1" w:themeShade="0000BF"/>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Web">
    <w:name w:val="Normal (Web)"/>
    <w:basedOn w:val="Normal"/>
    <w:uiPriority w:val="99"/>
    <w:unhideWhenUsed w:val="1"/>
    <w:rsid w:val="00F37FA1"/>
    <w:pPr>
      <w:spacing w:after="100" w:afterAutospacing="1" w:before="100" w:beforeAutospacing="1" w:line="240" w:lineRule="auto"/>
    </w:pPr>
    <w:rPr>
      <w:rFonts w:cs="Times New Roman" w:eastAsia="Times New Roman"/>
      <w:szCs w:val="24"/>
      <w:lang w:bidi="ar-SA"/>
    </w:rPr>
  </w:style>
  <w:style w:type="character" w:styleId="Heading1Char" w:customStyle="1">
    <w:name w:val="Heading 1 Char"/>
    <w:basedOn w:val="DefaultParagraphFont"/>
    <w:link w:val="Heading1"/>
    <w:uiPriority w:val="9"/>
    <w:rsid w:val="00D7341F"/>
    <w:rPr>
      <w:rFonts w:ascii="Times New Roman" w:hAnsi="Times New Roman" w:cstheme="majorBidi" w:eastAsiaTheme="majorEastAsia"/>
      <w:b w:val="1"/>
      <w:sz w:val="32"/>
      <w:szCs w:val="40"/>
    </w:rPr>
  </w:style>
  <w:style w:type="paragraph" w:styleId="TOCHeading">
    <w:name w:val="TOC Heading"/>
    <w:basedOn w:val="Heading1"/>
    <w:next w:val="Normal"/>
    <w:uiPriority w:val="39"/>
    <w:unhideWhenUsed w:val="1"/>
    <w:qFormat w:val="1"/>
    <w:rsid w:val="009E3E5A"/>
    <w:pPr>
      <w:spacing w:line="259" w:lineRule="auto"/>
      <w:outlineLvl w:val="9"/>
    </w:pPr>
    <w:rPr>
      <w:rFonts w:asciiTheme="majorHAnsi" w:hAnsiTheme="majorHAnsi"/>
      <w:b w:val="0"/>
      <w:color w:val="2e74b5" w:themeColor="accent1" w:themeShade="0000BF"/>
      <w:szCs w:val="32"/>
      <w:lang w:bidi="ar-SA"/>
    </w:rPr>
  </w:style>
  <w:style w:type="paragraph" w:styleId="TOC1">
    <w:name w:val="toc 1"/>
    <w:basedOn w:val="Normal"/>
    <w:next w:val="Normal"/>
    <w:autoRedefine w:val="1"/>
    <w:uiPriority w:val="39"/>
    <w:unhideWhenUsed w:val="1"/>
    <w:rsid w:val="009E3E5A"/>
    <w:pPr>
      <w:spacing w:after="100"/>
    </w:pPr>
  </w:style>
  <w:style w:type="character" w:styleId="Hyperlink">
    <w:name w:val="Hyperlink"/>
    <w:basedOn w:val="DefaultParagraphFont"/>
    <w:uiPriority w:val="99"/>
    <w:unhideWhenUsed w:val="1"/>
    <w:rsid w:val="009E3E5A"/>
    <w:rPr>
      <w:color w:val="0563c1" w:themeColor="hyperlink"/>
      <w:u w:val="single"/>
    </w:rPr>
  </w:style>
  <w:style w:type="paragraph" w:styleId="Header">
    <w:name w:val="header"/>
    <w:basedOn w:val="Normal"/>
    <w:link w:val="HeaderChar"/>
    <w:uiPriority w:val="99"/>
    <w:unhideWhenUsed w:val="1"/>
    <w:rsid w:val="0033018C"/>
    <w:pPr>
      <w:tabs>
        <w:tab w:val="center" w:pos="4680"/>
        <w:tab w:val="right" w:pos="9360"/>
      </w:tabs>
      <w:spacing w:after="0" w:line="240" w:lineRule="auto"/>
    </w:pPr>
  </w:style>
  <w:style w:type="character" w:styleId="HeaderChar" w:customStyle="1">
    <w:name w:val="Header Char"/>
    <w:basedOn w:val="DefaultParagraphFont"/>
    <w:link w:val="Header"/>
    <w:uiPriority w:val="99"/>
    <w:rsid w:val="0033018C"/>
    <w:rPr>
      <w:rFonts w:cs="Vrinda"/>
    </w:rPr>
  </w:style>
  <w:style w:type="paragraph" w:styleId="Footer">
    <w:name w:val="footer"/>
    <w:basedOn w:val="Normal"/>
    <w:link w:val="FooterChar"/>
    <w:uiPriority w:val="99"/>
    <w:unhideWhenUsed w:val="1"/>
    <w:rsid w:val="0033018C"/>
    <w:pPr>
      <w:tabs>
        <w:tab w:val="center" w:pos="4680"/>
        <w:tab w:val="right" w:pos="9360"/>
      </w:tabs>
      <w:spacing w:after="0" w:line="240" w:lineRule="auto"/>
    </w:pPr>
  </w:style>
  <w:style w:type="character" w:styleId="FooterChar" w:customStyle="1">
    <w:name w:val="Footer Char"/>
    <w:basedOn w:val="DefaultParagraphFont"/>
    <w:link w:val="Footer"/>
    <w:uiPriority w:val="99"/>
    <w:rsid w:val="0033018C"/>
    <w:rPr>
      <w:rFonts w:cs="Vrinda"/>
    </w:rPr>
  </w:style>
  <w:style w:type="character" w:styleId="Heading2Char" w:customStyle="1">
    <w:name w:val="Heading 2 Char"/>
    <w:basedOn w:val="DefaultParagraphFont"/>
    <w:link w:val="Heading2"/>
    <w:uiPriority w:val="9"/>
    <w:rsid w:val="001D06F7"/>
    <w:rPr>
      <w:rFonts w:ascii="Times New Roman" w:hAnsi="Times New Roman" w:cstheme="majorBidi" w:eastAsiaTheme="majorEastAsia"/>
      <w:b w:val="1"/>
      <w:i w:val="1"/>
      <w:sz w:val="28"/>
      <w:szCs w:val="33"/>
    </w:rPr>
  </w:style>
  <w:style w:type="table" w:styleId="GridTable7Colorful-Accent4">
    <w:name w:val="Grid Table 7 Colorful Accent 4"/>
    <w:basedOn w:val="TableNormal"/>
    <w:uiPriority w:val="52"/>
    <w:rsid w:val="00D7341F"/>
    <w:pPr>
      <w:spacing w:after="0" w:line="240" w:lineRule="auto"/>
    </w:pPr>
    <w:rPr>
      <w:color w:val="bf8f00" w:themeColor="accent4" w:themeShade="0000BF"/>
    </w:rPr>
    <w:tblPr>
      <w:tblStyleRowBandSize w:val="1"/>
      <w:tblStyleColBandSize w:val="1"/>
      <w:tblBorders>
        <w:top w:color="ffd966" w:space="0" w:sz="4" w:themeColor="accent4" w:themeTint="000099" w:val="single"/>
        <w:left w:color="ffd966" w:space="0" w:sz="4" w:themeColor="accent4" w:themeTint="000099" w:val="single"/>
        <w:bottom w:color="ffd966" w:space="0" w:sz="4" w:themeColor="accent4" w:themeTint="000099" w:val="single"/>
        <w:right w:color="ffd966" w:space="0" w:sz="4" w:themeColor="accent4" w:themeTint="000099" w:val="single"/>
        <w:insideH w:color="ffd966" w:space="0" w:sz="4" w:themeColor="accent4" w:themeTint="000099" w:val="single"/>
        <w:insideV w:color="ffd966" w:space="0" w:sz="4" w:themeColor="accent4" w:themeTint="000099" w:val="single"/>
      </w:tblBorders>
    </w:tblPr>
    <w:tblStylePr w:type="firstRow">
      <w:rPr>
        <w:b w:val="1"/>
        <w:bCs w:val="1"/>
      </w:rPr>
      <w:tblPr/>
      <w:tcPr>
        <w:tcBorders>
          <w:top w:space="0" w:sz="0" w:val="nil"/>
          <w:left w:space="0" w:sz="0" w:val="nil"/>
          <w:right w:space="0" w:sz="0" w:val="nil"/>
          <w:insideH w:space="0" w:sz="0" w:val="nil"/>
          <w:insideV w:space="0" w:sz="0" w:val="nil"/>
        </w:tcBorders>
        <w:shd w:color="auto" w:fill="ffffff" w:themeFill="background1" w:val="clear"/>
      </w:tcPr>
    </w:tblStylePr>
    <w:tblStylePr w:type="lastRow">
      <w:rPr>
        <w:b w:val="1"/>
        <w:bCs w:val="1"/>
      </w:rPr>
      <w:tblPr/>
      <w:tcPr>
        <w:tcBorders>
          <w:left w:space="0" w:sz="0" w:val="nil"/>
          <w:bottom w:space="0" w:sz="0" w:val="nil"/>
          <w:right w:space="0" w:sz="0" w:val="nil"/>
          <w:insideH w:space="0" w:sz="0" w:val="nil"/>
          <w:insideV w:space="0" w:sz="0" w:val="nil"/>
        </w:tcBorders>
        <w:shd w:color="auto" w:fill="ffffff" w:themeFill="background1" w:val="clear"/>
      </w:tcPr>
    </w:tblStylePr>
    <w:tblStylePr w:type="firstCol">
      <w:pPr>
        <w:jc w:val="right"/>
      </w:pPr>
      <w:rPr>
        <w:i w:val="1"/>
        <w:iCs w:val="1"/>
      </w:rPr>
      <w:tblPr/>
      <w:tcPr>
        <w:tcBorders>
          <w:top w:space="0" w:sz="0" w:val="nil"/>
          <w:left w:space="0" w:sz="0" w:val="nil"/>
          <w:bottom w:space="0" w:sz="0" w:val="nil"/>
          <w:insideH w:space="0" w:sz="0" w:val="nil"/>
          <w:insideV w:space="0" w:sz="0" w:val="nil"/>
        </w:tcBorders>
        <w:shd w:color="auto" w:fill="ffffff" w:themeFill="background1" w:val="clear"/>
      </w:tcPr>
    </w:tblStylePr>
    <w:tblStylePr w:type="lastCol">
      <w:rPr>
        <w:i w:val="1"/>
        <w:iCs w:val="1"/>
      </w:rPr>
      <w:tblPr/>
      <w:tcPr>
        <w:tcBorders>
          <w:top w:space="0" w:sz="0" w:val="nil"/>
          <w:bottom w:space="0" w:sz="0" w:val="nil"/>
          <w:right w:space="0" w:sz="0" w:val="nil"/>
          <w:insideH w:space="0" w:sz="0" w:val="nil"/>
          <w:insideV w:space="0" w:sz="0" w:val="nil"/>
        </w:tcBorders>
        <w:shd w:color="auto" w:fill="ffffff" w:themeFill="background1" w:val="clear"/>
      </w:tcPr>
    </w:tblStylePr>
    <w:tblStylePr w:type="band1Vert">
      <w:tblPr/>
      <w:tcPr>
        <w:shd w:color="auto" w:fill="fff2cc" w:themeFill="accent4" w:themeFillTint="000033" w:val="clear"/>
      </w:tcPr>
    </w:tblStylePr>
    <w:tblStylePr w:type="band1Horz">
      <w:tblPr/>
      <w:tcPr>
        <w:shd w:color="auto" w:fill="fff2cc" w:themeFill="accent4" w:themeFillTint="000033" w:val="clear"/>
      </w:tcPr>
    </w:tblStylePr>
    <w:tblStylePr w:type="neCell">
      <w:tblPr/>
      <w:tcPr>
        <w:tcBorders>
          <w:bottom w:color="ffd966" w:space="0" w:sz="4" w:themeColor="accent4" w:themeTint="000099" w:val="single"/>
        </w:tcBorders>
      </w:tcPr>
    </w:tblStylePr>
    <w:tblStylePr w:type="nwCell">
      <w:tblPr/>
      <w:tcPr>
        <w:tcBorders>
          <w:bottom w:color="ffd966" w:space="0" w:sz="4" w:themeColor="accent4" w:themeTint="000099" w:val="single"/>
        </w:tcBorders>
      </w:tcPr>
    </w:tblStylePr>
    <w:tblStylePr w:type="seCell">
      <w:tblPr/>
      <w:tcPr>
        <w:tcBorders>
          <w:top w:color="ffd966" w:space="0" w:sz="4" w:themeColor="accent4" w:themeTint="000099" w:val="single"/>
        </w:tcBorders>
      </w:tcPr>
    </w:tblStylePr>
    <w:tblStylePr w:type="swCell">
      <w:tblPr/>
      <w:tcPr>
        <w:tcBorders>
          <w:top w:color="ffd966" w:space="0" w:sz="4" w:themeColor="accent4" w:themeTint="000099" w:val="single"/>
        </w:tcBorders>
      </w:tcPr>
    </w:tblStylePr>
  </w:style>
  <w:style w:type="table" w:styleId="GridTable7Colorful-Accent5">
    <w:name w:val="Grid Table 7 Colorful Accent 5"/>
    <w:basedOn w:val="TableNormal"/>
    <w:uiPriority w:val="52"/>
    <w:rsid w:val="00D7341F"/>
    <w:pPr>
      <w:spacing w:after="0" w:line="240" w:lineRule="auto"/>
    </w:pPr>
    <w:rPr>
      <w:color w:val="2f5496" w:themeColor="accent5" w:themeShade="0000BF"/>
    </w:rPr>
    <w:tblPr>
      <w:tblStyleRowBandSize w:val="1"/>
      <w:tblStyleColBandSize w:val="1"/>
      <w:tblBorders>
        <w:top w:color="8eaadb" w:space="0" w:sz="4" w:themeColor="accent5" w:themeTint="000099" w:val="single"/>
        <w:left w:color="8eaadb" w:space="0" w:sz="4" w:themeColor="accent5" w:themeTint="000099" w:val="single"/>
        <w:bottom w:color="8eaadb" w:space="0" w:sz="4" w:themeColor="accent5" w:themeTint="000099" w:val="single"/>
        <w:right w:color="8eaadb" w:space="0" w:sz="4" w:themeColor="accent5" w:themeTint="000099" w:val="single"/>
        <w:insideH w:color="8eaadb" w:space="0" w:sz="4" w:themeColor="accent5" w:themeTint="000099" w:val="single"/>
        <w:insideV w:color="8eaadb" w:space="0" w:sz="4" w:themeColor="accent5" w:themeTint="000099" w:val="single"/>
      </w:tblBorders>
    </w:tblPr>
    <w:tblStylePr w:type="firstRow">
      <w:rPr>
        <w:b w:val="1"/>
        <w:bCs w:val="1"/>
      </w:rPr>
      <w:tblPr/>
      <w:tcPr>
        <w:tcBorders>
          <w:top w:space="0" w:sz="0" w:val="nil"/>
          <w:left w:space="0" w:sz="0" w:val="nil"/>
          <w:right w:space="0" w:sz="0" w:val="nil"/>
          <w:insideH w:space="0" w:sz="0" w:val="nil"/>
          <w:insideV w:space="0" w:sz="0" w:val="nil"/>
        </w:tcBorders>
        <w:shd w:color="auto" w:fill="ffffff" w:themeFill="background1" w:val="clear"/>
      </w:tcPr>
    </w:tblStylePr>
    <w:tblStylePr w:type="lastRow">
      <w:rPr>
        <w:b w:val="1"/>
        <w:bCs w:val="1"/>
      </w:rPr>
      <w:tblPr/>
      <w:tcPr>
        <w:tcBorders>
          <w:left w:space="0" w:sz="0" w:val="nil"/>
          <w:bottom w:space="0" w:sz="0" w:val="nil"/>
          <w:right w:space="0" w:sz="0" w:val="nil"/>
          <w:insideH w:space="0" w:sz="0" w:val="nil"/>
          <w:insideV w:space="0" w:sz="0" w:val="nil"/>
        </w:tcBorders>
        <w:shd w:color="auto" w:fill="ffffff" w:themeFill="background1" w:val="clear"/>
      </w:tcPr>
    </w:tblStylePr>
    <w:tblStylePr w:type="firstCol">
      <w:pPr>
        <w:jc w:val="right"/>
      </w:pPr>
      <w:rPr>
        <w:i w:val="1"/>
        <w:iCs w:val="1"/>
      </w:rPr>
      <w:tblPr/>
      <w:tcPr>
        <w:tcBorders>
          <w:top w:space="0" w:sz="0" w:val="nil"/>
          <w:left w:space="0" w:sz="0" w:val="nil"/>
          <w:bottom w:space="0" w:sz="0" w:val="nil"/>
          <w:insideH w:space="0" w:sz="0" w:val="nil"/>
          <w:insideV w:space="0" w:sz="0" w:val="nil"/>
        </w:tcBorders>
        <w:shd w:color="auto" w:fill="ffffff" w:themeFill="background1" w:val="clear"/>
      </w:tcPr>
    </w:tblStylePr>
    <w:tblStylePr w:type="lastCol">
      <w:rPr>
        <w:i w:val="1"/>
        <w:iCs w:val="1"/>
      </w:rPr>
      <w:tblPr/>
      <w:tcPr>
        <w:tcBorders>
          <w:top w:space="0" w:sz="0" w:val="nil"/>
          <w:bottom w:space="0" w:sz="0" w:val="nil"/>
          <w:right w:space="0" w:sz="0" w:val="nil"/>
          <w:insideH w:space="0" w:sz="0" w:val="nil"/>
          <w:insideV w:space="0" w:sz="0" w:val="nil"/>
        </w:tcBorders>
        <w:shd w:color="auto" w:fill="ffffff" w:themeFill="background1" w:val="clear"/>
      </w:tcPr>
    </w:tblStylePr>
    <w:tblStylePr w:type="band1Vert">
      <w:tblPr/>
      <w:tcPr>
        <w:shd w:color="auto" w:fill="d9e2f3" w:themeFill="accent5" w:themeFillTint="000033" w:val="clear"/>
      </w:tcPr>
    </w:tblStylePr>
    <w:tblStylePr w:type="band1Horz">
      <w:tblPr/>
      <w:tcPr>
        <w:shd w:color="auto" w:fill="d9e2f3" w:themeFill="accent5" w:themeFillTint="000033" w:val="clear"/>
      </w:tcPr>
    </w:tblStylePr>
    <w:tblStylePr w:type="neCell">
      <w:tblPr/>
      <w:tcPr>
        <w:tcBorders>
          <w:bottom w:color="8eaadb" w:space="0" w:sz="4" w:themeColor="accent5" w:themeTint="000099" w:val="single"/>
        </w:tcBorders>
      </w:tcPr>
    </w:tblStylePr>
    <w:tblStylePr w:type="nwCell">
      <w:tblPr/>
      <w:tcPr>
        <w:tcBorders>
          <w:bottom w:color="8eaadb" w:space="0" w:sz="4" w:themeColor="accent5" w:themeTint="000099" w:val="single"/>
        </w:tcBorders>
      </w:tcPr>
    </w:tblStylePr>
    <w:tblStylePr w:type="seCell">
      <w:tblPr/>
      <w:tcPr>
        <w:tcBorders>
          <w:top w:color="8eaadb" w:space="0" w:sz="4" w:themeColor="accent5" w:themeTint="000099" w:val="single"/>
        </w:tcBorders>
      </w:tcPr>
    </w:tblStylePr>
    <w:tblStylePr w:type="swCell">
      <w:tblPr/>
      <w:tcPr>
        <w:tcBorders>
          <w:top w:color="8eaadb" w:space="0" w:sz="4" w:themeColor="accent5" w:themeTint="000099" w:val="single"/>
        </w:tcBorders>
      </w:tcPr>
    </w:tblStylePr>
  </w:style>
  <w:style w:type="table" w:styleId="GridTable7Colorful-Accent6">
    <w:name w:val="Grid Table 7 Colorful Accent 6"/>
    <w:basedOn w:val="TableNormal"/>
    <w:uiPriority w:val="52"/>
    <w:rsid w:val="00D7341F"/>
    <w:pPr>
      <w:spacing w:after="0" w:line="240" w:lineRule="auto"/>
    </w:pPr>
    <w:rPr>
      <w:color w:val="538135" w:themeColor="accent6" w:themeShade="0000BF"/>
    </w:rPr>
    <w:tblPr>
      <w:tblStyleRowBandSize w:val="1"/>
      <w:tblStyleColBandSize w:val="1"/>
      <w:tblBorders>
        <w:top w:color="a8d08d" w:space="0" w:sz="4" w:themeColor="accent6" w:themeTint="000099" w:val="single"/>
        <w:left w:color="a8d08d" w:space="0" w:sz="4" w:themeColor="accent6" w:themeTint="000099" w:val="single"/>
        <w:bottom w:color="a8d08d" w:space="0" w:sz="4" w:themeColor="accent6" w:themeTint="000099" w:val="single"/>
        <w:right w:color="a8d08d" w:space="0" w:sz="4" w:themeColor="accent6" w:themeTint="000099" w:val="single"/>
        <w:insideH w:color="a8d08d" w:space="0" w:sz="4" w:themeColor="accent6" w:themeTint="000099" w:val="single"/>
        <w:insideV w:color="a8d08d" w:space="0" w:sz="4" w:themeColor="accent6" w:themeTint="000099" w:val="single"/>
      </w:tblBorders>
    </w:tblPr>
    <w:tblStylePr w:type="firstRow">
      <w:rPr>
        <w:b w:val="1"/>
        <w:bCs w:val="1"/>
      </w:rPr>
      <w:tblPr/>
      <w:tcPr>
        <w:tcBorders>
          <w:top w:space="0" w:sz="0" w:val="nil"/>
          <w:left w:space="0" w:sz="0" w:val="nil"/>
          <w:right w:space="0" w:sz="0" w:val="nil"/>
          <w:insideH w:space="0" w:sz="0" w:val="nil"/>
          <w:insideV w:space="0" w:sz="0" w:val="nil"/>
        </w:tcBorders>
        <w:shd w:color="auto" w:fill="ffffff" w:themeFill="background1" w:val="clear"/>
      </w:tcPr>
    </w:tblStylePr>
    <w:tblStylePr w:type="lastRow">
      <w:rPr>
        <w:b w:val="1"/>
        <w:bCs w:val="1"/>
      </w:rPr>
      <w:tblPr/>
      <w:tcPr>
        <w:tcBorders>
          <w:left w:space="0" w:sz="0" w:val="nil"/>
          <w:bottom w:space="0" w:sz="0" w:val="nil"/>
          <w:right w:space="0" w:sz="0" w:val="nil"/>
          <w:insideH w:space="0" w:sz="0" w:val="nil"/>
          <w:insideV w:space="0" w:sz="0" w:val="nil"/>
        </w:tcBorders>
        <w:shd w:color="auto" w:fill="ffffff" w:themeFill="background1" w:val="clear"/>
      </w:tcPr>
    </w:tblStylePr>
    <w:tblStylePr w:type="firstCol">
      <w:pPr>
        <w:jc w:val="right"/>
      </w:pPr>
      <w:rPr>
        <w:i w:val="1"/>
        <w:iCs w:val="1"/>
      </w:rPr>
      <w:tblPr/>
      <w:tcPr>
        <w:tcBorders>
          <w:top w:space="0" w:sz="0" w:val="nil"/>
          <w:left w:space="0" w:sz="0" w:val="nil"/>
          <w:bottom w:space="0" w:sz="0" w:val="nil"/>
          <w:insideH w:space="0" w:sz="0" w:val="nil"/>
          <w:insideV w:space="0" w:sz="0" w:val="nil"/>
        </w:tcBorders>
        <w:shd w:color="auto" w:fill="ffffff" w:themeFill="background1" w:val="clear"/>
      </w:tcPr>
    </w:tblStylePr>
    <w:tblStylePr w:type="lastCol">
      <w:rPr>
        <w:i w:val="1"/>
        <w:iCs w:val="1"/>
      </w:rPr>
      <w:tblPr/>
      <w:tcPr>
        <w:tcBorders>
          <w:top w:space="0" w:sz="0" w:val="nil"/>
          <w:bottom w:space="0" w:sz="0" w:val="nil"/>
          <w:right w:space="0" w:sz="0" w:val="nil"/>
          <w:insideH w:space="0" w:sz="0" w:val="nil"/>
          <w:insideV w:space="0" w:sz="0" w:val="nil"/>
        </w:tcBorders>
        <w:shd w:color="auto" w:fill="ffffff" w:themeFill="background1" w:val="clear"/>
      </w:tcPr>
    </w:tblStylePr>
    <w:tblStylePr w:type="band1Vert">
      <w:tblPr/>
      <w:tcPr>
        <w:shd w:color="auto" w:fill="e2efd9" w:themeFill="accent6" w:themeFillTint="000033" w:val="clear"/>
      </w:tcPr>
    </w:tblStylePr>
    <w:tblStylePr w:type="band1Horz">
      <w:tblPr/>
      <w:tcPr>
        <w:shd w:color="auto" w:fill="e2efd9" w:themeFill="accent6" w:themeFillTint="000033" w:val="clear"/>
      </w:tcPr>
    </w:tblStylePr>
    <w:tblStylePr w:type="neCell">
      <w:tblPr/>
      <w:tcPr>
        <w:tcBorders>
          <w:bottom w:color="a8d08d" w:space="0" w:sz="4" w:themeColor="accent6" w:themeTint="000099" w:val="single"/>
        </w:tcBorders>
      </w:tcPr>
    </w:tblStylePr>
    <w:tblStylePr w:type="nwCell">
      <w:tblPr/>
      <w:tcPr>
        <w:tcBorders>
          <w:bottom w:color="a8d08d" w:space="0" w:sz="4" w:themeColor="accent6" w:themeTint="000099" w:val="single"/>
        </w:tcBorders>
      </w:tcPr>
    </w:tblStylePr>
    <w:tblStylePr w:type="seCell">
      <w:tblPr/>
      <w:tcPr>
        <w:tcBorders>
          <w:top w:color="a8d08d" w:space="0" w:sz="4" w:themeColor="accent6" w:themeTint="000099" w:val="single"/>
        </w:tcBorders>
      </w:tcPr>
    </w:tblStylePr>
    <w:tblStylePr w:type="swCell">
      <w:tblPr/>
      <w:tcPr>
        <w:tcBorders>
          <w:top w:color="a8d08d" w:space="0" w:sz="4" w:themeColor="accent6" w:themeTint="000099" w:val="single"/>
        </w:tcBorders>
      </w:tcPr>
    </w:tblStylePr>
  </w:style>
  <w:style w:type="table" w:styleId="GridTable4-Accent5">
    <w:name w:val="Grid Table 4 Accent 5"/>
    <w:basedOn w:val="TableNormal"/>
    <w:uiPriority w:val="49"/>
    <w:rsid w:val="00D7341F"/>
    <w:pPr>
      <w:spacing w:after="0" w:line="240" w:lineRule="auto"/>
    </w:pPr>
    <w:tblPr>
      <w:tblStyleRowBandSize w:val="1"/>
      <w:tblStyleColBandSize w:val="1"/>
      <w:tblBorders>
        <w:top w:color="8eaadb" w:space="0" w:sz="4" w:themeColor="accent5" w:themeTint="000099" w:val="single"/>
        <w:left w:color="8eaadb" w:space="0" w:sz="4" w:themeColor="accent5" w:themeTint="000099" w:val="single"/>
        <w:bottom w:color="8eaadb" w:space="0" w:sz="4" w:themeColor="accent5" w:themeTint="000099" w:val="single"/>
        <w:right w:color="8eaadb" w:space="0" w:sz="4" w:themeColor="accent5" w:themeTint="000099" w:val="single"/>
        <w:insideH w:color="8eaadb" w:space="0" w:sz="4" w:themeColor="accent5" w:themeTint="000099" w:val="single"/>
        <w:insideV w:color="8eaadb" w:space="0" w:sz="4" w:themeColor="accent5" w:themeTint="000099" w:val="single"/>
      </w:tblBorders>
    </w:tblPr>
    <w:tblStylePr w:type="firstRow">
      <w:rPr>
        <w:b w:val="1"/>
        <w:bCs w:val="1"/>
        <w:color w:val="ffffff" w:themeColor="background1"/>
      </w:rPr>
      <w:tblPr/>
      <w:tcPr>
        <w:tcBorders>
          <w:top w:color="4472c4" w:space="0" w:sz="4" w:themeColor="accent5" w:val="single"/>
          <w:left w:color="4472c4" w:space="0" w:sz="4" w:themeColor="accent5" w:val="single"/>
          <w:bottom w:color="4472c4" w:space="0" w:sz="4" w:themeColor="accent5" w:val="single"/>
          <w:right w:color="4472c4" w:space="0" w:sz="4" w:themeColor="accent5" w:val="single"/>
          <w:insideH w:space="0" w:sz="0" w:val="nil"/>
          <w:insideV w:space="0" w:sz="0" w:val="nil"/>
        </w:tcBorders>
        <w:shd w:color="auto" w:fill="4472c4" w:themeFill="accent5" w:val="clear"/>
      </w:tcPr>
    </w:tblStylePr>
    <w:tblStylePr w:type="lastRow">
      <w:rPr>
        <w:b w:val="1"/>
        <w:bCs w:val="1"/>
      </w:rPr>
      <w:tblPr/>
      <w:tcPr>
        <w:tcBorders>
          <w:top w:color="4472c4" w:space="0" w:sz="4" w:themeColor="accent5" w:val="double"/>
        </w:tcBorders>
      </w:tcPr>
    </w:tblStylePr>
    <w:tblStylePr w:type="firstCol">
      <w:rPr>
        <w:b w:val="1"/>
        <w:bCs w:val="1"/>
      </w:rPr>
    </w:tblStylePr>
    <w:tblStylePr w:type="lastCol">
      <w:rPr>
        <w:b w:val="1"/>
        <w:bCs w:val="1"/>
      </w:rPr>
    </w:tblStylePr>
    <w:tblStylePr w:type="band1Vert">
      <w:tblPr/>
      <w:tcPr>
        <w:shd w:color="auto" w:fill="d9e2f3" w:themeFill="accent5" w:themeFillTint="000033" w:val="clear"/>
      </w:tcPr>
    </w:tblStylePr>
    <w:tblStylePr w:type="band1Horz">
      <w:tblPr/>
      <w:tcPr>
        <w:shd w:color="auto" w:fill="d9e2f3" w:themeFill="accent5" w:themeFillTint="000033" w:val="clear"/>
      </w:tcPr>
    </w:tblStylePr>
  </w:style>
  <w:style w:type="table" w:styleId="GridTable4-Accent1">
    <w:name w:val="Grid Table 4 Accent 1"/>
    <w:basedOn w:val="TableNormal"/>
    <w:uiPriority w:val="49"/>
    <w:rsid w:val="00D7341F"/>
    <w:pPr>
      <w:spacing w:after="0" w:line="240" w:lineRule="auto"/>
    </w:pPr>
    <w:tblPr>
      <w:tblStyleRowBandSize w:val="1"/>
      <w:tblStyleColBandSize w:val="1"/>
      <w:tblBorders>
        <w:top w:color="9cc2e5" w:space="0" w:sz="4" w:themeColor="accent1" w:themeTint="000099" w:val="single"/>
        <w:left w:color="9cc2e5" w:space="0" w:sz="4" w:themeColor="accent1" w:themeTint="000099" w:val="single"/>
        <w:bottom w:color="9cc2e5" w:space="0" w:sz="4" w:themeColor="accent1" w:themeTint="000099" w:val="single"/>
        <w:right w:color="9cc2e5" w:space="0" w:sz="4" w:themeColor="accent1" w:themeTint="000099" w:val="single"/>
        <w:insideH w:color="9cc2e5" w:space="0" w:sz="4" w:themeColor="accent1" w:themeTint="000099" w:val="single"/>
        <w:insideV w:color="9cc2e5" w:space="0" w:sz="4" w:themeColor="accent1" w:themeTint="000099" w:val="single"/>
      </w:tblBorders>
    </w:tblPr>
    <w:tblStylePr w:type="firstRow">
      <w:rPr>
        <w:b w:val="1"/>
        <w:bCs w:val="1"/>
        <w:color w:val="ffffff" w:themeColor="background1"/>
      </w:rPr>
      <w:tblPr/>
      <w:tcPr>
        <w:tcBorders>
          <w:top w:color="5b9bd5" w:space="0" w:sz="4" w:themeColor="accent1" w:val="single"/>
          <w:left w:color="5b9bd5" w:space="0" w:sz="4" w:themeColor="accent1" w:val="single"/>
          <w:bottom w:color="5b9bd5" w:space="0" w:sz="4" w:themeColor="accent1" w:val="single"/>
          <w:right w:color="5b9bd5" w:space="0" w:sz="4" w:themeColor="accent1" w:val="single"/>
          <w:insideH w:space="0" w:sz="0" w:val="nil"/>
          <w:insideV w:space="0" w:sz="0" w:val="nil"/>
        </w:tcBorders>
        <w:shd w:color="auto" w:fill="5b9bd5" w:themeFill="accent1" w:val="clear"/>
      </w:tcPr>
    </w:tblStylePr>
    <w:tblStylePr w:type="lastRow">
      <w:rPr>
        <w:b w:val="1"/>
        <w:bCs w:val="1"/>
      </w:rPr>
      <w:tblPr/>
      <w:tcPr>
        <w:tcBorders>
          <w:top w:color="5b9bd5" w:space="0" w:sz="4" w:themeColor="accent1" w:val="double"/>
        </w:tcBorders>
      </w:tcPr>
    </w:tblStylePr>
    <w:tblStylePr w:type="firstCol">
      <w:rPr>
        <w:b w:val="1"/>
        <w:bCs w:val="1"/>
      </w:rPr>
    </w:tblStylePr>
    <w:tblStylePr w:type="lastCol">
      <w:rPr>
        <w:b w:val="1"/>
        <w:bCs w:val="1"/>
      </w:rPr>
    </w:tblStylePr>
    <w:tblStylePr w:type="band1Vert">
      <w:tblPr/>
      <w:tcPr>
        <w:shd w:color="auto" w:fill="deeaf6" w:themeFill="accent1" w:themeFillTint="000033" w:val="clear"/>
      </w:tcPr>
    </w:tblStylePr>
    <w:tblStylePr w:type="band1Horz">
      <w:tblPr/>
      <w:tcPr>
        <w:shd w:color="auto" w:fill="deeaf6" w:themeFill="accent1" w:themeFillTint="000033" w:val="clear"/>
      </w:tcPr>
    </w:tblStylePr>
  </w:style>
  <w:style w:type="table" w:styleId="GridTable4-Accent4">
    <w:name w:val="Grid Table 4 Accent 4"/>
    <w:basedOn w:val="TableNormal"/>
    <w:uiPriority w:val="49"/>
    <w:rsid w:val="00D7341F"/>
    <w:pPr>
      <w:spacing w:after="0" w:line="240" w:lineRule="auto"/>
    </w:pPr>
    <w:tblPr>
      <w:tblStyleRowBandSize w:val="1"/>
      <w:tblStyleColBandSize w:val="1"/>
      <w:tblBorders>
        <w:top w:color="ffd966" w:space="0" w:sz="4" w:themeColor="accent4" w:themeTint="000099" w:val="single"/>
        <w:left w:color="ffd966" w:space="0" w:sz="4" w:themeColor="accent4" w:themeTint="000099" w:val="single"/>
        <w:bottom w:color="ffd966" w:space="0" w:sz="4" w:themeColor="accent4" w:themeTint="000099" w:val="single"/>
        <w:right w:color="ffd966" w:space="0" w:sz="4" w:themeColor="accent4" w:themeTint="000099" w:val="single"/>
        <w:insideH w:color="ffd966" w:space="0" w:sz="4" w:themeColor="accent4" w:themeTint="000099" w:val="single"/>
        <w:insideV w:color="ffd966" w:space="0" w:sz="4" w:themeColor="accent4" w:themeTint="000099" w:val="single"/>
      </w:tblBorders>
    </w:tblPr>
    <w:tblStylePr w:type="firstRow">
      <w:rPr>
        <w:b w:val="1"/>
        <w:bCs w:val="1"/>
        <w:color w:val="ffffff" w:themeColor="background1"/>
      </w:rPr>
      <w:tblPr/>
      <w:tcPr>
        <w:tcBorders>
          <w:top w:color="ffc000" w:space="0" w:sz="4" w:themeColor="accent4" w:val="single"/>
          <w:left w:color="ffc000" w:space="0" w:sz="4" w:themeColor="accent4" w:val="single"/>
          <w:bottom w:color="ffc000" w:space="0" w:sz="4" w:themeColor="accent4" w:val="single"/>
          <w:right w:color="ffc000" w:space="0" w:sz="4" w:themeColor="accent4" w:val="single"/>
          <w:insideH w:space="0" w:sz="0" w:val="nil"/>
          <w:insideV w:space="0" w:sz="0" w:val="nil"/>
        </w:tcBorders>
        <w:shd w:color="auto" w:fill="ffc000" w:themeFill="accent4" w:val="clear"/>
      </w:tcPr>
    </w:tblStylePr>
    <w:tblStylePr w:type="lastRow">
      <w:rPr>
        <w:b w:val="1"/>
        <w:bCs w:val="1"/>
      </w:rPr>
      <w:tblPr/>
      <w:tcPr>
        <w:tcBorders>
          <w:top w:color="ffc000" w:space="0" w:sz="4" w:themeColor="accent4" w:val="double"/>
        </w:tcBorders>
      </w:tcPr>
    </w:tblStylePr>
    <w:tblStylePr w:type="firstCol">
      <w:rPr>
        <w:b w:val="1"/>
        <w:bCs w:val="1"/>
      </w:rPr>
    </w:tblStylePr>
    <w:tblStylePr w:type="lastCol">
      <w:rPr>
        <w:b w:val="1"/>
        <w:bCs w:val="1"/>
      </w:rPr>
    </w:tblStylePr>
    <w:tblStylePr w:type="band1Vert">
      <w:tblPr/>
      <w:tcPr>
        <w:shd w:color="auto" w:fill="fff2cc" w:themeFill="accent4" w:themeFillTint="000033" w:val="clear"/>
      </w:tcPr>
    </w:tblStylePr>
    <w:tblStylePr w:type="band1Horz">
      <w:tblPr/>
      <w:tcPr>
        <w:shd w:color="auto" w:fill="fff2cc" w:themeFill="accent4" w:themeFillTint="000033" w:val="clear"/>
      </w:tcPr>
    </w:tblStylePr>
  </w:style>
  <w:style w:type="table" w:styleId="GridTable4-Accent6">
    <w:name w:val="Grid Table 4 Accent 6"/>
    <w:basedOn w:val="TableNormal"/>
    <w:uiPriority w:val="49"/>
    <w:rsid w:val="00D7341F"/>
    <w:pPr>
      <w:spacing w:after="0" w:line="240" w:lineRule="auto"/>
    </w:pPr>
    <w:tblPr>
      <w:tblStyleRowBandSize w:val="1"/>
      <w:tblStyleColBandSize w:val="1"/>
      <w:tblBorders>
        <w:top w:color="a8d08d" w:space="0" w:sz="4" w:themeColor="accent6" w:themeTint="000099" w:val="single"/>
        <w:left w:color="a8d08d" w:space="0" w:sz="4" w:themeColor="accent6" w:themeTint="000099" w:val="single"/>
        <w:bottom w:color="a8d08d" w:space="0" w:sz="4" w:themeColor="accent6" w:themeTint="000099" w:val="single"/>
        <w:right w:color="a8d08d" w:space="0" w:sz="4" w:themeColor="accent6" w:themeTint="000099" w:val="single"/>
        <w:insideH w:color="a8d08d" w:space="0" w:sz="4" w:themeColor="accent6" w:themeTint="000099" w:val="single"/>
        <w:insideV w:color="a8d08d" w:space="0" w:sz="4" w:themeColor="accent6" w:themeTint="000099" w:val="single"/>
      </w:tblBorders>
    </w:tblPr>
    <w:tblStylePr w:type="firstRow">
      <w:rPr>
        <w:b w:val="1"/>
        <w:bCs w:val="1"/>
        <w:color w:val="ffffff" w:themeColor="background1"/>
      </w:rPr>
      <w:tblPr/>
      <w:tcPr>
        <w:tcBorders>
          <w:top w:color="70ad47" w:space="0" w:sz="4" w:themeColor="accent6" w:val="single"/>
          <w:left w:color="70ad47" w:space="0" w:sz="4" w:themeColor="accent6" w:val="single"/>
          <w:bottom w:color="70ad47" w:space="0" w:sz="4" w:themeColor="accent6" w:val="single"/>
          <w:right w:color="70ad47" w:space="0" w:sz="4" w:themeColor="accent6" w:val="single"/>
          <w:insideH w:space="0" w:sz="0" w:val="nil"/>
          <w:insideV w:space="0" w:sz="0" w:val="nil"/>
        </w:tcBorders>
        <w:shd w:color="auto" w:fill="70ad47" w:themeFill="accent6" w:val="clear"/>
      </w:tcPr>
    </w:tblStylePr>
    <w:tblStylePr w:type="lastRow">
      <w:rPr>
        <w:b w:val="1"/>
        <w:bCs w:val="1"/>
      </w:rPr>
      <w:tblPr/>
      <w:tcPr>
        <w:tcBorders>
          <w:top w:color="70ad47" w:space="0" w:sz="4" w:themeColor="accent6" w:val="double"/>
        </w:tcBorders>
      </w:tcPr>
    </w:tblStylePr>
    <w:tblStylePr w:type="firstCol">
      <w:rPr>
        <w:b w:val="1"/>
        <w:bCs w:val="1"/>
      </w:rPr>
    </w:tblStylePr>
    <w:tblStylePr w:type="lastCol">
      <w:rPr>
        <w:b w:val="1"/>
        <w:bCs w:val="1"/>
      </w:rPr>
    </w:tblStylePr>
    <w:tblStylePr w:type="band1Vert">
      <w:tblPr/>
      <w:tcPr>
        <w:shd w:color="auto" w:fill="e2efd9" w:themeFill="accent6" w:themeFillTint="000033" w:val="clear"/>
      </w:tcPr>
    </w:tblStylePr>
    <w:tblStylePr w:type="band1Horz">
      <w:tblPr/>
      <w:tcPr>
        <w:shd w:color="auto" w:fill="e2efd9" w:themeFill="accent6" w:themeFillTint="000033" w:val="clear"/>
      </w:tcPr>
    </w:tblStylePr>
  </w:style>
  <w:style w:type="paragraph" w:styleId="TOC2">
    <w:name w:val="toc 2"/>
    <w:basedOn w:val="Normal"/>
    <w:next w:val="Normal"/>
    <w:autoRedefine w:val="1"/>
    <w:uiPriority w:val="39"/>
    <w:unhideWhenUsed w:val="1"/>
    <w:rsid w:val="00E95F33"/>
    <w:pPr>
      <w:spacing w:after="100"/>
      <w:ind w:left="240"/>
    </w:pPr>
  </w:style>
  <w:style w:type="table" w:styleId="PlainTable2">
    <w:name w:val="Plain Table 2"/>
    <w:basedOn w:val="TableNormal"/>
    <w:uiPriority w:val="42"/>
    <w:rsid w:val="001D06F7"/>
    <w:pPr>
      <w:spacing w:after="0" w:line="240" w:lineRule="auto"/>
    </w:pPr>
    <w:tblPr>
      <w:tblStyleRowBandSize w:val="1"/>
      <w:tblStyleColBandSize w:val="1"/>
      <w:tblBorders>
        <w:top w:color="7f7f7f" w:space="0" w:sz="4" w:themeColor="text1" w:themeTint="000080" w:val="single"/>
        <w:bottom w:color="7f7f7f" w:space="0" w:sz="4" w:themeColor="text1" w:themeTint="000080" w:val="single"/>
      </w:tblBorders>
    </w:tblPr>
    <w:tblStylePr w:type="firstRow">
      <w:rPr>
        <w:b w:val="1"/>
        <w:bCs w:val="1"/>
      </w:rPr>
      <w:tblPr/>
      <w:tcPr>
        <w:tcBorders>
          <w:bottom w:color="7f7f7f" w:space="0" w:sz="4" w:themeColor="text1" w:themeTint="000080" w:val="single"/>
        </w:tcBorders>
      </w:tcPr>
    </w:tblStylePr>
    <w:tblStylePr w:type="lastRow">
      <w:rPr>
        <w:b w:val="1"/>
        <w:bCs w:val="1"/>
      </w:rPr>
      <w:tblPr/>
      <w:tcPr>
        <w:tcBorders>
          <w:top w:color="7f7f7f" w:space="0" w:sz="4" w:themeColor="text1" w:themeTint="000080" w:val="single"/>
        </w:tcBorders>
      </w:tcPr>
    </w:tblStylePr>
    <w:tblStylePr w:type="firstCol">
      <w:rPr>
        <w:b w:val="1"/>
        <w:bCs w:val="1"/>
      </w:rPr>
    </w:tblStylePr>
    <w:tblStylePr w:type="lastCol">
      <w:rPr>
        <w:b w:val="1"/>
        <w:bCs w:val="1"/>
      </w:rPr>
    </w:tblStylePr>
    <w:tblStylePr w:type="band1Vert">
      <w:tblPr/>
      <w:tcPr>
        <w:tcBorders>
          <w:left w:color="7f7f7f" w:space="0" w:sz="4" w:themeColor="text1" w:themeTint="000080" w:val="single"/>
          <w:right w:color="7f7f7f" w:space="0" w:sz="4" w:themeColor="text1" w:themeTint="000080" w:val="single"/>
        </w:tcBorders>
      </w:tcPr>
    </w:tblStylePr>
    <w:tblStylePr w:type="band2Vert">
      <w:tblPr/>
      <w:tcPr>
        <w:tcBorders>
          <w:left w:color="7f7f7f" w:space="0" w:sz="4" w:themeColor="text1" w:themeTint="000080" w:val="single"/>
          <w:right w:color="7f7f7f" w:space="0" w:sz="4" w:themeColor="text1" w:themeTint="000080" w:val="single"/>
        </w:tcBorders>
      </w:tcPr>
    </w:tblStylePr>
    <w:tblStylePr w:type="band1Horz">
      <w:tblPr/>
      <w:tcPr>
        <w:tcBorders>
          <w:top w:color="7f7f7f" w:space="0" w:sz="4" w:themeColor="text1" w:themeTint="000080" w:val="single"/>
          <w:bottom w:color="7f7f7f" w:space="0" w:sz="4" w:themeColor="text1" w:themeTint="000080" w:val="single"/>
        </w:tcBorders>
      </w:tcPr>
    </w:tblStylePr>
  </w:style>
  <w:style w:type="table" w:styleId="PlainTable3">
    <w:name w:val="Plain Table 3"/>
    <w:basedOn w:val="TableNormal"/>
    <w:uiPriority w:val="43"/>
    <w:rsid w:val="001D06F7"/>
    <w:pPr>
      <w:spacing w:after="0" w:line="240" w:lineRule="auto"/>
    </w:pPr>
    <w:tblPr>
      <w:tblStyleRowBandSize w:val="1"/>
      <w:tblStyleColBandSize w:val="1"/>
    </w:tblPr>
    <w:tblStylePr w:type="firstRow">
      <w:rPr>
        <w:b w:val="1"/>
        <w:bCs w:val="1"/>
        <w:caps w:val="1"/>
      </w:rPr>
      <w:tblPr/>
      <w:tcPr>
        <w:tcBorders>
          <w:bottom w:color="7f7f7f" w:space="0" w:sz="4" w:themeColor="text1" w:themeTint="000080" w:val="single"/>
        </w:tcBorders>
      </w:tcPr>
    </w:tblStylePr>
    <w:tblStylePr w:type="lastRow">
      <w:rPr>
        <w:b w:val="1"/>
        <w:bCs w:val="1"/>
        <w:caps w:val="1"/>
      </w:rPr>
      <w:tblPr/>
      <w:tcPr>
        <w:tcBorders>
          <w:top w:space="0" w:sz="0" w:val="nil"/>
        </w:tcBorders>
      </w:tcPr>
    </w:tblStylePr>
    <w:tblStylePr w:type="firstCol">
      <w:rPr>
        <w:b w:val="1"/>
        <w:bCs w:val="1"/>
        <w:caps w:val="1"/>
      </w:rPr>
      <w:tblPr/>
      <w:tcPr>
        <w:tcBorders>
          <w:right w:color="7f7f7f" w:space="0" w:sz="4" w:themeColor="text1" w:themeTint="000080" w:val="single"/>
        </w:tcBorders>
      </w:tcPr>
    </w:tblStylePr>
    <w:tblStylePr w:type="lastCol">
      <w:rPr>
        <w:b w:val="1"/>
        <w:bCs w:val="1"/>
        <w:caps w:val="1"/>
      </w:rPr>
      <w:tblPr/>
      <w:tcPr>
        <w:tcBorders>
          <w:left w:space="0" w:sz="0" w:val="nil"/>
        </w:tcBorders>
      </w:tcPr>
    </w:tblStylePr>
    <w:tblStylePr w:type="band1Vert">
      <w:tblPr/>
      <w:tcPr>
        <w:shd w:color="auto" w:fill="f2f2f2" w:themeFill="background1" w:themeFillShade="0000F2" w:val="clear"/>
      </w:tcPr>
    </w:tblStylePr>
    <w:tblStylePr w:type="band1Horz">
      <w:tblPr/>
      <w:tcPr>
        <w:shd w:color="auto" w:fill="f2f2f2" w:themeFill="background1" w:themeFillShade="0000F2" w:val="clear"/>
      </w:tcPr>
    </w:tblStylePr>
    <w:tblStylePr w:type="neCell">
      <w:tblPr/>
      <w:tcPr>
        <w:tcBorders>
          <w:left w:space="0" w:sz="0" w:val="nil"/>
        </w:tcBorders>
      </w:tcPr>
    </w:tblStylePr>
    <w:tblStylePr w:type="nwCell">
      <w:tblPr/>
      <w:tcPr>
        <w:tcBorders>
          <w:right w:space="0" w:sz="0" w:val="nil"/>
        </w:tcBorders>
      </w:tcPr>
    </w:tblStylePr>
  </w:style>
  <w:style w:type="character" w:styleId="apple-tab-span" w:customStyle="1">
    <w:name w:val="apple-tab-span"/>
    <w:basedOn w:val="DefaultParagraphFont"/>
    <w:rsid w:val="00D83AC0"/>
  </w:style>
  <w:style w:type="table" w:styleId="TableGrid">
    <w:name w:val="Table Grid"/>
    <w:basedOn w:val="TableNormal"/>
    <w:uiPriority w:val="39"/>
    <w:rsid w:val="001C500D"/>
    <w:pPr>
      <w:spacing w:after="0" w:line="240" w:lineRule="auto"/>
    </w:pPr>
    <w:rPr>
      <w:rFonts w:ascii="Arial" w:cs="Times New Roman" w:eastAsia="SimSun" w:hAnsi="Arial"/>
      <w:sz w:val="20"/>
      <w:szCs w:val="20"/>
      <w:lang w:bidi="ar-SA" w:eastAsia="zh-CN" w:val="en-GB"/>
    </w:rPr>
    <w:tblP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Pr>
  </w:style>
  <w:style w:type="paragraph" w:styleId="BodyText">
    <w:name w:val="Body Text"/>
    <w:basedOn w:val="Normal"/>
    <w:link w:val="BodyTextChar"/>
    <w:semiHidden w:val="1"/>
    <w:rsid w:val="001C500D"/>
    <w:pPr>
      <w:spacing w:after="0" w:line="240" w:lineRule="auto"/>
    </w:pPr>
    <w:rPr>
      <w:rFonts w:ascii="Arial" w:cs="Arial" w:eastAsia="Times New Roman" w:hAnsi="Arial"/>
      <w:b w:val="1"/>
      <w:bCs w:val="1"/>
      <w:sz w:val="40"/>
      <w:szCs w:val="24"/>
      <w:lang w:bidi="ar-SA" w:val="en-GB"/>
    </w:rPr>
  </w:style>
  <w:style w:type="character" w:styleId="BodyTextChar" w:customStyle="1">
    <w:name w:val="Body Text Char"/>
    <w:basedOn w:val="DefaultParagraphFont"/>
    <w:link w:val="BodyText"/>
    <w:semiHidden w:val="1"/>
    <w:rsid w:val="001C500D"/>
    <w:rPr>
      <w:rFonts w:ascii="Arial" w:cs="Arial" w:eastAsia="Times New Roman" w:hAnsi="Arial"/>
      <w:b w:val="1"/>
      <w:bCs w:val="1"/>
      <w:sz w:val="40"/>
      <w:szCs w:val="24"/>
      <w:lang w:bidi="ar-SA" w:val="en-GB"/>
    </w:rPr>
  </w:style>
  <w:style w:type="paragraph" w:styleId="ListParagraph">
    <w:name w:val="List Paragraph"/>
    <w:basedOn w:val="Normal"/>
    <w:uiPriority w:val="34"/>
    <w:qFormat w:val="1"/>
    <w:rsid w:val="001C500D"/>
    <w:pPr>
      <w:spacing w:after="200" w:line="276" w:lineRule="auto"/>
      <w:ind w:left="720"/>
      <w:contextualSpacing w:val="1"/>
    </w:pPr>
    <w:rPr>
      <w:rFonts w:cstheme="minorBidi"/>
      <w:szCs w:val="22"/>
      <w:lang w:bidi="ar-SA" w:val="en-GB"/>
    </w:rPr>
  </w:style>
  <w:style w:type="table" w:styleId="GridTable3-Accent5">
    <w:name w:val="Grid Table 3 Accent 5"/>
    <w:basedOn w:val="TableNormal"/>
    <w:uiPriority w:val="48"/>
    <w:rsid w:val="00F47EFA"/>
    <w:pPr>
      <w:spacing w:after="0" w:line="240" w:lineRule="auto"/>
    </w:pPr>
    <w:tblPr>
      <w:tblStyleRowBandSize w:val="1"/>
      <w:tblStyleColBandSize w:val="1"/>
      <w:tblBorders>
        <w:top w:color="8eaadb" w:space="0" w:sz="4" w:themeColor="accent5" w:themeTint="000099" w:val="single"/>
        <w:left w:color="8eaadb" w:space="0" w:sz="4" w:themeColor="accent5" w:themeTint="000099" w:val="single"/>
        <w:bottom w:color="8eaadb" w:space="0" w:sz="4" w:themeColor="accent5" w:themeTint="000099" w:val="single"/>
        <w:right w:color="8eaadb" w:space="0" w:sz="4" w:themeColor="accent5" w:themeTint="000099" w:val="single"/>
        <w:insideH w:color="8eaadb" w:space="0" w:sz="4" w:themeColor="accent5" w:themeTint="000099" w:val="single"/>
        <w:insideV w:color="8eaadb" w:space="0" w:sz="4" w:themeColor="accent5" w:themeTint="000099" w:val="single"/>
      </w:tblBorders>
    </w:tblPr>
    <w:tblStylePr w:type="firstRow">
      <w:rPr>
        <w:b w:val="1"/>
        <w:bCs w:val="1"/>
      </w:rPr>
      <w:tblPr/>
      <w:tcPr>
        <w:tcBorders>
          <w:top w:space="0" w:sz="0" w:val="nil"/>
          <w:left w:space="0" w:sz="0" w:val="nil"/>
          <w:right w:space="0" w:sz="0" w:val="nil"/>
          <w:insideH w:space="0" w:sz="0" w:val="nil"/>
          <w:insideV w:space="0" w:sz="0" w:val="nil"/>
        </w:tcBorders>
        <w:shd w:color="auto" w:fill="ffffff" w:themeFill="background1" w:val="clear"/>
      </w:tcPr>
    </w:tblStylePr>
    <w:tblStylePr w:type="lastRow">
      <w:rPr>
        <w:b w:val="1"/>
        <w:bCs w:val="1"/>
      </w:rPr>
      <w:tblPr/>
      <w:tcPr>
        <w:tcBorders>
          <w:left w:space="0" w:sz="0" w:val="nil"/>
          <w:bottom w:space="0" w:sz="0" w:val="nil"/>
          <w:right w:space="0" w:sz="0" w:val="nil"/>
          <w:insideH w:space="0" w:sz="0" w:val="nil"/>
          <w:insideV w:space="0" w:sz="0" w:val="nil"/>
        </w:tcBorders>
        <w:shd w:color="auto" w:fill="ffffff" w:themeFill="background1" w:val="clear"/>
      </w:tcPr>
    </w:tblStylePr>
    <w:tblStylePr w:type="firstCol">
      <w:pPr>
        <w:jc w:val="right"/>
      </w:pPr>
      <w:rPr>
        <w:i w:val="1"/>
        <w:iCs w:val="1"/>
      </w:rPr>
      <w:tblPr/>
      <w:tcPr>
        <w:tcBorders>
          <w:top w:space="0" w:sz="0" w:val="nil"/>
          <w:left w:space="0" w:sz="0" w:val="nil"/>
          <w:bottom w:space="0" w:sz="0" w:val="nil"/>
          <w:insideH w:space="0" w:sz="0" w:val="nil"/>
          <w:insideV w:space="0" w:sz="0" w:val="nil"/>
        </w:tcBorders>
        <w:shd w:color="auto" w:fill="ffffff" w:themeFill="background1" w:val="clear"/>
      </w:tcPr>
    </w:tblStylePr>
    <w:tblStylePr w:type="lastCol">
      <w:rPr>
        <w:i w:val="1"/>
        <w:iCs w:val="1"/>
      </w:rPr>
      <w:tblPr/>
      <w:tcPr>
        <w:tcBorders>
          <w:top w:space="0" w:sz="0" w:val="nil"/>
          <w:bottom w:space="0" w:sz="0" w:val="nil"/>
          <w:right w:space="0" w:sz="0" w:val="nil"/>
          <w:insideH w:space="0" w:sz="0" w:val="nil"/>
          <w:insideV w:space="0" w:sz="0" w:val="nil"/>
        </w:tcBorders>
        <w:shd w:color="auto" w:fill="ffffff" w:themeFill="background1" w:val="clear"/>
      </w:tcPr>
    </w:tblStylePr>
    <w:tblStylePr w:type="band1Vert">
      <w:tblPr/>
      <w:tcPr>
        <w:shd w:color="auto" w:fill="d9e2f3" w:themeFill="accent5" w:themeFillTint="000033" w:val="clear"/>
      </w:tcPr>
    </w:tblStylePr>
    <w:tblStylePr w:type="band1Horz">
      <w:tblPr/>
      <w:tcPr>
        <w:shd w:color="auto" w:fill="d9e2f3" w:themeFill="accent5" w:themeFillTint="000033" w:val="clear"/>
      </w:tcPr>
    </w:tblStylePr>
    <w:tblStylePr w:type="neCell">
      <w:tblPr/>
      <w:tcPr>
        <w:tcBorders>
          <w:bottom w:color="8eaadb" w:space="0" w:sz="4" w:themeColor="accent5" w:themeTint="000099" w:val="single"/>
        </w:tcBorders>
      </w:tcPr>
    </w:tblStylePr>
    <w:tblStylePr w:type="nwCell">
      <w:tblPr/>
      <w:tcPr>
        <w:tcBorders>
          <w:bottom w:color="8eaadb" w:space="0" w:sz="4" w:themeColor="accent5" w:themeTint="000099" w:val="single"/>
        </w:tcBorders>
      </w:tcPr>
    </w:tblStylePr>
    <w:tblStylePr w:type="seCell">
      <w:tblPr/>
      <w:tcPr>
        <w:tcBorders>
          <w:top w:color="8eaadb" w:space="0" w:sz="4" w:themeColor="accent5" w:themeTint="000099" w:val="single"/>
        </w:tcBorders>
      </w:tcPr>
    </w:tblStylePr>
    <w:tblStylePr w:type="swCell">
      <w:tblPr/>
      <w:tcPr>
        <w:tcBorders>
          <w:top w:color="8eaadb" w:space="0" w:sz="4" w:themeColor="accent5" w:themeTint="000099" w:val="single"/>
        </w:tcBorders>
      </w:tcPr>
    </w:tblStylePr>
  </w:style>
  <w:style w:type="table" w:styleId="GridTable6Colorful-Accent6">
    <w:name w:val="Grid Table 6 Colorful Accent 6"/>
    <w:basedOn w:val="TableNormal"/>
    <w:uiPriority w:val="51"/>
    <w:rsid w:val="00F47EFA"/>
    <w:pPr>
      <w:spacing w:after="0" w:line="240" w:lineRule="auto"/>
    </w:pPr>
    <w:rPr>
      <w:color w:val="538135" w:themeColor="accent6" w:themeShade="0000BF"/>
    </w:rPr>
    <w:tblPr>
      <w:tblStyleRowBandSize w:val="1"/>
      <w:tblStyleColBandSize w:val="1"/>
      <w:tblBorders>
        <w:top w:color="a8d08d" w:space="0" w:sz="4" w:themeColor="accent6" w:themeTint="000099" w:val="single"/>
        <w:left w:color="a8d08d" w:space="0" w:sz="4" w:themeColor="accent6" w:themeTint="000099" w:val="single"/>
        <w:bottom w:color="a8d08d" w:space="0" w:sz="4" w:themeColor="accent6" w:themeTint="000099" w:val="single"/>
        <w:right w:color="a8d08d" w:space="0" w:sz="4" w:themeColor="accent6" w:themeTint="000099" w:val="single"/>
        <w:insideH w:color="a8d08d" w:space="0" w:sz="4" w:themeColor="accent6" w:themeTint="000099" w:val="single"/>
        <w:insideV w:color="a8d08d" w:space="0" w:sz="4" w:themeColor="accent6" w:themeTint="000099" w:val="single"/>
      </w:tblBorders>
    </w:tblPr>
    <w:tblStylePr w:type="firstRow">
      <w:rPr>
        <w:b w:val="1"/>
        <w:bCs w:val="1"/>
      </w:rPr>
      <w:tblPr/>
      <w:tcPr>
        <w:tcBorders>
          <w:bottom w:color="a8d08d" w:space="0" w:sz="12" w:themeColor="accent6" w:themeTint="000099" w:val="single"/>
        </w:tcBorders>
      </w:tcPr>
    </w:tblStylePr>
    <w:tblStylePr w:type="lastRow">
      <w:rPr>
        <w:b w:val="1"/>
        <w:bCs w:val="1"/>
      </w:rPr>
      <w:tblPr/>
      <w:tcPr>
        <w:tcBorders>
          <w:top w:color="a8d08d" w:space="0" w:sz="4" w:themeColor="accent6" w:themeTint="000099" w:val="double"/>
        </w:tcBorders>
      </w:tcPr>
    </w:tblStylePr>
    <w:tblStylePr w:type="firstCol">
      <w:rPr>
        <w:b w:val="1"/>
        <w:bCs w:val="1"/>
      </w:rPr>
    </w:tblStylePr>
    <w:tblStylePr w:type="lastCol">
      <w:rPr>
        <w:b w:val="1"/>
        <w:bCs w:val="1"/>
      </w:rPr>
    </w:tblStylePr>
    <w:tblStylePr w:type="band1Vert">
      <w:tblPr/>
      <w:tcPr>
        <w:shd w:color="auto" w:fill="e2efd9" w:themeFill="accent6" w:themeFillTint="000033" w:val="clear"/>
      </w:tcPr>
    </w:tblStylePr>
    <w:tblStylePr w:type="band1Horz">
      <w:tblPr/>
      <w:tcPr>
        <w:shd w:color="auto" w:fill="e2efd9" w:themeFill="accent6" w:themeFillTint="000033" w:val="clear"/>
      </w:tcPr>
    </w:tblStylePr>
  </w:style>
  <w:style w:type="paragraph" w:styleId="NoSpacing">
    <w:name w:val="No Spacing"/>
    <w:uiPriority w:val="1"/>
    <w:qFormat w:val="1"/>
    <w:rsid w:val="00D77F4F"/>
    <w:pPr>
      <w:spacing w:after="0" w:line="240" w:lineRule="auto"/>
    </w:pPr>
    <w:rPr>
      <w:rFonts w:ascii="Times New Roman" w:cs="Vrinda" w:hAnsi="Times New Roman"/>
      <w:sz w:val="24"/>
    </w:rPr>
  </w:style>
  <w:style w:type="table" w:styleId="GridTable3-Accent4">
    <w:name w:val="Grid Table 3 Accent 4"/>
    <w:basedOn w:val="TableNormal"/>
    <w:uiPriority w:val="48"/>
    <w:rsid w:val="00304520"/>
    <w:pPr>
      <w:spacing w:after="0" w:line="240" w:lineRule="auto"/>
    </w:pPr>
    <w:tblPr>
      <w:tblStyleRowBandSize w:val="1"/>
      <w:tblStyleColBandSize w:val="1"/>
      <w:tblBorders>
        <w:top w:color="ffd966" w:space="0" w:sz="4" w:themeColor="accent4" w:themeTint="000099" w:val="single"/>
        <w:left w:color="ffd966" w:space="0" w:sz="4" w:themeColor="accent4" w:themeTint="000099" w:val="single"/>
        <w:bottom w:color="ffd966" w:space="0" w:sz="4" w:themeColor="accent4" w:themeTint="000099" w:val="single"/>
        <w:right w:color="ffd966" w:space="0" w:sz="4" w:themeColor="accent4" w:themeTint="000099" w:val="single"/>
        <w:insideH w:color="ffd966" w:space="0" w:sz="4" w:themeColor="accent4" w:themeTint="000099" w:val="single"/>
        <w:insideV w:color="ffd966" w:space="0" w:sz="4" w:themeColor="accent4" w:themeTint="000099" w:val="single"/>
      </w:tblBorders>
    </w:tblPr>
    <w:tblStylePr w:type="firstRow">
      <w:rPr>
        <w:b w:val="1"/>
        <w:bCs w:val="1"/>
      </w:rPr>
      <w:tblPr/>
      <w:tcPr>
        <w:tcBorders>
          <w:top w:space="0" w:sz="0" w:val="nil"/>
          <w:left w:space="0" w:sz="0" w:val="nil"/>
          <w:right w:space="0" w:sz="0" w:val="nil"/>
          <w:insideH w:space="0" w:sz="0" w:val="nil"/>
          <w:insideV w:space="0" w:sz="0" w:val="nil"/>
        </w:tcBorders>
        <w:shd w:color="auto" w:fill="ffffff" w:themeFill="background1" w:val="clear"/>
      </w:tcPr>
    </w:tblStylePr>
    <w:tblStylePr w:type="lastRow">
      <w:rPr>
        <w:b w:val="1"/>
        <w:bCs w:val="1"/>
      </w:rPr>
      <w:tblPr/>
      <w:tcPr>
        <w:tcBorders>
          <w:left w:space="0" w:sz="0" w:val="nil"/>
          <w:bottom w:space="0" w:sz="0" w:val="nil"/>
          <w:right w:space="0" w:sz="0" w:val="nil"/>
          <w:insideH w:space="0" w:sz="0" w:val="nil"/>
          <w:insideV w:space="0" w:sz="0" w:val="nil"/>
        </w:tcBorders>
        <w:shd w:color="auto" w:fill="ffffff" w:themeFill="background1" w:val="clear"/>
      </w:tcPr>
    </w:tblStylePr>
    <w:tblStylePr w:type="firstCol">
      <w:pPr>
        <w:jc w:val="right"/>
      </w:pPr>
      <w:rPr>
        <w:i w:val="1"/>
        <w:iCs w:val="1"/>
      </w:rPr>
      <w:tblPr/>
      <w:tcPr>
        <w:tcBorders>
          <w:top w:space="0" w:sz="0" w:val="nil"/>
          <w:left w:space="0" w:sz="0" w:val="nil"/>
          <w:bottom w:space="0" w:sz="0" w:val="nil"/>
          <w:insideH w:space="0" w:sz="0" w:val="nil"/>
          <w:insideV w:space="0" w:sz="0" w:val="nil"/>
        </w:tcBorders>
        <w:shd w:color="auto" w:fill="ffffff" w:themeFill="background1" w:val="clear"/>
      </w:tcPr>
    </w:tblStylePr>
    <w:tblStylePr w:type="lastCol">
      <w:rPr>
        <w:i w:val="1"/>
        <w:iCs w:val="1"/>
      </w:rPr>
      <w:tblPr/>
      <w:tcPr>
        <w:tcBorders>
          <w:top w:space="0" w:sz="0" w:val="nil"/>
          <w:bottom w:space="0" w:sz="0" w:val="nil"/>
          <w:right w:space="0" w:sz="0" w:val="nil"/>
          <w:insideH w:space="0" w:sz="0" w:val="nil"/>
          <w:insideV w:space="0" w:sz="0" w:val="nil"/>
        </w:tcBorders>
        <w:shd w:color="auto" w:fill="ffffff" w:themeFill="background1" w:val="clear"/>
      </w:tcPr>
    </w:tblStylePr>
    <w:tblStylePr w:type="band1Vert">
      <w:tblPr/>
      <w:tcPr>
        <w:shd w:color="auto" w:fill="fff2cc" w:themeFill="accent4" w:themeFillTint="000033" w:val="clear"/>
      </w:tcPr>
    </w:tblStylePr>
    <w:tblStylePr w:type="band1Horz">
      <w:tblPr/>
      <w:tcPr>
        <w:shd w:color="auto" w:fill="fff2cc" w:themeFill="accent4" w:themeFillTint="000033" w:val="clear"/>
      </w:tcPr>
    </w:tblStylePr>
    <w:tblStylePr w:type="neCell">
      <w:tblPr/>
      <w:tcPr>
        <w:tcBorders>
          <w:bottom w:color="ffd966" w:space="0" w:sz="4" w:themeColor="accent4" w:themeTint="000099" w:val="single"/>
        </w:tcBorders>
      </w:tcPr>
    </w:tblStylePr>
    <w:tblStylePr w:type="nwCell">
      <w:tblPr/>
      <w:tcPr>
        <w:tcBorders>
          <w:bottom w:color="ffd966" w:space="0" w:sz="4" w:themeColor="accent4" w:themeTint="000099" w:val="single"/>
        </w:tcBorders>
      </w:tcPr>
    </w:tblStylePr>
    <w:tblStylePr w:type="seCell">
      <w:tblPr/>
      <w:tcPr>
        <w:tcBorders>
          <w:top w:color="ffd966" w:space="0" w:sz="4" w:themeColor="accent4" w:themeTint="000099" w:val="single"/>
        </w:tcBorders>
      </w:tcPr>
    </w:tblStylePr>
    <w:tblStylePr w:type="swCell">
      <w:tblPr/>
      <w:tcPr>
        <w:tcBorders>
          <w:top w:color="ffd966" w:space="0" w:sz="4" w:themeColor="accent4" w:themeTint="000099" w:val="single"/>
        </w:tcBorders>
      </w:tcPr>
    </w:tblStylePr>
  </w:style>
  <w:style w:type="character" w:styleId="Heading4Char" w:customStyle="1">
    <w:name w:val="Heading 4 Char"/>
    <w:basedOn w:val="DefaultParagraphFont"/>
    <w:link w:val="Heading4"/>
    <w:uiPriority w:val="9"/>
    <w:semiHidden w:val="1"/>
    <w:rsid w:val="009F39E4"/>
    <w:rPr>
      <w:rFonts w:asciiTheme="majorHAnsi" w:cstheme="majorBidi" w:eastAsiaTheme="majorEastAsia" w:hAnsiTheme="majorHAnsi"/>
      <w:i w:val="1"/>
      <w:iCs w:val="1"/>
      <w:color w:val="2e74b5" w:themeColor="accent1" w:themeShade="0000BF"/>
      <w:sz w:val="24"/>
    </w:rPr>
  </w:style>
  <w:style w:type="table" w:styleId="TableGrid2" w:customStyle="1">
    <w:name w:val="Table Grid2"/>
    <w:basedOn w:val="TableNormal"/>
    <w:next w:val="TableGrid"/>
    <w:uiPriority w:val="39"/>
    <w:rsid w:val="001C287C"/>
    <w:pPr>
      <w:spacing w:after="0" w:line="240" w:lineRule="auto"/>
    </w:pPr>
    <w:rPr>
      <w:rFonts w:ascii="Calibri" w:cs="Times New Roman" w:eastAsia="Calibri" w:hAnsi="Calibri"/>
      <w:szCs w:val="22"/>
      <w:lang w:bidi="ar-SA" w:val="en-GB"/>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Title">
    <w:name w:val="Title"/>
    <w:basedOn w:val="Normal"/>
    <w:link w:val="TitleChar"/>
    <w:qFormat w:val="1"/>
    <w:rsid w:val="00EC486E"/>
    <w:pPr>
      <w:spacing w:after="0" w:line="240" w:lineRule="auto"/>
      <w:jc w:val="center"/>
    </w:pPr>
    <w:rPr>
      <w:rFonts w:ascii="Arial" w:cs="Times New Roman" w:eastAsia="Times New Roman" w:hAnsi="Arial"/>
      <w:b w:val="1"/>
      <w:color w:val="ff0000"/>
      <w:sz w:val="44"/>
      <w:szCs w:val="20"/>
      <w:lang w:bidi="ar-SA" w:val="en-GB"/>
    </w:rPr>
  </w:style>
  <w:style w:type="character" w:styleId="TitleChar" w:customStyle="1">
    <w:name w:val="Title Char"/>
    <w:basedOn w:val="DefaultParagraphFont"/>
    <w:link w:val="Title"/>
    <w:rsid w:val="00EC486E"/>
    <w:rPr>
      <w:rFonts w:ascii="Arial" w:cs="Times New Roman" w:eastAsia="Times New Roman" w:hAnsi="Arial"/>
      <w:b w:val="1"/>
      <w:color w:val="ff0000"/>
      <w:sz w:val="44"/>
      <w:szCs w:val="20"/>
      <w:lang w:bidi="ar-SA" w:val="en-GB"/>
    </w:rPr>
  </w:style>
  <w:style w:type="table" w:styleId="TableGrid1" w:customStyle="1">
    <w:name w:val="Table Grid1"/>
    <w:basedOn w:val="TableNormal"/>
    <w:next w:val="TableGrid"/>
    <w:uiPriority w:val="39"/>
    <w:rsid w:val="00EC486E"/>
    <w:pPr>
      <w:spacing w:after="0" w:line="240" w:lineRule="auto"/>
    </w:pPr>
    <w:rPr>
      <w:szCs w:val="22"/>
      <w:lang w:bidi="ar-SA" w:val="en-GB"/>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Heading3Char" w:customStyle="1">
    <w:name w:val="Heading 3 Char"/>
    <w:basedOn w:val="DefaultParagraphFont"/>
    <w:link w:val="Heading3"/>
    <w:uiPriority w:val="9"/>
    <w:rsid w:val="00B86A03"/>
    <w:rPr>
      <w:rFonts w:asciiTheme="majorHAnsi" w:cstheme="majorBidi" w:eastAsiaTheme="majorEastAsia" w:hAnsiTheme="majorHAnsi"/>
      <w:color w:val="1f4d78" w:themeColor="accent1" w:themeShade="00007F"/>
      <w:sz w:val="24"/>
      <w:szCs w:val="30"/>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image" Target="media/image1.png"/><Relationship Id="rId9" Type="http://schemas.openxmlformats.org/officeDocument/2006/relationships/image" Target="media/image4.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7RTBw0W581yX1ueLt7t/yUwo2yQ==">CgMxLjAyCGguZ2pkZ3hzMgloLjMwajB6bGwyCWguMWZvYjl0ZTIJaC4zem55c2g3MgloLjJldDkycDAyCGgudHlqY3d0MgloLjNkeTZ2a20yCWguMXQzaDVzZjgAciExa21CMXlFMnlCQjJpaXdla3FWS1JrSnpvd0xQa2lCQzk=</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2023-07-23T09:28:00Z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a76eb3d292f3f402262343e2132ee5cd24cb6fc9cc0ef24d1e702775b535e7bf</vt:lpwstr>
  </property>
</Properties>
</file>