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BF4E9" w14:textId="77777777" w:rsidR="00F95605" w:rsidRPr="0054380E" w:rsidRDefault="00F95605" w:rsidP="00861781">
      <w:pPr>
        <w:spacing w:after="165" w:line="360" w:lineRule="auto"/>
        <w:jc w:val="both"/>
        <w:rPr>
          <w:rFonts w:eastAsia="Tahoma" w:cs="Arial"/>
          <w:color w:val="000000"/>
          <w:sz w:val="40"/>
          <w:szCs w:val="40"/>
        </w:rPr>
      </w:pPr>
      <w:r w:rsidRPr="0054380E">
        <w:rPr>
          <w:rFonts w:cs="Arial"/>
          <w:b/>
          <w:noProof/>
        </w:rPr>
        <w:drawing>
          <wp:inline distT="0" distB="0" distL="0" distR="0" wp14:anchorId="3B3670C4" wp14:editId="3290DEA1">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796F6BC7" w14:textId="6A2334CD" w:rsidR="00F95605" w:rsidRPr="0054380E" w:rsidRDefault="00F95605" w:rsidP="00861781">
      <w:pPr>
        <w:spacing w:after="165" w:line="360" w:lineRule="auto"/>
        <w:jc w:val="center"/>
        <w:rPr>
          <w:rFonts w:eastAsia="Tahoma" w:cs="Arial"/>
          <w:color w:val="000000"/>
          <w:szCs w:val="24"/>
        </w:rPr>
      </w:pPr>
      <w:r w:rsidRPr="0054380E">
        <w:rPr>
          <w:rFonts w:eastAsia="Tahoma" w:cs="Arial"/>
          <w:color w:val="000000"/>
          <w:sz w:val="40"/>
          <w:szCs w:val="40"/>
        </w:rPr>
        <w:t>Applied Leadership and Management in the Workplace</w:t>
      </w:r>
      <w:r w:rsidRPr="0054380E">
        <w:rPr>
          <w:rFonts w:eastAsia="Tahoma" w:cs="Arial"/>
          <w:color w:val="000000"/>
          <w:sz w:val="40"/>
          <w:szCs w:val="40"/>
        </w:rPr>
        <w:br/>
        <w:t>Module Assignment Submission</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95605" w:rsidRPr="0054380E" w14:paraId="3E52AEAF" w14:textId="77777777" w:rsidTr="00012AEE">
        <w:tc>
          <w:tcPr>
            <w:tcW w:w="3438" w:type="dxa"/>
            <w:shd w:val="clear" w:color="auto" w:fill="D9D9D9" w:themeFill="background1" w:themeFillShade="D9"/>
          </w:tcPr>
          <w:p w14:paraId="4286A907" w14:textId="77777777" w:rsidR="00F95605" w:rsidRPr="0054380E" w:rsidRDefault="00F95605" w:rsidP="00861781">
            <w:pPr>
              <w:spacing w:before="120" w:after="120" w:line="360" w:lineRule="auto"/>
              <w:jc w:val="both"/>
              <w:rPr>
                <w:rFonts w:eastAsia="Tahoma" w:cs="Arial"/>
                <w:sz w:val="32"/>
                <w:szCs w:val="32"/>
              </w:rPr>
            </w:pPr>
            <w:r w:rsidRPr="0054380E">
              <w:rPr>
                <w:rFonts w:eastAsia="Tahoma" w:cs="Arial"/>
                <w:sz w:val="32"/>
                <w:szCs w:val="32"/>
              </w:rPr>
              <w:t>Student Name:</w:t>
            </w:r>
          </w:p>
        </w:tc>
        <w:tc>
          <w:tcPr>
            <w:tcW w:w="6055" w:type="dxa"/>
          </w:tcPr>
          <w:p w14:paraId="430F5593" w14:textId="151411CF" w:rsidR="00F95605" w:rsidRPr="0054380E" w:rsidRDefault="00F95605" w:rsidP="00861781">
            <w:pPr>
              <w:spacing w:before="120" w:after="120" w:line="360" w:lineRule="auto"/>
              <w:jc w:val="center"/>
              <w:rPr>
                <w:rFonts w:eastAsia="Tahoma" w:cs="Arial"/>
                <w:sz w:val="32"/>
                <w:szCs w:val="32"/>
              </w:rPr>
            </w:pPr>
            <w:r w:rsidRPr="0054380E">
              <w:rPr>
                <w:rFonts w:eastAsia="Tahoma" w:cs="Arial"/>
                <w:sz w:val="32"/>
                <w:szCs w:val="32"/>
              </w:rPr>
              <w:t>Roxana Plesca</w:t>
            </w:r>
          </w:p>
        </w:tc>
      </w:tr>
      <w:tr w:rsidR="00F95605" w:rsidRPr="0054380E" w14:paraId="59D7B1E3" w14:textId="77777777" w:rsidTr="00012AEE">
        <w:tc>
          <w:tcPr>
            <w:tcW w:w="3438" w:type="dxa"/>
            <w:shd w:val="clear" w:color="auto" w:fill="D9D9D9" w:themeFill="background1" w:themeFillShade="D9"/>
          </w:tcPr>
          <w:p w14:paraId="050457F4" w14:textId="77777777" w:rsidR="00F95605" w:rsidRPr="0054380E" w:rsidRDefault="00F95605" w:rsidP="00861781">
            <w:pPr>
              <w:spacing w:before="120" w:after="120" w:line="360" w:lineRule="auto"/>
              <w:jc w:val="both"/>
              <w:rPr>
                <w:rFonts w:eastAsia="Tahoma" w:cs="Arial"/>
                <w:sz w:val="32"/>
                <w:szCs w:val="32"/>
              </w:rPr>
            </w:pPr>
            <w:r w:rsidRPr="0054380E">
              <w:rPr>
                <w:rFonts w:eastAsia="Tahoma" w:cs="Arial"/>
                <w:sz w:val="32"/>
                <w:szCs w:val="32"/>
              </w:rPr>
              <w:t>Student Number:</w:t>
            </w:r>
          </w:p>
        </w:tc>
        <w:tc>
          <w:tcPr>
            <w:tcW w:w="6055" w:type="dxa"/>
          </w:tcPr>
          <w:p w14:paraId="12AEE018" w14:textId="16B45CFF" w:rsidR="00F95605" w:rsidRPr="0054380E" w:rsidRDefault="00831AE3" w:rsidP="00861781">
            <w:pPr>
              <w:spacing w:before="120" w:after="120" w:line="360" w:lineRule="auto"/>
              <w:jc w:val="center"/>
              <w:rPr>
                <w:rFonts w:eastAsia="Tahoma" w:cs="Arial"/>
                <w:sz w:val="32"/>
                <w:szCs w:val="32"/>
              </w:rPr>
            </w:pPr>
            <w:r>
              <w:rPr>
                <w:rFonts w:eastAsia="Tahoma" w:cs="Arial"/>
                <w:sz w:val="32"/>
                <w:szCs w:val="32"/>
              </w:rPr>
              <w:t>2425030</w:t>
            </w:r>
          </w:p>
        </w:tc>
      </w:tr>
      <w:tr w:rsidR="00F95605" w:rsidRPr="0054380E" w14:paraId="55C877FC" w14:textId="77777777" w:rsidTr="00012AEE">
        <w:tc>
          <w:tcPr>
            <w:tcW w:w="3438" w:type="dxa"/>
            <w:shd w:val="clear" w:color="auto" w:fill="D9D9D9" w:themeFill="background1" w:themeFillShade="D9"/>
          </w:tcPr>
          <w:p w14:paraId="42D04202" w14:textId="77777777" w:rsidR="00F95605" w:rsidRPr="0054380E" w:rsidRDefault="00F95605" w:rsidP="00861781">
            <w:pPr>
              <w:spacing w:before="120" w:after="120" w:line="360" w:lineRule="auto"/>
              <w:jc w:val="both"/>
              <w:rPr>
                <w:rFonts w:eastAsia="Tahoma" w:cs="Arial"/>
                <w:sz w:val="32"/>
                <w:szCs w:val="32"/>
              </w:rPr>
            </w:pPr>
            <w:r w:rsidRPr="0054380E">
              <w:rPr>
                <w:rFonts w:eastAsia="Tahoma" w:cs="Arial"/>
                <w:sz w:val="32"/>
                <w:szCs w:val="32"/>
              </w:rPr>
              <w:t>Module No:</w:t>
            </w:r>
          </w:p>
        </w:tc>
        <w:tc>
          <w:tcPr>
            <w:tcW w:w="6055" w:type="dxa"/>
          </w:tcPr>
          <w:p w14:paraId="4A8119D2" w14:textId="298CAD23" w:rsidR="00F95605" w:rsidRPr="00831AE3" w:rsidRDefault="00F95605" w:rsidP="00861781">
            <w:pPr>
              <w:spacing w:before="120" w:after="120" w:line="360" w:lineRule="auto"/>
              <w:jc w:val="center"/>
              <w:rPr>
                <w:rFonts w:eastAsia="Tahoma" w:cs="Arial"/>
                <w:sz w:val="32"/>
                <w:szCs w:val="32"/>
              </w:rPr>
            </w:pPr>
            <w:r w:rsidRPr="00831AE3">
              <w:rPr>
                <w:rFonts w:eastAsia="Tahoma" w:cs="Arial"/>
                <w:sz w:val="32"/>
                <w:szCs w:val="32"/>
              </w:rPr>
              <w:t>BMSK5010</w:t>
            </w:r>
          </w:p>
        </w:tc>
      </w:tr>
      <w:tr w:rsidR="00F95605" w:rsidRPr="0054380E" w14:paraId="05EE84DF" w14:textId="77777777" w:rsidTr="00012AEE">
        <w:trPr>
          <w:trHeight w:val="413"/>
        </w:trPr>
        <w:tc>
          <w:tcPr>
            <w:tcW w:w="3438" w:type="dxa"/>
            <w:shd w:val="clear" w:color="auto" w:fill="D9D9D9" w:themeFill="background1" w:themeFillShade="D9"/>
          </w:tcPr>
          <w:p w14:paraId="06AFF191" w14:textId="77777777" w:rsidR="00F95605" w:rsidRPr="0054380E" w:rsidRDefault="00F95605" w:rsidP="00861781">
            <w:pPr>
              <w:spacing w:before="120" w:after="120" w:line="360" w:lineRule="auto"/>
              <w:jc w:val="both"/>
              <w:rPr>
                <w:rFonts w:eastAsia="Tahoma" w:cs="Arial"/>
                <w:sz w:val="32"/>
                <w:szCs w:val="32"/>
              </w:rPr>
            </w:pPr>
            <w:r w:rsidRPr="0054380E">
              <w:rPr>
                <w:rFonts w:eastAsia="Tahoma" w:cs="Arial"/>
                <w:sz w:val="32"/>
                <w:szCs w:val="32"/>
              </w:rPr>
              <w:t>Module Title:</w:t>
            </w:r>
          </w:p>
        </w:tc>
        <w:tc>
          <w:tcPr>
            <w:tcW w:w="6055" w:type="dxa"/>
          </w:tcPr>
          <w:p w14:paraId="26D2F42F" w14:textId="740075CD" w:rsidR="00F95605" w:rsidRPr="0054380E" w:rsidRDefault="005264F4" w:rsidP="00861781">
            <w:pPr>
              <w:spacing w:before="120" w:after="120" w:line="360" w:lineRule="auto"/>
              <w:jc w:val="center"/>
              <w:rPr>
                <w:rFonts w:eastAsia="Tahoma" w:cs="Arial"/>
                <w:color w:val="FF0000"/>
                <w:sz w:val="32"/>
                <w:szCs w:val="32"/>
              </w:rPr>
            </w:pPr>
            <w:r w:rsidRPr="00831AE3">
              <w:rPr>
                <w:rFonts w:eastAsia="Tahoma" w:cs="Arial"/>
                <w:sz w:val="32"/>
                <w:szCs w:val="32"/>
              </w:rPr>
              <w:t>D</w:t>
            </w:r>
            <w:r w:rsidR="00831AE3" w:rsidRPr="00831AE3">
              <w:rPr>
                <w:rFonts w:eastAsia="Tahoma" w:cs="Arial"/>
                <w:sz w:val="32"/>
                <w:szCs w:val="32"/>
              </w:rPr>
              <w:t>eveloping the Learning Organisation</w:t>
            </w:r>
          </w:p>
        </w:tc>
      </w:tr>
    </w:tbl>
    <w:p w14:paraId="2A6C11AA" w14:textId="77777777" w:rsidR="00F95605" w:rsidRPr="0054380E" w:rsidRDefault="00F95605" w:rsidP="00861781">
      <w:pPr>
        <w:spacing w:before="120" w:after="120" w:line="360" w:lineRule="auto"/>
        <w:jc w:val="both"/>
        <w:rPr>
          <w:rFonts w:eastAsia="Tahoma" w:cs="Arial"/>
          <w:b/>
          <w:color w:val="000000"/>
          <w:szCs w:val="24"/>
        </w:rPr>
      </w:pPr>
      <w:r w:rsidRPr="0054380E">
        <w:rPr>
          <w:rFonts w:eastAsia="Tahoma" w:cs="Arial"/>
          <w:b/>
          <w:color w:val="000000"/>
          <w:szCs w:val="24"/>
        </w:rPr>
        <w:t>Statement of Confirmation of Authenticity</w:t>
      </w:r>
    </w:p>
    <w:p w14:paraId="0EEE7882" w14:textId="77777777" w:rsidR="00F95605" w:rsidRPr="003529BB" w:rsidRDefault="00F95605" w:rsidP="00861781">
      <w:pPr>
        <w:spacing w:before="120" w:after="120" w:line="360" w:lineRule="auto"/>
        <w:jc w:val="both"/>
        <w:rPr>
          <w:rFonts w:eastAsia="Tahoma" w:cs="Arial"/>
          <w:color w:val="000000"/>
          <w:szCs w:val="24"/>
        </w:rPr>
      </w:pPr>
      <w:r w:rsidRPr="003529BB">
        <w:rPr>
          <w:rFonts w:eastAsia="Tahoma" w:cs="Arial"/>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D91CD38" w14:textId="77777777" w:rsidR="00F95605" w:rsidRPr="003529BB" w:rsidRDefault="00F95605" w:rsidP="00861781">
      <w:pPr>
        <w:spacing w:before="120" w:after="120" w:line="360" w:lineRule="auto"/>
        <w:jc w:val="both"/>
        <w:rPr>
          <w:rFonts w:eastAsia="Tahoma" w:cs="Arial"/>
          <w:color w:val="000000"/>
          <w:szCs w:val="24"/>
        </w:rPr>
      </w:pPr>
      <w:r w:rsidRPr="003529BB">
        <w:rPr>
          <w:rFonts w:eastAsia="Tahoma" w:cs="Arial"/>
          <w:color w:val="000000"/>
          <w:szCs w:val="24"/>
        </w:rPr>
        <w:t>Attention is drawn to the plagiarism and unfair practice policies of both the University and of ILM.</w:t>
      </w:r>
    </w:p>
    <w:p w14:paraId="0D7ACDD1" w14:textId="77777777" w:rsidR="00F95605" w:rsidRPr="003529BB" w:rsidRDefault="00F95605" w:rsidP="00861781">
      <w:pPr>
        <w:spacing w:line="360" w:lineRule="auto"/>
        <w:jc w:val="both"/>
        <w:rPr>
          <w:rFonts w:cs="Arial"/>
          <w:szCs w:val="24"/>
        </w:rPr>
      </w:pPr>
      <w:r w:rsidRPr="003529BB">
        <w:rPr>
          <w:rFonts w:cs="Arial"/>
          <w:b/>
          <w:bCs/>
          <w:szCs w:val="24"/>
        </w:rPr>
        <w:t>AI Declaration:</w:t>
      </w:r>
      <w:r w:rsidRPr="003529BB">
        <w:rPr>
          <w:rFonts w:cs="Arial"/>
          <w:szCs w:val="24"/>
        </w:rPr>
        <w:t xml:space="preserve"> I confirm that </w:t>
      </w:r>
      <w:r w:rsidRPr="003529BB">
        <w:rPr>
          <w:rFonts w:cs="Arial"/>
          <w:b/>
          <w:bCs/>
          <w:szCs w:val="24"/>
        </w:rPr>
        <w:t>I have not used Generative AI</w:t>
      </w:r>
      <w:r w:rsidRPr="003529BB">
        <w:rPr>
          <w:rFonts w:cs="Arial"/>
          <w:szCs w:val="24"/>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w14:paraId="5BCD482F" w14:textId="77777777" w:rsidR="00F95605" w:rsidRPr="0054380E" w:rsidRDefault="00F95605" w:rsidP="00861781">
      <w:pPr>
        <w:spacing w:line="360" w:lineRule="auto"/>
        <w:jc w:val="both"/>
        <w:rPr>
          <w:rFonts w:cs="Arial"/>
        </w:rPr>
      </w:pPr>
    </w:p>
    <w:sdt>
      <w:sdtPr>
        <w:rPr>
          <w:rFonts w:ascii="Arial" w:eastAsia="Calibri" w:hAnsi="Arial" w:cs="Calibri"/>
          <w:color w:val="auto"/>
          <w:sz w:val="24"/>
          <w:szCs w:val="22"/>
          <w:lang w:val="en-GB" w:eastAsia="zh-CN"/>
        </w:rPr>
        <w:id w:val="-1689911808"/>
        <w:docPartObj>
          <w:docPartGallery w:val="Table of Contents"/>
          <w:docPartUnique/>
        </w:docPartObj>
      </w:sdtPr>
      <w:sdtEndPr>
        <w:rPr>
          <w:b/>
          <w:bCs/>
        </w:rPr>
      </w:sdtEndPr>
      <w:sdtContent>
        <w:p w14:paraId="75D0BEC9" w14:textId="29C262F8" w:rsidR="00F95605" w:rsidRPr="0054380E" w:rsidRDefault="00F95605" w:rsidP="00861781">
          <w:pPr>
            <w:pStyle w:val="TOCHeading"/>
            <w:spacing w:line="360" w:lineRule="auto"/>
            <w:rPr>
              <w:lang w:val="en-GB"/>
            </w:rPr>
          </w:pPr>
          <w:r w:rsidRPr="0054380E">
            <w:rPr>
              <w:lang w:val="en-GB"/>
            </w:rPr>
            <w:t>Table of Contents</w:t>
          </w:r>
        </w:p>
        <w:p w14:paraId="0D80AE99" w14:textId="439FBABB" w:rsidR="00861781" w:rsidRDefault="00F95605">
          <w:pPr>
            <w:pStyle w:val="TOC1"/>
            <w:tabs>
              <w:tab w:val="right" w:leader="dot" w:pos="9016"/>
            </w:tabs>
            <w:rPr>
              <w:rFonts w:asciiTheme="minorHAnsi" w:eastAsiaTheme="minorEastAsia" w:hAnsiTheme="minorHAnsi" w:cstheme="minorBidi"/>
              <w:noProof/>
              <w:kern w:val="2"/>
              <w:szCs w:val="24"/>
              <w:lang w:eastAsia="en-GB"/>
              <w14:ligatures w14:val="standardContextual"/>
            </w:rPr>
          </w:pPr>
          <w:r w:rsidRPr="0054380E">
            <w:fldChar w:fldCharType="begin"/>
          </w:r>
          <w:r w:rsidRPr="0054380E">
            <w:instrText xml:space="preserve"> TOC \o "1-3" \h \z \u </w:instrText>
          </w:r>
          <w:r w:rsidRPr="0054380E">
            <w:fldChar w:fldCharType="separate"/>
          </w:r>
          <w:hyperlink w:anchor="_Toc242641720" w:history="1">
            <w:r w:rsidR="00861781" w:rsidRPr="005C0A94">
              <w:rPr>
                <w:rStyle w:val="Hyperlink"/>
                <w:rFonts w:cs="Arial"/>
                <w:noProof/>
              </w:rPr>
              <w:t>AI usage acknowledgement</w:t>
            </w:r>
            <w:r w:rsidR="00861781">
              <w:rPr>
                <w:noProof/>
                <w:webHidden/>
              </w:rPr>
              <w:tab/>
            </w:r>
            <w:r w:rsidR="00861781">
              <w:rPr>
                <w:noProof/>
                <w:webHidden/>
              </w:rPr>
              <w:fldChar w:fldCharType="begin"/>
            </w:r>
            <w:r w:rsidR="00861781">
              <w:rPr>
                <w:noProof/>
                <w:webHidden/>
              </w:rPr>
              <w:instrText xml:space="preserve"> PAGEREF _Toc242641720 \h </w:instrText>
            </w:r>
            <w:r w:rsidR="00861781">
              <w:rPr>
                <w:noProof/>
                <w:webHidden/>
              </w:rPr>
            </w:r>
            <w:r w:rsidR="00861781">
              <w:rPr>
                <w:noProof/>
                <w:webHidden/>
              </w:rPr>
              <w:fldChar w:fldCharType="separate"/>
            </w:r>
            <w:r w:rsidR="00861781">
              <w:rPr>
                <w:noProof/>
                <w:webHidden/>
              </w:rPr>
              <w:t>3</w:t>
            </w:r>
            <w:r w:rsidR="00861781">
              <w:rPr>
                <w:noProof/>
                <w:webHidden/>
              </w:rPr>
              <w:fldChar w:fldCharType="end"/>
            </w:r>
          </w:hyperlink>
        </w:p>
        <w:p w14:paraId="1CB6D530" w14:textId="52DEACD3"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1" w:history="1">
            <w:r w:rsidRPr="005C0A94">
              <w:rPr>
                <w:rStyle w:val="Hyperlink"/>
                <w:rFonts w:cs="Arial"/>
                <w:noProof/>
              </w:rPr>
              <w:t>Introduction</w:t>
            </w:r>
            <w:r>
              <w:rPr>
                <w:noProof/>
                <w:webHidden/>
              </w:rPr>
              <w:tab/>
            </w:r>
            <w:r>
              <w:rPr>
                <w:noProof/>
                <w:webHidden/>
              </w:rPr>
              <w:fldChar w:fldCharType="begin"/>
            </w:r>
            <w:r>
              <w:rPr>
                <w:noProof/>
                <w:webHidden/>
              </w:rPr>
              <w:instrText xml:space="preserve"> PAGEREF _Toc242641721 \h </w:instrText>
            </w:r>
            <w:r>
              <w:rPr>
                <w:noProof/>
                <w:webHidden/>
              </w:rPr>
            </w:r>
            <w:r>
              <w:rPr>
                <w:noProof/>
                <w:webHidden/>
              </w:rPr>
              <w:fldChar w:fldCharType="separate"/>
            </w:r>
            <w:r>
              <w:rPr>
                <w:noProof/>
                <w:webHidden/>
              </w:rPr>
              <w:t>4</w:t>
            </w:r>
            <w:r>
              <w:rPr>
                <w:noProof/>
                <w:webHidden/>
              </w:rPr>
              <w:fldChar w:fldCharType="end"/>
            </w:r>
          </w:hyperlink>
        </w:p>
        <w:p w14:paraId="2D1D4F5B" w14:textId="61D94A0D"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2" w:history="1">
            <w:r w:rsidRPr="005C0A94">
              <w:rPr>
                <w:rStyle w:val="Hyperlink"/>
                <w:rFonts w:cs="Arial"/>
                <w:noProof/>
              </w:rPr>
              <w:t>Impacts of developing individuals</w:t>
            </w:r>
            <w:r>
              <w:rPr>
                <w:noProof/>
                <w:webHidden/>
              </w:rPr>
              <w:tab/>
            </w:r>
            <w:r>
              <w:rPr>
                <w:noProof/>
                <w:webHidden/>
              </w:rPr>
              <w:fldChar w:fldCharType="begin"/>
            </w:r>
            <w:r>
              <w:rPr>
                <w:noProof/>
                <w:webHidden/>
              </w:rPr>
              <w:instrText xml:space="preserve"> PAGEREF _Toc242641722 \h </w:instrText>
            </w:r>
            <w:r>
              <w:rPr>
                <w:noProof/>
                <w:webHidden/>
              </w:rPr>
            </w:r>
            <w:r>
              <w:rPr>
                <w:noProof/>
                <w:webHidden/>
              </w:rPr>
              <w:fldChar w:fldCharType="separate"/>
            </w:r>
            <w:r>
              <w:rPr>
                <w:noProof/>
                <w:webHidden/>
              </w:rPr>
              <w:t>4</w:t>
            </w:r>
            <w:r>
              <w:rPr>
                <w:noProof/>
                <w:webHidden/>
              </w:rPr>
              <w:fldChar w:fldCharType="end"/>
            </w:r>
          </w:hyperlink>
        </w:p>
        <w:p w14:paraId="587A2362" w14:textId="18A8693C"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3" w:history="1">
            <w:r w:rsidRPr="005C0A94">
              <w:rPr>
                <w:rStyle w:val="Hyperlink"/>
                <w:rFonts w:cs="Arial"/>
                <w:noProof/>
              </w:rPr>
              <w:t>Managing employee expectations</w:t>
            </w:r>
            <w:r>
              <w:rPr>
                <w:noProof/>
                <w:webHidden/>
              </w:rPr>
              <w:tab/>
            </w:r>
            <w:r>
              <w:rPr>
                <w:noProof/>
                <w:webHidden/>
              </w:rPr>
              <w:fldChar w:fldCharType="begin"/>
            </w:r>
            <w:r>
              <w:rPr>
                <w:noProof/>
                <w:webHidden/>
              </w:rPr>
              <w:instrText xml:space="preserve"> PAGEREF _Toc242641723 \h </w:instrText>
            </w:r>
            <w:r>
              <w:rPr>
                <w:noProof/>
                <w:webHidden/>
              </w:rPr>
            </w:r>
            <w:r>
              <w:rPr>
                <w:noProof/>
                <w:webHidden/>
              </w:rPr>
              <w:fldChar w:fldCharType="separate"/>
            </w:r>
            <w:r>
              <w:rPr>
                <w:noProof/>
                <w:webHidden/>
              </w:rPr>
              <w:t>7</w:t>
            </w:r>
            <w:r>
              <w:rPr>
                <w:noProof/>
                <w:webHidden/>
              </w:rPr>
              <w:fldChar w:fldCharType="end"/>
            </w:r>
          </w:hyperlink>
        </w:p>
        <w:p w14:paraId="60AC51D3" w14:textId="355C91D1"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4" w:history="1">
            <w:r w:rsidRPr="005C0A94">
              <w:rPr>
                <w:rStyle w:val="Hyperlink"/>
                <w:rFonts w:cs="Arial"/>
                <w:noProof/>
              </w:rPr>
              <w:t>Development vehicles</w:t>
            </w:r>
            <w:r>
              <w:rPr>
                <w:noProof/>
                <w:webHidden/>
              </w:rPr>
              <w:tab/>
            </w:r>
            <w:r>
              <w:rPr>
                <w:noProof/>
                <w:webHidden/>
              </w:rPr>
              <w:fldChar w:fldCharType="begin"/>
            </w:r>
            <w:r>
              <w:rPr>
                <w:noProof/>
                <w:webHidden/>
              </w:rPr>
              <w:instrText xml:space="preserve"> PAGEREF _Toc242641724 \h </w:instrText>
            </w:r>
            <w:r>
              <w:rPr>
                <w:noProof/>
                <w:webHidden/>
              </w:rPr>
            </w:r>
            <w:r>
              <w:rPr>
                <w:noProof/>
                <w:webHidden/>
              </w:rPr>
              <w:fldChar w:fldCharType="separate"/>
            </w:r>
            <w:r>
              <w:rPr>
                <w:noProof/>
                <w:webHidden/>
              </w:rPr>
              <w:t>9</w:t>
            </w:r>
            <w:r>
              <w:rPr>
                <w:noProof/>
                <w:webHidden/>
              </w:rPr>
              <w:fldChar w:fldCharType="end"/>
            </w:r>
          </w:hyperlink>
        </w:p>
        <w:p w14:paraId="4DCBE2B8" w14:textId="706D35C0"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5" w:history="1">
            <w:r w:rsidRPr="005C0A94">
              <w:rPr>
                <w:rStyle w:val="Hyperlink"/>
                <w:rFonts w:cs="Arial"/>
                <w:noProof/>
              </w:rPr>
              <w:t>Identifying development needs and performance management</w:t>
            </w:r>
            <w:r>
              <w:rPr>
                <w:noProof/>
                <w:webHidden/>
              </w:rPr>
              <w:tab/>
            </w:r>
            <w:r>
              <w:rPr>
                <w:noProof/>
                <w:webHidden/>
              </w:rPr>
              <w:fldChar w:fldCharType="begin"/>
            </w:r>
            <w:r>
              <w:rPr>
                <w:noProof/>
                <w:webHidden/>
              </w:rPr>
              <w:instrText xml:space="preserve"> PAGEREF _Toc242641725 \h </w:instrText>
            </w:r>
            <w:r>
              <w:rPr>
                <w:noProof/>
                <w:webHidden/>
              </w:rPr>
            </w:r>
            <w:r>
              <w:rPr>
                <w:noProof/>
                <w:webHidden/>
              </w:rPr>
              <w:fldChar w:fldCharType="separate"/>
            </w:r>
            <w:r>
              <w:rPr>
                <w:noProof/>
                <w:webHidden/>
              </w:rPr>
              <w:t>12</w:t>
            </w:r>
            <w:r>
              <w:rPr>
                <w:noProof/>
                <w:webHidden/>
              </w:rPr>
              <w:fldChar w:fldCharType="end"/>
            </w:r>
          </w:hyperlink>
        </w:p>
        <w:p w14:paraId="21C5893C" w14:textId="193FE139"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6" w:history="1">
            <w:r w:rsidRPr="005C0A94">
              <w:rPr>
                <w:rStyle w:val="Hyperlink"/>
                <w:rFonts w:cs="Arial"/>
                <w:noProof/>
              </w:rPr>
              <w:t>Conclusion</w:t>
            </w:r>
            <w:r>
              <w:rPr>
                <w:noProof/>
                <w:webHidden/>
              </w:rPr>
              <w:tab/>
            </w:r>
            <w:r>
              <w:rPr>
                <w:noProof/>
                <w:webHidden/>
              </w:rPr>
              <w:fldChar w:fldCharType="begin"/>
            </w:r>
            <w:r>
              <w:rPr>
                <w:noProof/>
                <w:webHidden/>
              </w:rPr>
              <w:instrText xml:space="preserve"> PAGEREF _Toc242641726 \h </w:instrText>
            </w:r>
            <w:r>
              <w:rPr>
                <w:noProof/>
                <w:webHidden/>
              </w:rPr>
            </w:r>
            <w:r>
              <w:rPr>
                <w:noProof/>
                <w:webHidden/>
              </w:rPr>
              <w:fldChar w:fldCharType="separate"/>
            </w:r>
            <w:r>
              <w:rPr>
                <w:noProof/>
                <w:webHidden/>
              </w:rPr>
              <w:t>15</w:t>
            </w:r>
            <w:r>
              <w:rPr>
                <w:noProof/>
                <w:webHidden/>
              </w:rPr>
              <w:fldChar w:fldCharType="end"/>
            </w:r>
          </w:hyperlink>
        </w:p>
        <w:p w14:paraId="322E74DA" w14:textId="7366B5B4"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7" w:history="1">
            <w:r w:rsidRPr="005C0A94">
              <w:rPr>
                <w:rStyle w:val="Hyperlink"/>
                <w:rFonts w:cs="Arial"/>
                <w:noProof/>
              </w:rPr>
              <w:t>References</w:t>
            </w:r>
            <w:r>
              <w:rPr>
                <w:noProof/>
                <w:webHidden/>
              </w:rPr>
              <w:tab/>
            </w:r>
            <w:r>
              <w:rPr>
                <w:noProof/>
                <w:webHidden/>
              </w:rPr>
              <w:fldChar w:fldCharType="begin"/>
            </w:r>
            <w:r>
              <w:rPr>
                <w:noProof/>
                <w:webHidden/>
              </w:rPr>
              <w:instrText xml:space="preserve"> PAGEREF _Toc242641727 \h </w:instrText>
            </w:r>
            <w:r>
              <w:rPr>
                <w:noProof/>
                <w:webHidden/>
              </w:rPr>
            </w:r>
            <w:r>
              <w:rPr>
                <w:noProof/>
                <w:webHidden/>
              </w:rPr>
              <w:fldChar w:fldCharType="separate"/>
            </w:r>
            <w:r>
              <w:rPr>
                <w:noProof/>
                <w:webHidden/>
              </w:rPr>
              <w:t>17</w:t>
            </w:r>
            <w:r>
              <w:rPr>
                <w:noProof/>
                <w:webHidden/>
              </w:rPr>
              <w:fldChar w:fldCharType="end"/>
            </w:r>
          </w:hyperlink>
        </w:p>
        <w:p w14:paraId="3B458F8F" w14:textId="5DA2BBE7" w:rsidR="00861781" w:rsidRDefault="00861781">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8" w:history="1">
            <w:r w:rsidRPr="005C0A94">
              <w:rPr>
                <w:rStyle w:val="Hyperlink"/>
                <w:rFonts w:cs="Arial"/>
                <w:noProof/>
                <w:lang w:val="en-US"/>
              </w:rPr>
              <w:t>Appendices</w:t>
            </w:r>
            <w:r>
              <w:rPr>
                <w:noProof/>
                <w:webHidden/>
              </w:rPr>
              <w:tab/>
            </w:r>
            <w:r>
              <w:rPr>
                <w:noProof/>
                <w:webHidden/>
              </w:rPr>
              <w:fldChar w:fldCharType="begin"/>
            </w:r>
            <w:r>
              <w:rPr>
                <w:noProof/>
                <w:webHidden/>
              </w:rPr>
              <w:instrText xml:space="preserve"> PAGEREF _Toc242641728 \h </w:instrText>
            </w:r>
            <w:r>
              <w:rPr>
                <w:noProof/>
                <w:webHidden/>
              </w:rPr>
            </w:r>
            <w:r>
              <w:rPr>
                <w:noProof/>
                <w:webHidden/>
              </w:rPr>
              <w:fldChar w:fldCharType="separate"/>
            </w:r>
            <w:r>
              <w:rPr>
                <w:noProof/>
                <w:webHidden/>
              </w:rPr>
              <w:t>22</w:t>
            </w:r>
            <w:r>
              <w:rPr>
                <w:noProof/>
                <w:webHidden/>
              </w:rPr>
              <w:fldChar w:fldCharType="end"/>
            </w:r>
          </w:hyperlink>
        </w:p>
        <w:p w14:paraId="76A13BE9" w14:textId="38EDE3B9" w:rsidR="00861781" w:rsidRDefault="0086178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29" w:history="1">
            <w:r w:rsidRPr="005C0A94">
              <w:rPr>
                <w:rStyle w:val="Hyperlink"/>
                <w:rFonts w:cs="Arial"/>
                <w:noProof/>
                <w:lang w:val="en-US"/>
              </w:rPr>
              <w:t>Appendix A</w:t>
            </w:r>
            <w:r>
              <w:rPr>
                <w:noProof/>
                <w:webHidden/>
              </w:rPr>
              <w:tab/>
            </w:r>
            <w:r>
              <w:rPr>
                <w:noProof/>
                <w:webHidden/>
              </w:rPr>
              <w:fldChar w:fldCharType="begin"/>
            </w:r>
            <w:r>
              <w:rPr>
                <w:noProof/>
                <w:webHidden/>
              </w:rPr>
              <w:instrText xml:space="preserve"> PAGEREF _Toc242641729 \h </w:instrText>
            </w:r>
            <w:r>
              <w:rPr>
                <w:noProof/>
                <w:webHidden/>
              </w:rPr>
            </w:r>
            <w:r>
              <w:rPr>
                <w:noProof/>
                <w:webHidden/>
              </w:rPr>
              <w:fldChar w:fldCharType="separate"/>
            </w:r>
            <w:r>
              <w:rPr>
                <w:noProof/>
                <w:webHidden/>
              </w:rPr>
              <w:t>22</w:t>
            </w:r>
            <w:r>
              <w:rPr>
                <w:noProof/>
                <w:webHidden/>
              </w:rPr>
              <w:fldChar w:fldCharType="end"/>
            </w:r>
          </w:hyperlink>
        </w:p>
        <w:p w14:paraId="2284471E" w14:textId="2BAC462F" w:rsidR="00861781" w:rsidRDefault="0086178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30" w:history="1">
            <w:r w:rsidRPr="005C0A94">
              <w:rPr>
                <w:rStyle w:val="Hyperlink"/>
                <w:rFonts w:cs="Arial"/>
                <w:noProof/>
                <w:lang w:val="en-US"/>
              </w:rPr>
              <w:t>Appendix B</w:t>
            </w:r>
            <w:r>
              <w:rPr>
                <w:noProof/>
                <w:webHidden/>
              </w:rPr>
              <w:tab/>
            </w:r>
            <w:r>
              <w:rPr>
                <w:noProof/>
                <w:webHidden/>
              </w:rPr>
              <w:fldChar w:fldCharType="begin"/>
            </w:r>
            <w:r>
              <w:rPr>
                <w:noProof/>
                <w:webHidden/>
              </w:rPr>
              <w:instrText xml:space="preserve"> PAGEREF _Toc242641730 \h </w:instrText>
            </w:r>
            <w:r>
              <w:rPr>
                <w:noProof/>
                <w:webHidden/>
              </w:rPr>
            </w:r>
            <w:r>
              <w:rPr>
                <w:noProof/>
                <w:webHidden/>
              </w:rPr>
              <w:fldChar w:fldCharType="separate"/>
            </w:r>
            <w:r>
              <w:rPr>
                <w:noProof/>
                <w:webHidden/>
              </w:rPr>
              <w:t>22</w:t>
            </w:r>
            <w:r>
              <w:rPr>
                <w:noProof/>
                <w:webHidden/>
              </w:rPr>
              <w:fldChar w:fldCharType="end"/>
            </w:r>
          </w:hyperlink>
        </w:p>
        <w:p w14:paraId="47A90BE9" w14:textId="17586205" w:rsidR="00861781" w:rsidRDefault="00861781">
          <w:pPr>
            <w:pStyle w:val="TOC2"/>
            <w:tabs>
              <w:tab w:val="right" w:leader="dot" w:pos="9016"/>
            </w:tabs>
            <w:rPr>
              <w:rFonts w:asciiTheme="minorHAnsi" w:eastAsiaTheme="minorEastAsia" w:hAnsiTheme="minorHAnsi" w:cstheme="minorBidi"/>
              <w:noProof/>
              <w:kern w:val="2"/>
              <w:szCs w:val="24"/>
              <w:lang w:eastAsia="en-GB"/>
              <w14:ligatures w14:val="standardContextual"/>
            </w:rPr>
          </w:pPr>
          <w:hyperlink w:anchor="_Toc242641731" w:history="1">
            <w:r w:rsidRPr="005C0A94">
              <w:rPr>
                <w:rStyle w:val="Hyperlink"/>
                <w:rFonts w:cs="Arial"/>
                <w:noProof/>
                <w:lang w:val="en-US"/>
              </w:rPr>
              <w:t>Appendix C</w:t>
            </w:r>
            <w:r>
              <w:rPr>
                <w:noProof/>
                <w:webHidden/>
              </w:rPr>
              <w:tab/>
            </w:r>
            <w:r>
              <w:rPr>
                <w:noProof/>
                <w:webHidden/>
              </w:rPr>
              <w:fldChar w:fldCharType="begin"/>
            </w:r>
            <w:r>
              <w:rPr>
                <w:noProof/>
                <w:webHidden/>
              </w:rPr>
              <w:instrText xml:space="preserve"> PAGEREF _Toc242641731 \h </w:instrText>
            </w:r>
            <w:r>
              <w:rPr>
                <w:noProof/>
                <w:webHidden/>
              </w:rPr>
            </w:r>
            <w:r>
              <w:rPr>
                <w:noProof/>
                <w:webHidden/>
              </w:rPr>
              <w:fldChar w:fldCharType="separate"/>
            </w:r>
            <w:r>
              <w:rPr>
                <w:noProof/>
                <w:webHidden/>
              </w:rPr>
              <w:t>23</w:t>
            </w:r>
            <w:r>
              <w:rPr>
                <w:noProof/>
                <w:webHidden/>
              </w:rPr>
              <w:fldChar w:fldCharType="end"/>
            </w:r>
          </w:hyperlink>
        </w:p>
        <w:p w14:paraId="64341A6E" w14:textId="3B3AC475" w:rsidR="00F95605" w:rsidRPr="0054380E" w:rsidRDefault="00F95605" w:rsidP="00861781">
          <w:pPr>
            <w:spacing w:line="360" w:lineRule="auto"/>
          </w:pPr>
          <w:r w:rsidRPr="0054380E">
            <w:rPr>
              <w:b/>
              <w:bCs/>
            </w:rPr>
            <w:fldChar w:fldCharType="end"/>
          </w:r>
        </w:p>
      </w:sdtContent>
    </w:sdt>
    <w:p w14:paraId="790C3F5B" w14:textId="77777777" w:rsidR="00F95605" w:rsidRPr="0054380E" w:rsidRDefault="00F95605" w:rsidP="00861781">
      <w:pPr>
        <w:spacing w:line="360" w:lineRule="auto"/>
        <w:jc w:val="both"/>
        <w:rPr>
          <w:rFonts w:cs="Arial"/>
        </w:rPr>
      </w:pPr>
    </w:p>
    <w:p w14:paraId="7EB782D7" w14:textId="77777777" w:rsidR="00F95605" w:rsidRPr="0054380E" w:rsidRDefault="00F95605" w:rsidP="00861781">
      <w:pPr>
        <w:spacing w:line="360" w:lineRule="auto"/>
        <w:jc w:val="both"/>
        <w:rPr>
          <w:rFonts w:cs="Arial"/>
        </w:rPr>
      </w:pPr>
    </w:p>
    <w:p w14:paraId="28C8284E" w14:textId="77777777" w:rsidR="00F95605" w:rsidRPr="0054380E" w:rsidRDefault="00F95605" w:rsidP="00861781">
      <w:pPr>
        <w:spacing w:line="360" w:lineRule="auto"/>
        <w:jc w:val="both"/>
        <w:rPr>
          <w:rFonts w:cs="Arial"/>
        </w:rPr>
      </w:pPr>
    </w:p>
    <w:p w14:paraId="3962C2F2" w14:textId="77777777" w:rsidR="00F95605" w:rsidRPr="0054380E" w:rsidRDefault="00F95605" w:rsidP="00861781">
      <w:pPr>
        <w:spacing w:line="360" w:lineRule="auto"/>
        <w:jc w:val="both"/>
        <w:rPr>
          <w:rFonts w:cs="Arial"/>
        </w:rPr>
      </w:pPr>
    </w:p>
    <w:p w14:paraId="78A1207C" w14:textId="77777777" w:rsidR="00F95605" w:rsidRPr="0054380E" w:rsidRDefault="00F95605" w:rsidP="00861781">
      <w:pPr>
        <w:spacing w:line="360" w:lineRule="auto"/>
        <w:jc w:val="both"/>
        <w:rPr>
          <w:rFonts w:cs="Arial"/>
        </w:rPr>
      </w:pPr>
    </w:p>
    <w:p w14:paraId="309ECC46" w14:textId="77777777" w:rsidR="00F95605" w:rsidRPr="0054380E" w:rsidRDefault="00F95605" w:rsidP="00861781">
      <w:pPr>
        <w:spacing w:line="360" w:lineRule="auto"/>
        <w:jc w:val="both"/>
        <w:rPr>
          <w:rFonts w:cs="Arial"/>
        </w:rPr>
      </w:pPr>
    </w:p>
    <w:p w14:paraId="020BC630" w14:textId="77777777" w:rsidR="00F95605" w:rsidRPr="0054380E" w:rsidRDefault="00F95605" w:rsidP="00861781">
      <w:pPr>
        <w:spacing w:line="360" w:lineRule="auto"/>
        <w:jc w:val="both"/>
        <w:rPr>
          <w:rFonts w:cs="Arial"/>
        </w:rPr>
      </w:pPr>
    </w:p>
    <w:p w14:paraId="6CE77E95" w14:textId="77777777" w:rsidR="00F95605" w:rsidRPr="0054380E" w:rsidRDefault="00F95605" w:rsidP="00861781">
      <w:pPr>
        <w:spacing w:line="360" w:lineRule="auto"/>
        <w:jc w:val="both"/>
        <w:rPr>
          <w:rFonts w:cs="Arial"/>
        </w:rPr>
      </w:pPr>
    </w:p>
    <w:p w14:paraId="207CC8A5" w14:textId="77777777" w:rsidR="00F95605" w:rsidRPr="0054380E" w:rsidRDefault="00F95605" w:rsidP="00861781">
      <w:pPr>
        <w:spacing w:line="360" w:lineRule="auto"/>
        <w:jc w:val="both"/>
        <w:rPr>
          <w:rFonts w:cs="Arial"/>
        </w:rPr>
      </w:pPr>
    </w:p>
    <w:p w14:paraId="644A2494" w14:textId="77777777" w:rsidR="00F95605" w:rsidRPr="0054380E" w:rsidRDefault="00F95605" w:rsidP="00861781">
      <w:pPr>
        <w:spacing w:line="360" w:lineRule="auto"/>
        <w:jc w:val="both"/>
        <w:rPr>
          <w:rFonts w:cs="Arial"/>
        </w:rPr>
      </w:pPr>
    </w:p>
    <w:p w14:paraId="02A044BE" w14:textId="77777777" w:rsidR="00F95605" w:rsidRPr="0054380E" w:rsidRDefault="00F95605" w:rsidP="00861781">
      <w:pPr>
        <w:spacing w:line="360" w:lineRule="auto"/>
        <w:jc w:val="both"/>
        <w:rPr>
          <w:rFonts w:cs="Arial"/>
        </w:rPr>
      </w:pPr>
    </w:p>
    <w:p w14:paraId="30D7C082" w14:textId="77777777" w:rsidR="00F95605" w:rsidRPr="0054380E" w:rsidRDefault="00F95605" w:rsidP="00861781">
      <w:pPr>
        <w:spacing w:line="360" w:lineRule="auto"/>
        <w:jc w:val="both"/>
        <w:rPr>
          <w:rFonts w:cs="Arial"/>
        </w:rPr>
      </w:pPr>
    </w:p>
    <w:p w14:paraId="5723CFFD" w14:textId="69111282" w:rsidR="00F95605" w:rsidRPr="0054380E" w:rsidRDefault="005F7FB2" w:rsidP="00861781">
      <w:pPr>
        <w:pStyle w:val="Heading1"/>
        <w:spacing w:line="360" w:lineRule="auto"/>
        <w:ind w:firstLine="720"/>
        <w:rPr>
          <w:rFonts w:ascii="Arial" w:hAnsi="Arial" w:cs="Arial"/>
        </w:rPr>
      </w:pPr>
      <w:bookmarkStart w:id="0" w:name="_Toc242641720"/>
      <w:r w:rsidRPr="0054380E">
        <w:rPr>
          <w:rFonts w:ascii="Arial" w:hAnsi="Arial" w:cs="Arial"/>
        </w:rPr>
        <w:lastRenderedPageBreak/>
        <w:t>AI usage acknowledgement</w:t>
      </w:r>
      <w:bookmarkEnd w:id="0"/>
      <w:r w:rsidRPr="0054380E">
        <w:rPr>
          <w:rFonts w:ascii="Arial" w:hAnsi="Arial" w:cs="Arial"/>
        </w:rPr>
        <w:t xml:space="preserve"> </w:t>
      </w:r>
    </w:p>
    <w:p w14:paraId="0914CB44" w14:textId="77777777" w:rsidR="005F7FB2" w:rsidRPr="0054380E" w:rsidRDefault="005F7FB2" w:rsidP="00861781">
      <w:pPr>
        <w:spacing w:line="360" w:lineRule="auto"/>
        <w:ind w:firstLine="720"/>
        <w:rPr>
          <w:lang w:eastAsia="en-US"/>
        </w:rPr>
      </w:pPr>
    </w:p>
    <w:p w14:paraId="5B071581" w14:textId="5556DC26" w:rsidR="00374BAF" w:rsidRPr="0054380E" w:rsidRDefault="00374BAF" w:rsidP="00861781">
      <w:pPr>
        <w:spacing w:line="360" w:lineRule="auto"/>
        <w:ind w:firstLine="720"/>
        <w:rPr>
          <w:lang w:eastAsia="en-US"/>
        </w:rPr>
      </w:pPr>
      <w:r w:rsidRPr="0054380E">
        <w:rPr>
          <w:lang w:eastAsia="en-US"/>
        </w:rPr>
        <w:t>The following prompts were used</w:t>
      </w:r>
      <w:r w:rsidR="00713BEB">
        <w:rPr>
          <w:lang w:eastAsia="en-US"/>
        </w:rPr>
        <w:t>:</w:t>
      </w:r>
    </w:p>
    <w:p w14:paraId="08F2B615" w14:textId="77777777" w:rsidR="00374BAF" w:rsidRPr="0054380E" w:rsidRDefault="00374BAF" w:rsidP="00861781">
      <w:pPr>
        <w:spacing w:line="360" w:lineRule="auto"/>
        <w:ind w:firstLine="720"/>
        <w:rPr>
          <w:lang w:eastAsia="en-US"/>
        </w:rPr>
      </w:pPr>
    </w:p>
    <w:p w14:paraId="6CE13283" w14:textId="23AD4EF2" w:rsidR="00374BAF" w:rsidRDefault="00930265" w:rsidP="00861781">
      <w:pPr>
        <w:spacing w:line="360" w:lineRule="auto"/>
        <w:ind w:firstLine="720"/>
        <w:rPr>
          <w:lang w:eastAsia="en-US"/>
        </w:rPr>
      </w:pPr>
      <w:r w:rsidRPr="0054380E">
        <w:rPr>
          <w:lang w:eastAsia="en-US"/>
        </w:rPr>
        <w:t xml:space="preserve">“Good </w:t>
      </w:r>
      <w:r w:rsidR="00A4527A" w:rsidRPr="0054380E">
        <w:rPr>
          <w:lang w:eastAsia="en-US"/>
        </w:rPr>
        <w:t>morning,</w:t>
      </w:r>
      <w:r w:rsidRPr="0054380E">
        <w:rPr>
          <w:lang w:eastAsia="en-US"/>
        </w:rPr>
        <w:t xml:space="preserve"> Chat. Based on the following pdfs and </w:t>
      </w:r>
      <w:r w:rsidR="00A4527A" w:rsidRPr="0054380E">
        <w:rPr>
          <w:lang w:eastAsia="en-US"/>
        </w:rPr>
        <w:t>PowerPoints</w:t>
      </w:r>
      <w:r w:rsidRPr="0054380E">
        <w:rPr>
          <w:lang w:eastAsia="en-US"/>
        </w:rPr>
        <w:t xml:space="preserve"> </w:t>
      </w:r>
      <w:r w:rsidR="00A4527A" w:rsidRPr="0054380E">
        <w:rPr>
          <w:lang w:eastAsia="en-US"/>
        </w:rPr>
        <w:t>I</w:t>
      </w:r>
      <w:r w:rsidRPr="0054380E">
        <w:rPr>
          <w:lang w:eastAsia="en-US"/>
        </w:rPr>
        <w:t xml:space="preserve"> will upload, can you create a structure for a </w:t>
      </w:r>
      <w:r w:rsidR="00A4527A" w:rsidRPr="0054380E">
        <w:rPr>
          <w:lang w:eastAsia="en-US"/>
        </w:rPr>
        <w:t>4000-word</w:t>
      </w:r>
      <w:r w:rsidRPr="0054380E">
        <w:rPr>
          <w:lang w:eastAsia="en-US"/>
        </w:rPr>
        <w:t xml:space="preserve"> report, that will hit all the criteria for the assignment. Please also include a rough guide on word count for each part. The Assignment details are in the document titled BMSK5010 Common Assessment Criteria. Can you also suggest some research pertinent to the assignment, as </w:t>
      </w:r>
      <w:r w:rsidR="00EC3EB0" w:rsidRPr="0054380E">
        <w:rPr>
          <w:lang w:eastAsia="en-US"/>
        </w:rPr>
        <w:t>I</w:t>
      </w:r>
      <w:r w:rsidRPr="0054380E">
        <w:rPr>
          <w:lang w:eastAsia="en-US"/>
        </w:rPr>
        <w:t xml:space="preserve"> do need to include 20 references at least, from appropriate and relevant sources that pass the CRAAP test. Thank you.” </w:t>
      </w:r>
      <w:r w:rsidR="00BC7DA6" w:rsidRPr="0054380E">
        <w:rPr>
          <w:lang w:eastAsia="en-US"/>
        </w:rPr>
        <w:t xml:space="preserve">05.10.2026 – 09:43am </w:t>
      </w:r>
      <w:r w:rsidR="00041ABF">
        <w:rPr>
          <w:lang w:eastAsia="en-US"/>
        </w:rPr>
        <w:t>–</w:t>
      </w:r>
      <w:r w:rsidR="00BC7DA6" w:rsidRPr="0054380E">
        <w:rPr>
          <w:lang w:eastAsia="en-US"/>
        </w:rPr>
        <w:t xml:space="preserve"> </w:t>
      </w:r>
      <w:r w:rsidR="00041ABF">
        <w:rPr>
          <w:lang w:eastAsia="en-US"/>
        </w:rPr>
        <w:t>Version GPT 6</w:t>
      </w:r>
    </w:p>
    <w:p w14:paraId="186F1792" w14:textId="77777777" w:rsidR="00041ABF" w:rsidRDefault="00041ABF" w:rsidP="00861781">
      <w:pPr>
        <w:spacing w:line="360" w:lineRule="auto"/>
        <w:ind w:firstLine="720"/>
        <w:rPr>
          <w:lang w:eastAsia="en-US"/>
        </w:rPr>
      </w:pPr>
    </w:p>
    <w:p w14:paraId="78FB5D29" w14:textId="43A3EE64" w:rsidR="00041ABF" w:rsidRDefault="0045165E" w:rsidP="00861781">
      <w:pPr>
        <w:spacing w:line="360" w:lineRule="auto"/>
        <w:ind w:firstLine="720"/>
        <w:rPr>
          <w:lang w:eastAsia="en-US"/>
        </w:rPr>
      </w:pPr>
      <w:r>
        <w:rPr>
          <w:lang w:eastAsia="en-US"/>
        </w:rPr>
        <w:t>“</w:t>
      </w:r>
      <w:r w:rsidRPr="0045165E">
        <w:rPr>
          <w:lang w:eastAsia="en-US"/>
        </w:rPr>
        <w:t>Hi Chat, could you please proofread the document attached, and point out any inconsistencies in spelling or references. thank you. Also, what version of GPT is this?</w:t>
      </w:r>
      <w:r>
        <w:rPr>
          <w:lang w:eastAsia="en-US"/>
        </w:rPr>
        <w:t>”</w:t>
      </w:r>
      <w:r w:rsidR="00384C4F">
        <w:rPr>
          <w:lang w:eastAsia="en-US"/>
        </w:rPr>
        <w:t xml:space="preserve"> 10.10.2026 – 19:44 – Version GPT 6</w:t>
      </w:r>
    </w:p>
    <w:p w14:paraId="3A09E38A" w14:textId="77777777" w:rsidR="00041ABF" w:rsidRDefault="00041ABF" w:rsidP="00861781">
      <w:pPr>
        <w:spacing w:line="360" w:lineRule="auto"/>
        <w:ind w:firstLine="720"/>
        <w:rPr>
          <w:lang w:eastAsia="en-US"/>
        </w:rPr>
      </w:pPr>
    </w:p>
    <w:p w14:paraId="3D592BD0" w14:textId="0F9FDD79" w:rsidR="00B045F7" w:rsidRPr="0054380E" w:rsidRDefault="00B045F7" w:rsidP="00861781">
      <w:pPr>
        <w:spacing w:line="360" w:lineRule="auto"/>
        <w:ind w:firstLine="720"/>
        <w:rPr>
          <w:lang w:eastAsia="en-US"/>
        </w:rPr>
      </w:pPr>
      <w:r>
        <w:rPr>
          <w:lang w:eastAsia="en-US"/>
        </w:rPr>
        <w:t xml:space="preserve">The documents attached were the PowerPoints </w:t>
      </w:r>
      <w:r w:rsidR="00291518">
        <w:rPr>
          <w:lang w:eastAsia="en-US"/>
        </w:rPr>
        <w:t xml:space="preserve">for each session, the Assessment guide and criteria, and </w:t>
      </w:r>
      <w:r w:rsidR="00A74DB2">
        <w:rPr>
          <w:lang w:eastAsia="en-US"/>
        </w:rPr>
        <w:t xml:space="preserve">several of the pdfs included in the </w:t>
      </w:r>
      <w:r w:rsidR="00F85666">
        <w:rPr>
          <w:lang w:eastAsia="en-US"/>
        </w:rPr>
        <w:t>Additional Sources tab in Moodle.</w:t>
      </w:r>
    </w:p>
    <w:p w14:paraId="11031D8A" w14:textId="77777777" w:rsidR="00374BAF" w:rsidRPr="0054380E" w:rsidRDefault="00374BAF" w:rsidP="00861781">
      <w:pPr>
        <w:spacing w:line="360" w:lineRule="auto"/>
        <w:ind w:firstLine="720"/>
        <w:rPr>
          <w:lang w:eastAsia="en-US"/>
        </w:rPr>
      </w:pPr>
    </w:p>
    <w:p w14:paraId="363AEA4A" w14:textId="77777777" w:rsidR="00374BAF" w:rsidRDefault="00374BAF" w:rsidP="00861781">
      <w:pPr>
        <w:spacing w:line="360" w:lineRule="auto"/>
        <w:ind w:firstLine="720"/>
        <w:rPr>
          <w:lang w:eastAsia="en-US"/>
        </w:rPr>
      </w:pPr>
    </w:p>
    <w:p w14:paraId="46214515" w14:textId="77777777" w:rsidR="00831AE3" w:rsidRDefault="00831AE3" w:rsidP="00861781">
      <w:pPr>
        <w:spacing w:line="360" w:lineRule="auto"/>
        <w:ind w:firstLine="720"/>
        <w:rPr>
          <w:lang w:eastAsia="en-US"/>
        </w:rPr>
      </w:pPr>
    </w:p>
    <w:p w14:paraId="4A20C26A" w14:textId="77777777" w:rsidR="00831AE3" w:rsidRDefault="00831AE3" w:rsidP="00861781">
      <w:pPr>
        <w:spacing w:line="360" w:lineRule="auto"/>
        <w:ind w:firstLine="720"/>
        <w:rPr>
          <w:lang w:eastAsia="en-US"/>
        </w:rPr>
      </w:pPr>
    </w:p>
    <w:p w14:paraId="24FA2D33" w14:textId="77777777" w:rsidR="00831AE3" w:rsidRDefault="00831AE3" w:rsidP="00861781">
      <w:pPr>
        <w:spacing w:line="360" w:lineRule="auto"/>
        <w:ind w:firstLine="720"/>
        <w:rPr>
          <w:lang w:eastAsia="en-US"/>
        </w:rPr>
      </w:pPr>
    </w:p>
    <w:p w14:paraId="5262DD91" w14:textId="77777777" w:rsidR="00831AE3" w:rsidRDefault="00831AE3" w:rsidP="00861781">
      <w:pPr>
        <w:spacing w:line="360" w:lineRule="auto"/>
        <w:ind w:firstLine="720"/>
        <w:rPr>
          <w:lang w:eastAsia="en-US"/>
        </w:rPr>
      </w:pPr>
    </w:p>
    <w:p w14:paraId="5A71DD4E" w14:textId="77777777" w:rsidR="00831AE3" w:rsidRDefault="00831AE3" w:rsidP="00861781">
      <w:pPr>
        <w:spacing w:line="360" w:lineRule="auto"/>
        <w:ind w:firstLine="720"/>
        <w:rPr>
          <w:lang w:eastAsia="en-US"/>
        </w:rPr>
      </w:pPr>
    </w:p>
    <w:p w14:paraId="52D1682B" w14:textId="77777777" w:rsidR="00831AE3" w:rsidRDefault="00831AE3" w:rsidP="00861781">
      <w:pPr>
        <w:spacing w:line="360" w:lineRule="auto"/>
        <w:ind w:firstLine="720"/>
        <w:rPr>
          <w:lang w:eastAsia="en-US"/>
        </w:rPr>
      </w:pPr>
    </w:p>
    <w:p w14:paraId="51631696" w14:textId="764AF80F" w:rsidR="00F95605" w:rsidRPr="0054380E" w:rsidRDefault="00F95605" w:rsidP="00861781">
      <w:pPr>
        <w:pStyle w:val="Heading1"/>
        <w:spacing w:line="360" w:lineRule="auto"/>
        <w:ind w:firstLine="720"/>
        <w:rPr>
          <w:rFonts w:ascii="Arial" w:hAnsi="Arial" w:cs="Arial"/>
        </w:rPr>
      </w:pPr>
      <w:bookmarkStart w:id="1" w:name="_Toc242641721"/>
      <w:r w:rsidRPr="0054380E">
        <w:rPr>
          <w:rFonts w:ascii="Arial" w:hAnsi="Arial" w:cs="Arial"/>
        </w:rPr>
        <w:lastRenderedPageBreak/>
        <w:t>Introduction</w:t>
      </w:r>
      <w:bookmarkEnd w:id="1"/>
    </w:p>
    <w:p w14:paraId="32AD55B1" w14:textId="52932F8C" w:rsidR="007B58B8" w:rsidRPr="007B58B8" w:rsidRDefault="007B58B8" w:rsidP="00861781">
      <w:pPr>
        <w:spacing w:line="360" w:lineRule="auto"/>
        <w:ind w:firstLine="720"/>
        <w:jc w:val="both"/>
        <w:rPr>
          <w:rFonts w:cs="Arial"/>
        </w:rPr>
      </w:pPr>
      <w:r w:rsidRPr="007B58B8">
        <w:rPr>
          <w:rFonts w:cs="Arial"/>
        </w:rPr>
        <w:t>Employee development is an important consideration for organisations seeking to maintain performance while responding to changing operational requirements. Within Amazon’s UK fulfilment operations, associates carry out a range of activities that depend on technical knowledge, accurate processes and effective coordination between employees and departments. Opportunities to develop these capabilities may contribute to operational efficiency, employee engagement and internal career progression. Nevertheless, the benefits depend on whether development addresses genuine needs, is accessible to employees with different circumstances and is supported by suitable assessment and feedback. Developing employees therefore involves more than delivering training; it also requires consideration of individual expectations and organisational priorities.</w:t>
      </w:r>
    </w:p>
    <w:p w14:paraId="34F1DF4E" w14:textId="47E5AE9A" w:rsidR="00D441C8" w:rsidRPr="0054380E" w:rsidRDefault="007B58B8" w:rsidP="00861781">
      <w:pPr>
        <w:spacing w:line="360" w:lineRule="auto"/>
        <w:ind w:firstLine="720"/>
        <w:jc w:val="both"/>
        <w:rPr>
          <w:rFonts w:cs="Arial"/>
        </w:rPr>
      </w:pPr>
      <w:r w:rsidRPr="007B58B8">
        <w:rPr>
          <w:rFonts w:cs="Arial"/>
        </w:rPr>
        <w:t>This report examines how employee development can be planned and managed within an Amazon fulfilment centre, using academic research alongside observations of local working practices. It first critically assesses the potential benefits of development for the organisation and its employees, before considering how career aspirations and expectations can be understood and managed. It then evaluates the suitability of coaching, mentoring, formal training and practical workplace experience for different development needs. The final section applies these principles to an anonymised Tier 1 Inventory Control and Quality Assurance (ICQA) associate seeking progression to a Tier 3 ICQA Team Lead position. A Training Needs Analysis, Personal Development Plan and performance evaluation framework are provided in Appendices A, B and C respectively. The report considers how structured development and clearer performance feedback might support progression, while acknowledging the influence of operational demands, selection requirements and the availability of suitable opportunities.</w:t>
      </w:r>
    </w:p>
    <w:p w14:paraId="494F917E" w14:textId="3CF358FA" w:rsidR="00DC1CE4" w:rsidRPr="0054380E" w:rsidRDefault="00DC1CE4" w:rsidP="00861781">
      <w:pPr>
        <w:pStyle w:val="Heading1"/>
        <w:spacing w:line="360" w:lineRule="auto"/>
        <w:ind w:firstLine="720"/>
        <w:rPr>
          <w:rFonts w:ascii="Arial" w:hAnsi="Arial" w:cs="Arial"/>
        </w:rPr>
      </w:pPr>
      <w:bookmarkStart w:id="2" w:name="_Toc242641722"/>
      <w:r w:rsidRPr="0054380E">
        <w:rPr>
          <w:rFonts w:ascii="Arial" w:hAnsi="Arial" w:cs="Arial"/>
        </w:rPr>
        <w:t>Impacts of developing individuals</w:t>
      </w:r>
      <w:bookmarkEnd w:id="2"/>
    </w:p>
    <w:p w14:paraId="60B8C4DC" w14:textId="0919CF91" w:rsidR="00202D24" w:rsidRPr="00202D24" w:rsidRDefault="0085086B" w:rsidP="00861781">
      <w:pPr>
        <w:spacing w:line="360" w:lineRule="auto"/>
        <w:ind w:firstLine="720"/>
        <w:jc w:val="both"/>
        <w:rPr>
          <w:rFonts w:cs="Arial"/>
        </w:rPr>
      </w:pPr>
      <w:r>
        <w:rPr>
          <w:rFonts w:cs="Arial"/>
        </w:rPr>
        <w:t>Developing employees’ skills and capabilities can support organisational performance by addressing existing</w:t>
      </w:r>
      <w:r w:rsidR="00D400FC">
        <w:rPr>
          <w:rFonts w:cs="Arial"/>
        </w:rPr>
        <w:t xml:space="preserve"> operational needs while building the competencies required to respond to future challenges</w:t>
      </w:r>
      <w:r w:rsidR="00202D24" w:rsidRPr="00202D24">
        <w:rPr>
          <w:rFonts w:cs="Arial"/>
        </w:rPr>
        <w:t xml:space="preserve">. The Michigan Model developed by </w:t>
      </w:r>
      <w:proofErr w:type="spellStart"/>
      <w:r w:rsidR="00202D24" w:rsidRPr="00202D24">
        <w:rPr>
          <w:rFonts w:cs="Arial"/>
        </w:rPr>
        <w:t>Fombrun</w:t>
      </w:r>
      <w:proofErr w:type="spellEnd"/>
      <w:r w:rsidR="00202D24" w:rsidRPr="00202D24">
        <w:rPr>
          <w:rFonts w:cs="Arial"/>
        </w:rPr>
        <w:t xml:space="preserve"> et al. (1984) links four human resource management functions: </w:t>
      </w:r>
      <w:r w:rsidR="00202D24" w:rsidRPr="00202D24">
        <w:rPr>
          <w:rFonts w:cs="Arial"/>
        </w:rPr>
        <w:lastRenderedPageBreak/>
        <w:t>selection, appraisal, rewards and development. These functions are intended to operate together in support of business objectives. Applied to Amazon's fulfilment operations, the model suggests that employees should be selected for development according to both demonstrated capabilities and operational needs, assessed against clear criteria, and offered further opportunities on the basis of their performance. Appraisal results should also inform decisions about further responsibilities or recognition, although completion of development activities should not automatically guarantee promotion. For example, an associate who has demonstrated technical competence in Inventory Control and Quality Assurance (ICQA) may benefit from additional problem-solving training, whereas an associate interested in supervising others may require assessment of communication and decision-making skills. This approach could make development more relevant and reduce unnecessary expenditure. Nevertheless, the Michigan Model places considerable emphasis on organisational requirements and can give insufficient attention to employees' personal expectations or the accessibility of opportunities. A development strategy focused only on immediate productivity may also fail to prepare employees for future responsibilities.</w:t>
      </w:r>
    </w:p>
    <w:p w14:paraId="60BFB74C" w14:textId="3E91B107" w:rsidR="00202D24" w:rsidRPr="00202D24" w:rsidRDefault="00202D24" w:rsidP="00861781">
      <w:pPr>
        <w:spacing w:line="360" w:lineRule="auto"/>
        <w:ind w:firstLine="720"/>
        <w:jc w:val="both"/>
        <w:rPr>
          <w:rFonts w:cs="Arial"/>
        </w:rPr>
      </w:pPr>
      <w:r w:rsidRPr="00202D24">
        <w:rPr>
          <w:rFonts w:cs="Arial"/>
        </w:rPr>
        <w:t xml:space="preserve">The wider contribution of learning and development extends beyond the acquisition of job-specific skills. </w:t>
      </w:r>
      <w:r w:rsidR="00ED5747">
        <w:rPr>
          <w:rFonts w:cs="Arial"/>
        </w:rPr>
        <w:t>Brassey et al.</w:t>
      </w:r>
      <w:r w:rsidRPr="00202D24">
        <w:rPr>
          <w:rFonts w:cs="Arial"/>
        </w:rPr>
        <w:t xml:space="preserve"> (2019) identifies five strategic areas: attracting and retaining talent, developing people's capabilities, creating a values-based culture, strengthening employer reputation, and motivating and engaging employees. These areas may reinforce one another when individuals see clear opportunities to improve their competence and progress within an organisation. Jiang et al. (2012) found that human resource practices designed to improve employee ability, motivation and opportunity were associated with organisational outcomes including reduced voluntary turnover and improved operational performance. For Amazon, developing experienced associates could support continuity of knowledge, lower the need to recruit externally for specialist tasks and strengthen the internal supply of potential supervisors. Benefits may be particularly valuable where turnover creates repeated recruitment and induction costs, although such savings would need to be measured rather than assumed. Formal initiatives such as Career Choice, through which eligible UK employees can receive funding towards recognised qualifications, also demonstrate investment in development beyond immediate </w:t>
      </w:r>
      <w:r w:rsidRPr="00202D24">
        <w:rPr>
          <w:rFonts w:cs="Arial"/>
        </w:rPr>
        <w:lastRenderedPageBreak/>
        <w:t>operational demands (Amazon, n.d.). These programmes may contribute to the organisation's reputation as an employer, although the existence of a programme does not demonstrate that all employees can access it or that participation leads to advancement.</w:t>
      </w:r>
    </w:p>
    <w:p w14:paraId="1AD76930" w14:textId="5A6AF8AF" w:rsidR="00202D24" w:rsidRPr="00202D24" w:rsidRDefault="00202D24" w:rsidP="00861781">
      <w:pPr>
        <w:spacing w:line="360" w:lineRule="auto"/>
        <w:ind w:firstLine="720"/>
        <w:jc w:val="both"/>
        <w:rPr>
          <w:rFonts w:cs="Arial"/>
        </w:rPr>
      </w:pPr>
      <w:r w:rsidRPr="00202D24">
        <w:rPr>
          <w:rFonts w:cs="Arial"/>
        </w:rPr>
        <w:t xml:space="preserve">Operational benefits are most apparent when training addresses an identifiable requirement. For instance, associates working with inventory discrepancies may need instruction in systems used to correct stock records, while employees being prepared for temporary Team Lead responsibilities may need support with task allocation, responding to performance concerns and managing competing priorities. Both forms of development can reduce dependence on a limited number of experienced employees, but they involve different skills and should not be evaluated in the same way. </w:t>
      </w:r>
      <w:proofErr w:type="spellStart"/>
      <w:r w:rsidRPr="00202D24">
        <w:rPr>
          <w:rFonts w:cs="Arial"/>
        </w:rPr>
        <w:t>Aguinis</w:t>
      </w:r>
      <w:proofErr w:type="spellEnd"/>
      <w:r w:rsidRPr="00202D24">
        <w:rPr>
          <w:rFonts w:cs="Arial"/>
        </w:rPr>
        <w:t xml:space="preserve"> and </w:t>
      </w:r>
      <w:proofErr w:type="spellStart"/>
      <w:r w:rsidRPr="00202D24">
        <w:rPr>
          <w:rFonts w:cs="Arial"/>
        </w:rPr>
        <w:t>Kraiger</w:t>
      </w:r>
      <w:proofErr w:type="spellEnd"/>
      <w:r w:rsidRPr="00202D24">
        <w:rPr>
          <w:rFonts w:cs="Arial"/>
        </w:rPr>
        <w:t xml:space="preserve"> (2009) identify potential benefits for individuals and organisations, while Baldwin and Ford (1988) emphasise that training must transfer into sustained workplace behaviour. Providing experienced associates with presentation materials and asking them to demonstrate a process may be efficient in the short term, but technical knowledge alone does not establish competence in delivering or assessing training. Similarly, a signed attendance or training record offers limited evidence that the learner can perform independently. Assessment through observation, accuracy checks or feedback after training would therefore provide stronger evidence of its value. This distinction is important when training is delivered informally by colleagues rather than employees prepared specifically for teaching. These arrangements also require time and resources, potentially affecting productivity while employees and supervisors are away from their normal duties.</w:t>
      </w:r>
    </w:p>
    <w:p w14:paraId="4B47CC82" w14:textId="3AADF7AC" w:rsidR="00541015" w:rsidRPr="0054380E" w:rsidRDefault="00202D24" w:rsidP="00861781">
      <w:pPr>
        <w:spacing w:line="360" w:lineRule="auto"/>
        <w:ind w:firstLine="720"/>
        <w:jc w:val="both"/>
        <w:rPr>
          <w:rFonts w:cs="Arial"/>
        </w:rPr>
      </w:pPr>
      <w:r w:rsidRPr="00202D24">
        <w:rPr>
          <w:rFonts w:cs="Arial"/>
        </w:rPr>
        <w:t xml:space="preserve">Development can also benefit individuals through increased confidence, broader employment opportunities and improved professional competence. An associate seeking career progression may acquire transferable leadership skills through supervised responsibilities, while another employee may prefer to deepen technical expertise without seeking promotion. For employees, such development can increase employability both within and outside the organisation, even where immediate promotion is not available. Recognising these different expectations could improve engagement, particularly when individuals retain some choice over their development. </w:t>
      </w:r>
      <w:r w:rsidR="000013F2" w:rsidRPr="00202D24">
        <w:rPr>
          <w:rFonts w:cs="Arial"/>
        </w:rPr>
        <w:t>Gagne</w:t>
      </w:r>
      <w:r w:rsidRPr="00202D24">
        <w:rPr>
          <w:rFonts w:cs="Arial"/>
        </w:rPr>
        <w:t xml:space="preserve"> et al. (2022) relate employee motivation to the psychological needs for competence, autonomy and relatedness, suggesting that support and </w:t>
      </w:r>
      <w:r w:rsidRPr="00202D24">
        <w:rPr>
          <w:rFonts w:cs="Arial"/>
        </w:rPr>
        <w:lastRenderedPageBreak/>
        <w:t>involvement matter alongside the availability of training. At organisational level, Kim et al. (2026) found a statistically significant but modest positive relationship between training and performance across 159 studies, with differences according to context. Consequently, increased training activity should not be treated as proof of improved outcomes. Access may also differ according to working patterns, eligibility and personal commitments. Development is more likely to justify its cost when objectives are clearly defined, employees have opportunities to use new skills and both individual progress and operational results are reviewed. For Amazon, the main consideration is therefore not simply how many employees complete training, but whether their subsequent performance and career development reflect the intended benefits.</w:t>
      </w:r>
    </w:p>
    <w:p w14:paraId="6DBF4059" w14:textId="0051B1AC" w:rsidR="00921528" w:rsidRPr="0054380E" w:rsidRDefault="00921528" w:rsidP="00861781">
      <w:pPr>
        <w:pStyle w:val="Heading1"/>
        <w:spacing w:line="360" w:lineRule="auto"/>
        <w:ind w:firstLine="720"/>
        <w:rPr>
          <w:rFonts w:ascii="Arial" w:hAnsi="Arial" w:cs="Arial"/>
        </w:rPr>
      </w:pPr>
      <w:bookmarkStart w:id="3" w:name="_Toc242641723"/>
      <w:r w:rsidRPr="0054380E">
        <w:rPr>
          <w:rFonts w:ascii="Arial" w:hAnsi="Arial" w:cs="Arial"/>
        </w:rPr>
        <w:t>Managing employee expectations</w:t>
      </w:r>
      <w:bookmarkEnd w:id="3"/>
    </w:p>
    <w:p w14:paraId="08C89009" w14:textId="2DC4A5AD" w:rsidR="00550312" w:rsidRPr="00550312" w:rsidRDefault="00550312" w:rsidP="00861781">
      <w:pPr>
        <w:spacing w:line="360" w:lineRule="auto"/>
        <w:ind w:firstLine="720"/>
        <w:jc w:val="both"/>
        <w:rPr>
          <w:rFonts w:cs="Arial"/>
        </w:rPr>
      </w:pPr>
      <w:r w:rsidRPr="00550312">
        <w:rPr>
          <w:rFonts w:cs="Arial"/>
        </w:rPr>
        <w:t>Managing expectations regarding employee development requires an understanding of individual career interests and the opportunities that an organisation can reasonably provide. Holland’s (1997) Model of Vocational Choice identifies six interest orientations: Realistic, Investigative, Artistic, Social, Enterprising and Conventional, proposing that compatibility between these interests and the working environment can contribute to occupational satisfaction. Within Amazon, an associate interested in investigating stock discrepancies may be attracted to Inventory Control and Quality Assurance (ICQA), where analytical and procedural skills are important. An employee who gains satisfaction from supporting colleagues may instead favour Learning and Development (L&amp;D), while someone interested in organising work and directing teams may seek operational leadership. These examples illustrate how different expectations can exist among employees performing similar entry</w:t>
      </w:r>
      <w:r w:rsidR="00F658FF">
        <w:rPr>
          <w:rFonts w:cs="Arial"/>
        </w:rPr>
        <w:t xml:space="preserve"> </w:t>
      </w:r>
      <w:r w:rsidRPr="00550312">
        <w:rPr>
          <w:rFonts w:cs="Arial"/>
        </w:rPr>
        <w:t>level duties. Hoff et al. (2020) found a positive, although relatively small, relationship between vocational interest fit and job satisfaction, while Nye et al. (2012) identified associations between interests, occupational fit and performance. Nevertheless, Furnham (2001) identifies methodological and conceptual limitations in using vocational categories to explain person–organisation fit. Holland’s model should therefore provide a starting point for career discussions rather than serve as a means of labelling employees or predicting promotion outcomes.</w:t>
      </w:r>
    </w:p>
    <w:p w14:paraId="114A5003" w14:textId="77777777" w:rsidR="00550312" w:rsidRPr="00550312" w:rsidRDefault="00550312" w:rsidP="00861781">
      <w:pPr>
        <w:spacing w:line="360" w:lineRule="auto"/>
        <w:ind w:firstLine="720"/>
        <w:jc w:val="both"/>
        <w:rPr>
          <w:rFonts w:cs="Arial"/>
        </w:rPr>
      </w:pPr>
    </w:p>
    <w:p w14:paraId="026F106E" w14:textId="531437CD" w:rsidR="00550312" w:rsidRPr="00550312" w:rsidRDefault="00550312" w:rsidP="00861781">
      <w:pPr>
        <w:spacing w:line="360" w:lineRule="auto"/>
        <w:ind w:firstLine="720"/>
        <w:jc w:val="both"/>
        <w:rPr>
          <w:rFonts w:cs="Arial"/>
        </w:rPr>
      </w:pPr>
      <w:r w:rsidRPr="00550312">
        <w:rPr>
          <w:rFonts w:cs="Arial"/>
        </w:rPr>
        <w:lastRenderedPageBreak/>
        <w:t>Schein et al. (2023) extend the consideration of employee expectations through Career Anchors, which examine the values and motives that individuals regard as particularly important in their working lives. Their updated framework includes technical</w:t>
      </w:r>
      <w:r w:rsidR="00F658FF">
        <w:rPr>
          <w:rFonts w:cs="Arial"/>
        </w:rPr>
        <w:t xml:space="preserve"> </w:t>
      </w:r>
      <w:r w:rsidRPr="00550312">
        <w:rPr>
          <w:rFonts w:cs="Arial"/>
        </w:rPr>
        <w:t>functional competence, general management, stability and security, challenge and risk, and life</w:t>
      </w:r>
      <w:r w:rsidR="00EF0A71">
        <w:rPr>
          <w:rFonts w:cs="Arial"/>
        </w:rPr>
        <w:t xml:space="preserve"> </w:t>
      </w:r>
      <w:r w:rsidRPr="00550312">
        <w:rPr>
          <w:rFonts w:cs="Arial"/>
        </w:rPr>
        <w:t>work integration, among other categories. These priorities can lead employees with comparable abilities towards different choices. For instance, an experienced ICQA associate may value becoming a specialist rather than supervising a team, while another may seek the wider responsibility associated with a Team Lead position. An employee prioritising security may be unwilling to accept a change of contract or uncertain working pattern, even where promotion offers higher earnings. Similarly, an employee with childcare or other personal commitments may favour opportunities compatible with reduced or varied hours. The C</w:t>
      </w:r>
      <w:r w:rsidR="00E250CB">
        <w:rPr>
          <w:rFonts w:cs="Arial"/>
        </w:rPr>
        <w:t>hartered Institute of Personnel and Development</w:t>
      </w:r>
      <w:r w:rsidRPr="00550312">
        <w:rPr>
          <w:rFonts w:cs="Arial"/>
        </w:rPr>
        <w:t xml:space="preserve"> (</w:t>
      </w:r>
      <w:r w:rsidR="00E250CB">
        <w:rPr>
          <w:rFonts w:cs="Arial"/>
        </w:rPr>
        <w:t xml:space="preserve">CIPD, </w:t>
      </w:r>
      <w:r w:rsidRPr="00550312">
        <w:rPr>
          <w:rFonts w:cs="Arial"/>
        </w:rPr>
        <w:t>2023) reported that 71% of surveyed workers considered flexible working important when choosing a new role, indicating that flexibility can influence career decisions. This does not establish that every operational role could be performed flexibly, particularly where physical attendance is essential. Career anchors can assist managers in recognising such competing priorities, although employees may identify with several anchors and their circumstances can change. Development expectations should consequently be reviewed rather than treated as fixed.</w:t>
      </w:r>
    </w:p>
    <w:p w14:paraId="21EEBAC7" w14:textId="6501463E" w:rsidR="00550312" w:rsidRPr="00550312" w:rsidRDefault="00550312" w:rsidP="00861781">
      <w:pPr>
        <w:spacing w:line="360" w:lineRule="auto"/>
        <w:ind w:firstLine="720"/>
        <w:jc w:val="both"/>
        <w:rPr>
          <w:rFonts w:cs="Arial"/>
        </w:rPr>
      </w:pPr>
      <w:r w:rsidRPr="00550312">
        <w:rPr>
          <w:rFonts w:cs="Arial"/>
        </w:rPr>
        <w:t xml:space="preserve">Alignment between individual aspirations and Amazon’s operational requirements depends on identifying opportunities that are both desirable and achievable. Where an employee aims to progress into management, discussion should address the competencies, working arrangements and selection requirements associated with the intended position. A different approach may be necessary for someone seeking to broaden technical knowledge without assuming supervisory duties. Managers should also distinguish a lack of readiness for progression from barriers such as limited vacancies, course eligibility or unsuitable shift patterns. Promising advancement solely because an employee has completed training could create expectations that the organisation cannot fulfil. Egan et al. (2004) found that organisational learning culture was associated with job satisfaction and motivation to transfer learning, while learning culture and job satisfaction were negatively related to turnover intention. Their study involved American information technology employees </w:t>
      </w:r>
      <w:r w:rsidRPr="00550312">
        <w:rPr>
          <w:rFonts w:cs="Arial"/>
        </w:rPr>
        <w:lastRenderedPageBreak/>
        <w:t>and establishes associations rather than proving that particular development practices cause employee retention in UK warehouses. Even with these limitations, it indicates that providing courses without maintaining a supportive learning environment may restrict their value. Clear communication about opportunities, fair access to developmental responsibilities and constructive feedback are therefore relevant to both employee expectations and the organisation’s ability to retain skills.</w:t>
      </w:r>
    </w:p>
    <w:p w14:paraId="31159AEF" w14:textId="3A892516" w:rsidR="00D441C8" w:rsidRPr="0054380E" w:rsidRDefault="00550312" w:rsidP="00861781">
      <w:pPr>
        <w:spacing w:line="360" w:lineRule="auto"/>
        <w:ind w:firstLine="720"/>
        <w:jc w:val="both"/>
        <w:rPr>
          <w:rFonts w:cs="Arial"/>
        </w:rPr>
      </w:pPr>
      <w:r w:rsidRPr="00550312">
        <w:rPr>
          <w:rFonts w:cs="Arial"/>
        </w:rPr>
        <w:t>A practical method of managing expectations would involve regular career discussions supported by an individual development record. Initial conversations could establish the employee’s interests, relevant experience, preferred direction and circumstances affecting participation. Managers could then compare these aspirations against role requirements, identify demonstrable skill gaps and agree realistic short-term objectives. An associate interested in ICQA leadership, for example, might first complete supervised problem-solving and task-coordination activities; one interested in L&amp;D might observe an experienced trainer before delivering supported instruction. These are possible pathways rather than confirmed Amazon programmes, and access would depend on local approval and resources. Locke and Latham (2002) demonstrate the motivational importance of specific, challenging goals and feedback, supporting an approach in which progress is reviewed against agreed evidence rather than informal impressions. Written summaries of discussions and interview feedback could also help employees understand why development priorities have been selected and what remains outside their control. Responsibility should be shared: managers provide clarity, reasonable support and fair assessment, while employees participate in development and reassess their goals when circumstances change. Such an approach would not guarantee promotion, but it could improve the quality of career decisions and provide a sound basis for selecting development methods.</w:t>
      </w:r>
    </w:p>
    <w:p w14:paraId="4CFE1C86" w14:textId="4C711E66" w:rsidR="00921528" w:rsidRPr="0054380E" w:rsidRDefault="00921528" w:rsidP="00861781">
      <w:pPr>
        <w:pStyle w:val="Heading1"/>
        <w:spacing w:line="360" w:lineRule="auto"/>
        <w:ind w:firstLine="720"/>
        <w:rPr>
          <w:rFonts w:ascii="Arial" w:hAnsi="Arial" w:cs="Arial"/>
        </w:rPr>
      </w:pPr>
      <w:bookmarkStart w:id="4" w:name="_Toc242641724"/>
      <w:r w:rsidRPr="0054380E">
        <w:rPr>
          <w:rFonts w:ascii="Arial" w:hAnsi="Arial" w:cs="Arial"/>
        </w:rPr>
        <w:t>Development vehicles</w:t>
      </w:r>
      <w:bookmarkEnd w:id="4"/>
    </w:p>
    <w:p w14:paraId="72174F68" w14:textId="51A61FBE" w:rsidR="00554146" w:rsidRPr="00554146" w:rsidRDefault="00554146" w:rsidP="00861781">
      <w:pPr>
        <w:spacing w:line="360" w:lineRule="auto"/>
        <w:ind w:firstLine="720"/>
        <w:jc w:val="both"/>
        <w:rPr>
          <w:rFonts w:cs="Arial"/>
        </w:rPr>
      </w:pPr>
      <w:r w:rsidRPr="00554146">
        <w:rPr>
          <w:rFonts w:cs="Arial"/>
        </w:rPr>
        <w:t xml:space="preserve">The suitability of a development method depends on the capabilities required, the employee's existing experience and the resources available within the organisation. Coaching offers targeted support for improving particular behaviours or tasks, making it appropriate for an associate who is technically competent but needs to develop communication, delegation or decision-making skills before undertaking </w:t>
      </w:r>
      <w:r w:rsidRPr="00554146">
        <w:rPr>
          <w:rFonts w:cs="Arial"/>
        </w:rPr>
        <w:lastRenderedPageBreak/>
        <w:t>supervisory duties. At the fulfilment centre examined, feedback and informal guidance may be obtained from experienced Team Leads or managers, although no separate formal coaching programme has been identified. Coaching could therefore be introduced through short, scheduled discussions supported by observed practice and agreed goals. Jones et al. (2016) reported positive outcomes from workplace coaching, but their meta-analysis excluded manager–subordinate and peer coaching; its findings cannot be applied directly to informal guidance provided by a warehouse supervisor. A later review by Cannon-Bowers et al. (2023) also found positive effects but emphasised the need for clearer definitions and longer-term evaluation. Coaching may be relatively economical when provided internally, yet it requires protected time and managers who can give constructive feedback. Such meetings should focus on observable behaviours, such as the clarity of communication or responses to disagreements, rather than general judgements about personality. Under operational pressure, unscheduled conversations risk becoming instructions about immediate performance rather than genuine development.</w:t>
      </w:r>
    </w:p>
    <w:p w14:paraId="6B5E93CB" w14:textId="412D46D2" w:rsidR="00554146" w:rsidRPr="00554146" w:rsidRDefault="00554146" w:rsidP="00861781">
      <w:pPr>
        <w:spacing w:line="360" w:lineRule="auto"/>
        <w:ind w:firstLine="720"/>
        <w:jc w:val="both"/>
        <w:rPr>
          <w:rFonts w:cs="Arial"/>
        </w:rPr>
      </w:pPr>
      <w:r w:rsidRPr="00554146">
        <w:rPr>
          <w:rFonts w:cs="Arial"/>
        </w:rPr>
        <w:t xml:space="preserve">Mentoring differs from coaching by providing broader guidance based on a more experienced employee's knowledge of career progression and organisational expectations. This may suit associates interested in supervisory roles who need to understand responsibilities beyond their existing tasks, including workload planning and supporting colleagues. Allen et al. (2004) identified benefits associated with mentoring, although associations with objective career outcomes, such as advancement, were small. Mentoring should therefore not be presented as a guarantee of promotion. At the building examined, new proxy or step-up Team Leads have generally learned from experienced colleagues after receiving an approved assignment, rather than accessing structured mentoring beforehand. Opportunities for shadowing or preparing for a proxy position depend largely on managerial approval and operational need. A voluntary mentor arrangement could improve preparation before a vacancy arises, particularly if managers establish development objectives and written feedback. Nevertheless, an entirely informal approach may favour associates with existing managerial relationships and leave those on less flexible contracts with fewer opportunities. A system allowing employees to register interest in different departments might reduce dependence on informal recommendations, although managers would still need to explain how suitable candidates are selected. </w:t>
      </w:r>
      <w:r w:rsidRPr="00554146">
        <w:rPr>
          <w:rFonts w:cs="Arial"/>
        </w:rPr>
        <w:lastRenderedPageBreak/>
        <w:t>The availability of mentors and the time required to provide guidance would remain practical limitations.</w:t>
      </w:r>
    </w:p>
    <w:p w14:paraId="37D58636" w14:textId="2DF35049" w:rsidR="00554146" w:rsidRPr="00554146" w:rsidRDefault="00554146" w:rsidP="00861781">
      <w:pPr>
        <w:spacing w:line="360" w:lineRule="auto"/>
        <w:ind w:firstLine="720"/>
        <w:jc w:val="both"/>
        <w:rPr>
          <w:rFonts w:cs="Arial"/>
        </w:rPr>
      </w:pPr>
      <w:r w:rsidRPr="00554146">
        <w:rPr>
          <w:rFonts w:cs="Arial"/>
        </w:rPr>
        <w:t>Formal training is more appropriate where consistent procedures, compliance or specialist technical knowledge are essential. In the centre examined, Tier 1 instructors are prepared by Learning and Development to teach basic operational processes, while specially trained instructors deliver more advanced instruction, such as Problem Solve. Some induction activities are delivered through scanner-guided learning, with instructors available to clarify material and support orientation. Mandatory refresher topics, including hazardous materials and safe manual handling, may involve online presentations followed by brief knowledge tests during paid working time. Such methods allow standardised content to be delivered to multiple employees, although successful completion of a short test cannot establish practical competence in every situation. Salas et al. (2012) emphasise that effective training depends on needs assessment, instructional design and support for applying learning. Shukla et al. (2024) similarly identify learner characteristics, digital skills, training design and organisational conditions as factors affecting online learning transfer. The use of varied instructional methods may address different task demands, but matching employees to presumed fixed 'learning styles' is not well supported by evidence (</w:t>
      </w:r>
      <w:proofErr w:type="spellStart"/>
      <w:r w:rsidRPr="00554146">
        <w:rPr>
          <w:rFonts w:cs="Arial"/>
        </w:rPr>
        <w:t>Pashler</w:t>
      </w:r>
      <w:proofErr w:type="spellEnd"/>
      <w:r w:rsidRPr="00554146">
        <w:rPr>
          <w:rFonts w:cs="Arial"/>
        </w:rPr>
        <w:t xml:space="preserve"> et al., 2008). In technical areas, trainees could be asked to complete a task independently and explain the reasons for their actions, providing more meaningful evidence than confirmation of attendance alone. Practical demonstration and observation would therefore be appropriate additions to presentation-based assessment.</w:t>
      </w:r>
    </w:p>
    <w:p w14:paraId="01706FCF" w14:textId="6D7A3954" w:rsidR="00554146" w:rsidRDefault="00554146" w:rsidP="00861781">
      <w:pPr>
        <w:spacing w:line="360" w:lineRule="auto"/>
        <w:ind w:firstLine="720"/>
        <w:jc w:val="both"/>
        <w:rPr>
          <w:rFonts w:cs="Arial"/>
        </w:rPr>
      </w:pPr>
      <w:r w:rsidRPr="00554146">
        <w:rPr>
          <w:rFonts w:cs="Arial"/>
        </w:rPr>
        <w:t xml:space="preserve">Job shadowing, cross-training and temporary appointments provide opportunities to apply learning in operational settings. An associate preparing for leadership might observe an experienced Team Lead, gradually undertake planning or coordination tasks and receive feedback before working independently. Cross-training in another department may broaden understanding of interconnected processes and increase staffing flexibility, but at the centre examined these opportunities are generally allocated in response to business requirements. Proxy assignments and moves between departments depend on approval, with entry to a leadership pool often influencing eligibility. Consequently, opportunities may not arise when an employee is ready to develop. The ability to cover shifts and maintain reliable </w:t>
      </w:r>
      <w:r w:rsidRPr="00554146">
        <w:rPr>
          <w:rFonts w:cs="Arial"/>
        </w:rPr>
        <w:lastRenderedPageBreak/>
        <w:t>attendance is operationally relevant, although selection based heavily on availability could disadvantage competent part-time employees with caring responsibilities. Where operational cover permits, shorter shadowing periods across several shifts might offer part-time associates a more accessible pathway than extended temporary assignments. Lacerenza et al. (2017) found that leadership training effectiveness varies with its design and implementation, supporting the use of planned practical experience rather than assuming that shadowing alone is sufficient. For employees requiring specialist process knowledge, formal instruction followed by supervised practice is likely to be most suitable; for prospective leaders, a combination of mentoring, focused coaching and staged responsibility would better address wider capability needs. Clear selection criteria, feedback and measures of subsequent performance would also make development more consistent and easier to evaluate.</w:t>
      </w:r>
    </w:p>
    <w:p w14:paraId="29317A95" w14:textId="5A5EE4AB" w:rsidR="00921528" w:rsidRPr="0054380E" w:rsidRDefault="00921528" w:rsidP="00861781">
      <w:pPr>
        <w:pStyle w:val="Heading1"/>
        <w:spacing w:line="360" w:lineRule="auto"/>
        <w:ind w:firstLine="720"/>
        <w:rPr>
          <w:rFonts w:ascii="Arial" w:hAnsi="Arial" w:cs="Arial"/>
        </w:rPr>
      </w:pPr>
      <w:bookmarkStart w:id="5" w:name="_Toc242641725"/>
      <w:r w:rsidRPr="0054380E">
        <w:rPr>
          <w:rFonts w:ascii="Arial" w:hAnsi="Arial" w:cs="Arial"/>
        </w:rPr>
        <w:t>Identifying development needs and performance management</w:t>
      </w:r>
      <w:bookmarkEnd w:id="5"/>
    </w:p>
    <w:p w14:paraId="0A3C52AA" w14:textId="5C75DD75" w:rsidR="00E70FCA" w:rsidRPr="00E70FCA" w:rsidRDefault="00E70FCA" w:rsidP="00861781">
      <w:pPr>
        <w:spacing w:line="360" w:lineRule="auto"/>
        <w:ind w:firstLine="720"/>
        <w:jc w:val="both"/>
        <w:rPr>
          <w:rFonts w:cs="Arial"/>
        </w:rPr>
      </w:pPr>
      <w:r w:rsidRPr="00E70FCA">
        <w:rPr>
          <w:rFonts w:cs="Arial"/>
        </w:rPr>
        <w:t xml:space="preserve">The identification of employee development needs involves comparing existing capabilities with the requirements of a future role, rather than </w:t>
      </w:r>
      <w:proofErr w:type="gramStart"/>
      <w:r w:rsidRPr="00E70FCA">
        <w:rPr>
          <w:rFonts w:cs="Arial"/>
        </w:rPr>
        <w:t>assuming that</w:t>
      </w:r>
      <w:proofErr w:type="gramEnd"/>
      <w:r w:rsidRPr="00E70FCA">
        <w:rPr>
          <w:rFonts w:cs="Arial"/>
        </w:rPr>
        <w:t xml:space="preserve"> satisfactory performance in a current position demonstrates readiness for promotion. A Training Needs Analysis (TNA) should consider job requirements, evidence of workplace performance, individual aspirations and observations from an experienced manager. At the Amazon fulfilment centre examined, associates are generally monitored through routine quality and productivity measures after completing operational training, with further attention often prompted by declining performance. Although necessary for maintaining operational standards, this approach may overlook employees whose performance is satisfactory but who could benefit from more advanced development. Opportunities to demonstrate additional abilities may also depend on managerial approval and operational requirements. DeNisi and Murphy (2017) discuss the complexities of performance appraisal, including the selection of appropriate criteria and interpretation of results. Consequently, evaluating development needs requires more than relying on performance figures or informal managerial impressions. This approach can be applied to an anonymised Tier 1 Inventory Control and Quality Assurance (ICQA) associate seeking progression into a </w:t>
      </w:r>
      <w:r w:rsidRPr="00E70FCA">
        <w:rPr>
          <w:rFonts w:cs="Arial"/>
        </w:rPr>
        <w:lastRenderedPageBreak/>
        <w:t>permanent Tier 3 ICQA Team Lead position. The individual has previously undertaken temporary leadership assignments across several departments, including Pack, Vendor Returns and ICQA, supported colleagues in using specialist problem-solving tools and developed operational guidance. These experiences indicate existing operational knowledge, communication skills and familiarity with supervisory responsibilities, although they do not establish that every competency required for permanent appointment has been assessed. The TNA presented in Appendix A therefore identifies potential development needs in leadership feedback, coaching, data interpretation and interview preparation, while recognising previously demonstrated capabilities. Where evidence is incomplete, further assessment may be more appropriate than automatically prescribing additional training. Similarly, restrictions arising from limited vacancies, working arrangements or managerial approval should be distinguished from individual training needs.</w:t>
      </w:r>
    </w:p>
    <w:p w14:paraId="636E801F" w14:textId="22DD21E2" w:rsidR="00E70FCA" w:rsidRPr="00E70FCA" w:rsidRDefault="00E70FCA" w:rsidP="00861781">
      <w:pPr>
        <w:spacing w:line="360" w:lineRule="auto"/>
        <w:ind w:firstLine="720"/>
        <w:jc w:val="both"/>
        <w:rPr>
          <w:rFonts w:cs="Arial"/>
        </w:rPr>
      </w:pPr>
      <w:r w:rsidRPr="00E70FCA">
        <w:rPr>
          <w:rFonts w:cs="Arial"/>
        </w:rPr>
        <w:t xml:space="preserve">Following the TNA, a Personal Development Plan (PDP) should translate the identified needs into specific activities, measurable objectives and agreed timescales. Appendix B presents a proposed six-month development programme for the selected ICQA associate, focusing on strengthening existing leadership capabilities and addressing areas requiring further development. The first objective involves improving leadership and team coordination through mentoring with an experienced Team Lead, approved shadowing opportunities and practical exercises involving task prioritisation and operational decision-making. Such activities would build upon previous temporary leadership experience while providing more structured feedback. A second objective concerns coaching and employee management. Although the associate has experience providing technical instruction to colleagues, this does not necessarily demonstrate competence in delivering developmental feedback or assessing the performance of others. Observing experienced leaders and completing supervised coaching exercises could therefore provide further opportunities to develop these skills. The third objective involves assessing existing data interpretation capabilities and providing additional training where necessary, particularly in analysing ICQA performance information and identifying operational concerns. Interview preparation forms another development objective, including obtaining feedback from previous selection processes, preparing structured examples of professional achievements and completing practice interviews. This activity would improve the presentation of existing </w:t>
      </w:r>
      <w:r w:rsidRPr="00E70FCA">
        <w:rPr>
          <w:rFonts w:cs="Arial"/>
        </w:rPr>
        <w:lastRenderedPageBreak/>
        <w:t xml:space="preserve">experience without assuming that previous unsuccessful applications resulted from inadequate leadership abilities. Locke and Latham (2002) support the importance of specific, challenging objectives accompanied by feedback, while </w:t>
      </w:r>
      <w:proofErr w:type="spellStart"/>
      <w:r w:rsidRPr="00E70FCA">
        <w:rPr>
          <w:rFonts w:cs="Arial"/>
        </w:rPr>
        <w:t>Beausaert</w:t>
      </w:r>
      <w:proofErr w:type="spellEnd"/>
      <w:r w:rsidRPr="00E70FCA">
        <w:rPr>
          <w:rFonts w:cs="Arial"/>
        </w:rPr>
        <w:t xml:space="preserve"> et al. (2013) indicate that participation in a PDP does not automatically result in improved competence. Development activities should therefore produce evidence of learning through practical demonstrations, assessed exercises and documented feedback rather than relying exclusively on training completion. Reviews at weeks 6, 12, 18 and 24 would allow the employee and manager to assess progress and adjust activities where appropriate. Responsibilities would be shared between the employee, manager and an experienced mentor, with consideration given to operational requirements and the individual's working arrangements. Since shadowing and temporary leadership assignments require management approval, simulated exercises may provide alternative opportunities for development where practical experience cannot be arranged. Any restrictions affecting participation should be recorded separately from the employee's performance.</w:t>
      </w:r>
    </w:p>
    <w:p w14:paraId="7C5665C4" w14:textId="09FEB075" w:rsidR="00921528" w:rsidRPr="0054380E" w:rsidRDefault="00E70FCA" w:rsidP="00861781">
      <w:pPr>
        <w:spacing w:line="360" w:lineRule="auto"/>
        <w:ind w:firstLine="720"/>
        <w:jc w:val="both"/>
        <w:rPr>
          <w:rFonts w:cs="Arial"/>
        </w:rPr>
      </w:pPr>
      <w:r w:rsidRPr="00E70FCA">
        <w:rPr>
          <w:rFonts w:cs="Arial"/>
        </w:rPr>
        <w:t xml:space="preserve">Performance management should establish whether the development activities have improved relevant competencies and whether these improvements can be demonstrated in the workplace. Appendix C outlines the proposed monitoring and evaluation arrangements, combining formative assessment throughout the six-month period with a summative assessment upon completion. Kirkpatrick and Kirkpatrick (2016) distinguish four levels of training evaluation: reaction, learning, behaviour and results. Within the proposed PDP, employee feedback on mentoring and training would provide evidence of reaction, while successful completion of leadership scenarios, reporting exercises and practice interviews could demonstrate learning. Behavioural improvement would require evidence that the employee applies developed communication, decision-making and coaching skills during authorised workplace activities. Organisational results might include improved coordination of tasks or more consistent handling of operational concerns, although such outcomes would be difficult to attribute solely to one employee's development. Reio et al. (2017) identify limitations in the practical application of Kirkpatrick's model, suggesting that evaluation should remain proportionate to the activities undertaken. Miller's (1990) Pyramid offers a complementary approach by distinguishing between knowing, knowing how, showing how and doing. Although originally developed for clinical </w:t>
      </w:r>
      <w:r w:rsidRPr="00E70FCA">
        <w:rPr>
          <w:rFonts w:cs="Arial"/>
        </w:rPr>
        <w:lastRenderedPageBreak/>
        <w:t>assessment, the model illustrates why theoretical knowledge or successful completion of simulated exercises does not necessarily establish competence in performing leadership duties independently. Practical observations and subsequent performance reviews would therefore provide stronger evidence of workplace application. Feedback should be specific, documented and discussed with the employee, recognising both existing strengths and areas requiring improvement. Katz et al. (2023) identify relationships between feedback orientation and performance-related outcomes, supporting the importance of employee participation in the evaluation process. At the end of the six-month period, a written review would compare demonstrated competencies with the objectives established in Appendix B and identify any remaining development requirements. Objectives not achieved because of limited opportunities should be distinguished from those where performance has not met the agreed criteria. Completion of the PDP would provide documented evidence of professional development but would not guarantee promotion, as vacancies, eligibility and formal selection processes remain separate considerations. Overall, this approach could establish a more consistent and transparent method of recognising employee capabilities and preparing individuals for future responsibilities.</w:t>
      </w:r>
    </w:p>
    <w:p w14:paraId="102FE0E2" w14:textId="1A4C7A46" w:rsidR="00F95605" w:rsidRPr="0054380E" w:rsidRDefault="00F95605" w:rsidP="00861781">
      <w:pPr>
        <w:pStyle w:val="Heading1"/>
        <w:spacing w:line="360" w:lineRule="auto"/>
        <w:ind w:firstLine="720"/>
        <w:rPr>
          <w:rFonts w:ascii="Arial" w:hAnsi="Arial" w:cs="Arial"/>
        </w:rPr>
      </w:pPr>
      <w:bookmarkStart w:id="6" w:name="_Toc242641726"/>
      <w:r w:rsidRPr="0054380E">
        <w:rPr>
          <w:rFonts w:ascii="Arial" w:hAnsi="Arial" w:cs="Arial"/>
        </w:rPr>
        <w:t>Conclusion</w:t>
      </w:r>
      <w:bookmarkEnd w:id="6"/>
    </w:p>
    <w:p w14:paraId="2D2F3B87" w14:textId="5F14333F" w:rsidR="00F95605" w:rsidRDefault="00D441C8" w:rsidP="00861781">
      <w:pPr>
        <w:spacing w:line="360" w:lineRule="auto"/>
        <w:ind w:firstLine="720"/>
        <w:jc w:val="both"/>
        <w:rPr>
          <w:rFonts w:cs="Arial"/>
        </w:rPr>
      </w:pPr>
      <w:r w:rsidRPr="00D441C8">
        <w:rPr>
          <w:rFonts w:cs="Arial"/>
        </w:rPr>
        <w:t xml:space="preserve">Employee development within Amazon’s fulfilment operations has the potential to improve operational accuracy, strengthen internal leadership capabilities and support employee engagement. These benefits are not achieved through training provision alone, as effective development must respond to organisational requirements while recognising differences in employee interests, expectations and working arrangements. Coaching, mentoring, formal instruction and supervised experience each offer advantages, although their suitability depends on the skills required, available support and opportunities to apply learning. Reliance on informal development opportunities or routine performance monitoring may leave some employee capabilities unrecognised, particularly when individuals meet existing expectations without receiving further assessment. The proposed approach for an experienced ICQA associate demonstrates how a Training Needs Analysis can distinguish existing competencies from areas requiring further development. A structured Personal Development Plan incorporating mentoring, practical exercises, </w:t>
      </w:r>
      <w:r w:rsidRPr="00D441C8">
        <w:rPr>
          <w:rFonts w:cs="Arial"/>
        </w:rPr>
        <w:lastRenderedPageBreak/>
        <w:t>interview preparation and regular feedback could provide a more consistent approach to progression towards an ICQA Team Lead position. Evaluation should consider demonstrated competence and the practical application of learning rather than training completion alone. Although development cannot guarantee promotion or overcome restrictions associated with vacancies and working arrangements, clearer objectives, consistent assessment and documented feedback could improve the effectiveness and fairness of development decisions. Ultimately, organisations that fail to recognise and develop existing talent risk losing valuable experience and limiting their future leadership capabilities, making structured employee development a long-term organisational necessity rather than simply a training activity.</w:t>
      </w:r>
    </w:p>
    <w:p w14:paraId="7DD5C3C1" w14:textId="77777777" w:rsidR="009D048D" w:rsidRDefault="009D048D" w:rsidP="00861781">
      <w:pPr>
        <w:spacing w:line="360" w:lineRule="auto"/>
        <w:ind w:firstLine="720"/>
        <w:jc w:val="both"/>
        <w:rPr>
          <w:rFonts w:cs="Arial"/>
        </w:rPr>
      </w:pPr>
    </w:p>
    <w:p w14:paraId="4B00E501" w14:textId="77777777" w:rsidR="009D048D" w:rsidRDefault="009D048D" w:rsidP="00861781">
      <w:pPr>
        <w:spacing w:line="360" w:lineRule="auto"/>
        <w:ind w:firstLine="720"/>
        <w:jc w:val="both"/>
        <w:rPr>
          <w:rFonts w:cs="Arial"/>
        </w:rPr>
      </w:pPr>
    </w:p>
    <w:p w14:paraId="09E37E30" w14:textId="77777777" w:rsidR="009D048D" w:rsidRDefault="009D048D" w:rsidP="00861781">
      <w:pPr>
        <w:spacing w:line="360" w:lineRule="auto"/>
        <w:ind w:firstLine="720"/>
        <w:jc w:val="both"/>
        <w:rPr>
          <w:rFonts w:cs="Arial"/>
        </w:rPr>
      </w:pPr>
    </w:p>
    <w:p w14:paraId="4F61FE6C" w14:textId="77777777" w:rsidR="009D048D" w:rsidRDefault="009D048D" w:rsidP="00861781">
      <w:pPr>
        <w:spacing w:line="360" w:lineRule="auto"/>
        <w:ind w:firstLine="720"/>
        <w:jc w:val="both"/>
        <w:rPr>
          <w:rFonts w:cs="Arial"/>
        </w:rPr>
      </w:pPr>
    </w:p>
    <w:p w14:paraId="43E0B8A2" w14:textId="77777777" w:rsidR="009D048D" w:rsidRDefault="009D048D" w:rsidP="00861781">
      <w:pPr>
        <w:spacing w:line="360" w:lineRule="auto"/>
        <w:ind w:firstLine="720"/>
        <w:jc w:val="both"/>
        <w:rPr>
          <w:rFonts w:cs="Arial"/>
        </w:rPr>
      </w:pPr>
    </w:p>
    <w:p w14:paraId="78612575" w14:textId="77777777" w:rsidR="009D048D" w:rsidRDefault="009D048D" w:rsidP="00861781">
      <w:pPr>
        <w:spacing w:line="360" w:lineRule="auto"/>
        <w:ind w:firstLine="720"/>
        <w:jc w:val="both"/>
        <w:rPr>
          <w:rFonts w:cs="Arial"/>
        </w:rPr>
      </w:pPr>
    </w:p>
    <w:p w14:paraId="1D567C9E" w14:textId="77777777" w:rsidR="009D048D" w:rsidRDefault="009D048D" w:rsidP="00861781">
      <w:pPr>
        <w:spacing w:line="360" w:lineRule="auto"/>
        <w:ind w:firstLine="720"/>
        <w:jc w:val="both"/>
        <w:rPr>
          <w:rFonts w:cs="Arial"/>
        </w:rPr>
      </w:pPr>
    </w:p>
    <w:p w14:paraId="40B91301" w14:textId="77777777" w:rsidR="009D048D" w:rsidRDefault="009D048D" w:rsidP="00861781">
      <w:pPr>
        <w:spacing w:line="360" w:lineRule="auto"/>
        <w:ind w:firstLine="720"/>
        <w:jc w:val="both"/>
        <w:rPr>
          <w:rFonts w:cs="Arial"/>
        </w:rPr>
      </w:pPr>
    </w:p>
    <w:p w14:paraId="778CCE63" w14:textId="77777777" w:rsidR="009D048D" w:rsidRDefault="009D048D" w:rsidP="00861781">
      <w:pPr>
        <w:spacing w:line="360" w:lineRule="auto"/>
        <w:ind w:firstLine="720"/>
        <w:jc w:val="both"/>
        <w:rPr>
          <w:rFonts w:cs="Arial"/>
        </w:rPr>
      </w:pPr>
    </w:p>
    <w:p w14:paraId="669AB5E4" w14:textId="77777777" w:rsidR="009D048D" w:rsidRDefault="009D048D" w:rsidP="00861781">
      <w:pPr>
        <w:spacing w:line="360" w:lineRule="auto"/>
        <w:ind w:firstLine="720"/>
        <w:jc w:val="both"/>
        <w:rPr>
          <w:rFonts w:cs="Arial"/>
        </w:rPr>
      </w:pPr>
    </w:p>
    <w:p w14:paraId="533FF079" w14:textId="77777777" w:rsidR="009D048D" w:rsidRDefault="009D048D" w:rsidP="00861781">
      <w:pPr>
        <w:spacing w:line="360" w:lineRule="auto"/>
        <w:ind w:firstLine="720"/>
        <w:jc w:val="both"/>
        <w:rPr>
          <w:rFonts w:cs="Arial"/>
        </w:rPr>
      </w:pPr>
    </w:p>
    <w:p w14:paraId="190F517E" w14:textId="77777777" w:rsidR="009D048D" w:rsidRDefault="009D048D" w:rsidP="00861781">
      <w:pPr>
        <w:spacing w:line="360" w:lineRule="auto"/>
        <w:ind w:firstLine="720"/>
        <w:jc w:val="both"/>
        <w:rPr>
          <w:rFonts w:cs="Arial"/>
        </w:rPr>
      </w:pPr>
    </w:p>
    <w:p w14:paraId="130A21D9" w14:textId="77777777" w:rsidR="009D048D" w:rsidRDefault="009D048D" w:rsidP="00861781">
      <w:pPr>
        <w:spacing w:line="360" w:lineRule="auto"/>
        <w:ind w:firstLine="720"/>
        <w:jc w:val="both"/>
        <w:rPr>
          <w:rFonts w:cs="Arial"/>
        </w:rPr>
      </w:pPr>
    </w:p>
    <w:p w14:paraId="27D6D40A" w14:textId="77777777" w:rsidR="009D048D" w:rsidRDefault="009D048D" w:rsidP="00861781">
      <w:pPr>
        <w:spacing w:line="360" w:lineRule="auto"/>
        <w:ind w:firstLine="720"/>
        <w:jc w:val="both"/>
        <w:rPr>
          <w:rFonts w:cs="Arial"/>
        </w:rPr>
      </w:pPr>
    </w:p>
    <w:p w14:paraId="5DBFA9F4" w14:textId="1D8F2935" w:rsidR="009D048D" w:rsidRDefault="009D048D" w:rsidP="00861781">
      <w:pPr>
        <w:spacing w:line="360" w:lineRule="auto"/>
        <w:ind w:firstLine="720"/>
        <w:rPr>
          <w:rFonts w:cs="Arial"/>
        </w:rPr>
      </w:pPr>
      <w:r>
        <w:rPr>
          <w:rFonts w:cs="Arial"/>
        </w:rPr>
        <w:br w:type="page"/>
      </w:r>
    </w:p>
    <w:p w14:paraId="39B30A99" w14:textId="41EE10C2" w:rsidR="00F95605" w:rsidRPr="0054380E" w:rsidRDefault="00F6230A" w:rsidP="00861781">
      <w:pPr>
        <w:pStyle w:val="Heading1"/>
        <w:spacing w:line="360" w:lineRule="auto"/>
        <w:ind w:firstLine="720"/>
        <w:rPr>
          <w:rFonts w:ascii="Arial" w:hAnsi="Arial" w:cs="Arial"/>
        </w:rPr>
      </w:pPr>
      <w:bookmarkStart w:id="7" w:name="_Toc242641727"/>
      <w:r w:rsidRPr="0054380E">
        <w:rPr>
          <w:rFonts w:ascii="Arial" w:hAnsi="Arial" w:cs="Arial"/>
        </w:rPr>
        <w:lastRenderedPageBreak/>
        <w:t>References</w:t>
      </w:r>
      <w:bookmarkEnd w:id="7"/>
    </w:p>
    <w:p w14:paraId="7B9EA13E" w14:textId="0D5D4909" w:rsidR="00F95605" w:rsidRDefault="00AD64A3" w:rsidP="00861781">
      <w:pPr>
        <w:spacing w:line="360" w:lineRule="auto"/>
        <w:ind w:left="720" w:hanging="720"/>
        <w:rPr>
          <w:rFonts w:cs="Arial"/>
        </w:rPr>
      </w:pPr>
      <w:r w:rsidRPr="00B95E1D">
        <w:rPr>
          <w:rFonts w:cs="Arial"/>
        </w:rPr>
        <w:t xml:space="preserve">Aguinis, H., &amp; </w:t>
      </w:r>
      <w:proofErr w:type="spellStart"/>
      <w:r w:rsidRPr="00B95E1D">
        <w:rPr>
          <w:rFonts w:cs="Arial"/>
        </w:rPr>
        <w:t>Kraiger</w:t>
      </w:r>
      <w:proofErr w:type="spellEnd"/>
      <w:r w:rsidRPr="00B95E1D">
        <w:rPr>
          <w:rFonts w:cs="Arial"/>
        </w:rPr>
        <w:t>, K. (2009). Benefits of training and development for individuals and teams, organizations, and society. </w:t>
      </w:r>
      <w:r w:rsidRPr="00B95E1D">
        <w:rPr>
          <w:rFonts w:cs="Arial"/>
          <w:i/>
          <w:iCs/>
        </w:rPr>
        <w:t xml:space="preserve">Annual </w:t>
      </w:r>
      <w:r w:rsidR="000332D3">
        <w:rPr>
          <w:rFonts w:cs="Arial"/>
          <w:i/>
          <w:iCs/>
        </w:rPr>
        <w:t>R</w:t>
      </w:r>
      <w:r w:rsidRPr="00B95E1D">
        <w:rPr>
          <w:rFonts w:cs="Arial"/>
          <w:i/>
          <w:iCs/>
        </w:rPr>
        <w:t xml:space="preserve">eview of </w:t>
      </w:r>
      <w:r w:rsidR="000332D3">
        <w:rPr>
          <w:rFonts w:cs="Arial"/>
          <w:i/>
          <w:iCs/>
        </w:rPr>
        <w:t>P</w:t>
      </w:r>
      <w:r w:rsidRPr="00B95E1D">
        <w:rPr>
          <w:rFonts w:cs="Arial"/>
          <w:i/>
          <w:iCs/>
        </w:rPr>
        <w:t>sychology</w:t>
      </w:r>
      <w:r w:rsidRPr="00B95E1D">
        <w:rPr>
          <w:rFonts w:cs="Arial"/>
        </w:rPr>
        <w:t>, </w:t>
      </w:r>
      <w:r w:rsidRPr="00B95E1D">
        <w:rPr>
          <w:rFonts w:cs="Arial"/>
          <w:i/>
          <w:iCs/>
        </w:rPr>
        <w:t>60</w:t>
      </w:r>
      <w:r w:rsidRPr="00B95E1D">
        <w:rPr>
          <w:rFonts w:cs="Arial"/>
        </w:rPr>
        <w:t>, 451-474.</w:t>
      </w:r>
      <w:r w:rsidR="004469EF" w:rsidRPr="00B95E1D">
        <w:rPr>
          <w:rFonts w:cs="Arial"/>
        </w:rPr>
        <w:t xml:space="preserve"> </w:t>
      </w:r>
      <w:hyperlink r:id="rId9" w:history="1">
        <w:r w:rsidR="004469EF" w:rsidRPr="00B95E1D">
          <w:rPr>
            <w:rStyle w:val="Hyperlink"/>
            <w:rFonts w:cs="Arial"/>
          </w:rPr>
          <w:t>https://doi.org/10.1146/annurev.psych.60.110707.163505</w:t>
        </w:r>
      </w:hyperlink>
    </w:p>
    <w:p w14:paraId="37B6D6B9" w14:textId="77777777" w:rsidR="00EF71EE" w:rsidRDefault="00EF71EE" w:rsidP="00861781">
      <w:pPr>
        <w:spacing w:line="360" w:lineRule="auto"/>
        <w:rPr>
          <w:rFonts w:cs="Arial"/>
        </w:rPr>
      </w:pPr>
    </w:p>
    <w:p w14:paraId="30B8F52F" w14:textId="7D228449" w:rsidR="009D3E4E" w:rsidRDefault="009D3E4E" w:rsidP="00861781">
      <w:pPr>
        <w:spacing w:line="360" w:lineRule="auto"/>
        <w:ind w:left="720" w:hanging="720"/>
        <w:rPr>
          <w:rFonts w:cs="Arial"/>
        </w:rPr>
      </w:pPr>
      <w:r w:rsidRPr="009D3E4E">
        <w:rPr>
          <w:rFonts w:cs="Arial"/>
        </w:rPr>
        <w:t xml:space="preserve">Allen, T. D., Eby, L. T., Poteet, M. L., Lentz, E., &amp; Lima, L. (2004). Career Benefits Associated </w:t>
      </w:r>
      <w:r w:rsidR="00832C7A" w:rsidRPr="009D3E4E">
        <w:rPr>
          <w:rFonts w:cs="Arial"/>
        </w:rPr>
        <w:t>with</w:t>
      </w:r>
      <w:r w:rsidRPr="009D3E4E">
        <w:rPr>
          <w:rFonts w:cs="Arial"/>
        </w:rPr>
        <w:t xml:space="preserve"> Mentoring for Protégés: A Meta-Analysis. </w:t>
      </w:r>
      <w:r w:rsidRPr="009D3E4E">
        <w:rPr>
          <w:rFonts w:cs="Arial"/>
          <w:i/>
          <w:iCs/>
        </w:rPr>
        <w:t>Journal of Applied Psychology</w:t>
      </w:r>
      <w:r w:rsidRPr="009D3E4E">
        <w:rPr>
          <w:rFonts w:cs="Arial"/>
        </w:rPr>
        <w:t>, </w:t>
      </w:r>
      <w:r w:rsidRPr="009D3E4E">
        <w:rPr>
          <w:rFonts w:cs="Arial"/>
          <w:i/>
          <w:iCs/>
        </w:rPr>
        <w:t>89</w:t>
      </w:r>
      <w:r w:rsidRPr="009D3E4E">
        <w:rPr>
          <w:rFonts w:cs="Arial"/>
        </w:rPr>
        <w:t xml:space="preserve">(1), 127–136. </w:t>
      </w:r>
      <w:hyperlink r:id="rId10" w:history="1">
        <w:r w:rsidRPr="001D105C">
          <w:rPr>
            <w:rStyle w:val="Hyperlink"/>
            <w:rFonts w:cs="Arial"/>
          </w:rPr>
          <w:t>https://doi.org/10.1037/0021-9010.89.1.127</w:t>
        </w:r>
      </w:hyperlink>
    </w:p>
    <w:p w14:paraId="7D0DA2AE" w14:textId="77777777" w:rsidR="009D3E4E" w:rsidRDefault="009D3E4E" w:rsidP="00861781">
      <w:pPr>
        <w:spacing w:line="360" w:lineRule="auto"/>
        <w:ind w:left="720" w:hanging="720"/>
        <w:rPr>
          <w:rFonts w:cs="Arial"/>
        </w:rPr>
      </w:pPr>
    </w:p>
    <w:p w14:paraId="3E377A3A" w14:textId="3F62D7D2" w:rsidR="00EF71EE" w:rsidRDefault="004F2634" w:rsidP="00861781">
      <w:pPr>
        <w:spacing w:line="360" w:lineRule="auto"/>
        <w:ind w:left="720" w:hanging="720"/>
        <w:rPr>
          <w:rFonts w:cs="Arial"/>
          <w:lang w:val="en-US"/>
        </w:rPr>
      </w:pPr>
      <w:r w:rsidRPr="004F2634">
        <w:rPr>
          <w:rFonts w:cs="Arial"/>
          <w:lang w:val="en-US"/>
        </w:rPr>
        <w:t>Amazon. (n.d</w:t>
      </w:r>
      <w:r w:rsidRPr="00DD0493">
        <w:rPr>
          <w:rFonts w:cs="Arial"/>
          <w:i/>
          <w:iCs/>
          <w:lang w:val="en-US"/>
        </w:rPr>
        <w:t>.). Amazon's Career Choice: Everything you need to know about the education benefit that pre-pays up to 100% of tuition.</w:t>
      </w:r>
      <w:r w:rsidRPr="004F2634">
        <w:rPr>
          <w:rFonts w:cs="Arial"/>
          <w:lang w:val="en-US"/>
        </w:rPr>
        <w:t xml:space="preserve"> </w:t>
      </w:r>
      <w:hyperlink r:id="rId11" w:history="1">
        <w:r w:rsidR="005A1B88" w:rsidRPr="001D105C">
          <w:rPr>
            <w:rStyle w:val="Hyperlink"/>
            <w:rFonts w:cs="Arial"/>
            <w:lang w:val="en-US"/>
          </w:rPr>
          <w:t>https://www.aboutamazon.co.uk/news/working-at-amazon/amazon-career-choice-programme</w:t>
        </w:r>
      </w:hyperlink>
    </w:p>
    <w:p w14:paraId="2B17F79A" w14:textId="77777777" w:rsidR="005A1B88" w:rsidRDefault="005A1B88" w:rsidP="00861781">
      <w:pPr>
        <w:spacing w:line="360" w:lineRule="auto"/>
        <w:ind w:left="720" w:hanging="720"/>
        <w:rPr>
          <w:rFonts w:cs="Arial"/>
          <w:lang w:val="en-US"/>
        </w:rPr>
      </w:pPr>
    </w:p>
    <w:p w14:paraId="22B24D12" w14:textId="5EEA8083" w:rsidR="005A1B88" w:rsidRDefault="005A1B88" w:rsidP="00861781">
      <w:pPr>
        <w:spacing w:line="360" w:lineRule="auto"/>
        <w:ind w:left="720" w:hanging="720"/>
      </w:pPr>
      <w:r w:rsidRPr="005A1B88">
        <w:rPr>
          <w:rFonts w:cs="Arial"/>
        </w:rPr>
        <w:t>B</w:t>
      </w:r>
      <w:r w:rsidR="00564C5A">
        <w:rPr>
          <w:rFonts w:cs="Arial"/>
        </w:rPr>
        <w:t>aldwin</w:t>
      </w:r>
      <w:r w:rsidRPr="005A1B88">
        <w:rPr>
          <w:rFonts w:cs="Arial"/>
        </w:rPr>
        <w:t>, T. T., &amp; F</w:t>
      </w:r>
      <w:r w:rsidR="00564C5A">
        <w:rPr>
          <w:rFonts w:cs="Arial"/>
        </w:rPr>
        <w:t>ord</w:t>
      </w:r>
      <w:r w:rsidRPr="005A1B88">
        <w:rPr>
          <w:rFonts w:cs="Arial"/>
        </w:rPr>
        <w:t xml:space="preserve">, J. K. (1988). </w:t>
      </w:r>
      <w:r w:rsidR="00564C5A">
        <w:rPr>
          <w:rFonts w:cs="Arial"/>
        </w:rPr>
        <w:t>Transfer of training</w:t>
      </w:r>
      <w:r w:rsidRPr="005A1B88">
        <w:rPr>
          <w:rFonts w:cs="Arial"/>
        </w:rPr>
        <w:t>:</w:t>
      </w:r>
      <w:r w:rsidR="004D42DE">
        <w:rPr>
          <w:rFonts w:cs="Arial"/>
        </w:rPr>
        <w:t xml:space="preserve"> A review and directions for future research</w:t>
      </w:r>
      <w:r w:rsidRPr="005A1B88">
        <w:rPr>
          <w:rFonts w:cs="Arial"/>
        </w:rPr>
        <w:t>. </w:t>
      </w:r>
      <w:r w:rsidRPr="005A1B88">
        <w:rPr>
          <w:rFonts w:cs="Arial"/>
          <w:i/>
          <w:iCs/>
        </w:rPr>
        <w:t>Personnel Psychology</w:t>
      </w:r>
      <w:r w:rsidRPr="005A1B88">
        <w:rPr>
          <w:rFonts w:cs="Arial"/>
        </w:rPr>
        <w:t>, </w:t>
      </w:r>
      <w:r w:rsidRPr="005A1B88">
        <w:rPr>
          <w:rFonts w:cs="Arial"/>
          <w:i/>
          <w:iCs/>
        </w:rPr>
        <w:t>41</w:t>
      </w:r>
      <w:r w:rsidRPr="005A1B88">
        <w:rPr>
          <w:rFonts w:cs="Arial"/>
        </w:rPr>
        <w:t xml:space="preserve">(1), 63–105. </w:t>
      </w:r>
      <w:hyperlink r:id="rId12" w:history="1">
        <w:r w:rsidR="004D42DE" w:rsidRPr="001D105C">
          <w:rPr>
            <w:rStyle w:val="Hyperlink"/>
            <w:rFonts w:cs="Arial"/>
          </w:rPr>
          <w:t>https://doi.org/10.1111/j.1744-6570.1988.tb00632.x</w:t>
        </w:r>
      </w:hyperlink>
    </w:p>
    <w:p w14:paraId="003A4C68" w14:textId="77777777" w:rsidR="00352110" w:rsidRDefault="00352110" w:rsidP="00861781">
      <w:pPr>
        <w:spacing w:line="360" w:lineRule="auto"/>
        <w:ind w:left="720" w:hanging="720"/>
        <w:rPr>
          <w:rFonts w:cs="Arial"/>
        </w:rPr>
      </w:pPr>
    </w:p>
    <w:p w14:paraId="682F2808" w14:textId="7C270CE5" w:rsidR="00352110" w:rsidRDefault="00352110" w:rsidP="00861781">
      <w:pPr>
        <w:spacing w:line="360" w:lineRule="auto"/>
        <w:ind w:left="720" w:hanging="720"/>
        <w:rPr>
          <w:rFonts w:cs="Arial"/>
        </w:rPr>
      </w:pPr>
      <w:r w:rsidRPr="0003213A">
        <w:rPr>
          <w:rFonts w:cs="Arial"/>
        </w:rPr>
        <w:t>Beausaert, S.</w:t>
      </w:r>
      <w:r w:rsidR="00485292">
        <w:rPr>
          <w:rFonts w:cs="Arial"/>
        </w:rPr>
        <w:t xml:space="preserve"> A. J.</w:t>
      </w:r>
      <w:r w:rsidRPr="0003213A">
        <w:rPr>
          <w:rFonts w:cs="Arial"/>
        </w:rPr>
        <w:t>, Segers, M.</w:t>
      </w:r>
      <w:r w:rsidR="00485292">
        <w:rPr>
          <w:rFonts w:cs="Arial"/>
        </w:rPr>
        <w:t xml:space="preserve"> S. R.</w:t>
      </w:r>
      <w:r w:rsidRPr="0003213A">
        <w:rPr>
          <w:rFonts w:cs="Arial"/>
        </w:rPr>
        <w:t xml:space="preserve">, </w:t>
      </w:r>
      <w:proofErr w:type="spellStart"/>
      <w:r w:rsidRPr="0003213A">
        <w:rPr>
          <w:rFonts w:cs="Arial"/>
        </w:rPr>
        <w:t>Fouarge</w:t>
      </w:r>
      <w:proofErr w:type="spellEnd"/>
      <w:r w:rsidRPr="0003213A">
        <w:rPr>
          <w:rFonts w:cs="Arial"/>
        </w:rPr>
        <w:t xml:space="preserve">, D., &amp; </w:t>
      </w:r>
      <w:proofErr w:type="spellStart"/>
      <w:r w:rsidRPr="0003213A">
        <w:rPr>
          <w:rFonts w:cs="Arial"/>
        </w:rPr>
        <w:t>Gijselaers</w:t>
      </w:r>
      <w:proofErr w:type="spellEnd"/>
      <w:r w:rsidRPr="0003213A">
        <w:rPr>
          <w:rFonts w:cs="Arial"/>
        </w:rPr>
        <w:t xml:space="preserve">, W. </w:t>
      </w:r>
      <w:r w:rsidR="0027660A">
        <w:rPr>
          <w:rFonts w:cs="Arial"/>
        </w:rPr>
        <w:t>H.</w:t>
      </w:r>
      <w:r w:rsidR="0027660A" w:rsidRPr="0003213A">
        <w:rPr>
          <w:rFonts w:cs="Arial"/>
        </w:rPr>
        <w:t xml:space="preserve"> (</w:t>
      </w:r>
      <w:r w:rsidRPr="0003213A">
        <w:rPr>
          <w:rFonts w:cs="Arial"/>
        </w:rPr>
        <w:t>2013). Effect of using a personal development plan on learning and development.</w:t>
      </w:r>
      <w:r w:rsidR="00485292">
        <w:rPr>
          <w:rFonts w:cs="Arial"/>
        </w:rPr>
        <w:t xml:space="preserve"> </w:t>
      </w:r>
      <w:r w:rsidRPr="0003213A">
        <w:rPr>
          <w:rFonts w:cs="Arial"/>
          <w:i/>
          <w:iCs/>
        </w:rPr>
        <w:t>Journal of Workplace Learning</w:t>
      </w:r>
      <w:r w:rsidRPr="0003213A">
        <w:rPr>
          <w:rFonts w:cs="Arial"/>
        </w:rPr>
        <w:t xml:space="preserve">, </w:t>
      </w:r>
      <w:r w:rsidRPr="0003213A">
        <w:rPr>
          <w:rFonts w:cs="Arial"/>
          <w:i/>
          <w:iCs/>
        </w:rPr>
        <w:t>25</w:t>
      </w:r>
      <w:r w:rsidRPr="0003213A">
        <w:rPr>
          <w:rFonts w:cs="Arial"/>
        </w:rPr>
        <w:t xml:space="preserve">(3), 145–158. </w:t>
      </w:r>
      <w:hyperlink r:id="rId13" w:history="1">
        <w:r w:rsidRPr="001D105C">
          <w:rPr>
            <w:rStyle w:val="Hyperlink"/>
            <w:rFonts w:cs="Arial"/>
          </w:rPr>
          <w:t>https://doi.org/10.1108/13665621311306538</w:t>
        </w:r>
      </w:hyperlink>
    </w:p>
    <w:p w14:paraId="72214483" w14:textId="77777777" w:rsidR="00010FC9" w:rsidRDefault="00010FC9" w:rsidP="00861781">
      <w:pPr>
        <w:spacing w:line="360" w:lineRule="auto"/>
        <w:ind w:left="720" w:hanging="720"/>
        <w:rPr>
          <w:rFonts w:cs="Arial"/>
        </w:rPr>
      </w:pPr>
    </w:p>
    <w:p w14:paraId="21D67E2A" w14:textId="2C6D2495" w:rsidR="004D42DE" w:rsidRDefault="00E831ED" w:rsidP="00861781">
      <w:pPr>
        <w:spacing w:line="360" w:lineRule="auto"/>
        <w:ind w:left="720" w:hanging="720"/>
        <w:rPr>
          <w:rFonts w:cs="Arial"/>
        </w:rPr>
      </w:pPr>
      <w:r w:rsidRPr="00E831ED">
        <w:rPr>
          <w:rFonts w:cs="Arial"/>
        </w:rPr>
        <w:t>Cannon-Bowers, J. A., Bowers, C. A., Carlson, C. E., Doherty, S. L., Evans, J., &amp; Hall, J. (2023). Workplace coaching: a meta-analysis and recommendations for advancing the science of coaching. </w:t>
      </w:r>
      <w:r w:rsidRPr="00E831ED">
        <w:rPr>
          <w:rFonts w:cs="Arial"/>
          <w:i/>
          <w:iCs/>
        </w:rPr>
        <w:t>Frontiers in Psychology</w:t>
      </w:r>
      <w:r w:rsidRPr="00E831ED">
        <w:rPr>
          <w:rFonts w:cs="Arial"/>
        </w:rPr>
        <w:t>, </w:t>
      </w:r>
      <w:r w:rsidRPr="00E831ED">
        <w:rPr>
          <w:rFonts w:cs="Arial"/>
          <w:i/>
          <w:iCs/>
        </w:rPr>
        <w:t>14</w:t>
      </w:r>
      <w:r w:rsidRPr="00E831ED">
        <w:rPr>
          <w:rFonts w:cs="Arial"/>
        </w:rPr>
        <w:t xml:space="preserve">, 1204166. </w:t>
      </w:r>
      <w:hyperlink r:id="rId14" w:history="1">
        <w:r w:rsidRPr="001D105C">
          <w:rPr>
            <w:rStyle w:val="Hyperlink"/>
            <w:rFonts w:cs="Arial"/>
          </w:rPr>
          <w:t>https://doi.org/10.3389/fpsyg.2023.1204166</w:t>
        </w:r>
      </w:hyperlink>
    </w:p>
    <w:p w14:paraId="68ACC44C" w14:textId="77777777" w:rsidR="00E831ED" w:rsidRDefault="00E831ED" w:rsidP="00861781">
      <w:pPr>
        <w:spacing w:line="360" w:lineRule="auto"/>
        <w:ind w:left="720" w:hanging="720"/>
        <w:rPr>
          <w:rFonts w:cs="Arial"/>
        </w:rPr>
      </w:pPr>
    </w:p>
    <w:p w14:paraId="2E0D3BF1" w14:textId="17E45C20" w:rsidR="00DD0493" w:rsidRDefault="00DD0493" w:rsidP="00861781">
      <w:pPr>
        <w:spacing w:line="360" w:lineRule="auto"/>
        <w:ind w:left="720" w:hanging="720"/>
        <w:rPr>
          <w:rFonts w:cs="Arial"/>
        </w:rPr>
      </w:pPr>
      <w:r w:rsidRPr="00DD0493">
        <w:rPr>
          <w:rFonts w:cs="Arial"/>
        </w:rPr>
        <w:lastRenderedPageBreak/>
        <w:t xml:space="preserve">Chartered Institute of Personnel and Development. (2023, May 25). </w:t>
      </w:r>
      <w:r w:rsidRPr="00DD0493">
        <w:rPr>
          <w:rFonts w:cs="Arial"/>
          <w:i/>
          <w:iCs/>
        </w:rPr>
        <w:t>An estimated 4 million UK employees have changed careers due to a lack of flexibility at work.</w:t>
      </w:r>
      <w:r w:rsidRPr="00DD0493">
        <w:rPr>
          <w:rFonts w:cs="Arial"/>
        </w:rPr>
        <w:t xml:space="preserve"> </w:t>
      </w:r>
      <w:hyperlink r:id="rId15" w:history="1">
        <w:r w:rsidRPr="001D105C">
          <w:rPr>
            <w:rStyle w:val="Hyperlink"/>
            <w:rFonts w:cs="Arial"/>
          </w:rPr>
          <w:t>https://www.cipd.org/en/about/press-releases/4-million-career-changes-flexibility-issues/</w:t>
        </w:r>
      </w:hyperlink>
    </w:p>
    <w:p w14:paraId="573C317E" w14:textId="77777777" w:rsidR="00EA3377" w:rsidRDefault="00EA3377" w:rsidP="00861781">
      <w:pPr>
        <w:spacing w:line="360" w:lineRule="auto"/>
        <w:ind w:left="720" w:hanging="720"/>
        <w:rPr>
          <w:rFonts w:cs="Arial"/>
        </w:rPr>
      </w:pPr>
    </w:p>
    <w:p w14:paraId="13FCBC8C" w14:textId="29DF9EF2" w:rsidR="00EA3377" w:rsidRDefault="00EA3377" w:rsidP="00861781">
      <w:pPr>
        <w:spacing w:line="360" w:lineRule="auto"/>
        <w:ind w:left="720" w:hanging="720"/>
        <w:rPr>
          <w:rFonts w:cs="Arial"/>
        </w:rPr>
      </w:pPr>
      <w:r w:rsidRPr="00EA3377">
        <w:rPr>
          <w:rFonts w:cs="Arial"/>
        </w:rPr>
        <w:t xml:space="preserve">DeNisi, A. S., &amp; Murphy, K. R. (2017). Performance Appraisal and Performance Management: 100 Years of Progress? </w:t>
      </w:r>
      <w:r w:rsidRPr="00EA3377">
        <w:rPr>
          <w:rFonts w:cs="Arial"/>
          <w:i/>
          <w:iCs/>
        </w:rPr>
        <w:t>Journal of Applied Psychology</w:t>
      </w:r>
      <w:r w:rsidRPr="00EA3377">
        <w:rPr>
          <w:rFonts w:cs="Arial"/>
        </w:rPr>
        <w:t xml:space="preserve">, </w:t>
      </w:r>
      <w:r w:rsidRPr="00EA3377">
        <w:rPr>
          <w:rFonts w:cs="Arial"/>
          <w:i/>
          <w:iCs/>
        </w:rPr>
        <w:t>102</w:t>
      </w:r>
      <w:r w:rsidRPr="00EA3377">
        <w:rPr>
          <w:rFonts w:cs="Arial"/>
        </w:rPr>
        <w:t xml:space="preserve">(3), 421–433. </w:t>
      </w:r>
      <w:hyperlink r:id="rId16" w:history="1">
        <w:r w:rsidRPr="001D105C">
          <w:rPr>
            <w:rStyle w:val="Hyperlink"/>
            <w:rFonts w:cs="Arial"/>
          </w:rPr>
          <w:t>https://doi.org/10.1037/apl0000085</w:t>
        </w:r>
      </w:hyperlink>
    </w:p>
    <w:p w14:paraId="59D9ABDF" w14:textId="77777777" w:rsidR="00DD0493" w:rsidRDefault="00DD0493" w:rsidP="00861781">
      <w:pPr>
        <w:spacing w:line="360" w:lineRule="auto"/>
        <w:ind w:left="720" w:hanging="720"/>
        <w:rPr>
          <w:rFonts w:cs="Arial"/>
        </w:rPr>
      </w:pPr>
    </w:p>
    <w:p w14:paraId="7A34E097" w14:textId="6009F8E0" w:rsidR="001F43F3" w:rsidRDefault="001F43F3" w:rsidP="00861781">
      <w:pPr>
        <w:spacing w:line="360" w:lineRule="auto"/>
        <w:ind w:left="720" w:hanging="720"/>
      </w:pPr>
      <w:r w:rsidRPr="001F43F3">
        <w:rPr>
          <w:rFonts w:cs="Arial"/>
        </w:rPr>
        <w:t xml:space="preserve">Egan, T. M., Yang, B., &amp; Bartlett, K. R. (2004). The effects of organizational learning culture and job satisfaction on motivation to transfer learning and turnover intention. </w:t>
      </w:r>
      <w:r w:rsidRPr="00DD0493">
        <w:rPr>
          <w:rFonts w:cs="Arial"/>
          <w:i/>
          <w:iCs/>
        </w:rPr>
        <w:t>Human Resource Development Quarterly</w:t>
      </w:r>
      <w:r w:rsidRPr="001F43F3">
        <w:rPr>
          <w:rFonts w:cs="Arial"/>
        </w:rPr>
        <w:t xml:space="preserve">, 15(3), 279-301. </w:t>
      </w:r>
      <w:hyperlink r:id="rId17" w:history="1">
        <w:r w:rsidRPr="001D105C">
          <w:rPr>
            <w:rStyle w:val="Hyperlink"/>
            <w:rFonts w:cs="Arial"/>
          </w:rPr>
          <w:t>https://www.proquest.com/scholarly-journals/effects-organizational-learning-culture-job/docview/234904324/se-2</w:t>
        </w:r>
      </w:hyperlink>
    </w:p>
    <w:p w14:paraId="27F35881" w14:textId="77777777" w:rsidR="005A1DB3" w:rsidRDefault="005A1DB3" w:rsidP="00861781">
      <w:pPr>
        <w:spacing w:line="360" w:lineRule="auto"/>
        <w:ind w:left="720" w:hanging="720"/>
        <w:rPr>
          <w:rFonts w:cs="Arial"/>
        </w:rPr>
      </w:pPr>
    </w:p>
    <w:p w14:paraId="1636E0F1" w14:textId="27ACB2FD" w:rsidR="005A1DB3" w:rsidRPr="0054380E" w:rsidRDefault="005A1DB3" w:rsidP="00861781">
      <w:pPr>
        <w:spacing w:line="360" w:lineRule="auto"/>
        <w:ind w:left="720" w:hanging="720"/>
        <w:rPr>
          <w:rFonts w:cs="Arial"/>
        </w:rPr>
      </w:pPr>
      <w:proofErr w:type="spellStart"/>
      <w:r w:rsidRPr="00410325">
        <w:rPr>
          <w:rFonts w:cs="Arial"/>
        </w:rPr>
        <w:t>Fombrun</w:t>
      </w:r>
      <w:proofErr w:type="spellEnd"/>
      <w:r w:rsidRPr="00410325">
        <w:rPr>
          <w:rFonts w:cs="Arial"/>
        </w:rPr>
        <w:t>, C.</w:t>
      </w:r>
      <w:r w:rsidR="00287A4E">
        <w:rPr>
          <w:rFonts w:cs="Arial"/>
        </w:rPr>
        <w:t xml:space="preserve"> </w:t>
      </w:r>
      <w:r w:rsidRPr="00410325">
        <w:rPr>
          <w:rFonts w:cs="Arial"/>
        </w:rPr>
        <w:t>J., Tichy, N.</w:t>
      </w:r>
      <w:r w:rsidR="00287A4E">
        <w:rPr>
          <w:rFonts w:cs="Arial"/>
        </w:rPr>
        <w:t xml:space="preserve"> </w:t>
      </w:r>
      <w:r w:rsidRPr="00410325">
        <w:rPr>
          <w:rFonts w:cs="Arial"/>
        </w:rPr>
        <w:t>M., &amp; Devanna, M.</w:t>
      </w:r>
      <w:r w:rsidR="00287A4E">
        <w:rPr>
          <w:rFonts w:cs="Arial"/>
        </w:rPr>
        <w:t xml:space="preserve"> </w:t>
      </w:r>
      <w:r w:rsidRPr="00410325">
        <w:rPr>
          <w:rFonts w:cs="Arial"/>
        </w:rPr>
        <w:t xml:space="preserve">A. (1984). </w:t>
      </w:r>
      <w:r w:rsidRPr="00DD0493">
        <w:rPr>
          <w:rFonts w:cs="Arial"/>
          <w:i/>
          <w:iCs/>
        </w:rPr>
        <w:t>Strategic Human Resource Management</w:t>
      </w:r>
      <w:r w:rsidRPr="00410325">
        <w:rPr>
          <w:rFonts w:cs="Arial"/>
        </w:rPr>
        <w:t>.</w:t>
      </w:r>
      <w:r w:rsidR="009F64B6">
        <w:rPr>
          <w:rFonts w:cs="Arial"/>
        </w:rPr>
        <w:t xml:space="preserve"> </w:t>
      </w:r>
      <w:r w:rsidR="00F50140">
        <w:rPr>
          <w:rFonts w:cs="Arial"/>
        </w:rPr>
        <w:t>Wiley</w:t>
      </w:r>
      <w:r w:rsidR="009F64B6">
        <w:rPr>
          <w:rFonts w:cs="Arial"/>
        </w:rPr>
        <w:t xml:space="preserve">. </w:t>
      </w:r>
      <w:hyperlink r:id="rId18" w:history="1">
        <w:r w:rsidR="009F64B6" w:rsidRPr="001D105C">
          <w:rPr>
            <w:rStyle w:val="Hyperlink"/>
            <w:rFonts w:cs="Arial"/>
          </w:rPr>
          <w:t>https://quod.lib.umich.edu/b/busadwp/images/b/2/0/b2036046.0001.001.pdf</w:t>
        </w:r>
      </w:hyperlink>
      <w:r>
        <w:rPr>
          <w:rFonts w:cs="Arial"/>
        </w:rPr>
        <w:t xml:space="preserve"> </w:t>
      </w:r>
    </w:p>
    <w:p w14:paraId="5BA4B30A" w14:textId="77777777" w:rsidR="001F43F3" w:rsidRDefault="001F43F3" w:rsidP="00861781">
      <w:pPr>
        <w:spacing w:line="360" w:lineRule="auto"/>
        <w:ind w:left="720" w:hanging="720"/>
        <w:rPr>
          <w:rFonts w:cs="Arial"/>
        </w:rPr>
      </w:pPr>
    </w:p>
    <w:p w14:paraId="42731111" w14:textId="6D0AD05C" w:rsidR="00977343" w:rsidRDefault="00977343" w:rsidP="00861781">
      <w:pPr>
        <w:spacing w:line="360" w:lineRule="auto"/>
        <w:ind w:left="720" w:hanging="720"/>
      </w:pPr>
      <w:r w:rsidRPr="00977343">
        <w:rPr>
          <w:rFonts w:cs="Arial"/>
        </w:rPr>
        <w:t>Furnham, A. (2001). Vocational Preference and P-O Fit: Reflections on Holland’s Theory of Vocational Choice. </w:t>
      </w:r>
      <w:r w:rsidRPr="00977343">
        <w:rPr>
          <w:rFonts w:cs="Arial"/>
          <w:i/>
          <w:iCs/>
        </w:rPr>
        <w:t>Applied Psychology</w:t>
      </w:r>
      <w:r w:rsidRPr="00977343">
        <w:rPr>
          <w:rFonts w:cs="Arial"/>
        </w:rPr>
        <w:t>, </w:t>
      </w:r>
      <w:r w:rsidRPr="00977343">
        <w:rPr>
          <w:rFonts w:cs="Arial"/>
          <w:i/>
          <w:iCs/>
        </w:rPr>
        <w:t>50</w:t>
      </w:r>
      <w:r w:rsidRPr="00977343">
        <w:rPr>
          <w:rFonts w:cs="Arial"/>
        </w:rPr>
        <w:t xml:space="preserve">(1), 5–29. </w:t>
      </w:r>
      <w:hyperlink r:id="rId19" w:history="1">
        <w:r w:rsidRPr="001D105C">
          <w:rPr>
            <w:rStyle w:val="Hyperlink"/>
            <w:rFonts w:cs="Arial"/>
          </w:rPr>
          <w:t>https://doi.org/10.1111/1464-0597.00046</w:t>
        </w:r>
      </w:hyperlink>
    </w:p>
    <w:p w14:paraId="7626544A" w14:textId="77777777" w:rsidR="00E20E2D" w:rsidRDefault="00E20E2D" w:rsidP="00861781">
      <w:pPr>
        <w:spacing w:line="360" w:lineRule="auto"/>
        <w:ind w:left="720" w:hanging="720"/>
        <w:rPr>
          <w:rFonts w:cs="Arial"/>
        </w:rPr>
      </w:pPr>
    </w:p>
    <w:p w14:paraId="6218F168" w14:textId="77777777" w:rsidR="00E20E2D" w:rsidRDefault="00E20E2D" w:rsidP="00861781">
      <w:pPr>
        <w:spacing w:line="360" w:lineRule="auto"/>
        <w:ind w:left="720" w:hanging="720"/>
        <w:rPr>
          <w:rFonts w:cs="Arial"/>
        </w:rPr>
      </w:pPr>
      <w:r w:rsidRPr="00EF71EE">
        <w:rPr>
          <w:rFonts w:cs="Arial"/>
        </w:rPr>
        <w:t xml:space="preserve">Gagné, M., Parker, S. K., Griffin, M. A., Dunlop, P. D., Knight, C., </w:t>
      </w:r>
      <w:proofErr w:type="spellStart"/>
      <w:r w:rsidRPr="00EF71EE">
        <w:rPr>
          <w:rFonts w:cs="Arial"/>
        </w:rPr>
        <w:t>Klonek</w:t>
      </w:r>
      <w:proofErr w:type="spellEnd"/>
      <w:r w:rsidRPr="00EF71EE">
        <w:rPr>
          <w:rFonts w:cs="Arial"/>
        </w:rPr>
        <w:t>, F. E., &amp; Parent-Rocheleau, X. (2022). Understanding and shaping the future of work with self-determination theory. </w:t>
      </w:r>
      <w:r w:rsidRPr="00EF71EE">
        <w:rPr>
          <w:rFonts w:cs="Arial"/>
          <w:i/>
          <w:iCs/>
        </w:rPr>
        <w:t>Nature Reviews Psychology</w:t>
      </w:r>
      <w:r w:rsidRPr="00EF71EE">
        <w:rPr>
          <w:rFonts w:cs="Arial"/>
        </w:rPr>
        <w:t>, </w:t>
      </w:r>
      <w:r w:rsidRPr="00EF71EE">
        <w:rPr>
          <w:rFonts w:cs="Arial"/>
          <w:i/>
          <w:iCs/>
        </w:rPr>
        <w:t>1</w:t>
      </w:r>
      <w:r w:rsidRPr="00EF71EE">
        <w:rPr>
          <w:rFonts w:cs="Arial"/>
        </w:rPr>
        <w:t xml:space="preserve">(7), 378–392. </w:t>
      </w:r>
      <w:hyperlink r:id="rId20" w:history="1">
        <w:r w:rsidRPr="001D105C">
          <w:rPr>
            <w:rStyle w:val="Hyperlink"/>
            <w:rFonts w:cs="Arial"/>
          </w:rPr>
          <w:t>https://doi.org/10.1038/s44159-022-00056-w</w:t>
        </w:r>
      </w:hyperlink>
    </w:p>
    <w:p w14:paraId="0C37B908" w14:textId="77777777" w:rsidR="00977343" w:rsidRDefault="00977343" w:rsidP="00861781">
      <w:pPr>
        <w:spacing w:line="360" w:lineRule="auto"/>
        <w:ind w:left="720" w:hanging="720"/>
        <w:rPr>
          <w:rFonts w:cs="Arial"/>
        </w:rPr>
      </w:pPr>
    </w:p>
    <w:p w14:paraId="04CEF33C" w14:textId="05859CD5" w:rsidR="00977343" w:rsidRDefault="00E72DD1" w:rsidP="00861781">
      <w:pPr>
        <w:spacing w:line="360" w:lineRule="auto"/>
        <w:ind w:left="720" w:hanging="720"/>
        <w:rPr>
          <w:rFonts w:cs="Arial"/>
        </w:rPr>
      </w:pPr>
      <w:r w:rsidRPr="00E72DD1">
        <w:rPr>
          <w:rFonts w:cs="Arial"/>
        </w:rPr>
        <w:lastRenderedPageBreak/>
        <w:t>Hoff, K. A., Song, Q. C., Wee, C. J. M., Phan, W. M. J., &amp; Rounds, J. (2020). Interest fit and job satisfaction: A systematic review and meta-analysis. </w:t>
      </w:r>
      <w:r w:rsidRPr="00E72DD1">
        <w:rPr>
          <w:rFonts w:cs="Arial"/>
          <w:i/>
          <w:iCs/>
        </w:rPr>
        <w:t xml:space="preserve">Journal of Vocational </w:t>
      </w:r>
      <w:proofErr w:type="spellStart"/>
      <w:r w:rsidRPr="00E72DD1">
        <w:rPr>
          <w:rFonts w:cs="Arial"/>
          <w:i/>
          <w:iCs/>
        </w:rPr>
        <w:t>Behavior</w:t>
      </w:r>
      <w:proofErr w:type="spellEnd"/>
      <w:r w:rsidRPr="00E72DD1">
        <w:rPr>
          <w:rFonts w:cs="Arial"/>
        </w:rPr>
        <w:t>, </w:t>
      </w:r>
      <w:r w:rsidRPr="00E72DD1">
        <w:rPr>
          <w:rFonts w:cs="Arial"/>
          <w:i/>
          <w:iCs/>
        </w:rPr>
        <w:t>123</w:t>
      </w:r>
      <w:r w:rsidRPr="00E72DD1">
        <w:rPr>
          <w:rFonts w:cs="Arial"/>
        </w:rPr>
        <w:t xml:space="preserve">, Article 103503. </w:t>
      </w:r>
      <w:hyperlink r:id="rId21" w:history="1">
        <w:r w:rsidR="00036888" w:rsidRPr="001D105C">
          <w:rPr>
            <w:rStyle w:val="Hyperlink"/>
            <w:rFonts w:cs="Arial"/>
          </w:rPr>
          <w:t>https://doi.org/10.1016/j.jvb.2020.103503</w:t>
        </w:r>
      </w:hyperlink>
    </w:p>
    <w:p w14:paraId="350780E0" w14:textId="77777777" w:rsidR="00010FC9" w:rsidRDefault="00010FC9" w:rsidP="00861781">
      <w:pPr>
        <w:spacing w:line="360" w:lineRule="auto"/>
        <w:ind w:left="720" w:hanging="720"/>
        <w:rPr>
          <w:rFonts w:cs="Arial"/>
        </w:rPr>
      </w:pPr>
    </w:p>
    <w:p w14:paraId="0D7B441C" w14:textId="014E545F" w:rsidR="00036888" w:rsidRDefault="00BC622A" w:rsidP="00861781">
      <w:pPr>
        <w:spacing w:line="360" w:lineRule="auto"/>
        <w:ind w:left="720" w:hanging="720"/>
        <w:rPr>
          <w:rFonts w:cs="Arial"/>
        </w:rPr>
      </w:pPr>
      <w:r w:rsidRPr="00BC622A">
        <w:rPr>
          <w:rFonts w:cs="Arial"/>
        </w:rPr>
        <w:t>Holland, J. L. (1997). </w:t>
      </w:r>
      <w:r w:rsidRPr="00BC622A">
        <w:rPr>
          <w:rFonts w:cs="Arial"/>
          <w:i/>
          <w:iCs/>
        </w:rPr>
        <w:t>Making vocational choices: A theory of vocational personalities and work environments</w:t>
      </w:r>
      <w:r w:rsidRPr="00BC622A">
        <w:rPr>
          <w:rFonts w:cs="Arial"/>
        </w:rPr>
        <w:t>. Psychological Assessment Resources.</w:t>
      </w:r>
    </w:p>
    <w:p w14:paraId="2D31E5F2" w14:textId="77777777" w:rsidR="00352110" w:rsidRDefault="00352110" w:rsidP="00861781">
      <w:pPr>
        <w:spacing w:line="360" w:lineRule="auto"/>
        <w:ind w:left="720" w:hanging="720"/>
        <w:rPr>
          <w:rFonts w:cs="Arial"/>
        </w:rPr>
      </w:pPr>
    </w:p>
    <w:p w14:paraId="305B05F8" w14:textId="77777777" w:rsidR="00352110" w:rsidRDefault="00352110" w:rsidP="00861781">
      <w:pPr>
        <w:spacing w:line="360" w:lineRule="auto"/>
        <w:ind w:left="720" w:hanging="720"/>
        <w:rPr>
          <w:rFonts w:cs="Arial"/>
        </w:rPr>
      </w:pPr>
      <w:r w:rsidRPr="00A46B84">
        <w:rPr>
          <w:rFonts w:cs="Arial"/>
        </w:rPr>
        <w:t>Jiang, K., Lepak, D. P., Hu, J., &amp; Baer, J. C. (2012). How Does Human Resource Management Influence Organizational Outcomes? A Meta-analytic Investigation of Mediating Mechanisms. </w:t>
      </w:r>
      <w:r w:rsidRPr="00A46B84">
        <w:rPr>
          <w:rFonts w:cs="Arial"/>
          <w:i/>
          <w:iCs/>
        </w:rPr>
        <w:t>Academy of Management Journal</w:t>
      </w:r>
      <w:r w:rsidRPr="00A46B84">
        <w:rPr>
          <w:rFonts w:cs="Arial"/>
        </w:rPr>
        <w:t>, </w:t>
      </w:r>
      <w:r w:rsidRPr="00A46B84">
        <w:rPr>
          <w:rFonts w:cs="Arial"/>
          <w:i/>
          <w:iCs/>
        </w:rPr>
        <w:t>55</w:t>
      </w:r>
      <w:r w:rsidRPr="00A46B84">
        <w:rPr>
          <w:rFonts w:cs="Arial"/>
        </w:rPr>
        <w:t xml:space="preserve">(6), 1264–1294. </w:t>
      </w:r>
      <w:hyperlink r:id="rId22" w:history="1">
        <w:r w:rsidRPr="001D105C">
          <w:rPr>
            <w:rStyle w:val="Hyperlink"/>
            <w:rFonts w:cs="Arial"/>
          </w:rPr>
          <w:t>https://doi.org/10.5465/amj.2011.0088</w:t>
        </w:r>
      </w:hyperlink>
    </w:p>
    <w:p w14:paraId="12138085" w14:textId="77777777" w:rsidR="002D4C9E" w:rsidRDefault="002D4C9E" w:rsidP="00861781">
      <w:pPr>
        <w:spacing w:line="360" w:lineRule="auto"/>
        <w:ind w:left="720" w:hanging="720"/>
        <w:rPr>
          <w:rFonts w:cs="Arial"/>
        </w:rPr>
      </w:pPr>
    </w:p>
    <w:p w14:paraId="67D496B9" w14:textId="72139A8F" w:rsidR="002D4C9E" w:rsidRDefault="002D4C9E" w:rsidP="00861781">
      <w:pPr>
        <w:spacing w:line="360" w:lineRule="auto"/>
        <w:ind w:left="720" w:hanging="720"/>
        <w:rPr>
          <w:rFonts w:cs="Arial"/>
        </w:rPr>
      </w:pPr>
      <w:r w:rsidRPr="002D4C9E">
        <w:rPr>
          <w:rFonts w:cs="Arial"/>
        </w:rPr>
        <w:t>Jones, R. J., Woods, S. A., &amp; Guillaume, Y. R. F. (2016). The effectiveness of workplace coaching: A meta-analysis of learning and performance outcomes from coaching. </w:t>
      </w:r>
      <w:r w:rsidRPr="002D4C9E">
        <w:rPr>
          <w:rFonts w:cs="Arial"/>
          <w:i/>
          <w:iCs/>
        </w:rPr>
        <w:t>Journal of Occupational and Organizational Psychology</w:t>
      </w:r>
      <w:r w:rsidRPr="002D4C9E">
        <w:rPr>
          <w:rFonts w:cs="Arial"/>
        </w:rPr>
        <w:t>, </w:t>
      </w:r>
      <w:r w:rsidRPr="002D4C9E">
        <w:rPr>
          <w:rFonts w:cs="Arial"/>
          <w:i/>
          <w:iCs/>
        </w:rPr>
        <w:t>89</w:t>
      </w:r>
      <w:r w:rsidRPr="002D4C9E">
        <w:rPr>
          <w:rFonts w:cs="Arial"/>
        </w:rPr>
        <w:t xml:space="preserve">(2), 249–277. </w:t>
      </w:r>
      <w:hyperlink r:id="rId23" w:history="1">
        <w:r w:rsidRPr="001D105C">
          <w:rPr>
            <w:rStyle w:val="Hyperlink"/>
            <w:rFonts w:cs="Arial"/>
          </w:rPr>
          <w:t>https://doi.org/10.1111/joop.12119</w:t>
        </w:r>
      </w:hyperlink>
    </w:p>
    <w:p w14:paraId="5BFD9736" w14:textId="77777777" w:rsidR="002D4C9E" w:rsidRDefault="002D4C9E" w:rsidP="00861781">
      <w:pPr>
        <w:spacing w:line="360" w:lineRule="auto"/>
        <w:ind w:left="720" w:hanging="720"/>
        <w:rPr>
          <w:rFonts w:cs="Arial"/>
        </w:rPr>
      </w:pPr>
    </w:p>
    <w:p w14:paraId="7B965C52" w14:textId="70C43741" w:rsidR="00427D4D" w:rsidRDefault="00427D4D" w:rsidP="00861781">
      <w:pPr>
        <w:spacing w:line="360" w:lineRule="auto"/>
        <w:ind w:left="720" w:hanging="720"/>
      </w:pPr>
      <w:r w:rsidRPr="00427D4D">
        <w:rPr>
          <w:rFonts w:cs="Arial"/>
        </w:rPr>
        <w:t xml:space="preserve">Katz, I. M., Moughan, C. M., &amp; Rudolph, C. W. (2023). Feedback orientation: A meta-analysis. </w:t>
      </w:r>
      <w:r w:rsidRPr="00427D4D">
        <w:rPr>
          <w:rFonts w:cs="Arial"/>
          <w:i/>
          <w:iCs/>
        </w:rPr>
        <w:t>Human Resource Management Review</w:t>
      </w:r>
      <w:r w:rsidRPr="00427D4D">
        <w:rPr>
          <w:rFonts w:cs="Arial"/>
        </w:rPr>
        <w:t xml:space="preserve">, </w:t>
      </w:r>
      <w:r w:rsidRPr="00427D4D">
        <w:rPr>
          <w:rFonts w:cs="Arial"/>
          <w:i/>
          <w:iCs/>
        </w:rPr>
        <w:t>33</w:t>
      </w:r>
      <w:r w:rsidRPr="00427D4D">
        <w:rPr>
          <w:rFonts w:cs="Arial"/>
        </w:rPr>
        <w:t xml:space="preserve">(4), Article 100986. </w:t>
      </w:r>
      <w:hyperlink r:id="rId24" w:history="1">
        <w:r w:rsidRPr="001D105C">
          <w:rPr>
            <w:rStyle w:val="Hyperlink"/>
            <w:rFonts w:cs="Arial"/>
          </w:rPr>
          <w:t>https://doi.org/10.1016/j.hrmr.2023.100986</w:t>
        </w:r>
      </w:hyperlink>
    </w:p>
    <w:p w14:paraId="0593F8A0" w14:textId="77777777" w:rsidR="00E20E2D" w:rsidRDefault="00E20E2D" w:rsidP="00861781">
      <w:pPr>
        <w:spacing w:line="360" w:lineRule="auto"/>
        <w:ind w:left="720" w:hanging="720"/>
        <w:rPr>
          <w:rFonts w:cs="Arial"/>
        </w:rPr>
      </w:pPr>
    </w:p>
    <w:p w14:paraId="0FD79C53" w14:textId="77777777" w:rsidR="00E20E2D" w:rsidRDefault="00E20E2D" w:rsidP="00861781">
      <w:pPr>
        <w:spacing w:line="360" w:lineRule="auto"/>
        <w:ind w:left="720" w:hanging="720"/>
        <w:rPr>
          <w:rFonts w:cs="Arial"/>
        </w:rPr>
      </w:pPr>
      <w:r w:rsidRPr="00506EB1">
        <w:rPr>
          <w:rFonts w:cs="Arial"/>
        </w:rPr>
        <w:t>Kim, J., Chang, H., &amp; Bell, B. S. (2026). Organizational-Level Training and Performance: A Meta-Analytic Investigation. </w:t>
      </w:r>
      <w:r w:rsidRPr="00506EB1">
        <w:rPr>
          <w:rFonts w:cs="Arial"/>
          <w:i/>
          <w:iCs/>
        </w:rPr>
        <w:t>Journal of Management</w:t>
      </w:r>
      <w:r w:rsidRPr="00506EB1">
        <w:rPr>
          <w:rFonts w:cs="Arial"/>
        </w:rPr>
        <w:t>, </w:t>
      </w:r>
      <w:r w:rsidRPr="00506EB1">
        <w:rPr>
          <w:rFonts w:cs="Arial"/>
          <w:i/>
          <w:iCs/>
        </w:rPr>
        <w:t>52</w:t>
      </w:r>
      <w:r w:rsidRPr="00506EB1">
        <w:rPr>
          <w:rFonts w:cs="Arial"/>
        </w:rPr>
        <w:t xml:space="preserve">(5), 1772–1809. </w:t>
      </w:r>
      <w:hyperlink r:id="rId25" w:history="1">
        <w:r w:rsidRPr="001D105C">
          <w:rPr>
            <w:rStyle w:val="Hyperlink"/>
            <w:rFonts w:cs="Arial"/>
          </w:rPr>
          <w:t>https://doi.org/10.1177/01492063251327588</w:t>
        </w:r>
      </w:hyperlink>
    </w:p>
    <w:p w14:paraId="0B629838" w14:textId="77777777" w:rsidR="00010FC9" w:rsidRDefault="00010FC9" w:rsidP="00861781">
      <w:pPr>
        <w:spacing w:line="360" w:lineRule="auto"/>
        <w:ind w:left="720" w:hanging="720"/>
        <w:rPr>
          <w:rFonts w:cs="Arial"/>
        </w:rPr>
      </w:pPr>
    </w:p>
    <w:p w14:paraId="71B4F39D" w14:textId="7BE7EC56" w:rsidR="00427D4D" w:rsidRDefault="003C132F" w:rsidP="00861781">
      <w:pPr>
        <w:spacing w:line="360" w:lineRule="auto"/>
        <w:ind w:left="720" w:hanging="720"/>
        <w:rPr>
          <w:rFonts w:cs="Arial"/>
        </w:rPr>
      </w:pPr>
      <w:r w:rsidRPr="003C132F">
        <w:rPr>
          <w:rFonts w:cs="Arial"/>
        </w:rPr>
        <w:t>Kirkpatrick, J. D., &amp; Kirkpatrick, W. K. (2016). </w:t>
      </w:r>
      <w:r w:rsidRPr="003C132F">
        <w:rPr>
          <w:rFonts w:cs="Arial"/>
          <w:i/>
          <w:iCs/>
        </w:rPr>
        <w:t>Kirkpatrick's four levels of training evaluation</w:t>
      </w:r>
      <w:r w:rsidRPr="003C132F">
        <w:rPr>
          <w:rFonts w:cs="Arial"/>
        </w:rPr>
        <w:t>. Association for Talent Development.</w:t>
      </w:r>
    </w:p>
    <w:p w14:paraId="31192354" w14:textId="77777777" w:rsidR="00010FC9" w:rsidRDefault="00010FC9" w:rsidP="00861781">
      <w:pPr>
        <w:spacing w:line="360" w:lineRule="auto"/>
        <w:ind w:left="720" w:hanging="720"/>
        <w:rPr>
          <w:rFonts w:cs="Arial"/>
        </w:rPr>
      </w:pPr>
    </w:p>
    <w:p w14:paraId="6339F487" w14:textId="36DC00D8" w:rsidR="002D4C9E" w:rsidRDefault="00B13005" w:rsidP="00861781">
      <w:pPr>
        <w:spacing w:line="360" w:lineRule="auto"/>
        <w:ind w:left="720" w:hanging="720"/>
        <w:rPr>
          <w:rFonts w:cs="Arial"/>
        </w:rPr>
      </w:pPr>
      <w:r w:rsidRPr="00B13005">
        <w:rPr>
          <w:rFonts w:cs="Arial"/>
        </w:rPr>
        <w:lastRenderedPageBreak/>
        <w:t>Lacerenza, C. N., Reyes, D. L., Marlow, S. L., Joseph, D. L., &amp; Salas, E. (2017). Leadership Training Design, Delivery, and Implementation: A Meta-Analysis. </w:t>
      </w:r>
      <w:r w:rsidRPr="00B13005">
        <w:rPr>
          <w:rFonts w:cs="Arial"/>
          <w:i/>
          <w:iCs/>
        </w:rPr>
        <w:t>Journal of Applied Psychology</w:t>
      </w:r>
      <w:r w:rsidRPr="00B13005">
        <w:rPr>
          <w:rFonts w:cs="Arial"/>
        </w:rPr>
        <w:t>, </w:t>
      </w:r>
      <w:r w:rsidRPr="00B13005">
        <w:rPr>
          <w:rFonts w:cs="Arial"/>
          <w:i/>
          <w:iCs/>
        </w:rPr>
        <w:t>102</w:t>
      </w:r>
      <w:r w:rsidRPr="00B13005">
        <w:rPr>
          <w:rFonts w:cs="Arial"/>
        </w:rPr>
        <w:t xml:space="preserve">(12), 1686–1718. </w:t>
      </w:r>
      <w:hyperlink r:id="rId26" w:history="1">
        <w:r w:rsidRPr="001D105C">
          <w:rPr>
            <w:rStyle w:val="Hyperlink"/>
            <w:rFonts w:cs="Arial"/>
          </w:rPr>
          <w:t>https://doi.org/10.1037/apl0000241</w:t>
        </w:r>
      </w:hyperlink>
    </w:p>
    <w:p w14:paraId="197AFA70" w14:textId="77777777" w:rsidR="00B13005" w:rsidRDefault="00B13005" w:rsidP="00861781">
      <w:pPr>
        <w:spacing w:line="360" w:lineRule="auto"/>
        <w:ind w:left="720" w:hanging="720"/>
        <w:rPr>
          <w:rFonts w:cs="Arial"/>
        </w:rPr>
      </w:pPr>
    </w:p>
    <w:p w14:paraId="266024BD" w14:textId="2940E46D" w:rsidR="00421888" w:rsidRDefault="00E906DA" w:rsidP="00861781">
      <w:pPr>
        <w:spacing w:line="360" w:lineRule="auto"/>
        <w:ind w:left="720" w:hanging="720"/>
        <w:rPr>
          <w:rFonts w:cs="Arial"/>
        </w:rPr>
      </w:pPr>
      <w:r w:rsidRPr="00E906DA">
        <w:rPr>
          <w:rFonts w:cs="Arial"/>
        </w:rPr>
        <w:t>Locke, E. A., &amp; Latham, G. P. (2002). Building a practically useful theory of goal setting and task motivation: A 35-year odyssey. </w:t>
      </w:r>
      <w:r w:rsidRPr="00E906DA">
        <w:rPr>
          <w:rFonts w:cs="Arial"/>
          <w:i/>
          <w:iCs/>
        </w:rPr>
        <w:t>The American Psychologist</w:t>
      </w:r>
      <w:r w:rsidRPr="00E906DA">
        <w:rPr>
          <w:rFonts w:cs="Arial"/>
        </w:rPr>
        <w:t>, </w:t>
      </w:r>
      <w:r w:rsidRPr="00E906DA">
        <w:rPr>
          <w:rFonts w:cs="Arial"/>
          <w:i/>
          <w:iCs/>
        </w:rPr>
        <w:t>57</w:t>
      </w:r>
      <w:r w:rsidRPr="00E906DA">
        <w:rPr>
          <w:rFonts w:cs="Arial"/>
        </w:rPr>
        <w:t xml:space="preserve">(9), 705–717. </w:t>
      </w:r>
      <w:hyperlink r:id="rId27" w:history="1">
        <w:r w:rsidRPr="001D105C">
          <w:rPr>
            <w:rStyle w:val="Hyperlink"/>
            <w:rFonts w:cs="Arial"/>
          </w:rPr>
          <w:t>https://doi.org/10.1037/0003-066X.57.9.705</w:t>
        </w:r>
      </w:hyperlink>
    </w:p>
    <w:p w14:paraId="18ACDB21" w14:textId="77777777" w:rsidR="00E72DD1" w:rsidRDefault="00E72DD1" w:rsidP="00861781">
      <w:pPr>
        <w:spacing w:line="360" w:lineRule="auto"/>
        <w:ind w:left="720" w:hanging="720"/>
        <w:rPr>
          <w:rFonts w:cs="Arial"/>
        </w:rPr>
      </w:pPr>
    </w:p>
    <w:p w14:paraId="33EB53CA" w14:textId="5C3CD5BD" w:rsidR="00D819CA" w:rsidRDefault="00AD10A6" w:rsidP="00861781">
      <w:pPr>
        <w:spacing w:line="360" w:lineRule="auto"/>
        <w:ind w:left="720" w:hanging="720"/>
        <w:rPr>
          <w:rFonts w:cs="Arial"/>
          <w:lang w:val="en-US"/>
        </w:rPr>
      </w:pPr>
      <w:r>
        <w:rPr>
          <w:rFonts w:cs="Arial"/>
          <w:lang w:val="en-US"/>
        </w:rPr>
        <w:t>Brassey, J., Christensen, L.</w:t>
      </w:r>
      <w:r w:rsidR="005B42A0">
        <w:rPr>
          <w:rFonts w:cs="Arial"/>
          <w:lang w:val="en-US"/>
        </w:rPr>
        <w:t>, &amp; van Dam, N</w:t>
      </w:r>
      <w:r w:rsidR="00D819CA" w:rsidRPr="00D819CA">
        <w:rPr>
          <w:rFonts w:cs="Arial"/>
          <w:lang w:val="en-US"/>
        </w:rPr>
        <w:t xml:space="preserve">. (2019, February 13). </w:t>
      </w:r>
      <w:r w:rsidR="00D819CA" w:rsidRPr="00DD0493">
        <w:rPr>
          <w:rFonts w:cs="Arial"/>
          <w:i/>
          <w:iCs/>
          <w:lang w:val="en-US"/>
        </w:rPr>
        <w:t>The essential components of a successful L&amp;D strategy.</w:t>
      </w:r>
      <w:r w:rsidR="00683B40" w:rsidRPr="00683B40">
        <w:rPr>
          <w:rFonts w:cs="Arial"/>
          <w:lang w:val="en-US"/>
        </w:rPr>
        <w:t xml:space="preserve"> </w:t>
      </w:r>
      <w:r w:rsidR="00683B40" w:rsidRPr="00D819CA">
        <w:rPr>
          <w:rFonts w:cs="Arial"/>
          <w:lang w:val="en-US"/>
        </w:rPr>
        <w:t>McKinsey &amp; Company</w:t>
      </w:r>
      <w:r w:rsidR="00D819CA" w:rsidRPr="00D819CA">
        <w:rPr>
          <w:rFonts w:cs="Arial"/>
          <w:lang w:val="en-US"/>
        </w:rPr>
        <w:t xml:space="preserve"> </w:t>
      </w:r>
      <w:hyperlink r:id="rId28" w:history="1">
        <w:r w:rsidR="00D819CA" w:rsidRPr="001D105C">
          <w:rPr>
            <w:rStyle w:val="Hyperlink"/>
            <w:rFonts w:cs="Arial"/>
            <w:lang w:val="en-US"/>
          </w:rPr>
          <w:t>https://www.mckinsey.com/capabilities/people-and-organization/our-insights/the-essential-components-of-a-successful-l-and-d-strategy</w:t>
        </w:r>
      </w:hyperlink>
    </w:p>
    <w:p w14:paraId="03C49EC8" w14:textId="77777777" w:rsidR="000856D3" w:rsidRDefault="000856D3" w:rsidP="00861781">
      <w:pPr>
        <w:spacing w:line="360" w:lineRule="auto"/>
        <w:ind w:left="720" w:hanging="720"/>
        <w:rPr>
          <w:rFonts w:cs="Arial"/>
          <w:lang w:val="en-US"/>
        </w:rPr>
      </w:pPr>
    </w:p>
    <w:p w14:paraId="450A1E6C" w14:textId="715BBEB3" w:rsidR="00D819CA" w:rsidRDefault="0027790A" w:rsidP="00861781">
      <w:pPr>
        <w:spacing w:line="360" w:lineRule="auto"/>
        <w:ind w:left="720" w:hanging="720"/>
        <w:rPr>
          <w:rFonts w:cs="Arial"/>
        </w:rPr>
      </w:pPr>
      <w:r w:rsidRPr="0027790A">
        <w:rPr>
          <w:rFonts w:cs="Arial"/>
        </w:rPr>
        <w:t>Miller, G. E. (1990). The assessment of clinical skills/competence/performance. </w:t>
      </w:r>
      <w:r w:rsidRPr="0027790A">
        <w:rPr>
          <w:rFonts w:cs="Arial"/>
          <w:i/>
          <w:iCs/>
        </w:rPr>
        <w:t>Academic medicine</w:t>
      </w:r>
      <w:r w:rsidRPr="0027790A">
        <w:rPr>
          <w:rFonts w:cs="Arial"/>
        </w:rPr>
        <w:t>, </w:t>
      </w:r>
      <w:r w:rsidRPr="0027790A">
        <w:rPr>
          <w:rFonts w:cs="Arial"/>
          <w:i/>
          <w:iCs/>
        </w:rPr>
        <w:t>65</w:t>
      </w:r>
      <w:r w:rsidRPr="0027790A">
        <w:rPr>
          <w:rFonts w:cs="Arial"/>
        </w:rPr>
        <w:t>(9), S63-7.</w:t>
      </w:r>
      <w:r w:rsidR="006A2601">
        <w:rPr>
          <w:rFonts w:cs="Arial"/>
        </w:rPr>
        <w:t xml:space="preserve"> </w:t>
      </w:r>
      <w:hyperlink r:id="rId29" w:history="1">
        <w:r w:rsidR="006A2601" w:rsidRPr="006A2601">
          <w:rPr>
            <w:rStyle w:val="Hyperlink"/>
            <w:rFonts w:cs="Arial"/>
          </w:rPr>
          <w:t>https://doi.org/10.1097/00001888-199009000-00045</w:t>
        </w:r>
      </w:hyperlink>
    </w:p>
    <w:p w14:paraId="231907AF" w14:textId="77777777" w:rsidR="000856D3" w:rsidRDefault="000856D3" w:rsidP="00861781">
      <w:pPr>
        <w:spacing w:line="360" w:lineRule="auto"/>
        <w:ind w:left="720" w:hanging="720"/>
        <w:rPr>
          <w:rFonts w:cs="Arial"/>
          <w:lang w:val="en-US"/>
        </w:rPr>
      </w:pPr>
    </w:p>
    <w:p w14:paraId="5CDA12B2" w14:textId="07CAE290" w:rsidR="00F16E86" w:rsidRDefault="00F16E86" w:rsidP="00861781">
      <w:pPr>
        <w:spacing w:line="360" w:lineRule="auto"/>
        <w:ind w:left="720" w:hanging="720"/>
        <w:rPr>
          <w:rFonts w:cs="Arial"/>
        </w:rPr>
      </w:pPr>
      <w:r w:rsidRPr="00F16E86">
        <w:rPr>
          <w:rFonts w:cs="Arial"/>
        </w:rPr>
        <w:t xml:space="preserve">Nye, C. D., Su, R., Rounds, J., &amp; </w:t>
      </w:r>
      <w:proofErr w:type="spellStart"/>
      <w:r w:rsidRPr="00F16E86">
        <w:rPr>
          <w:rFonts w:cs="Arial"/>
        </w:rPr>
        <w:t>Drasgow</w:t>
      </w:r>
      <w:proofErr w:type="spellEnd"/>
      <w:r w:rsidRPr="00F16E86">
        <w:rPr>
          <w:rFonts w:cs="Arial"/>
        </w:rPr>
        <w:t>, F. (2012). Vocational Interests and Performance: A Quantitative Summary of Over 60 Years of Research. </w:t>
      </w:r>
      <w:r w:rsidRPr="00F16E86">
        <w:rPr>
          <w:rFonts w:cs="Arial"/>
          <w:i/>
          <w:iCs/>
        </w:rPr>
        <w:t>Perspectives on Psychological Science</w:t>
      </w:r>
      <w:r w:rsidRPr="00F16E86">
        <w:rPr>
          <w:rFonts w:cs="Arial"/>
        </w:rPr>
        <w:t>, </w:t>
      </w:r>
      <w:r w:rsidRPr="00F16E86">
        <w:rPr>
          <w:rFonts w:cs="Arial"/>
          <w:i/>
          <w:iCs/>
        </w:rPr>
        <w:t>7</w:t>
      </w:r>
      <w:r w:rsidRPr="00F16E86">
        <w:rPr>
          <w:rFonts w:cs="Arial"/>
        </w:rPr>
        <w:t xml:space="preserve">(4), 384–403. </w:t>
      </w:r>
      <w:hyperlink r:id="rId30" w:history="1">
        <w:r w:rsidRPr="001D105C">
          <w:rPr>
            <w:rStyle w:val="Hyperlink"/>
            <w:rFonts w:cs="Arial"/>
          </w:rPr>
          <w:t>https://doi.org/10.1177/1745691612449021</w:t>
        </w:r>
      </w:hyperlink>
    </w:p>
    <w:p w14:paraId="5DB6E98D" w14:textId="77777777" w:rsidR="00F16E86" w:rsidRDefault="00F16E86" w:rsidP="00861781">
      <w:pPr>
        <w:spacing w:line="360" w:lineRule="auto"/>
        <w:ind w:left="720" w:hanging="720"/>
        <w:rPr>
          <w:rFonts w:cs="Arial"/>
        </w:rPr>
      </w:pPr>
    </w:p>
    <w:p w14:paraId="7889C387" w14:textId="7E34BD91" w:rsidR="00AE2EEE" w:rsidRDefault="00AE2EEE" w:rsidP="00861781">
      <w:pPr>
        <w:spacing w:line="360" w:lineRule="auto"/>
        <w:ind w:left="720" w:hanging="720"/>
        <w:rPr>
          <w:rFonts w:cs="Arial"/>
        </w:rPr>
      </w:pPr>
      <w:proofErr w:type="spellStart"/>
      <w:r w:rsidRPr="00AE2EEE">
        <w:rPr>
          <w:rFonts w:cs="Arial"/>
        </w:rPr>
        <w:t>Pashler</w:t>
      </w:r>
      <w:proofErr w:type="spellEnd"/>
      <w:r w:rsidRPr="00AE2EEE">
        <w:rPr>
          <w:rFonts w:cs="Arial"/>
        </w:rPr>
        <w:t>, H., McDaniel, M., Rohrer, D., &amp; Bjork, R. (2008). Learning Styles: Concepts and Evidence. </w:t>
      </w:r>
      <w:r w:rsidRPr="00AE2EEE">
        <w:rPr>
          <w:rFonts w:cs="Arial"/>
          <w:i/>
          <w:iCs/>
        </w:rPr>
        <w:t>Psychological Science in the Public Interest</w:t>
      </w:r>
      <w:r w:rsidRPr="00AE2EEE">
        <w:rPr>
          <w:rFonts w:cs="Arial"/>
        </w:rPr>
        <w:t>, </w:t>
      </w:r>
      <w:r w:rsidRPr="00AE2EEE">
        <w:rPr>
          <w:rFonts w:cs="Arial"/>
          <w:i/>
          <w:iCs/>
        </w:rPr>
        <w:t>9</w:t>
      </w:r>
      <w:r w:rsidRPr="00AE2EEE">
        <w:rPr>
          <w:rFonts w:cs="Arial"/>
        </w:rPr>
        <w:t xml:space="preserve">(3), 105–119. </w:t>
      </w:r>
      <w:hyperlink r:id="rId31" w:history="1">
        <w:r w:rsidRPr="001D105C">
          <w:rPr>
            <w:rStyle w:val="Hyperlink"/>
            <w:rFonts w:cs="Arial"/>
          </w:rPr>
          <w:t>https://doi.org/10.1111/j.1539-6053.2009.01038.x</w:t>
        </w:r>
      </w:hyperlink>
    </w:p>
    <w:p w14:paraId="416BBEDA" w14:textId="77777777" w:rsidR="00AE2EEE" w:rsidRDefault="00AE2EEE" w:rsidP="00861781">
      <w:pPr>
        <w:spacing w:line="360" w:lineRule="auto"/>
        <w:ind w:left="720" w:hanging="720"/>
        <w:rPr>
          <w:rFonts w:cs="Arial"/>
        </w:rPr>
      </w:pPr>
    </w:p>
    <w:p w14:paraId="006C2CF3" w14:textId="0B8296D9" w:rsidR="00E66A4E" w:rsidRDefault="00E66A4E" w:rsidP="00861781">
      <w:pPr>
        <w:spacing w:line="360" w:lineRule="auto"/>
        <w:ind w:left="720" w:hanging="720"/>
        <w:rPr>
          <w:rFonts w:cs="Arial"/>
        </w:rPr>
      </w:pPr>
      <w:r w:rsidRPr="00E66A4E">
        <w:rPr>
          <w:rFonts w:cs="Arial"/>
        </w:rPr>
        <w:lastRenderedPageBreak/>
        <w:t xml:space="preserve">Reio, T. G., Rocco, T. S., Smith, D. H., &amp; Chang, E. (2017). A Critique of Kirkpatrick’s Evaluation Model. </w:t>
      </w:r>
      <w:r w:rsidRPr="00E66A4E">
        <w:rPr>
          <w:rFonts w:cs="Arial"/>
          <w:i/>
          <w:iCs/>
        </w:rPr>
        <w:t>New Horizons in Adult Education &amp; Human Resource Development</w:t>
      </w:r>
      <w:r w:rsidRPr="00E66A4E">
        <w:rPr>
          <w:rFonts w:cs="Arial"/>
        </w:rPr>
        <w:t xml:space="preserve">, </w:t>
      </w:r>
      <w:r w:rsidRPr="00E66A4E">
        <w:rPr>
          <w:rFonts w:cs="Arial"/>
          <w:i/>
          <w:iCs/>
        </w:rPr>
        <w:t>29</w:t>
      </w:r>
      <w:r w:rsidRPr="00E66A4E">
        <w:rPr>
          <w:rFonts w:cs="Arial"/>
        </w:rPr>
        <w:t xml:space="preserve">(2), 35–53. </w:t>
      </w:r>
      <w:hyperlink r:id="rId32" w:history="1">
        <w:r w:rsidRPr="001D105C">
          <w:rPr>
            <w:rStyle w:val="Hyperlink"/>
            <w:rFonts w:cs="Arial"/>
          </w:rPr>
          <w:t>https://doi.org/10.1002/nha3.20178</w:t>
        </w:r>
      </w:hyperlink>
    </w:p>
    <w:p w14:paraId="3B2EACF4" w14:textId="77777777" w:rsidR="00E66A4E" w:rsidRDefault="00E66A4E" w:rsidP="00861781">
      <w:pPr>
        <w:spacing w:line="360" w:lineRule="auto"/>
        <w:ind w:left="720" w:hanging="720"/>
        <w:rPr>
          <w:rFonts w:cs="Arial"/>
        </w:rPr>
      </w:pPr>
    </w:p>
    <w:p w14:paraId="0AAA32D9" w14:textId="59A88CDD" w:rsidR="006918D7" w:rsidRDefault="006918D7" w:rsidP="00861781">
      <w:pPr>
        <w:spacing w:line="360" w:lineRule="auto"/>
        <w:ind w:left="720" w:hanging="720"/>
        <w:rPr>
          <w:rFonts w:cs="Arial"/>
        </w:rPr>
      </w:pPr>
      <w:r w:rsidRPr="006918D7">
        <w:rPr>
          <w:rFonts w:cs="Arial"/>
        </w:rPr>
        <w:t xml:space="preserve">Salas, E., Tannenbaum, S. I., </w:t>
      </w:r>
      <w:proofErr w:type="spellStart"/>
      <w:r w:rsidRPr="006918D7">
        <w:rPr>
          <w:rFonts w:cs="Arial"/>
        </w:rPr>
        <w:t>Kraiger</w:t>
      </w:r>
      <w:proofErr w:type="spellEnd"/>
      <w:r w:rsidRPr="006918D7">
        <w:rPr>
          <w:rFonts w:cs="Arial"/>
        </w:rPr>
        <w:t>, K., &amp; Smith-Jentsch, K. A. (2012). The Science of Training and Development in Organizations: What Matters in Practice. </w:t>
      </w:r>
      <w:r w:rsidRPr="006918D7">
        <w:rPr>
          <w:rFonts w:cs="Arial"/>
          <w:i/>
          <w:iCs/>
        </w:rPr>
        <w:t>Psychological Science in the Public Interest</w:t>
      </w:r>
      <w:r w:rsidRPr="006918D7">
        <w:rPr>
          <w:rFonts w:cs="Arial"/>
        </w:rPr>
        <w:t>, </w:t>
      </w:r>
      <w:r w:rsidRPr="006918D7">
        <w:rPr>
          <w:rFonts w:cs="Arial"/>
          <w:i/>
          <w:iCs/>
        </w:rPr>
        <w:t>13</w:t>
      </w:r>
      <w:r w:rsidRPr="006918D7">
        <w:rPr>
          <w:rFonts w:cs="Arial"/>
        </w:rPr>
        <w:t xml:space="preserve">(2), 74–101. </w:t>
      </w:r>
      <w:hyperlink r:id="rId33" w:history="1">
        <w:r w:rsidRPr="001D105C">
          <w:rPr>
            <w:rStyle w:val="Hyperlink"/>
            <w:rFonts w:cs="Arial"/>
          </w:rPr>
          <w:t>https://doi.org/10.1177/1529100612436661</w:t>
        </w:r>
      </w:hyperlink>
    </w:p>
    <w:p w14:paraId="3B7EC776" w14:textId="77777777" w:rsidR="00AE2EEE" w:rsidRDefault="00AE2EEE" w:rsidP="00861781">
      <w:pPr>
        <w:spacing w:line="360" w:lineRule="auto"/>
        <w:ind w:left="720" w:hanging="720"/>
        <w:rPr>
          <w:rFonts w:cs="Arial"/>
        </w:rPr>
      </w:pPr>
    </w:p>
    <w:p w14:paraId="18487DD8" w14:textId="2E12833D" w:rsidR="004D78A2" w:rsidRDefault="004D78A2" w:rsidP="00861781">
      <w:pPr>
        <w:spacing w:line="360" w:lineRule="auto"/>
        <w:ind w:left="720" w:hanging="720"/>
        <w:rPr>
          <w:rFonts w:cs="Arial"/>
        </w:rPr>
      </w:pPr>
      <w:r w:rsidRPr="004D78A2">
        <w:rPr>
          <w:rFonts w:cs="Arial"/>
        </w:rPr>
        <w:t>Schein, E. H., Van Maanen, J., &amp; Schein, P. A. (2023). </w:t>
      </w:r>
      <w:r w:rsidRPr="004D78A2">
        <w:rPr>
          <w:rFonts w:cs="Arial"/>
          <w:i/>
          <w:iCs/>
        </w:rPr>
        <w:t>Career anchors reimagined: Finding direction and opportunity in the changing world of work</w:t>
      </w:r>
      <w:r w:rsidRPr="004D78A2">
        <w:rPr>
          <w:rFonts w:cs="Arial"/>
        </w:rPr>
        <w:t>. John Wiley &amp; Sons.</w:t>
      </w:r>
    </w:p>
    <w:p w14:paraId="2FCAB3DB" w14:textId="77777777" w:rsidR="00667B8E" w:rsidRDefault="00667B8E" w:rsidP="00861781">
      <w:pPr>
        <w:spacing w:line="360" w:lineRule="auto"/>
        <w:ind w:left="720" w:hanging="720"/>
        <w:rPr>
          <w:rFonts w:cs="Arial"/>
        </w:rPr>
      </w:pPr>
    </w:p>
    <w:p w14:paraId="3047A73B" w14:textId="4756B785" w:rsidR="00667B8E" w:rsidRDefault="00667B8E" w:rsidP="00861781">
      <w:pPr>
        <w:spacing w:line="360" w:lineRule="auto"/>
        <w:ind w:left="720" w:hanging="720"/>
        <w:rPr>
          <w:rFonts w:cs="Arial"/>
        </w:rPr>
      </w:pPr>
      <w:r w:rsidRPr="00667B8E">
        <w:rPr>
          <w:rFonts w:cs="Arial"/>
        </w:rPr>
        <w:t xml:space="preserve">Shukla, A., Dash, S., &amp; Kumar, A. (2024). </w:t>
      </w:r>
      <w:r w:rsidRPr="00E13B94">
        <w:rPr>
          <w:rFonts w:cs="Arial"/>
        </w:rPr>
        <w:t>Factors affecting transfer of online training: A systematic literature review and proposed taxonomy.</w:t>
      </w:r>
      <w:r w:rsidRPr="00667B8E">
        <w:rPr>
          <w:rFonts w:cs="Arial"/>
        </w:rPr>
        <w:t> </w:t>
      </w:r>
      <w:r w:rsidRPr="00667B8E">
        <w:rPr>
          <w:rFonts w:cs="Arial"/>
          <w:i/>
          <w:iCs/>
        </w:rPr>
        <w:t>Human Resource Development Quarterly</w:t>
      </w:r>
      <w:r w:rsidRPr="00667B8E">
        <w:rPr>
          <w:rFonts w:cs="Arial"/>
        </w:rPr>
        <w:t>, </w:t>
      </w:r>
      <w:r w:rsidRPr="00667B8E">
        <w:rPr>
          <w:rFonts w:cs="Arial"/>
          <w:i/>
          <w:iCs/>
        </w:rPr>
        <w:t>35</w:t>
      </w:r>
      <w:r w:rsidRPr="00667B8E">
        <w:rPr>
          <w:rFonts w:cs="Arial"/>
        </w:rPr>
        <w:t xml:space="preserve">(3), 363–390. </w:t>
      </w:r>
      <w:hyperlink r:id="rId34" w:history="1">
        <w:r w:rsidRPr="001D105C">
          <w:rPr>
            <w:rStyle w:val="Hyperlink"/>
            <w:rFonts w:cs="Arial"/>
          </w:rPr>
          <w:t>https://doi.org/10.1002/hrdq.21518</w:t>
        </w:r>
      </w:hyperlink>
    </w:p>
    <w:p w14:paraId="6866D552" w14:textId="77777777" w:rsidR="00667B8E" w:rsidRPr="00667B8E" w:rsidRDefault="00667B8E" w:rsidP="00861781">
      <w:pPr>
        <w:spacing w:line="360" w:lineRule="auto"/>
        <w:ind w:firstLine="720"/>
        <w:jc w:val="both"/>
        <w:rPr>
          <w:rFonts w:cs="Arial"/>
        </w:rPr>
      </w:pPr>
    </w:p>
    <w:p w14:paraId="26EBA4E7" w14:textId="77777777" w:rsidR="004D78A2" w:rsidRDefault="004D78A2" w:rsidP="00861781">
      <w:pPr>
        <w:spacing w:line="360" w:lineRule="auto"/>
        <w:ind w:firstLine="720"/>
        <w:jc w:val="both"/>
        <w:rPr>
          <w:rFonts w:cs="Arial"/>
          <w:lang w:val="en-US"/>
        </w:rPr>
      </w:pPr>
    </w:p>
    <w:p w14:paraId="024D8639" w14:textId="77777777" w:rsidR="009D048D" w:rsidRDefault="009D048D" w:rsidP="00861781">
      <w:pPr>
        <w:spacing w:line="360" w:lineRule="auto"/>
        <w:ind w:firstLine="720"/>
        <w:jc w:val="both"/>
        <w:rPr>
          <w:rFonts w:cs="Arial"/>
          <w:lang w:val="en-US"/>
        </w:rPr>
      </w:pPr>
    </w:p>
    <w:p w14:paraId="7F6BC5E9" w14:textId="77777777" w:rsidR="009D048D" w:rsidRDefault="009D048D" w:rsidP="00861781">
      <w:pPr>
        <w:spacing w:line="360" w:lineRule="auto"/>
        <w:ind w:firstLine="720"/>
        <w:jc w:val="both"/>
        <w:rPr>
          <w:rFonts w:cs="Arial"/>
          <w:lang w:val="en-US"/>
        </w:rPr>
      </w:pPr>
    </w:p>
    <w:p w14:paraId="751DE82F" w14:textId="77777777" w:rsidR="009D048D" w:rsidRDefault="009D048D" w:rsidP="00861781">
      <w:pPr>
        <w:spacing w:line="360" w:lineRule="auto"/>
        <w:ind w:firstLine="720"/>
        <w:jc w:val="both"/>
        <w:rPr>
          <w:rFonts w:cs="Arial"/>
          <w:lang w:val="en-US"/>
        </w:rPr>
      </w:pPr>
    </w:p>
    <w:p w14:paraId="6227CF4F" w14:textId="77777777" w:rsidR="009D048D" w:rsidRDefault="009D048D" w:rsidP="00861781">
      <w:pPr>
        <w:spacing w:line="360" w:lineRule="auto"/>
        <w:ind w:firstLine="720"/>
        <w:jc w:val="both"/>
        <w:rPr>
          <w:rFonts w:cs="Arial"/>
          <w:lang w:val="en-US"/>
        </w:rPr>
      </w:pPr>
    </w:p>
    <w:p w14:paraId="320999BA" w14:textId="77777777" w:rsidR="009D048D" w:rsidRDefault="009D048D" w:rsidP="00861781">
      <w:pPr>
        <w:spacing w:line="360" w:lineRule="auto"/>
        <w:ind w:firstLine="720"/>
        <w:jc w:val="both"/>
        <w:rPr>
          <w:rFonts w:cs="Arial"/>
          <w:lang w:val="en-US"/>
        </w:rPr>
      </w:pPr>
    </w:p>
    <w:p w14:paraId="7B0AB3AA" w14:textId="77777777" w:rsidR="009D048D" w:rsidRDefault="009D048D" w:rsidP="00861781">
      <w:pPr>
        <w:spacing w:line="360" w:lineRule="auto"/>
        <w:jc w:val="both"/>
        <w:rPr>
          <w:rFonts w:cs="Arial"/>
          <w:lang w:val="en-US"/>
        </w:rPr>
      </w:pPr>
    </w:p>
    <w:p w14:paraId="2570601B" w14:textId="77777777" w:rsidR="009D048D" w:rsidRDefault="009D048D" w:rsidP="00861781">
      <w:pPr>
        <w:spacing w:line="360" w:lineRule="auto"/>
        <w:ind w:firstLine="720"/>
        <w:jc w:val="both"/>
        <w:rPr>
          <w:rFonts w:cs="Arial"/>
          <w:lang w:val="en-US"/>
        </w:rPr>
      </w:pPr>
    </w:p>
    <w:p w14:paraId="698249F2" w14:textId="77777777" w:rsidR="009D048D" w:rsidRDefault="009D048D" w:rsidP="00861781">
      <w:pPr>
        <w:spacing w:line="360" w:lineRule="auto"/>
        <w:jc w:val="both"/>
        <w:rPr>
          <w:rFonts w:cs="Arial"/>
          <w:lang w:val="en-US"/>
        </w:rPr>
      </w:pPr>
    </w:p>
    <w:p w14:paraId="3C7851AD" w14:textId="20E27195" w:rsidR="00662E0F" w:rsidRDefault="00662E0F" w:rsidP="00861781">
      <w:pPr>
        <w:spacing w:line="360" w:lineRule="auto"/>
        <w:rPr>
          <w:rFonts w:cs="Arial"/>
          <w:lang w:val="en-US"/>
        </w:rPr>
      </w:pPr>
      <w:r>
        <w:rPr>
          <w:rFonts w:cs="Arial"/>
          <w:lang w:val="en-US"/>
        </w:rPr>
        <w:br w:type="page"/>
      </w:r>
    </w:p>
    <w:p w14:paraId="43B85E7F" w14:textId="55345416" w:rsidR="001A1C93" w:rsidRPr="00861781" w:rsidRDefault="001A1C93" w:rsidP="00861781">
      <w:pPr>
        <w:pStyle w:val="Heading1"/>
        <w:spacing w:line="360" w:lineRule="auto"/>
        <w:rPr>
          <w:rFonts w:ascii="Arial" w:hAnsi="Arial" w:cs="Arial"/>
          <w:lang w:val="en-US"/>
        </w:rPr>
      </w:pPr>
      <w:bookmarkStart w:id="8" w:name="_Toc242641728"/>
      <w:r w:rsidRPr="001A1C93">
        <w:rPr>
          <w:rFonts w:ascii="Arial" w:hAnsi="Arial" w:cs="Arial"/>
          <w:lang w:val="en-US"/>
        </w:rPr>
        <w:lastRenderedPageBreak/>
        <w:t>Appendices</w:t>
      </w:r>
      <w:bookmarkEnd w:id="8"/>
    </w:p>
    <w:p w14:paraId="1CA846BF" w14:textId="2AE7A162" w:rsidR="001A1C93" w:rsidRPr="00662E0F" w:rsidRDefault="001A1C93" w:rsidP="00861781">
      <w:pPr>
        <w:pStyle w:val="Heading2"/>
        <w:spacing w:line="360" w:lineRule="auto"/>
        <w:rPr>
          <w:rFonts w:ascii="Arial" w:hAnsi="Arial" w:cs="Arial"/>
          <w:lang w:val="en-US"/>
        </w:rPr>
      </w:pPr>
      <w:bookmarkStart w:id="9" w:name="_Toc242641729"/>
      <w:r w:rsidRPr="00662E0F">
        <w:rPr>
          <w:rFonts w:ascii="Arial" w:hAnsi="Arial" w:cs="Arial"/>
          <w:lang w:val="en-US"/>
        </w:rPr>
        <w:t>Appendix A</w:t>
      </w:r>
      <w:bookmarkEnd w:id="9"/>
    </w:p>
    <w:p w14:paraId="0A399B26" w14:textId="7AE78154" w:rsidR="00137FEF" w:rsidRDefault="00177638" w:rsidP="00861781">
      <w:pPr>
        <w:spacing w:line="360" w:lineRule="auto"/>
        <w:jc w:val="both"/>
        <w:rPr>
          <w:rFonts w:cs="Arial"/>
          <w:lang w:val="en-US"/>
        </w:rPr>
      </w:pPr>
      <w:r>
        <w:rPr>
          <w:rFonts w:cs="Arial"/>
          <w:noProof/>
          <w:lang w:val="en-US"/>
          <w14:ligatures w14:val="standardContextual"/>
        </w:rPr>
        <w:drawing>
          <wp:inline distT="0" distB="0" distL="0" distR="0" wp14:anchorId="0DE50638" wp14:editId="49C9DC89">
            <wp:extent cx="5731510" cy="3279140"/>
            <wp:effectExtent l="0" t="0" r="2540" b="0"/>
            <wp:docPr id="561951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95184" name="Picture 56195184"/>
                    <pic:cNvPicPr/>
                  </pic:nvPicPr>
                  <pic:blipFill>
                    <a:blip r:embed="rId35">
                      <a:extLst>
                        <a:ext uri="{28A0092B-C50C-407E-A947-70E740481C1C}">
                          <a14:useLocalDpi xmlns:a14="http://schemas.microsoft.com/office/drawing/2010/main" val="0"/>
                        </a:ext>
                      </a:extLst>
                    </a:blip>
                    <a:stretch>
                      <a:fillRect/>
                    </a:stretch>
                  </pic:blipFill>
                  <pic:spPr>
                    <a:xfrm>
                      <a:off x="0" y="0"/>
                      <a:ext cx="5731510" cy="3279140"/>
                    </a:xfrm>
                    <a:prstGeom prst="rect">
                      <a:avLst/>
                    </a:prstGeom>
                  </pic:spPr>
                </pic:pic>
              </a:graphicData>
            </a:graphic>
          </wp:inline>
        </w:drawing>
      </w:r>
    </w:p>
    <w:p w14:paraId="67C1F6B6" w14:textId="77777777" w:rsidR="00861781" w:rsidRPr="00861781" w:rsidRDefault="00861781" w:rsidP="00861781">
      <w:pPr>
        <w:spacing w:line="360" w:lineRule="auto"/>
        <w:jc w:val="both"/>
        <w:rPr>
          <w:rFonts w:cs="Arial"/>
          <w:lang w:val="en-US"/>
        </w:rPr>
      </w:pPr>
    </w:p>
    <w:p w14:paraId="0C255FC1" w14:textId="384569BC" w:rsidR="001A1C93" w:rsidRPr="00662E0F" w:rsidRDefault="0006266E" w:rsidP="00861781">
      <w:pPr>
        <w:pStyle w:val="Heading2"/>
        <w:spacing w:line="360" w:lineRule="auto"/>
        <w:rPr>
          <w:rFonts w:ascii="Arial" w:hAnsi="Arial" w:cs="Arial"/>
          <w:lang w:val="en-US"/>
        </w:rPr>
      </w:pPr>
      <w:bookmarkStart w:id="10" w:name="_Toc242641730"/>
      <w:r w:rsidRPr="00662E0F">
        <w:rPr>
          <w:rFonts w:ascii="Arial" w:hAnsi="Arial" w:cs="Arial"/>
          <w:lang w:val="en-US"/>
        </w:rPr>
        <w:t>Appendix B</w:t>
      </w:r>
      <w:bookmarkEnd w:id="10"/>
    </w:p>
    <w:p w14:paraId="4197BA34" w14:textId="1C1763F9" w:rsidR="003D371F" w:rsidRDefault="00DD45D3" w:rsidP="00861781">
      <w:pPr>
        <w:spacing w:line="360" w:lineRule="auto"/>
        <w:jc w:val="both"/>
        <w:rPr>
          <w:rFonts w:cs="Arial"/>
          <w:lang w:val="en-US"/>
        </w:rPr>
      </w:pPr>
      <w:r>
        <w:rPr>
          <w:rFonts w:cs="Arial"/>
          <w:noProof/>
          <w:lang w:val="en-US"/>
          <w14:ligatures w14:val="standardContextual"/>
        </w:rPr>
        <w:drawing>
          <wp:inline distT="0" distB="0" distL="0" distR="0" wp14:anchorId="48630B14" wp14:editId="26BB6BF8">
            <wp:extent cx="5731510" cy="3145790"/>
            <wp:effectExtent l="0" t="0" r="2540" b="0"/>
            <wp:docPr id="10545237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523708" name="Picture 1054523708"/>
                    <pic:cNvPicPr/>
                  </pic:nvPicPr>
                  <pic:blipFill>
                    <a:blip r:embed="rId36">
                      <a:extLst>
                        <a:ext uri="{28A0092B-C50C-407E-A947-70E740481C1C}">
                          <a14:useLocalDpi xmlns:a14="http://schemas.microsoft.com/office/drawing/2010/main" val="0"/>
                        </a:ext>
                      </a:extLst>
                    </a:blip>
                    <a:stretch>
                      <a:fillRect/>
                    </a:stretch>
                  </pic:blipFill>
                  <pic:spPr>
                    <a:xfrm>
                      <a:off x="0" y="0"/>
                      <a:ext cx="5731510" cy="3145790"/>
                    </a:xfrm>
                    <a:prstGeom prst="rect">
                      <a:avLst/>
                    </a:prstGeom>
                  </pic:spPr>
                </pic:pic>
              </a:graphicData>
            </a:graphic>
          </wp:inline>
        </w:drawing>
      </w:r>
    </w:p>
    <w:p w14:paraId="2644E8A4" w14:textId="317C41F1" w:rsidR="00937F99" w:rsidRPr="00861781" w:rsidRDefault="00662E0F" w:rsidP="00861781">
      <w:pPr>
        <w:pStyle w:val="Heading2"/>
        <w:rPr>
          <w:rFonts w:ascii="Arial" w:hAnsi="Arial" w:cs="Arial"/>
          <w:lang w:val="en-US"/>
        </w:rPr>
      </w:pPr>
      <w:r>
        <w:rPr>
          <w:lang w:val="en-US"/>
        </w:rPr>
        <w:br w:type="page"/>
      </w:r>
      <w:bookmarkStart w:id="11" w:name="_Toc242641731"/>
      <w:r w:rsidR="0006266E" w:rsidRPr="00861781">
        <w:rPr>
          <w:rFonts w:ascii="Arial" w:hAnsi="Arial" w:cs="Arial"/>
          <w:lang w:val="en-US"/>
        </w:rPr>
        <w:lastRenderedPageBreak/>
        <w:t>Appendix C</w:t>
      </w:r>
      <w:bookmarkEnd w:id="11"/>
    </w:p>
    <w:p w14:paraId="3A74B029" w14:textId="77777777" w:rsidR="00F40FBE" w:rsidRDefault="00F40FBE" w:rsidP="00861781">
      <w:pPr>
        <w:spacing w:line="360" w:lineRule="auto"/>
        <w:jc w:val="both"/>
        <w:rPr>
          <w:rFonts w:cs="Arial"/>
          <w:lang w:val="en-US"/>
        </w:rPr>
      </w:pPr>
    </w:p>
    <w:p w14:paraId="1B0CF99B" w14:textId="65D79A44" w:rsidR="00F40FBE" w:rsidRDefault="00F40FBE" w:rsidP="00861781">
      <w:pPr>
        <w:spacing w:line="360" w:lineRule="auto"/>
        <w:jc w:val="both"/>
        <w:rPr>
          <w:rFonts w:cs="Arial"/>
          <w:lang w:val="en-US"/>
        </w:rPr>
      </w:pPr>
      <w:r>
        <w:rPr>
          <w:rFonts w:cs="Arial"/>
          <w:noProof/>
          <w:lang w:val="en-US"/>
          <w14:ligatures w14:val="standardContextual"/>
        </w:rPr>
        <w:drawing>
          <wp:inline distT="0" distB="0" distL="0" distR="0" wp14:anchorId="1B4609CF" wp14:editId="5BE12109">
            <wp:extent cx="5876642" cy="4705350"/>
            <wp:effectExtent l="0" t="0" r="0" b="0"/>
            <wp:docPr id="16380428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42864" name="Picture 1638042864"/>
                    <pic:cNvPicPr/>
                  </pic:nvPicPr>
                  <pic:blipFill>
                    <a:blip r:embed="rId37">
                      <a:extLst>
                        <a:ext uri="{28A0092B-C50C-407E-A947-70E740481C1C}">
                          <a14:useLocalDpi xmlns:a14="http://schemas.microsoft.com/office/drawing/2010/main" val="0"/>
                        </a:ext>
                      </a:extLst>
                    </a:blip>
                    <a:stretch>
                      <a:fillRect/>
                    </a:stretch>
                  </pic:blipFill>
                  <pic:spPr>
                    <a:xfrm>
                      <a:off x="0" y="0"/>
                      <a:ext cx="5878784" cy="4707065"/>
                    </a:xfrm>
                    <a:prstGeom prst="rect">
                      <a:avLst/>
                    </a:prstGeom>
                  </pic:spPr>
                </pic:pic>
              </a:graphicData>
            </a:graphic>
          </wp:inline>
        </w:drawing>
      </w:r>
    </w:p>
    <w:p w14:paraId="072933DC" w14:textId="77777777" w:rsidR="00937F99" w:rsidRDefault="00937F99" w:rsidP="00861781">
      <w:pPr>
        <w:spacing w:line="360" w:lineRule="auto"/>
        <w:jc w:val="both"/>
        <w:rPr>
          <w:rFonts w:cs="Arial"/>
          <w:lang w:val="en-US"/>
        </w:rPr>
      </w:pPr>
    </w:p>
    <w:p w14:paraId="5A237892" w14:textId="77777777" w:rsidR="00937F99" w:rsidRDefault="00937F99" w:rsidP="00861781">
      <w:pPr>
        <w:spacing w:line="360" w:lineRule="auto"/>
        <w:jc w:val="both"/>
        <w:rPr>
          <w:rFonts w:cs="Arial"/>
          <w:lang w:val="en-US"/>
        </w:rPr>
      </w:pPr>
    </w:p>
    <w:p w14:paraId="1B385AA8" w14:textId="77777777" w:rsidR="00937F99" w:rsidRDefault="00937F99" w:rsidP="00861781">
      <w:pPr>
        <w:spacing w:line="360" w:lineRule="auto"/>
        <w:jc w:val="both"/>
        <w:rPr>
          <w:rFonts w:cs="Arial"/>
          <w:lang w:val="en-US"/>
        </w:rPr>
      </w:pPr>
    </w:p>
    <w:p w14:paraId="36D916A4" w14:textId="77777777" w:rsidR="00937F99" w:rsidRDefault="00937F99" w:rsidP="00861781">
      <w:pPr>
        <w:spacing w:line="360" w:lineRule="auto"/>
        <w:jc w:val="both"/>
        <w:rPr>
          <w:rFonts w:cs="Arial"/>
          <w:lang w:val="en-US"/>
        </w:rPr>
      </w:pPr>
    </w:p>
    <w:p w14:paraId="06F1CF92" w14:textId="77777777" w:rsidR="002905E0" w:rsidRDefault="002905E0" w:rsidP="00861781">
      <w:pPr>
        <w:spacing w:line="360" w:lineRule="auto"/>
        <w:jc w:val="both"/>
        <w:rPr>
          <w:rFonts w:cs="Arial"/>
          <w:lang w:val="en-US"/>
        </w:rPr>
      </w:pPr>
    </w:p>
    <w:p w14:paraId="1A9F818D" w14:textId="77777777" w:rsidR="002905E0" w:rsidRPr="002905E0" w:rsidRDefault="002905E0" w:rsidP="00861781">
      <w:pPr>
        <w:spacing w:line="360" w:lineRule="auto"/>
        <w:ind w:left="360"/>
        <w:jc w:val="both"/>
        <w:rPr>
          <w:rFonts w:cs="Arial"/>
          <w:lang w:val="en-US"/>
        </w:rPr>
      </w:pPr>
    </w:p>
    <w:sectPr w:rsidR="002905E0" w:rsidRPr="002905E0">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A71AA" w14:textId="77777777" w:rsidR="00130A38" w:rsidRDefault="00130A38" w:rsidP="00CA591C">
      <w:pPr>
        <w:spacing w:after="0" w:line="240" w:lineRule="auto"/>
      </w:pPr>
      <w:r>
        <w:separator/>
      </w:r>
    </w:p>
  </w:endnote>
  <w:endnote w:type="continuationSeparator" w:id="0">
    <w:p w14:paraId="5D1DDA97" w14:textId="77777777" w:rsidR="00130A38" w:rsidRDefault="00130A38" w:rsidP="00CA5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9854184"/>
      <w:docPartObj>
        <w:docPartGallery w:val="Page Numbers (Bottom of Page)"/>
        <w:docPartUnique/>
      </w:docPartObj>
    </w:sdtPr>
    <w:sdtEndPr>
      <w:rPr>
        <w:noProof/>
      </w:rPr>
    </w:sdtEndPr>
    <w:sdtContent>
      <w:p w14:paraId="5F918B7E" w14:textId="44FC52B2" w:rsidR="00CA591C" w:rsidRDefault="00CA59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D3EBB8" w14:textId="77777777" w:rsidR="00CA591C" w:rsidRDefault="00CA5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A3E42" w14:textId="77777777" w:rsidR="00130A38" w:rsidRDefault="00130A38" w:rsidP="00CA591C">
      <w:pPr>
        <w:spacing w:after="0" w:line="240" w:lineRule="auto"/>
      </w:pPr>
      <w:r>
        <w:separator/>
      </w:r>
    </w:p>
  </w:footnote>
  <w:footnote w:type="continuationSeparator" w:id="0">
    <w:p w14:paraId="012567EC" w14:textId="77777777" w:rsidR="00130A38" w:rsidRDefault="00130A38" w:rsidP="00CA59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461F98"/>
    <w:multiLevelType w:val="hybridMultilevel"/>
    <w:tmpl w:val="AFA60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567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605"/>
    <w:rsid w:val="000013F2"/>
    <w:rsid w:val="00010FC9"/>
    <w:rsid w:val="00027B44"/>
    <w:rsid w:val="0003213A"/>
    <w:rsid w:val="000332D3"/>
    <w:rsid w:val="000365CB"/>
    <w:rsid w:val="00036888"/>
    <w:rsid w:val="00041ABF"/>
    <w:rsid w:val="0006266E"/>
    <w:rsid w:val="000856D3"/>
    <w:rsid w:val="00130A38"/>
    <w:rsid w:val="00137FEF"/>
    <w:rsid w:val="00177638"/>
    <w:rsid w:val="00196761"/>
    <w:rsid w:val="001A1C93"/>
    <w:rsid w:val="001D432A"/>
    <w:rsid w:val="001E7E50"/>
    <w:rsid w:val="001E7F0A"/>
    <w:rsid w:val="001F43F3"/>
    <w:rsid w:val="001F6A60"/>
    <w:rsid w:val="00202D24"/>
    <w:rsid w:val="002242D0"/>
    <w:rsid w:val="0023030D"/>
    <w:rsid w:val="0027660A"/>
    <w:rsid w:val="0027790A"/>
    <w:rsid w:val="00287A4E"/>
    <w:rsid w:val="002905E0"/>
    <w:rsid w:val="00291518"/>
    <w:rsid w:val="002B32B4"/>
    <w:rsid w:val="002D4C9E"/>
    <w:rsid w:val="00352110"/>
    <w:rsid w:val="003529BB"/>
    <w:rsid w:val="00374BAF"/>
    <w:rsid w:val="00384C4F"/>
    <w:rsid w:val="003C132F"/>
    <w:rsid w:val="003D371F"/>
    <w:rsid w:val="00410325"/>
    <w:rsid w:val="00421888"/>
    <w:rsid w:val="00425AEF"/>
    <w:rsid w:val="00427D4D"/>
    <w:rsid w:val="004469EF"/>
    <w:rsid w:val="0045165E"/>
    <w:rsid w:val="00463770"/>
    <w:rsid w:val="00485292"/>
    <w:rsid w:val="004D42DE"/>
    <w:rsid w:val="004D78A2"/>
    <w:rsid w:val="004F2634"/>
    <w:rsid w:val="00506EB1"/>
    <w:rsid w:val="005264F4"/>
    <w:rsid w:val="00541015"/>
    <w:rsid w:val="0054380E"/>
    <w:rsid w:val="00550312"/>
    <w:rsid w:val="00554146"/>
    <w:rsid w:val="00564C5A"/>
    <w:rsid w:val="005A1B88"/>
    <w:rsid w:val="005A1DB3"/>
    <w:rsid w:val="005B42A0"/>
    <w:rsid w:val="005F7FB2"/>
    <w:rsid w:val="00642FB0"/>
    <w:rsid w:val="00662E0F"/>
    <w:rsid w:val="00667B8E"/>
    <w:rsid w:val="00683B40"/>
    <w:rsid w:val="006918D7"/>
    <w:rsid w:val="00694A8F"/>
    <w:rsid w:val="006A2601"/>
    <w:rsid w:val="007013B2"/>
    <w:rsid w:val="00713BEB"/>
    <w:rsid w:val="00795829"/>
    <w:rsid w:val="007B40ED"/>
    <w:rsid w:val="007B58B8"/>
    <w:rsid w:val="007F2E5D"/>
    <w:rsid w:val="00831AE3"/>
    <w:rsid w:val="00832C7A"/>
    <w:rsid w:val="0085086B"/>
    <w:rsid w:val="00861781"/>
    <w:rsid w:val="008B5B57"/>
    <w:rsid w:val="00921528"/>
    <w:rsid w:val="00930265"/>
    <w:rsid w:val="00937F99"/>
    <w:rsid w:val="00977343"/>
    <w:rsid w:val="009D048D"/>
    <w:rsid w:val="009D3E4E"/>
    <w:rsid w:val="009F64B6"/>
    <w:rsid w:val="00A4527A"/>
    <w:rsid w:val="00A46B84"/>
    <w:rsid w:val="00A74DB2"/>
    <w:rsid w:val="00A8757B"/>
    <w:rsid w:val="00AD10A6"/>
    <w:rsid w:val="00AD64A3"/>
    <w:rsid w:val="00AE2EEE"/>
    <w:rsid w:val="00B010D2"/>
    <w:rsid w:val="00B045F7"/>
    <w:rsid w:val="00B12B23"/>
    <w:rsid w:val="00B13005"/>
    <w:rsid w:val="00B95E1D"/>
    <w:rsid w:val="00BB3040"/>
    <w:rsid w:val="00BC032D"/>
    <w:rsid w:val="00BC622A"/>
    <w:rsid w:val="00BC7DA6"/>
    <w:rsid w:val="00BD3A95"/>
    <w:rsid w:val="00C634E4"/>
    <w:rsid w:val="00CA591C"/>
    <w:rsid w:val="00D400FC"/>
    <w:rsid w:val="00D441C8"/>
    <w:rsid w:val="00D819CA"/>
    <w:rsid w:val="00D94BE9"/>
    <w:rsid w:val="00DA397F"/>
    <w:rsid w:val="00DC1CE4"/>
    <w:rsid w:val="00DD0493"/>
    <w:rsid w:val="00DD45D3"/>
    <w:rsid w:val="00DE7CC9"/>
    <w:rsid w:val="00E13B94"/>
    <w:rsid w:val="00E16C85"/>
    <w:rsid w:val="00E20E2D"/>
    <w:rsid w:val="00E250CB"/>
    <w:rsid w:val="00E32576"/>
    <w:rsid w:val="00E66A4E"/>
    <w:rsid w:val="00E67624"/>
    <w:rsid w:val="00E70FCA"/>
    <w:rsid w:val="00E72DD1"/>
    <w:rsid w:val="00E831ED"/>
    <w:rsid w:val="00E906DA"/>
    <w:rsid w:val="00EA3377"/>
    <w:rsid w:val="00EC3EB0"/>
    <w:rsid w:val="00ED5747"/>
    <w:rsid w:val="00EF0A71"/>
    <w:rsid w:val="00EF71EE"/>
    <w:rsid w:val="00F16E86"/>
    <w:rsid w:val="00F40FBE"/>
    <w:rsid w:val="00F50140"/>
    <w:rsid w:val="00F6230A"/>
    <w:rsid w:val="00F658FF"/>
    <w:rsid w:val="00F85666"/>
    <w:rsid w:val="00F95605"/>
    <w:rsid w:val="00FB4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63080"/>
  <w15:chartTrackingRefBased/>
  <w15:docId w15:val="{AEF7BAF5-174D-40BB-8A9E-4D6A74BE3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605"/>
    <w:pPr>
      <w:spacing w:line="259" w:lineRule="auto"/>
    </w:pPr>
    <w:rPr>
      <w:rFonts w:ascii="Arial" w:eastAsia="Calibri" w:hAnsi="Arial" w:cs="Calibri"/>
      <w:kern w:val="0"/>
      <w:szCs w:val="22"/>
      <w:lang w:eastAsia="zh-CN"/>
      <w14:ligatures w14:val="none"/>
    </w:rPr>
  </w:style>
  <w:style w:type="paragraph" w:styleId="Heading1">
    <w:name w:val="heading 1"/>
    <w:basedOn w:val="Normal"/>
    <w:next w:val="Normal"/>
    <w:link w:val="Heading1Char"/>
    <w:uiPriority w:val="9"/>
    <w:qFormat/>
    <w:rsid w:val="00F9560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F9560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F9560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95605"/>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lang w:eastAsia="en-US"/>
      <w14:ligatures w14:val="standardContextual"/>
    </w:rPr>
  </w:style>
  <w:style w:type="paragraph" w:styleId="Heading5">
    <w:name w:val="heading 5"/>
    <w:basedOn w:val="Normal"/>
    <w:next w:val="Normal"/>
    <w:link w:val="Heading5Char"/>
    <w:uiPriority w:val="9"/>
    <w:semiHidden/>
    <w:unhideWhenUsed/>
    <w:qFormat/>
    <w:rsid w:val="00F95605"/>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lang w:eastAsia="en-US"/>
      <w14:ligatures w14:val="standardContextual"/>
    </w:rPr>
  </w:style>
  <w:style w:type="paragraph" w:styleId="Heading6">
    <w:name w:val="heading 6"/>
    <w:basedOn w:val="Normal"/>
    <w:next w:val="Normal"/>
    <w:link w:val="Heading6Char"/>
    <w:uiPriority w:val="9"/>
    <w:semiHidden/>
    <w:unhideWhenUsed/>
    <w:qFormat/>
    <w:rsid w:val="00F95605"/>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lang w:eastAsia="en-US"/>
      <w14:ligatures w14:val="standardContextual"/>
    </w:rPr>
  </w:style>
  <w:style w:type="paragraph" w:styleId="Heading7">
    <w:name w:val="heading 7"/>
    <w:basedOn w:val="Normal"/>
    <w:next w:val="Normal"/>
    <w:link w:val="Heading7Char"/>
    <w:uiPriority w:val="9"/>
    <w:semiHidden/>
    <w:unhideWhenUsed/>
    <w:qFormat/>
    <w:rsid w:val="00F95605"/>
    <w:pPr>
      <w:keepNext/>
      <w:keepLines/>
      <w:spacing w:before="40" w:after="0" w:line="278" w:lineRule="auto"/>
      <w:outlineLvl w:val="6"/>
    </w:pPr>
    <w:rPr>
      <w:rFonts w:asciiTheme="minorHAnsi" w:eastAsiaTheme="majorEastAsia" w:hAnsiTheme="minorHAnsi" w:cstheme="majorBidi"/>
      <w:color w:val="595959" w:themeColor="text1" w:themeTint="A6"/>
      <w:kern w:val="2"/>
      <w:szCs w:val="24"/>
      <w:lang w:eastAsia="en-US"/>
      <w14:ligatures w14:val="standardContextual"/>
    </w:rPr>
  </w:style>
  <w:style w:type="paragraph" w:styleId="Heading8">
    <w:name w:val="heading 8"/>
    <w:basedOn w:val="Normal"/>
    <w:next w:val="Normal"/>
    <w:link w:val="Heading8Char"/>
    <w:uiPriority w:val="9"/>
    <w:semiHidden/>
    <w:unhideWhenUsed/>
    <w:qFormat/>
    <w:rsid w:val="00F95605"/>
    <w:pPr>
      <w:keepNext/>
      <w:keepLines/>
      <w:spacing w:after="0" w:line="278" w:lineRule="auto"/>
      <w:outlineLvl w:val="7"/>
    </w:pPr>
    <w:rPr>
      <w:rFonts w:asciiTheme="minorHAnsi" w:eastAsiaTheme="majorEastAsia" w:hAnsiTheme="minorHAnsi" w:cstheme="majorBidi"/>
      <w:i/>
      <w:iCs/>
      <w:color w:val="272727" w:themeColor="text1" w:themeTint="D8"/>
      <w:kern w:val="2"/>
      <w:szCs w:val="24"/>
      <w:lang w:eastAsia="en-US"/>
      <w14:ligatures w14:val="standardContextual"/>
    </w:rPr>
  </w:style>
  <w:style w:type="paragraph" w:styleId="Heading9">
    <w:name w:val="heading 9"/>
    <w:basedOn w:val="Normal"/>
    <w:next w:val="Normal"/>
    <w:link w:val="Heading9Char"/>
    <w:uiPriority w:val="9"/>
    <w:semiHidden/>
    <w:unhideWhenUsed/>
    <w:qFormat/>
    <w:rsid w:val="00F95605"/>
    <w:pPr>
      <w:keepNext/>
      <w:keepLines/>
      <w:spacing w:after="0" w:line="278" w:lineRule="auto"/>
      <w:outlineLvl w:val="8"/>
    </w:pPr>
    <w:rPr>
      <w:rFonts w:asciiTheme="minorHAnsi" w:eastAsiaTheme="majorEastAsia" w:hAnsiTheme="minorHAnsi" w:cstheme="majorBidi"/>
      <w:color w:val="272727" w:themeColor="text1" w:themeTint="D8"/>
      <w:kern w:val="2"/>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6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56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6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6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6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6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6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6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605"/>
    <w:rPr>
      <w:rFonts w:eastAsiaTheme="majorEastAsia" w:cstheme="majorBidi"/>
      <w:color w:val="272727" w:themeColor="text1" w:themeTint="D8"/>
    </w:rPr>
  </w:style>
  <w:style w:type="paragraph" w:styleId="Title">
    <w:name w:val="Title"/>
    <w:basedOn w:val="Normal"/>
    <w:next w:val="Normal"/>
    <w:link w:val="TitleChar"/>
    <w:uiPriority w:val="10"/>
    <w:qFormat/>
    <w:rsid w:val="00F95605"/>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956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605"/>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956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605"/>
    <w:pPr>
      <w:spacing w:before="160" w:line="278" w:lineRule="auto"/>
      <w:jc w:val="center"/>
    </w:pPr>
    <w:rPr>
      <w:rFonts w:asciiTheme="minorHAnsi" w:eastAsiaTheme="minorHAnsi" w:hAnsiTheme="minorHAnsi" w:cstheme="minorBidi"/>
      <w:i/>
      <w:iCs/>
      <w:color w:val="404040" w:themeColor="text1" w:themeTint="BF"/>
      <w:kern w:val="2"/>
      <w:szCs w:val="24"/>
      <w:lang w:eastAsia="en-US"/>
      <w14:ligatures w14:val="standardContextual"/>
    </w:rPr>
  </w:style>
  <w:style w:type="character" w:customStyle="1" w:styleId="QuoteChar">
    <w:name w:val="Quote Char"/>
    <w:basedOn w:val="DefaultParagraphFont"/>
    <w:link w:val="Quote"/>
    <w:uiPriority w:val="29"/>
    <w:rsid w:val="00F95605"/>
    <w:rPr>
      <w:i/>
      <w:iCs/>
      <w:color w:val="404040" w:themeColor="text1" w:themeTint="BF"/>
    </w:rPr>
  </w:style>
  <w:style w:type="paragraph" w:styleId="ListParagraph">
    <w:name w:val="List Paragraph"/>
    <w:basedOn w:val="Normal"/>
    <w:uiPriority w:val="34"/>
    <w:qFormat/>
    <w:rsid w:val="00F95605"/>
    <w:pPr>
      <w:spacing w:line="278" w:lineRule="auto"/>
      <w:ind w:left="720"/>
      <w:contextualSpacing/>
    </w:pPr>
    <w:rPr>
      <w:rFonts w:asciiTheme="minorHAnsi" w:eastAsiaTheme="minorHAnsi" w:hAnsiTheme="minorHAnsi" w:cstheme="minorBidi"/>
      <w:kern w:val="2"/>
      <w:szCs w:val="24"/>
      <w:lang w:eastAsia="en-US"/>
      <w14:ligatures w14:val="standardContextual"/>
    </w:rPr>
  </w:style>
  <w:style w:type="character" w:styleId="IntenseEmphasis">
    <w:name w:val="Intense Emphasis"/>
    <w:basedOn w:val="DefaultParagraphFont"/>
    <w:uiPriority w:val="21"/>
    <w:qFormat/>
    <w:rsid w:val="00F95605"/>
    <w:rPr>
      <w:i/>
      <w:iCs/>
      <w:color w:val="0F4761" w:themeColor="accent1" w:themeShade="BF"/>
    </w:rPr>
  </w:style>
  <w:style w:type="paragraph" w:styleId="IntenseQuote">
    <w:name w:val="Intense Quote"/>
    <w:basedOn w:val="Normal"/>
    <w:next w:val="Normal"/>
    <w:link w:val="IntenseQuoteChar"/>
    <w:uiPriority w:val="30"/>
    <w:qFormat/>
    <w:rsid w:val="00F9560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Cs w:val="24"/>
      <w:lang w:eastAsia="en-US"/>
      <w14:ligatures w14:val="standardContextual"/>
    </w:rPr>
  </w:style>
  <w:style w:type="character" w:customStyle="1" w:styleId="IntenseQuoteChar">
    <w:name w:val="Intense Quote Char"/>
    <w:basedOn w:val="DefaultParagraphFont"/>
    <w:link w:val="IntenseQuote"/>
    <w:uiPriority w:val="30"/>
    <w:rsid w:val="00F95605"/>
    <w:rPr>
      <w:i/>
      <w:iCs/>
      <w:color w:val="0F4761" w:themeColor="accent1" w:themeShade="BF"/>
    </w:rPr>
  </w:style>
  <w:style w:type="character" w:styleId="IntenseReference">
    <w:name w:val="Intense Reference"/>
    <w:basedOn w:val="DefaultParagraphFont"/>
    <w:uiPriority w:val="32"/>
    <w:qFormat/>
    <w:rsid w:val="00F95605"/>
    <w:rPr>
      <w:b/>
      <w:bCs/>
      <w:smallCaps/>
      <w:color w:val="0F4761" w:themeColor="accent1" w:themeShade="BF"/>
      <w:spacing w:val="5"/>
    </w:rPr>
  </w:style>
  <w:style w:type="paragraph" w:styleId="TOCHeading">
    <w:name w:val="TOC Heading"/>
    <w:basedOn w:val="Heading1"/>
    <w:next w:val="Normal"/>
    <w:uiPriority w:val="39"/>
    <w:unhideWhenUsed/>
    <w:qFormat/>
    <w:rsid w:val="00F9560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95605"/>
    <w:pPr>
      <w:spacing w:after="100"/>
    </w:pPr>
  </w:style>
  <w:style w:type="character" w:styleId="Hyperlink">
    <w:name w:val="Hyperlink"/>
    <w:basedOn w:val="DefaultParagraphFont"/>
    <w:uiPriority w:val="99"/>
    <w:unhideWhenUsed/>
    <w:rsid w:val="00F95605"/>
    <w:rPr>
      <w:color w:val="467886" w:themeColor="hyperlink"/>
      <w:u w:val="single"/>
    </w:rPr>
  </w:style>
  <w:style w:type="character" w:styleId="UnresolvedMention">
    <w:name w:val="Unresolved Mention"/>
    <w:basedOn w:val="DefaultParagraphFont"/>
    <w:uiPriority w:val="99"/>
    <w:semiHidden/>
    <w:unhideWhenUsed/>
    <w:rsid w:val="004469EF"/>
    <w:rPr>
      <w:color w:val="605E5C"/>
      <w:shd w:val="clear" w:color="auto" w:fill="E1DFDD"/>
    </w:rPr>
  </w:style>
  <w:style w:type="paragraph" w:styleId="TOC2">
    <w:name w:val="toc 2"/>
    <w:basedOn w:val="Normal"/>
    <w:next w:val="Normal"/>
    <w:autoRedefine/>
    <w:uiPriority w:val="39"/>
    <w:unhideWhenUsed/>
    <w:rsid w:val="00196761"/>
    <w:pPr>
      <w:spacing w:after="100"/>
      <w:ind w:left="240"/>
    </w:pPr>
  </w:style>
  <w:style w:type="paragraph" w:styleId="Header">
    <w:name w:val="header"/>
    <w:basedOn w:val="Normal"/>
    <w:link w:val="HeaderChar"/>
    <w:uiPriority w:val="99"/>
    <w:unhideWhenUsed/>
    <w:rsid w:val="00CA5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91C"/>
    <w:rPr>
      <w:rFonts w:ascii="Arial" w:eastAsia="Calibri" w:hAnsi="Arial" w:cs="Calibri"/>
      <w:kern w:val="0"/>
      <w:szCs w:val="22"/>
      <w:lang w:eastAsia="zh-CN"/>
      <w14:ligatures w14:val="none"/>
    </w:rPr>
  </w:style>
  <w:style w:type="paragraph" w:styleId="Footer">
    <w:name w:val="footer"/>
    <w:basedOn w:val="Normal"/>
    <w:link w:val="FooterChar"/>
    <w:uiPriority w:val="99"/>
    <w:unhideWhenUsed/>
    <w:rsid w:val="00CA5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91C"/>
    <w:rPr>
      <w:rFonts w:ascii="Arial" w:eastAsia="Calibri" w:hAnsi="Arial" w:cs="Calibri"/>
      <w:kern w:val="0"/>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13665621311306538" TargetMode="External"/><Relationship Id="rId18" Type="http://schemas.openxmlformats.org/officeDocument/2006/relationships/hyperlink" Target="https://quod.lib.umich.edu/b/busadwp/images/b/2/0/b2036046.0001.001.pdf" TargetMode="External"/><Relationship Id="rId26" Type="http://schemas.openxmlformats.org/officeDocument/2006/relationships/hyperlink" Target="https://doi.org/10.1037/apl0000241" TargetMode="External"/><Relationship Id="rId39" Type="http://schemas.openxmlformats.org/officeDocument/2006/relationships/fontTable" Target="fontTable.xml"/><Relationship Id="rId21" Type="http://schemas.openxmlformats.org/officeDocument/2006/relationships/hyperlink" Target="https://doi.org/10.1016/j.jvb.2020.103503" TargetMode="External"/><Relationship Id="rId34" Type="http://schemas.openxmlformats.org/officeDocument/2006/relationships/hyperlink" Target="https://doi.org/10.1002/hrdq.21518" TargetMode="External"/><Relationship Id="rId7" Type="http://schemas.openxmlformats.org/officeDocument/2006/relationships/endnotes" Target="endnotes.xml"/><Relationship Id="rId12" Type="http://schemas.openxmlformats.org/officeDocument/2006/relationships/hyperlink" Target="https://doi.org/10.1111/j.1744-6570.1988.tb00632.x" TargetMode="External"/><Relationship Id="rId17" Type="http://schemas.openxmlformats.org/officeDocument/2006/relationships/hyperlink" Target="https://www.proquest.com/scholarly-journals/effects-organizational-learning-culture-job/docview/234904324/se-2" TargetMode="External"/><Relationship Id="rId25" Type="http://schemas.openxmlformats.org/officeDocument/2006/relationships/hyperlink" Target="https://doi.org/10.1177/01492063251327588" TargetMode="External"/><Relationship Id="rId33" Type="http://schemas.openxmlformats.org/officeDocument/2006/relationships/hyperlink" Target="https://doi.org/10.1177/1529100612436661"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37/apl0000085" TargetMode="External"/><Relationship Id="rId20" Type="http://schemas.openxmlformats.org/officeDocument/2006/relationships/hyperlink" Target="https://doi.org/10.1038/s44159-022-00056-w" TargetMode="External"/><Relationship Id="rId29" Type="http://schemas.openxmlformats.org/officeDocument/2006/relationships/hyperlink" Target="https://doi.org/10.1097/00001888-199009000-000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amazon.co.uk/news/working-at-amazon/amazon-career-choice-programme" TargetMode="External"/><Relationship Id="rId24" Type="http://schemas.openxmlformats.org/officeDocument/2006/relationships/hyperlink" Target="https://doi.org/10.1016/j.hrmr.2023.100986" TargetMode="External"/><Relationship Id="rId32" Type="http://schemas.openxmlformats.org/officeDocument/2006/relationships/hyperlink" Target="https://doi.org/10.1002/nha3.20178" TargetMode="External"/><Relationship Id="rId37" Type="http://schemas.openxmlformats.org/officeDocument/2006/relationships/image" Target="media/image4.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en/about/press-releases/4-million-career-changes-flexibility-issues/" TargetMode="External"/><Relationship Id="rId23" Type="http://schemas.openxmlformats.org/officeDocument/2006/relationships/hyperlink" Target="https://doi.org/10.1111/joop.12119" TargetMode="External"/><Relationship Id="rId28" Type="http://schemas.openxmlformats.org/officeDocument/2006/relationships/hyperlink" Target="https://www.mckinsey.com/capabilities/people-and-organization/our-insights/the-essential-components-of-a-successful-l-and-d-strategy" TargetMode="External"/><Relationship Id="rId36" Type="http://schemas.openxmlformats.org/officeDocument/2006/relationships/image" Target="media/image3.png"/><Relationship Id="rId10" Type="http://schemas.openxmlformats.org/officeDocument/2006/relationships/hyperlink" Target="https://doi.org/10.1037/0021-9010.89.1.127" TargetMode="External"/><Relationship Id="rId19" Type="http://schemas.openxmlformats.org/officeDocument/2006/relationships/hyperlink" Target="https://doi.org/10.1111/1464-0597.00046" TargetMode="External"/><Relationship Id="rId31" Type="http://schemas.openxmlformats.org/officeDocument/2006/relationships/hyperlink" Target="https://doi.org/10.1111/j.1539-6053.2009.01038.x" TargetMode="External"/><Relationship Id="rId4" Type="http://schemas.openxmlformats.org/officeDocument/2006/relationships/settings" Target="settings.xml"/><Relationship Id="rId9" Type="http://schemas.openxmlformats.org/officeDocument/2006/relationships/hyperlink" Target="https://doi.org/10.1146/annurev.psych.60.110707.163505" TargetMode="External"/><Relationship Id="rId14" Type="http://schemas.openxmlformats.org/officeDocument/2006/relationships/hyperlink" Target="https://doi.org/10.3389/fpsyg.2023.1204166" TargetMode="External"/><Relationship Id="rId22" Type="http://schemas.openxmlformats.org/officeDocument/2006/relationships/hyperlink" Target="https://doi.org/10.5465/amj.2011.0088" TargetMode="External"/><Relationship Id="rId27" Type="http://schemas.openxmlformats.org/officeDocument/2006/relationships/hyperlink" Target="https://doi.org/10.1037/0003-066X.57.9.705" TargetMode="External"/><Relationship Id="rId30" Type="http://schemas.openxmlformats.org/officeDocument/2006/relationships/hyperlink" Target="https://doi.org/10.1177/1745691612449021" TargetMode="External"/><Relationship Id="rId35" Type="http://schemas.openxmlformats.org/officeDocument/2006/relationships/image" Target="media/image2.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DC29B-104C-43F5-9EF7-84C95364E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1953</TotalTime>
  <Pages>23</Pages>
  <Words>6401</Words>
  <Characters>36489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Plesca</dc:creator>
  <cp:keywords/>
  <dc:description/>
  <cp:lastModifiedBy>Roxana Plesca</cp:lastModifiedBy>
  <cp:revision>131</cp:revision>
  <dcterms:created xsi:type="dcterms:W3CDTF">2026-09-22T20:31:00Z</dcterms:created>
  <dcterms:modified xsi:type="dcterms:W3CDTF">2026-10-11T19:16:00Z</dcterms:modified>
</cp:coreProperties>
</file>