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header2.xml" ContentType="application/vnd.openxmlformats-officedocument.wordprocessingml.header+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59" w:before="0" w:after="160"/>
        <w:jc w:val="center"/>
        <w:rPr/>
      </w:pPr>
      <w:r>
        <w:rPr>
          <w:rFonts w:eastAsia="Arial" w:cs="Arial" w:ascii="Arial" w:hAnsi="Arial"/>
          <w:b/>
          <w:bCs/>
          <w:i w:val="false"/>
          <w:iCs w:val="false"/>
          <w:caps w:val="false"/>
          <w:smallCaps w:val="false"/>
          <w:strike w:val="false"/>
          <w:dstrike w:val="false"/>
          <w:color w:val="000000" w:themeColor="text1" w:themeShade="ff" w:themeTint="ff"/>
          <w:sz w:val="28"/>
          <w:szCs w:val="28"/>
          <w:u w:val="single"/>
          <w:lang w:val="en-GB"/>
        </w:rPr>
        <w:t>Dementia in the UK</w:t>
      </w:r>
    </w:p>
    <w:p>
      <w:pPr>
        <w:pStyle w:val="Normal"/>
        <w:spacing w:lineRule="auto" w:line="259" w:before="0" w:after="16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strike w:val="false"/>
          <w:dstrike w:val="false"/>
          <w:color w:val="000000" w:themeColor="text1" w:themeShade="ff" w:themeTint="ff"/>
          <w:sz w:val="24"/>
          <w:szCs w:val="24"/>
          <w:u w:val="none"/>
          <w:lang w:val="en-GB"/>
        </w:rPr>
        <w:t>In the United Kingdom, dementia is an ever-prevalent issue in an aging population. As of 2019, around 900,000 people in the UK were suffering from dementia and it is projected that by 2040, this number will increase to 1.6 million people (Alzheimer’s Society). It’s not only an issue that effects the older population, as early onset dementia is also an issue that has shown relevance in modern society. Dementia UK (2023) estimates that of the approximately 900,000 people suffering with dementia, 7.5% of them, roughly around 70,000 people, are under 65 and living with young onset dementia. With this ever-increasing number of dementia cases in the UK, the cost also becomes something to note for the Government. Parkin and Baker (2021) estimated that dementia costs the UK economy £23 billion per year, more than the yearly cost of cancer. They also make note of how this number is expected to treble by 2040.</w:t>
      </w:r>
    </w:p>
    <w:p>
      <w:pPr>
        <w:pStyle w:val="Normal"/>
        <w:spacing w:lineRule="auto" w:line="259" w:before="0" w:after="16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strike w:val="false"/>
          <w:dstrike w:val="false"/>
          <w:color w:val="000000" w:themeColor="text1" w:themeShade="ff" w:themeTint="ff"/>
          <w:sz w:val="24"/>
          <w:szCs w:val="24"/>
          <w:u w:val="none"/>
          <w:lang w:val="en-GB"/>
        </w:rPr>
        <w:t xml:space="preserve">To counteract these numbers, the Government has introduced numerous policies to provide support to those who suffer from dementia along with raising awareness and promoting prevention. </w:t>
      </w:r>
    </w:p>
    <w:p>
      <w:pPr>
        <w:pStyle w:val="Normal"/>
        <w:spacing w:lineRule="auto" w:line="259" w:before="0" w:after="16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r>
    </w:p>
    <w:p>
      <w:pPr>
        <w:pStyle w:val="Normal"/>
        <w:spacing w:lineRule="auto" w:line="259" w:before="0" w:after="160"/>
        <w:jc w:val="center"/>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iCs/>
          <w:caps w:val="false"/>
          <w:smallCaps w:val="false"/>
          <w:strike w:val="false"/>
          <w:dstrike w:val="false"/>
          <w:color w:val="000000" w:themeColor="text1" w:themeShade="ff" w:themeTint="ff"/>
          <w:sz w:val="24"/>
          <w:szCs w:val="24"/>
          <w:u w:val="none"/>
          <w:lang w:val="en-GB"/>
        </w:rPr>
        <w:t>The Challenge on Dementia 2020</w:t>
      </w:r>
    </w:p>
    <w:p>
      <w:pPr>
        <w:pStyle w:val="Normal"/>
        <w:spacing w:lineRule="auto" w:line="259" w:before="0" w:after="16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strike w:val="false"/>
          <w:dstrike w:val="false"/>
          <w:color w:val="000000" w:themeColor="text1" w:themeShade="ff" w:themeTint="ff"/>
          <w:sz w:val="24"/>
          <w:szCs w:val="24"/>
          <w:u w:val="none"/>
          <w:lang w:val="en-GB"/>
        </w:rPr>
        <w:t>Introduced in February 2015, the successor to the 2012 dementia challenge is focused on the improvement of research, care and public awareness of dementia.</w:t>
      </w:r>
    </w:p>
    <w:p>
      <w:pPr>
        <w:pStyle w:val="Normal"/>
        <w:spacing w:lineRule="auto" w:line="259" w:before="0" w:after="16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strike w:val="false"/>
          <w:dstrike w:val="false"/>
          <w:color w:val="000000" w:themeColor="text1" w:themeShade="ff" w:themeTint="ff"/>
          <w:sz w:val="24"/>
          <w:szCs w:val="24"/>
          <w:u w:val="none"/>
          <w:lang w:val="en-GB"/>
        </w:rPr>
        <w:t>This policy is comprised of two key objectives that they aimed to achieve by 2020. These objectives are: -</w:t>
      </w:r>
    </w:p>
    <w:p>
      <w:pPr>
        <w:pStyle w:val="ListParagraph"/>
        <w:numPr>
          <w:ilvl w:val="0"/>
          <w:numId w:val="3"/>
        </w:numPr>
        <w:spacing w:lineRule="auto" w:line="259" w:before="0" w:after="160"/>
        <w:contextualSpacing/>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strike w:val="false"/>
          <w:dstrike w:val="false"/>
          <w:color w:val="000000" w:themeColor="text1" w:themeShade="ff" w:themeTint="ff"/>
          <w:sz w:val="24"/>
          <w:szCs w:val="24"/>
          <w:u w:val="none"/>
          <w:lang w:val="en-GB"/>
        </w:rPr>
        <w:t>To be the best country in the world for dementia care and support, including patients, carers and family members</w:t>
      </w:r>
    </w:p>
    <w:p>
      <w:pPr>
        <w:pStyle w:val="ListParagraph"/>
        <w:numPr>
          <w:ilvl w:val="0"/>
          <w:numId w:val="3"/>
        </w:numPr>
        <w:spacing w:lineRule="auto" w:line="259" w:before="0" w:after="160"/>
        <w:contextualSpacing/>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To be the best place in the world to undertake research into dementia and other, similar neurodegenerative diseases</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In the first four years of this policies implementation, the government had spent £344 million on dementia research and innovation, achieving their goal of spending £300 million one year earlier than expected. </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Along with the two key objectives, there are many more objectives that the government aimed to achieve by 2020. Some of the more relevant of these included: -</w:t>
      </w:r>
    </w:p>
    <w:p>
      <w:pPr>
        <w:pStyle w:val="ListParagraph"/>
        <w:numPr>
          <w:ilvl w:val="0"/>
          <w:numId w:val="2"/>
        </w:numPr>
        <w:spacing w:lineRule="auto" w:line="259" w:before="0" w:after="160"/>
        <w:contextualSpacing/>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Every person diagnosed with dementia to have meaningful care following their diagnosis, in accordance with NICE Quality Standards</w:t>
      </w:r>
    </w:p>
    <w:p>
      <w:pPr>
        <w:pStyle w:val="ListParagraph"/>
        <w:numPr>
          <w:ilvl w:val="0"/>
          <w:numId w:val="2"/>
        </w:numPr>
        <w:spacing w:lineRule="auto" w:line="259" w:before="0" w:after="160"/>
        <w:contextualSpacing/>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Alzheimer’s Society to deliver an additional 3 million Dementia Friends in England</w:t>
      </w:r>
    </w:p>
    <w:p>
      <w:pPr>
        <w:pStyle w:val="ListParagraph"/>
        <w:numPr>
          <w:ilvl w:val="0"/>
          <w:numId w:val="2"/>
        </w:numPr>
        <w:spacing w:lineRule="auto" w:line="259" w:before="0" w:after="160"/>
        <w:contextualSpacing/>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All NHS staff to have training on dementia appropriate to their role</w:t>
      </w:r>
    </w:p>
    <w:p>
      <w:pPr>
        <w:pStyle w:val="ListParagraph"/>
        <w:numPr>
          <w:ilvl w:val="0"/>
          <w:numId w:val="2"/>
        </w:numPr>
        <w:spacing w:lineRule="auto" w:line="259" w:before="0" w:after="160"/>
        <w:contextualSpacing/>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All hospitals and care homes to become dementia friendly health and care settings</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r>
    </w:p>
    <w:p>
      <w:pPr>
        <w:pStyle w:val="Normal"/>
        <w:spacing w:lineRule="auto" w:line="259" w:before="0" w:after="160"/>
        <w:ind w:left="0" w:hanging="0"/>
        <w:jc w:val="center"/>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iCs/>
          <w:caps w:val="false"/>
          <w:smallCaps w:val="false"/>
          <w:color w:val="000000" w:themeColor="text1" w:themeShade="ff" w:themeTint="ff"/>
          <w:sz w:val="24"/>
          <w:szCs w:val="24"/>
          <w:lang w:val="en-GB"/>
        </w:rPr>
        <w:t>The National Dementia Strategy 2009</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This was the first national strategy implemented by the government. They outlined three key ambitions to improve the quality of life of dementia patients in the UK. These were: - </w:t>
      </w:r>
    </w:p>
    <w:p>
      <w:pPr>
        <w:pStyle w:val="ListParagraph"/>
        <w:numPr>
          <w:ilvl w:val="0"/>
          <w:numId w:val="1"/>
        </w:numPr>
        <w:spacing w:lineRule="auto" w:line="259" w:before="0" w:after="160"/>
        <w:contextualSpacing/>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Improving rates of diagnosis for people with dementia</w:t>
      </w:r>
    </w:p>
    <w:p>
      <w:pPr>
        <w:pStyle w:val="ListParagraph"/>
        <w:numPr>
          <w:ilvl w:val="0"/>
          <w:numId w:val="1"/>
        </w:numPr>
        <w:spacing w:lineRule="auto" w:line="259" w:before="0" w:after="160"/>
        <w:contextualSpacing/>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Raising awareness and removing the stigma associated with dementia</w:t>
      </w:r>
    </w:p>
    <w:p>
      <w:pPr>
        <w:pStyle w:val="ListParagraph"/>
        <w:numPr>
          <w:ilvl w:val="0"/>
          <w:numId w:val="1"/>
        </w:numPr>
        <w:spacing w:lineRule="auto" w:line="259" w:before="0" w:after="160"/>
        <w:contextualSpacing/>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Increase the range of services for people with dementia and their carers</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The UK Government have also introduced plans and initiatives targeting dementia. One of these was set forth in 2022, when the health secretary Sajid Javid announced a “10-year plan for dementia” (Gov.uk, 2022). Adding to the previously mentioned Challenge on Dementia 2020 policy, this plan has intentions to add to the already committed £375 million to dementia research along with providing “record funding” to reduce the NHS COVID-19 backlog to allow for better care for others such as dementia patients. It is expected that these implementations will reduce the dementia cases that are seen as “preventable”, which is believed to be up to 40% of dementia cases in the UK. When this plan was announced during the Alzheimer's Society Conference 2022, Javid made emphasis of this plan will focus on “new medicines and emerging science and technology can be harnessed to improve outcomes for dementia patients across the country.”</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Most recently, the government announced their Major Conditions Strategy. Benham-Hermetz (2023) reported on the announcement of this plan and spoke of its promising aspects.</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bCs/>
          <w:i/>
          <w:iCs/>
          <w:caps w:val="false"/>
          <w:smallCaps w:val="false"/>
          <w:color w:val="000000" w:themeColor="text1" w:themeShade="ff" w:themeTint="ff"/>
          <w:sz w:val="24"/>
          <w:szCs w:val="24"/>
          <w:lang w:val="en-GB"/>
        </w:rPr>
        <w:tab/>
        <w:t>Prevention</w:t>
      </w:r>
    </w:p>
    <w:p>
      <w:pPr>
        <w:pStyle w:val="Normal"/>
        <w:spacing w:lineRule="auto" w:line="259" w:before="0" w:after="160"/>
        <w:ind w:left="0" w:firstLine="72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One key discussion point is the goal of promoting brain health and prioritising prevention by promoting healthier lifestyles. Benham-Hermetz also brough it to attention that this protective measure will also save money on treatment, if effective, and reported that the economy could be saved up to £1.9 billion per year as cases of dementia could reduce by 10%. </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bCs/>
          <w:i/>
          <w:iCs/>
          <w:caps w:val="false"/>
          <w:smallCaps w:val="false"/>
          <w:color w:val="000000" w:themeColor="text1" w:themeShade="ff" w:themeTint="ff"/>
          <w:sz w:val="24"/>
          <w:szCs w:val="24"/>
          <w:lang w:val="en-GB"/>
        </w:rPr>
        <w:tab/>
        <w:t>Diagnosis</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ab/>
        <w:t>This plan also shows promise for a shift towards early detection and diagnosis of dementia as has been prioritised for conditions like cancer in the past. This would then lead to more effective implementation of treatment.</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bCs/>
          <w:i/>
          <w:iCs/>
          <w:caps w:val="false"/>
          <w:smallCaps w:val="false"/>
          <w:color w:val="000000" w:themeColor="text1" w:themeShade="ff" w:themeTint="ff"/>
          <w:sz w:val="24"/>
          <w:szCs w:val="24"/>
          <w:lang w:val="en-GB"/>
        </w:rPr>
        <w:tab/>
        <w:t>New Treatments</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ab/>
        <w:t xml:space="preserve">Benham-Hermetz mentions how there are 150 new potential drug treatments for dementia. The potential lies with the prep for these new therapies. The goal would be to create a plan “in tandem” with the NHS to allow for the quickest possible implementation of these new therapies to allow for a great and swift improvement to the lives of dementia patients across the UK. </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ab/>
        <w:t>Looking at all of the policies, plans and goals previously mentioned for the treatment of dementia, it highlights the severity of the issue in the UK alone. The fact that the Government is willing to pour over £300 million in four years into research and £34.7 billion per year on treatment for this neurological disease (Alzheimer’s society, 2021) shows how seriously this is being taken as a growing disease that effects more and more as the ageing population grows more and more as the general population reaches hights it has never seen before. Although there are care provisions provided, the constant need for more plans to improve the lives of dementia patients shows that it is, in its current state, not enough and thus more research towards care provisions that can not only reduce the effects of dementia, but hopefully improve the cognitive abilities of these patients.</w:t>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rFonts w:ascii="Arial" w:hAnsi="Arial" w:eastAsia="Arial" w:cs="Arial"/>
          <w:b/>
          <w:b/>
          <w:bCs/>
          <w:i w:val="false"/>
          <w:i w:val="false"/>
          <w:iCs w:val="false"/>
          <w:caps w:val="false"/>
          <w:smallCaps w:val="false"/>
          <w:strike w:val="false"/>
          <w:dstrike w:val="false"/>
          <w:color w:val="000000" w:themeColor="text1" w:themeShade="ff" w:themeTint="ff"/>
          <w:sz w:val="24"/>
          <w:szCs w:val="24"/>
          <w:u w:val="single"/>
          <w:lang w:val="en-GB"/>
        </w:rPr>
      </w:pPr>
      <w:r>
        <w:rPr/>
      </w:r>
    </w:p>
    <w:p>
      <w:pPr>
        <w:pStyle w:val="Normal"/>
        <w:spacing w:lineRule="auto" w:line="259" w:before="0" w:after="160"/>
        <w:ind w:left="0" w:hanging="0"/>
        <w:jc w:val="left"/>
        <w:rPr/>
      </w:pPr>
      <w:r>
        <w:rPr>
          <w:rFonts w:eastAsia="Arial" w:cs="Arial" w:ascii="Arial" w:hAnsi="Arial"/>
          <w:b/>
          <w:bCs/>
          <w:i w:val="false"/>
          <w:iCs w:val="false"/>
          <w:caps w:val="false"/>
          <w:smallCaps w:val="false"/>
          <w:strike w:val="false"/>
          <w:dstrike w:val="false"/>
          <w:color w:val="000000" w:themeColor="text1" w:themeShade="ff" w:themeTint="ff"/>
          <w:sz w:val="24"/>
          <w:szCs w:val="24"/>
          <w:u w:val="single"/>
          <w:lang w:val="en-GB"/>
        </w:rPr>
        <w:t>References</w:t>
      </w:r>
    </w:p>
    <w:p>
      <w:pPr>
        <w:pStyle w:val="Normal"/>
        <w:spacing w:lineRule="auto" w:line="259" w:before="0" w:after="160"/>
        <w:rPr/>
      </w:pPr>
      <w:r>
        <w:rPr>
          <w:rFonts w:eastAsia="Arial" w:cs="Arial" w:ascii="Arial" w:hAnsi="Arial"/>
          <w:b w:val="false"/>
          <w:bCs w:val="false"/>
          <w:i w:val="false"/>
          <w:iCs w:val="false"/>
          <w:caps w:val="false"/>
          <w:smallCaps w:val="false"/>
          <w:color w:val="000000" w:themeColor="text1" w:themeShade="ff" w:themeTint="ff"/>
          <w:sz w:val="24"/>
          <w:szCs w:val="24"/>
          <w:lang w:val="en-GB"/>
        </w:rPr>
        <w:tab/>
        <w:t xml:space="preserve">Alzheimer’s Society (2021). </w:t>
      </w:r>
      <w:r>
        <w:rPr>
          <w:rFonts w:eastAsia="Arial" w:cs="Arial" w:ascii="Arial" w:hAnsi="Arial"/>
          <w:b w:val="false"/>
          <w:bCs w:val="false"/>
          <w:i/>
          <w:iCs/>
          <w:caps w:val="false"/>
          <w:smallCaps w:val="false"/>
          <w:color w:val="000000" w:themeColor="text1" w:themeShade="ff" w:themeTint="ff"/>
          <w:sz w:val="24"/>
          <w:szCs w:val="24"/>
          <w:lang w:val="en-GB"/>
        </w:rPr>
        <w:t>‘How Much Does Dementia Care Cost?’</w:t>
      </w: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 Alzheimer’s Society. Available at: </w:t>
      </w:r>
      <w:r>
        <w:fldChar w:fldCharType="begin"/>
      </w:r>
      <w:r>
        <w:rPr>
          <w:rStyle w:val="InternetLink"/>
          <w:smallCaps w:val="false"/>
          <w:caps w:val="false"/>
          <w:dstrike w:val="false"/>
          <w:strike w:val="false"/>
          <w:sz w:val="24"/>
          <w:i w:val="false"/>
          <w:b w:val="false"/>
          <w:szCs w:val="24"/>
          <w:iCs w:val="false"/>
          <w:bCs w:val="false"/>
          <w:rFonts w:eastAsia="Arial" w:cs="Arial" w:ascii="Arial" w:hAnsi="Arial"/>
        </w:rPr>
        <w:instrText> HYPERLINK "https://www.alzheimers.org.uk/blog/how-much-does-dementia-care-cost" \l ":~:text=The cost of dementia to,32%2C250 per person with dementia"</w:instrText>
      </w:r>
      <w:r>
        <w:rPr>
          <w:rStyle w:val="InternetLink"/>
          <w:smallCaps w:val="false"/>
          <w:caps w:val="false"/>
          <w:dstrike w:val="false"/>
          <w:strike w:val="false"/>
          <w:sz w:val="24"/>
          <w:i w:val="false"/>
          <w:b w:val="false"/>
          <w:szCs w:val="24"/>
          <w:iCs w:val="false"/>
          <w:bCs w:val="false"/>
          <w:rFonts w:eastAsia="Arial" w:cs="Arial" w:ascii="Arial" w:hAnsi="Arial"/>
        </w:rPr>
        <w:fldChar w:fldCharType="separate"/>
      </w:r>
      <w:r>
        <w:rPr>
          <w:rStyle w:val="InternetLink"/>
          <w:rFonts w:eastAsia="Arial" w:cs="Arial" w:ascii="Arial" w:hAnsi="Arial"/>
          <w:b w:val="false"/>
          <w:bCs w:val="false"/>
          <w:i w:val="false"/>
          <w:iCs w:val="false"/>
          <w:caps w:val="false"/>
          <w:smallCaps w:val="false"/>
          <w:strike w:val="false"/>
          <w:dstrike w:val="false"/>
          <w:sz w:val="24"/>
          <w:szCs w:val="24"/>
          <w:lang w:val="en-GB"/>
        </w:rPr>
        <w:t>https://www.alzheimers.org.uk/blog/how-much-does-dementia-care-cost#:~:text=The%20cost%20of%20dementia%20to,32%2C250%20per%20person%20with%20dementia</w:t>
      </w:r>
      <w:r>
        <w:rPr>
          <w:rStyle w:val="InternetLink"/>
          <w:smallCaps w:val="false"/>
          <w:caps w:val="false"/>
          <w:dstrike w:val="false"/>
          <w:strike w:val="false"/>
          <w:sz w:val="24"/>
          <w:i w:val="false"/>
          <w:b w:val="false"/>
          <w:szCs w:val="24"/>
          <w:iCs w:val="false"/>
          <w:bCs w:val="false"/>
          <w:rFonts w:eastAsia="Arial" w:cs="Arial" w:ascii="Arial" w:hAnsi="Arial"/>
        </w:rPr>
        <w:fldChar w:fldCharType="end"/>
      </w:r>
      <w:r>
        <w:rPr>
          <w:rFonts w:eastAsia="Arial" w:cs="Arial" w:ascii="Arial" w:hAnsi="Arial"/>
          <w:b w:val="false"/>
          <w:bCs w:val="false"/>
          <w:i w:val="false"/>
          <w:iCs w:val="false"/>
          <w:caps w:val="false"/>
          <w:smallCaps w:val="false"/>
          <w:color w:val="000000" w:themeColor="text1" w:themeShade="ff" w:themeTint="ff"/>
          <w:sz w:val="24"/>
          <w:szCs w:val="24"/>
          <w:lang w:val="en-GB"/>
        </w:rPr>
        <w:t>. Accessed on December 15</w:t>
      </w:r>
      <w:r>
        <w:rPr>
          <w:rFonts w:eastAsia="Arial" w:cs="Arial" w:ascii="Arial" w:hAnsi="Arial"/>
          <w:b w:val="false"/>
          <w:bCs w:val="false"/>
          <w:i w:val="false"/>
          <w:iCs w:val="false"/>
          <w:caps w:val="false"/>
          <w:smallCaps w:val="false"/>
          <w:color w:val="000000" w:themeColor="text1" w:themeShade="ff" w:themeTint="ff"/>
          <w:sz w:val="24"/>
          <w:szCs w:val="24"/>
          <w:vertAlign w:val="superscript"/>
          <w:lang w:val="en-GB"/>
        </w:rPr>
        <w:t>th</w:t>
      </w:r>
      <w:r>
        <w:rPr>
          <w:rFonts w:eastAsia="Arial" w:cs="Arial" w:ascii="Arial" w:hAnsi="Arial"/>
          <w:b w:val="false"/>
          <w:bCs w:val="false"/>
          <w:i w:val="false"/>
          <w:iCs w:val="false"/>
          <w:caps w:val="false"/>
          <w:smallCaps w:val="false"/>
          <w:color w:val="000000" w:themeColor="text1" w:themeShade="ff" w:themeTint="ff"/>
          <w:sz w:val="24"/>
          <w:szCs w:val="24"/>
          <w:lang w:val="en-GB"/>
        </w:rPr>
        <w:t>, 2023.</w:t>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r>
    </w:p>
    <w:p>
      <w:pPr>
        <w:pStyle w:val="Normal"/>
        <w:spacing w:lineRule="auto" w:line="259" w:before="0" w:after="160"/>
        <w:rPr/>
      </w:pPr>
      <w:r>
        <w:rPr>
          <w:rFonts w:eastAsia="Arial" w:cs="Arial" w:ascii="Arial" w:hAnsi="Arial"/>
          <w:b w:val="false"/>
          <w:bCs w:val="false"/>
          <w:i w:val="false"/>
          <w:iCs w:val="false"/>
          <w:caps w:val="false"/>
          <w:smallCaps w:val="false"/>
          <w:color w:val="000000" w:themeColor="text1" w:themeShade="ff" w:themeTint="ff"/>
          <w:sz w:val="24"/>
          <w:szCs w:val="24"/>
          <w:lang w:val="en-GB"/>
        </w:rPr>
        <w:tab/>
        <w:t xml:space="preserve">Alzheimer’s Society (2021). </w:t>
      </w:r>
      <w:r>
        <w:rPr>
          <w:rFonts w:eastAsia="Arial" w:cs="Arial" w:ascii="Arial" w:hAnsi="Arial"/>
          <w:b w:val="false"/>
          <w:bCs w:val="false"/>
          <w:i/>
          <w:iCs/>
          <w:caps w:val="false"/>
          <w:smallCaps w:val="false"/>
          <w:color w:val="000000" w:themeColor="text1" w:themeShade="ff" w:themeTint="ff"/>
          <w:sz w:val="24"/>
          <w:szCs w:val="24"/>
          <w:lang w:val="en-GB"/>
        </w:rPr>
        <w:t>‘What are the Costs of Dementia care in the UK?’</w:t>
      </w: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 Alzheimer’s Society. Available at: </w:t>
      </w:r>
      <w:hyperlink r:id="rId2">
        <w:r>
          <w:rPr>
            <w:rStyle w:val="InternetLink"/>
            <w:rFonts w:eastAsia="Arial" w:cs="Arial" w:ascii="Arial" w:hAnsi="Arial"/>
            <w:b w:val="false"/>
            <w:bCs w:val="false"/>
            <w:i w:val="false"/>
            <w:iCs w:val="false"/>
            <w:caps w:val="false"/>
            <w:smallCaps w:val="false"/>
            <w:strike w:val="false"/>
            <w:dstrike w:val="false"/>
            <w:sz w:val="24"/>
            <w:szCs w:val="24"/>
            <w:lang w:val="en-GB"/>
          </w:rPr>
          <w:t>https://www.alzheimers.org.uk/about-us/policy-and-influencing/dementia-scale-impact-numbers</w:t>
        </w:r>
      </w:hyperlink>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 Accessed on December 14</w:t>
      </w:r>
      <w:r>
        <w:rPr>
          <w:rFonts w:eastAsia="Arial" w:cs="Arial" w:ascii="Arial" w:hAnsi="Arial"/>
          <w:b w:val="false"/>
          <w:bCs w:val="false"/>
          <w:i w:val="false"/>
          <w:iCs w:val="false"/>
          <w:caps w:val="false"/>
          <w:smallCaps w:val="false"/>
          <w:color w:val="000000" w:themeColor="text1" w:themeShade="ff" w:themeTint="ff"/>
          <w:sz w:val="24"/>
          <w:szCs w:val="24"/>
          <w:vertAlign w:val="superscript"/>
          <w:lang w:val="en-GB"/>
        </w:rPr>
        <w:t>th</w:t>
      </w:r>
      <w:r>
        <w:rPr>
          <w:rFonts w:eastAsia="Arial" w:cs="Arial" w:ascii="Arial" w:hAnsi="Arial"/>
          <w:b w:val="false"/>
          <w:bCs w:val="false"/>
          <w:i w:val="false"/>
          <w:iCs w:val="false"/>
          <w:caps w:val="false"/>
          <w:smallCaps w:val="false"/>
          <w:color w:val="000000" w:themeColor="text1" w:themeShade="ff" w:themeTint="ff"/>
          <w:sz w:val="24"/>
          <w:szCs w:val="24"/>
          <w:lang w:val="en-GB"/>
        </w:rPr>
        <w:t>, 2023.</w:t>
      </w:r>
    </w:p>
    <w:p>
      <w:pPr>
        <w:pStyle w:val="Normal"/>
        <w:spacing w:lineRule="auto" w:line="259" w:before="0" w:after="160"/>
        <w:ind w:left="0" w:hanging="0"/>
        <w:jc w:val="left"/>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r>
    </w:p>
    <w:p>
      <w:pPr>
        <w:pStyle w:val="Normal"/>
        <w:keepNext w:val="true"/>
        <w:keepLines/>
        <w:spacing w:lineRule="auto" w:line="259" w:before="240" w:after="0"/>
        <w:rPr/>
      </w:pPr>
      <w:r>
        <w:rPr>
          <w:rFonts w:ascii="Arial" w:hAnsi="Arial"/>
        </w:rPr>
        <w:t>Benham-Hermetz (2023). ‘The Government’s ‘Major Conditions Strategy’ Must Deliver for People with Dementia’. Alzheimer’s Research UK. Available at:</w:t>
      </w:r>
      <w:r>
        <w:rPr/>
        <w:t xml:space="preserve"> </w:t>
      </w:r>
      <w:hyperlink r:id="rId3">
        <w:r>
          <w:rPr>
            <w:rStyle w:val="InternetLink"/>
            <w:rFonts w:eastAsia="Arial" w:cs="Arial" w:ascii="Arial" w:hAnsi="Arial"/>
            <w:b w:val="false"/>
            <w:bCs w:val="false"/>
            <w:i w:val="false"/>
            <w:iCs w:val="false"/>
            <w:caps w:val="false"/>
            <w:smallCaps w:val="false"/>
            <w:strike w:val="false"/>
            <w:dstrike w:val="false"/>
            <w:sz w:val="24"/>
            <w:szCs w:val="24"/>
            <w:lang w:val="en-GB"/>
          </w:rPr>
          <w:t>https://www.alzheimersresearchuk.org/blog/the-governments-major-conditions-strategy-must-deliver-for-people-with-dementia/</w:t>
        </w:r>
      </w:hyperlink>
      <w:r>
        <w:rPr/>
        <w:t xml:space="preserve"> </w:t>
      </w:r>
      <w:r>
        <w:rPr>
          <w:rFonts w:ascii="Arial" w:hAnsi="Arial"/>
        </w:rPr>
        <w:t>Accessed on December 14th, 2023.</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GB"/>
        </w:rPr>
      </w:pPr>
      <w:r>
        <w:rPr>
          <w:rFonts w:eastAsia="Calibri" w:cs="Calibri" w:ascii="Calibri" w:hAnsi="Calibri"/>
          <w:b w:val="false"/>
          <w:bCs w:val="false"/>
          <w:i w:val="false"/>
          <w:iCs w:val="false"/>
          <w:caps w:val="false"/>
          <w:smallCaps w:val="false"/>
          <w:color w:val="000000" w:themeColor="text1" w:themeShade="ff" w:themeTint="ff"/>
          <w:sz w:val="22"/>
          <w:szCs w:val="22"/>
          <w:lang w:val="en-GB"/>
        </w:rPr>
      </w:r>
    </w:p>
    <w:p>
      <w:pPr>
        <w:pStyle w:val="Normal"/>
        <w:spacing w:lineRule="auto" w:line="259" w:before="0" w:after="160"/>
        <w:ind w:firstLine="720"/>
        <w:rPr/>
      </w:pP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Dementia UK (2023). </w:t>
      </w:r>
      <w:r>
        <w:rPr>
          <w:rFonts w:eastAsia="Arial" w:cs="Arial" w:ascii="Arial" w:hAnsi="Arial"/>
          <w:b w:val="false"/>
          <w:bCs w:val="false"/>
          <w:i/>
          <w:iCs/>
          <w:caps w:val="false"/>
          <w:smallCaps w:val="false"/>
          <w:color w:val="000000" w:themeColor="text1" w:themeShade="ff" w:themeTint="ff"/>
          <w:sz w:val="24"/>
          <w:szCs w:val="24"/>
          <w:lang w:val="en-GB"/>
        </w:rPr>
        <w:t>‘Young Onset dementia :Facts and Figures’</w:t>
      </w: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 Dementia UK. Available at: </w:t>
      </w:r>
      <w:hyperlink r:id="rId4">
        <w:r>
          <w:rPr>
            <w:rStyle w:val="InternetLink"/>
            <w:rFonts w:eastAsia="Arial" w:cs="Arial" w:ascii="Arial" w:hAnsi="Arial"/>
            <w:b w:val="false"/>
            <w:bCs w:val="false"/>
            <w:i w:val="false"/>
            <w:iCs w:val="false"/>
            <w:caps w:val="false"/>
            <w:smallCaps w:val="false"/>
            <w:strike w:val="false"/>
            <w:dstrike w:val="false"/>
            <w:sz w:val="24"/>
            <w:szCs w:val="24"/>
            <w:lang w:val="en-GB"/>
          </w:rPr>
          <w:t>https://www.dementiauk.org/information-and-support/young-onset-dementia/young-onset-dementia-facts-and-figures/</w:t>
        </w:r>
      </w:hyperlink>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 Accessed on December 13</w:t>
      </w:r>
      <w:r>
        <w:rPr>
          <w:rFonts w:eastAsia="Arial" w:cs="Arial" w:ascii="Arial" w:hAnsi="Arial"/>
          <w:b w:val="false"/>
          <w:bCs w:val="false"/>
          <w:i w:val="false"/>
          <w:iCs w:val="false"/>
          <w:caps w:val="false"/>
          <w:smallCaps w:val="false"/>
          <w:color w:val="000000" w:themeColor="text1" w:themeShade="ff" w:themeTint="ff"/>
          <w:sz w:val="24"/>
          <w:szCs w:val="24"/>
          <w:vertAlign w:val="superscript"/>
          <w:lang w:val="en-GB"/>
        </w:rPr>
        <w:t>th</w:t>
      </w:r>
      <w:r>
        <w:rPr>
          <w:rFonts w:eastAsia="Arial" w:cs="Arial" w:ascii="Arial" w:hAnsi="Arial"/>
          <w:b w:val="false"/>
          <w:bCs w:val="false"/>
          <w:i w:val="false"/>
          <w:iCs w:val="false"/>
          <w:caps w:val="false"/>
          <w:smallCaps w:val="false"/>
          <w:color w:val="000000" w:themeColor="text1" w:themeShade="ff" w:themeTint="ff"/>
          <w:sz w:val="24"/>
          <w:szCs w:val="24"/>
          <w:lang w:val="en-GB"/>
        </w:rPr>
        <w:t>, 2023.</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GB"/>
        </w:rPr>
      </w:pPr>
      <w:r>
        <w:rPr>
          <w:rFonts w:eastAsia="Calibri" w:cs="Calibri" w:ascii="Calibri" w:hAnsi="Calibri"/>
          <w:b w:val="false"/>
          <w:bCs w:val="false"/>
          <w:i w:val="false"/>
          <w:iCs w:val="false"/>
          <w:caps w:val="false"/>
          <w:smallCaps w:val="false"/>
          <w:color w:val="000000" w:themeColor="text1" w:themeShade="ff" w:themeTint="ff"/>
          <w:sz w:val="22"/>
          <w:szCs w:val="22"/>
          <w:lang w:val="en-GB"/>
        </w:rPr>
      </w:r>
    </w:p>
    <w:p>
      <w:pPr>
        <w:pStyle w:val="Normal"/>
        <w:keepNext w:val="true"/>
        <w:keepLines/>
        <w:spacing w:lineRule="auto" w:line="259" w:before="240" w:after="0"/>
        <w:rPr/>
      </w:pPr>
      <w:r>
        <w:rPr>
          <w:rFonts w:ascii="Arial" w:hAnsi="Arial"/>
        </w:rPr>
        <w:t>Javid (2022). ‘Health and Social Care Secretary Sajid Javid speech at Alzheimer's Society 2022 conference’. Department of Health and Social care. Available at:</w:t>
      </w:r>
      <w:r>
        <w:rPr/>
        <w:t xml:space="preserve"> </w:t>
      </w:r>
      <w:hyperlink r:id="rId5">
        <w:r>
          <w:rPr>
            <w:rStyle w:val="InternetLink"/>
            <w:rFonts w:eastAsia="Arial" w:cs="Arial" w:ascii="Arial" w:hAnsi="Arial"/>
            <w:b w:val="false"/>
            <w:bCs w:val="false"/>
            <w:i w:val="false"/>
            <w:iCs w:val="false"/>
            <w:caps w:val="false"/>
            <w:smallCaps w:val="false"/>
            <w:strike w:val="false"/>
            <w:dstrike w:val="false"/>
            <w:sz w:val="24"/>
            <w:szCs w:val="24"/>
            <w:lang w:val="en-GB"/>
          </w:rPr>
          <w:t>https://www.gov.uk/government/speeches/health-and-social-care-secretary-sajid-javid-speech-at-alzheimers-society-2022-conference</w:t>
        </w:r>
      </w:hyperlink>
      <w:r>
        <w:rPr/>
        <w:t xml:space="preserve"> </w:t>
      </w:r>
      <w:r>
        <w:rPr>
          <w:rFonts w:ascii="Arial" w:hAnsi="Arial"/>
        </w:rPr>
        <w:t>Accessed on December 14th, 2023</w:t>
      </w:r>
      <w:r>
        <w:rPr/>
        <w:t>.</w:t>
      </w:r>
    </w:p>
    <w:p>
      <w:pPr>
        <w:pStyle w:val="Normal"/>
        <w:spacing w:lineRule="auto" w:line="259" w:before="0" w:after="160"/>
        <w:rPr>
          <w:rFonts w:ascii="Calibri" w:hAnsi="Calibri" w:eastAsia="Calibri" w:cs="Calibri"/>
          <w:b w:val="false"/>
          <w:b w:val="false"/>
          <w:bCs w:val="false"/>
          <w:i w:val="false"/>
          <w:i w:val="false"/>
          <w:iCs w:val="false"/>
          <w:caps w:val="false"/>
          <w:smallCaps w:val="false"/>
          <w:color w:val="000000" w:themeColor="text1" w:themeShade="ff" w:themeTint="ff"/>
          <w:sz w:val="22"/>
          <w:szCs w:val="22"/>
          <w:lang w:val="en-GB"/>
        </w:rPr>
      </w:pPr>
      <w:r>
        <w:rPr>
          <w:rFonts w:eastAsia="Calibri" w:cs="Calibri" w:ascii="Calibri" w:hAnsi="Calibri"/>
          <w:b w:val="false"/>
          <w:bCs w:val="false"/>
          <w:i w:val="false"/>
          <w:iCs w:val="false"/>
          <w:caps w:val="false"/>
          <w:smallCaps w:val="false"/>
          <w:color w:val="000000" w:themeColor="text1" w:themeShade="ff" w:themeTint="ff"/>
          <w:sz w:val="22"/>
          <w:szCs w:val="22"/>
          <w:lang w:val="en-GB"/>
        </w:rPr>
      </w:r>
    </w:p>
    <w:p>
      <w:pPr>
        <w:pStyle w:val="Normal"/>
        <w:spacing w:lineRule="auto" w:line="259" w:before="0" w:after="160"/>
        <w:rPr/>
      </w:pP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Parkin and Baker (2021). </w:t>
      </w:r>
      <w:r>
        <w:rPr>
          <w:rFonts w:eastAsia="Arial" w:cs="Arial" w:ascii="Arial" w:hAnsi="Arial"/>
          <w:b w:val="false"/>
          <w:bCs w:val="false"/>
          <w:i/>
          <w:iCs/>
          <w:caps w:val="false"/>
          <w:smallCaps w:val="false"/>
          <w:color w:val="000000" w:themeColor="text1" w:themeShade="ff" w:themeTint="ff"/>
          <w:sz w:val="24"/>
          <w:szCs w:val="24"/>
          <w:lang w:val="en-GB"/>
        </w:rPr>
        <w:t>‘Dementia: Policy, Services and Statistics’</w:t>
      </w: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 House of Commons Library, Briefing Paper Number 07007. Available at: </w:t>
      </w:r>
      <w:hyperlink r:id="rId6">
        <w:r>
          <w:rPr>
            <w:rStyle w:val="InternetLink"/>
            <w:rFonts w:eastAsia="Arial" w:cs="Arial" w:ascii="Arial" w:hAnsi="Arial"/>
            <w:b w:val="false"/>
            <w:bCs w:val="false"/>
            <w:i w:val="false"/>
            <w:iCs w:val="false"/>
            <w:caps w:val="false"/>
            <w:smallCaps w:val="false"/>
            <w:strike w:val="false"/>
            <w:dstrike w:val="false"/>
            <w:sz w:val="24"/>
            <w:szCs w:val="24"/>
            <w:lang w:val="en-GB"/>
          </w:rPr>
          <w:t>https://researchbriefings.files.parliament.uk/documents/SN07007/SN07007.pdf</w:t>
        </w:r>
      </w:hyperlink>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 Accessed on December 15</w:t>
      </w:r>
      <w:r>
        <w:rPr>
          <w:rFonts w:eastAsia="Arial" w:cs="Arial" w:ascii="Arial" w:hAnsi="Arial"/>
          <w:b w:val="false"/>
          <w:bCs w:val="false"/>
          <w:i w:val="false"/>
          <w:iCs w:val="false"/>
          <w:caps w:val="false"/>
          <w:smallCaps w:val="false"/>
          <w:color w:val="000000" w:themeColor="text1" w:themeShade="ff" w:themeTint="ff"/>
          <w:sz w:val="24"/>
          <w:szCs w:val="24"/>
          <w:vertAlign w:val="superscript"/>
          <w:lang w:val="en-GB"/>
        </w:rPr>
        <w:t>th</w:t>
      </w:r>
      <w:r>
        <w:rPr>
          <w:rFonts w:eastAsia="Arial" w:cs="Arial" w:ascii="Arial" w:hAnsi="Arial"/>
          <w:b w:val="false"/>
          <w:bCs w:val="false"/>
          <w:i w:val="false"/>
          <w:iCs w:val="false"/>
          <w:caps w:val="false"/>
          <w:smallCaps w:val="false"/>
          <w:color w:val="000000" w:themeColor="text1" w:themeShade="ff" w:themeTint="ff"/>
          <w:sz w:val="24"/>
          <w:szCs w:val="24"/>
          <w:lang w:val="en-GB"/>
        </w:rPr>
        <w:t>, 2023.</w:t>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r>
    </w:p>
    <w:p>
      <w:pPr>
        <w:pStyle w:val="Normal"/>
        <w:spacing w:lineRule="auto" w:line="259" w:before="0" w:after="160"/>
        <w:rPr/>
      </w:pP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Wittenberg et al (2021). </w:t>
      </w:r>
      <w:r>
        <w:rPr>
          <w:rFonts w:eastAsia="Arial" w:cs="Arial" w:ascii="Arial" w:hAnsi="Arial"/>
          <w:b w:val="false"/>
          <w:bCs w:val="false"/>
          <w:i/>
          <w:iCs/>
          <w:caps w:val="false"/>
          <w:smallCaps w:val="false"/>
          <w:color w:val="000000" w:themeColor="text1" w:themeShade="ff" w:themeTint="ff"/>
          <w:sz w:val="24"/>
          <w:szCs w:val="24"/>
          <w:lang w:val="en-GB"/>
        </w:rPr>
        <w:t>‘Projections of older people with dementia and costs of dementia care in the United Kingdom, 2019–2040’</w:t>
      </w:r>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 The London School of Economics and Political Science, Care Policy and Evaluation Centre. Available at </w:t>
      </w:r>
      <w:hyperlink r:id="rId7">
        <w:r>
          <w:rPr>
            <w:rStyle w:val="InternetLink"/>
            <w:rFonts w:eastAsia="Arial" w:cs="Arial" w:ascii="Arial" w:hAnsi="Arial"/>
            <w:b w:val="false"/>
            <w:bCs w:val="false"/>
            <w:i w:val="false"/>
            <w:iCs w:val="false"/>
            <w:caps w:val="false"/>
            <w:smallCaps w:val="false"/>
            <w:strike w:val="false"/>
            <w:dstrike w:val="false"/>
            <w:sz w:val="24"/>
            <w:szCs w:val="24"/>
            <w:lang w:val="en-GB"/>
          </w:rPr>
          <w:t>https://www.yhscn.nhs.uk/media/PDFs/mhdn/Dementia/Bulletin/2019/December%202019/cpec_report_november_2019.pdf</w:t>
        </w:r>
      </w:hyperlink>
      <w:r>
        <w:rPr>
          <w:rFonts w:eastAsia="Arial" w:cs="Arial" w:ascii="Arial" w:hAnsi="Arial"/>
          <w:b w:val="false"/>
          <w:bCs w:val="false"/>
          <w:i w:val="false"/>
          <w:iCs w:val="false"/>
          <w:caps w:val="false"/>
          <w:smallCaps w:val="false"/>
          <w:color w:val="000000" w:themeColor="text1" w:themeShade="ff" w:themeTint="ff"/>
          <w:sz w:val="24"/>
          <w:szCs w:val="24"/>
          <w:lang w:val="en-GB"/>
        </w:rPr>
        <w:t xml:space="preserve"> Accessed on December 15</w:t>
      </w:r>
      <w:r>
        <w:rPr>
          <w:rFonts w:eastAsia="Arial" w:cs="Arial" w:ascii="Arial" w:hAnsi="Arial"/>
          <w:b w:val="false"/>
          <w:bCs w:val="false"/>
          <w:i w:val="false"/>
          <w:iCs w:val="false"/>
          <w:caps w:val="false"/>
          <w:smallCaps w:val="false"/>
          <w:color w:val="000000" w:themeColor="text1" w:themeShade="ff" w:themeTint="ff"/>
          <w:sz w:val="24"/>
          <w:szCs w:val="24"/>
          <w:vertAlign w:val="superscript"/>
          <w:lang w:val="en-GB"/>
        </w:rPr>
        <w:t>th</w:t>
      </w:r>
      <w:r>
        <w:rPr>
          <w:rFonts w:eastAsia="Arial" w:cs="Arial" w:ascii="Arial" w:hAnsi="Arial"/>
          <w:b w:val="false"/>
          <w:bCs w:val="false"/>
          <w:i w:val="false"/>
          <w:iCs w:val="false"/>
          <w:caps w:val="false"/>
          <w:smallCaps w:val="false"/>
          <w:color w:val="000000" w:themeColor="text1" w:themeShade="ff" w:themeTint="ff"/>
          <w:sz w:val="24"/>
          <w:szCs w:val="24"/>
          <w:lang w:val="en-GB"/>
        </w:rPr>
        <w:t>, 2023.</w:t>
      </w:r>
    </w:p>
    <w:p>
      <w:pPr>
        <w:pStyle w:val="SMUARIAL14BOLD"/>
        <w:spacing w:before="0" w:after="0"/>
        <w:jc w:val="center"/>
        <w:rPr/>
      </w:pPr>
      <w:r>
        <w:rPr/>
      </w:r>
    </w:p>
    <w:p>
      <w:pPr>
        <w:pStyle w:val="SMUARIAL14BOLD"/>
        <w:spacing w:before="0" w:after="0"/>
        <w:jc w:val="center"/>
        <w:rPr/>
      </w:pPr>
      <w:r>
        <w:rPr/>
      </w:r>
    </w:p>
    <w:p>
      <w:pPr>
        <w:pStyle w:val="SMUARIAL14BOLD"/>
        <w:spacing w:before="0" w:after="0"/>
        <w:jc w:val="center"/>
        <w:rPr/>
      </w:pPr>
      <w:r>
        <w:rPr/>
      </w:r>
    </w:p>
    <w:p>
      <w:pPr>
        <w:pStyle w:val="SMUARIAL14BOLD"/>
        <w:spacing w:before="0" w:after="0"/>
        <w:jc w:val="center"/>
        <w:rPr/>
      </w:pPr>
      <w:r>
        <w:rPr/>
      </w:r>
    </w:p>
    <w:p>
      <w:pPr>
        <w:pStyle w:val="SMUARIAL14BOLD"/>
        <w:spacing w:before="0" w:after="0"/>
        <w:jc w:val="center"/>
        <w:rPr/>
      </w:pPr>
      <w:r>
        <w:rPr/>
      </w:r>
    </w:p>
    <w:p>
      <w:pPr>
        <w:pStyle w:val="SMUARIAL14BOLD"/>
        <w:spacing w:before="0" w:after="0"/>
        <w:jc w:val="center"/>
        <w:rPr/>
      </w:pPr>
      <w:r>
        <w:rPr/>
      </w:r>
    </w:p>
    <w:p>
      <w:pPr>
        <w:pStyle w:val="SMUARIAL14BOLD"/>
        <w:spacing w:before="0" w:after="0"/>
        <w:jc w:val="center"/>
        <w:rPr/>
      </w:pPr>
      <w:r>
        <w:rPr/>
        <w:drawing>
          <wp:inline distT="0" distB="0" distL="0" distR="0">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SD_logo2010"/>
                    <pic:cNvPicPr>
                      <a:picLocks noChangeAspect="1" noChangeArrowheads="1"/>
                    </pic:cNvPicPr>
                  </pic:nvPicPr>
                  <pic:blipFill>
                    <a:blip r:embed="rId8"/>
                    <a:stretch>
                      <a:fillRect/>
                    </a:stretch>
                  </pic:blipFill>
                  <pic:spPr bwMode="auto">
                    <a:xfrm>
                      <a:off x="0" y="0"/>
                      <a:ext cx="1798320" cy="741045"/>
                    </a:xfrm>
                    <a:prstGeom prst="rect">
                      <a:avLst/>
                    </a:prstGeom>
                  </pic:spPr>
                </pic:pic>
              </a:graphicData>
            </a:graphic>
          </wp:inline>
        </w:drawing>
      </w:r>
    </w:p>
    <w:p>
      <w:pPr>
        <w:pStyle w:val="SMUARIAL14BOLD"/>
        <w:spacing w:before="0" w:after="0"/>
        <w:jc w:val="center"/>
        <w:rPr/>
      </w:pPr>
      <w:r>
        <w:rPr/>
      </w:r>
    </w:p>
    <w:p>
      <w:pPr>
        <w:pStyle w:val="Normal"/>
        <w:spacing w:lineRule="auto" w:line="276"/>
        <w:jc w:val="center"/>
        <w:rPr>
          <w:rStyle w:val="Eop"/>
          <w:rFonts w:ascii="Arial" w:hAnsi="Arial" w:cs="Arial"/>
          <w:color w:val="000000"/>
          <w:sz w:val="22"/>
          <w:szCs w:val="22"/>
          <w:highlight w:val="white"/>
        </w:rPr>
      </w:pPr>
      <w:r>
        <w:rPr>
          <w:rStyle w:val="Normaltextrun"/>
          <w:rFonts w:cs="Arial" w:ascii="Arial" w:hAnsi="Arial"/>
          <w:b/>
          <w:bCs/>
          <w:color w:val="000000"/>
          <w:sz w:val="22"/>
          <w:szCs w:val="22"/>
          <w:shd w:fill="FFFFFF" w:val="clear"/>
        </w:rPr>
        <w:t>M6X02255 </w:t>
      </w:r>
      <w:r>
        <w:rPr>
          <w:rStyle w:val="Eop"/>
          <w:rFonts w:cs="Arial" w:ascii="Arial" w:hAnsi="Arial"/>
          <w:color w:val="000000"/>
          <w:sz w:val="22"/>
          <w:szCs w:val="22"/>
          <w:shd w:fill="FFFFFF" w:val="clear"/>
        </w:rPr>
        <w:t> </w:t>
      </w:r>
    </w:p>
    <w:p>
      <w:pPr>
        <w:pStyle w:val="Normal"/>
        <w:spacing w:lineRule="auto" w:line="276"/>
        <w:jc w:val="center"/>
        <w:rPr>
          <w:rFonts w:ascii="Arial" w:hAnsi="Arial" w:cs="Arial"/>
          <w:b/>
          <w:b/>
          <w:szCs w:val="8"/>
        </w:rPr>
      </w:pPr>
      <w:r>
        <w:rPr>
          <w:rStyle w:val="Normaltextrun"/>
          <w:rFonts w:cs="Arial" w:ascii="Arial" w:hAnsi="Arial"/>
          <w:b/>
          <w:bCs/>
          <w:color w:val="000000"/>
          <w:sz w:val="22"/>
          <w:szCs w:val="22"/>
          <w:shd w:fill="FFFFFF" w:val="clear"/>
        </w:rPr>
        <w:t>Mental health and the ageing population</w:t>
      </w:r>
      <w:r>
        <w:rPr>
          <w:rStyle w:val="Eop"/>
          <w:rFonts w:cs="Arial" w:ascii="Arial" w:hAnsi="Arial"/>
          <w:color w:val="000000"/>
          <w:sz w:val="22"/>
          <w:szCs w:val="22"/>
          <w:shd w:fill="FFFFFF" w:val="clear"/>
        </w:rPr>
        <w:t> </w:t>
      </w:r>
    </w:p>
    <w:p>
      <w:pPr>
        <w:pStyle w:val="Paragraph"/>
        <w:spacing w:beforeAutospacing="0" w:before="0" w:afterAutospacing="0" w:after="0"/>
        <w:jc w:val="both"/>
        <w:textAlignment w:val="baseline"/>
        <w:rPr>
          <w:rStyle w:val="Normaltextrun"/>
          <w:rFonts w:ascii="Arial" w:hAnsi="Arial" w:cs="Arial"/>
        </w:rPr>
      </w:pPr>
      <w:r>
        <w:rPr>
          <w:rFonts w:cs="Arial" w:ascii="Arial" w:hAnsi="Arial"/>
        </w:rPr>
      </w:r>
    </w:p>
    <w:tbl>
      <w:tblPr>
        <w:tblW w:w="10308" w:type="dxa"/>
        <w:jc w:val="left"/>
        <w:tblInd w:w="0" w:type="dxa"/>
        <w:tblCellMar>
          <w:top w:w="0" w:type="dxa"/>
          <w:left w:w="108" w:type="dxa"/>
          <w:bottom w:w="0" w:type="dxa"/>
          <w:right w:w="108" w:type="dxa"/>
        </w:tblCellMar>
        <w:tblLook w:firstRow="1" w:noVBand="0" w:lastRow="1" w:firstColumn="1" w:lastColumn="1" w:noHBand="0" w:val="01e0"/>
      </w:tblPr>
      <w:tblGrid>
        <w:gridCol w:w="10308"/>
      </w:tblGrid>
      <w:tr>
        <w:trPr/>
        <w:tc>
          <w:tcPr>
            <w:tcW w:w="10308" w:type="dxa"/>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b/>
                <w:b/>
                <w:bCs/>
                <w:sz w:val="20"/>
                <w:szCs w:val="20"/>
              </w:rPr>
            </w:pPr>
            <w:r>
              <w:rPr>
                <w:rFonts w:cs="Arial" w:ascii="Arial" w:hAnsi="Arial"/>
                <w:b/>
                <w:bCs/>
                <w:sz w:val="20"/>
                <w:szCs w:val="20"/>
              </w:rPr>
              <w:t xml:space="preserve">Suggested intervention title: </w:t>
            </w:r>
          </w:p>
          <w:p>
            <w:pPr>
              <w:pStyle w:val="Normal"/>
              <w:rPr>
                <w:rFonts w:ascii="Arial" w:hAnsi="Arial" w:cs="Arial"/>
                <w:b/>
                <w:b/>
                <w:bCs/>
                <w:sz w:val="24"/>
                <w:szCs w:val="24"/>
              </w:rPr>
            </w:pPr>
            <w:r>
              <w:rPr>
                <w:rFonts w:cs="Arial" w:ascii="Arial" w:hAnsi="Arial"/>
                <w:b/>
                <w:bCs/>
                <w:sz w:val="24"/>
                <w:szCs w:val="24"/>
              </w:rPr>
            </w:r>
          </w:p>
          <w:p>
            <w:pPr>
              <w:pStyle w:val="Normal"/>
              <w:rPr>
                <w:rFonts w:ascii="Arial" w:hAnsi="Arial" w:cs="Arial"/>
                <w:b/>
                <w:b/>
                <w:bCs/>
                <w:sz w:val="20"/>
                <w:szCs w:val="20"/>
              </w:rPr>
            </w:pPr>
            <w:r>
              <w:rPr>
                <w:rFonts w:cs="Arial" w:ascii="Arial" w:hAnsi="Arial"/>
                <w:b/>
                <w:bCs/>
                <w:sz w:val="24"/>
                <w:szCs w:val="24"/>
              </w:rPr>
              <w:t>Can Constant Support Animals Help Reduce Cognitive Decline in Dementia Patients?</w:t>
            </w:r>
          </w:p>
          <w:p>
            <w:pPr>
              <w:pStyle w:val="Normal"/>
              <w:rPr>
                <w:rFonts w:ascii="Arial" w:hAnsi="Arial" w:cs="Arial"/>
                <w:sz w:val="20"/>
                <w:szCs w:val="20"/>
              </w:rPr>
            </w:pPr>
            <w:r>
              <w:rPr>
                <w:rFonts w:cs="Arial" w:ascii="Arial" w:hAnsi="Arial"/>
                <w:sz w:val="20"/>
                <w:szCs w:val="20"/>
              </w:rPr>
            </w:r>
          </w:p>
        </w:tc>
      </w:tr>
    </w:tbl>
    <w:p>
      <w:pPr>
        <w:pStyle w:val="Normal"/>
        <w:rPr>
          <w:sz w:val="32"/>
          <w:szCs w:val="12"/>
        </w:rPr>
      </w:pPr>
      <w:r>
        <w:rPr>
          <w:sz w:val="32"/>
          <w:szCs w:val="12"/>
        </w:rPr>
      </w:r>
    </w:p>
    <w:tbl>
      <w:tblPr>
        <w:tblW w:w="10308" w:type="dxa"/>
        <w:jc w:val="left"/>
        <w:tblInd w:w="0" w:type="dxa"/>
        <w:tblCellMar>
          <w:top w:w="0" w:type="dxa"/>
          <w:left w:w="108" w:type="dxa"/>
          <w:bottom w:w="0" w:type="dxa"/>
          <w:right w:w="108" w:type="dxa"/>
        </w:tblCellMar>
        <w:tblLook w:firstRow="1" w:noVBand="0" w:lastRow="1" w:firstColumn="1" w:lastColumn="1" w:noHBand="0" w:val="01e0"/>
      </w:tblPr>
      <w:tblGrid>
        <w:gridCol w:w="10308"/>
      </w:tblGrid>
      <w:tr>
        <w:trPr/>
        <w:tc>
          <w:tcPr>
            <w:tcW w:w="10308" w:type="dxa"/>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sz w:val="20"/>
                <w:szCs w:val="20"/>
              </w:rPr>
            </w:pPr>
            <w:r>
              <w:rPr>
                <w:rFonts w:cs="Arial" w:ascii="Arial" w:hAnsi="Arial"/>
                <w:b/>
                <w:bCs/>
                <w:sz w:val="20"/>
                <w:szCs w:val="20"/>
              </w:rPr>
              <w:t>Please state the aim and rationale of your intervention:</w:t>
            </w:r>
          </w:p>
          <w:p>
            <w:pPr>
              <w:pStyle w:val="Normal"/>
              <w:rPr>
                <w:rFonts w:ascii="Arial" w:hAnsi="Arial" w:cs="Arial"/>
                <w:b/>
                <w:b/>
                <w:sz w:val="20"/>
              </w:rPr>
            </w:pPr>
            <w:r>
              <w:rPr>
                <w:rFonts w:cs="Arial" w:ascii="Arial" w:hAnsi="Arial"/>
                <w:b/>
                <w:sz w:val="20"/>
              </w:rPr>
            </w:r>
          </w:p>
          <w:p>
            <w:pPr>
              <w:pStyle w:val="Normal"/>
              <w:rPr>
                <w:rFonts w:ascii="Arial" w:hAnsi="Arial" w:eastAsia="Arial" w:cs="Arial"/>
                <w:b w:val="false"/>
                <w:b w:val="false"/>
                <w:bCs w:val="false"/>
                <w:i w:val="false"/>
                <w:i w:val="false"/>
                <w:iCs w:val="false"/>
                <w:caps w:val="false"/>
                <w:smallCaps w:val="false"/>
                <w:color w:val="auto"/>
                <w:sz w:val="24"/>
                <w:szCs w:val="24"/>
                <w:lang w:val="en-GB"/>
              </w:rPr>
            </w:pPr>
            <w:r>
              <w:rPr>
                <w:rFonts w:cs="Arial" w:ascii="Arial" w:hAnsi="Arial"/>
                <w:b w:val="false"/>
                <w:bCs w:val="false"/>
                <w:sz w:val="24"/>
                <w:szCs w:val="24"/>
              </w:rPr>
              <w:t xml:space="preserve">This research will provide a new perspective on animal therapy. Rather than having an animal present for the therapy sessions, this research proposes that the animals are present in everyday life as a pet. The purpose of this style of animal therapy is to provide a constant cognitive activity that would work in the same way that other activities like puzzles would work, but in day-to-day life through the care of a pet as opposed to a visiting animal therapy specialist. Filan and Llewellyn-Jones (2006) noted that </w:t>
            </w:r>
            <w:r>
              <w:rPr>
                <w:rFonts w:cs="Arial" w:ascii="Arial" w:hAnsi="Arial"/>
                <w:b w:val="false"/>
                <w:bCs w:val="false"/>
                <w:color w:val="auto"/>
                <w:sz w:val="24"/>
                <w:szCs w:val="24"/>
              </w:rPr>
              <w:t>“</w:t>
            </w:r>
            <w:r>
              <w:rPr>
                <w:rFonts w:eastAsia="Arial" w:cs="Arial" w:ascii="Arial" w:hAnsi="Arial"/>
                <w:b w:val="false"/>
                <w:bCs w:val="false"/>
                <w:i w:val="false"/>
                <w:iCs w:val="false"/>
                <w:caps w:val="false"/>
                <w:smallCaps w:val="false"/>
                <w:color w:val="auto"/>
                <w:sz w:val="24"/>
                <w:szCs w:val="24"/>
                <w:lang w:val="en-GB"/>
              </w:rPr>
              <w:t xml:space="preserve">The relative benefits of “resident” </w:t>
            </w:r>
            <w:r>
              <w:rPr>
                <w:rFonts w:eastAsia="Arial" w:cs="Arial" w:ascii="Arial" w:hAnsi="Arial"/>
                <w:b w:val="false"/>
                <w:bCs w:val="false"/>
                <w:i/>
                <w:iCs/>
                <w:caps w:val="false"/>
                <w:smallCaps w:val="false"/>
                <w:color w:val="auto"/>
                <w:sz w:val="24"/>
                <w:szCs w:val="24"/>
                <w:lang w:val="en-GB"/>
              </w:rPr>
              <w:t>versus</w:t>
            </w:r>
            <w:r>
              <w:rPr>
                <w:rFonts w:eastAsia="Arial" w:cs="Arial" w:ascii="Arial" w:hAnsi="Arial"/>
                <w:b w:val="false"/>
                <w:bCs w:val="false"/>
                <w:i w:val="false"/>
                <w:iCs w:val="false"/>
                <w:caps w:val="false"/>
                <w:smallCaps w:val="false"/>
                <w:color w:val="auto"/>
                <w:sz w:val="24"/>
                <w:szCs w:val="24"/>
                <w:lang w:val="en-GB"/>
              </w:rPr>
              <w:t xml:space="preserve"> “visiting” pet dogs are unclear... Further research on the potential benefits of AAT is recommended” thus validating the need for this research and the information it will provide.</w:t>
            </w:r>
          </w:p>
          <w:p>
            <w:pPr>
              <w:pStyle w:val="Normal"/>
              <w:rPr>
                <w:rFonts w:ascii="Arial" w:hAnsi="Arial" w:cs="Arial"/>
                <w:b w:val="false"/>
                <w:b w:val="false"/>
                <w:bCs w:val="false"/>
                <w:sz w:val="24"/>
                <w:szCs w:val="24"/>
              </w:rPr>
            </w:pPr>
            <w:r>
              <w:rPr>
                <w:rFonts w:cs="Arial" w:ascii="Arial" w:hAnsi="Arial"/>
                <w:b w:val="false"/>
                <w:bCs w:val="false"/>
                <w:sz w:val="24"/>
                <w:szCs w:val="24"/>
              </w:rPr>
            </w:r>
          </w:p>
          <w:p>
            <w:pPr>
              <w:pStyle w:val="Normal"/>
              <w:rPr>
                <w:rFonts w:ascii="Arial" w:hAnsi="Arial" w:cs="Arial"/>
                <w:b w:val="false"/>
                <w:b w:val="false"/>
                <w:bCs w:val="false"/>
                <w:sz w:val="24"/>
                <w:szCs w:val="24"/>
              </w:rPr>
            </w:pPr>
            <w:r>
              <w:rPr>
                <w:rFonts w:cs="Arial" w:ascii="Arial" w:hAnsi="Arial"/>
                <w:b w:val="false"/>
                <w:bCs w:val="false"/>
                <w:sz w:val="24"/>
                <w:szCs w:val="24"/>
              </w:rPr>
              <w:t xml:space="preserve">The aim of this study is to determine whether the role of a support animal can provide dementia patients with an effective and constant cognitive activity to reduce cognitive decline. </w:t>
            </w:r>
          </w:p>
          <w:p>
            <w:pPr>
              <w:pStyle w:val="Normal"/>
              <w:rPr>
                <w:rFonts w:ascii="Arial" w:hAnsi="Arial" w:cs="Arial"/>
                <w:b/>
                <w:b/>
                <w:sz w:val="20"/>
              </w:rPr>
            </w:pPr>
            <w:r>
              <w:rPr>
                <w:rFonts w:cs="Arial" w:ascii="Arial" w:hAnsi="Arial"/>
                <w:b/>
                <w:sz w:val="20"/>
              </w:rPr>
            </w:r>
          </w:p>
          <w:p>
            <w:pPr>
              <w:pStyle w:val="Normal"/>
              <w:rPr>
                <w:rFonts w:ascii="Arial" w:hAnsi="Arial" w:cs="Arial"/>
                <w:b/>
                <w:b/>
                <w:sz w:val="20"/>
              </w:rPr>
            </w:pPr>
            <w:r>
              <w:rPr>
                <w:rFonts w:cs="Arial" w:ascii="Arial" w:hAnsi="Arial"/>
                <w:b/>
                <w:sz w:val="20"/>
              </w:rPr>
            </w:r>
          </w:p>
          <w:p>
            <w:pPr>
              <w:pStyle w:val="Normal"/>
              <w:rPr/>
            </w:pPr>
            <w:r>
              <w:rPr/>
            </w:r>
          </w:p>
        </w:tc>
      </w:tr>
    </w:tbl>
    <w:p>
      <w:pPr>
        <w:pStyle w:val="Normal"/>
        <w:rPr>
          <w:rFonts w:ascii="Arial" w:hAnsi="Arial" w:cs="Arial"/>
          <w:b/>
          <w:b/>
          <w:sz w:val="32"/>
        </w:rPr>
      </w:pPr>
      <w:r>
        <w:rPr>
          <w:rFonts w:cs="Arial" w:ascii="Arial" w:hAnsi="Arial"/>
          <w:b/>
          <w:sz w:val="32"/>
        </w:rPr>
      </w:r>
    </w:p>
    <w:tbl>
      <w:tblPr>
        <w:tblW w:w="10308" w:type="dxa"/>
        <w:jc w:val="left"/>
        <w:tblInd w:w="0" w:type="dxa"/>
        <w:tblCellMar>
          <w:top w:w="0" w:type="dxa"/>
          <w:left w:w="108" w:type="dxa"/>
          <w:bottom w:w="0" w:type="dxa"/>
          <w:right w:w="108" w:type="dxa"/>
        </w:tblCellMar>
        <w:tblLook w:firstRow="1" w:noVBand="0" w:lastRow="1" w:firstColumn="1" w:lastColumn="1" w:noHBand="0" w:val="01e0"/>
      </w:tblPr>
      <w:tblGrid>
        <w:gridCol w:w="10308"/>
      </w:tblGrid>
      <w:tr>
        <w:trPr/>
        <w:tc>
          <w:tcPr>
            <w:tcW w:w="10308" w:type="dxa"/>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sz w:val="20"/>
                <w:szCs w:val="20"/>
              </w:rPr>
            </w:pPr>
            <w:r>
              <w:rPr>
                <w:rFonts w:cs="Arial" w:ascii="Arial" w:hAnsi="Arial"/>
                <w:b/>
                <w:bCs/>
                <w:sz w:val="20"/>
                <w:szCs w:val="20"/>
              </w:rPr>
              <w:t xml:space="preserve">What theory and empirical research evidence supports your intervention? </w:t>
            </w:r>
          </w:p>
          <w:p>
            <w:pPr>
              <w:pStyle w:val="Normal"/>
              <w:rPr>
                <w:rFonts w:ascii="Arial" w:hAnsi="Arial" w:cs="Arial"/>
                <w:b/>
                <w:b/>
                <w:bCs/>
                <w:sz w:val="20"/>
                <w:szCs w:val="20"/>
              </w:rPr>
            </w:pPr>
            <w:r>
              <w:rPr>
                <w:rFonts w:cs="Arial" w:ascii="Arial" w:hAnsi="Arial"/>
                <w:b/>
                <w:bCs/>
                <w:sz w:val="20"/>
                <w:szCs w:val="20"/>
              </w:rPr>
            </w:r>
          </w:p>
          <w:p>
            <w:pPr>
              <w:pStyle w:val="Normal"/>
              <w:rPr/>
            </w:pPr>
            <w:r>
              <w:rPr>
                <w:rFonts w:eastAsia="Arial" w:cs="Arial" w:ascii="Arial" w:hAnsi="Arial"/>
                <w:b w:val="false"/>
                <w:bCs w:val="false"/>
              </w:rPr>
              <w:t xml:space="preserve">Animal Assisted Therapy (AAT) is a therapeutic intervention technique that has garnered popularity in the past decade with numerous possible applications. The British Association for Counsellors and Psychotherapists (BACP, 2022) define AAT as a therapy that </w:t>
            </w:r>
            <w:r>
              <w:rPr>
                <w:rFonts w:eastAsia="Arial" w:cs="Arial" w:ascii="Arial" w:hAnsi="Arial"/>
                <w:b w:val="false"/>
                <w:bCs w:val="false"/>
                <w:sz w:val="24"/>
                <w:szCs w:val="24"/>
              </w:rPr>
              <w:t>“</w:t>
            </w:r>
            <w:r>
              <w:rPr>
                <w:rFonts w:eastAsia="Arial" w:cs="Arial" w:ascii="Arial" w:hAnsi="Arial"/>
                <w:b w:val="false"/>
                <w:bCs w:val="false"/>
                <w:i w:val="false"/>
                <w:iCs w:val="false"/>
                <w:caps w:val="false"/>
                <w:smallCaps w:val="false"/>
                <w:color w:val="1F1F20"/>
                <w:sz w:val="24"/>
                <w:szCs w:val="24"/>
                <w:lang w:val="en-GB"/>
              </w:rPr>
              <w:t>involves interacting with animals as well as a therapist to help you explore your feelings and experiences in a different way”. According to the BACP, having an animal present at therapy is believed to allow the client to “relax, talk honestly and start to explore how they feel about experiences in their life” since it “doesn’t seem like therapy” to many clients. There have been past examples of its usage in the case of dementia patients. Majic et al (2013) performed research regarding animal assisted therapy. Within a care environment, they assigned either standard care procedures only or standard care procedures combined with AAT. They found that “</w:t>
            </w:r>
            <w:r>
              <w:rPr>
                <w:rFonts w:eastAsia="Arial" w:cs="Arial" w:ascii="Arial" w:hAnsi="Arial"/>
                <w:b w:val="false"/>
                <w:bCs w:val="false"/>
                <w:i w:val="false"/>
                <w:iCs w:val="false"/>
                <w:caps w:val="false"/>
                <w:smallCaps w:val="false"/>
                <w:color w:val="1F1F1F"/>
                <w:sz w:val="24"/>
                <w:szCs w:val="24"/>
                <w:lang w:val="en-GB"/>
              </w:rPr>
              <w:t>AAT may delay progression of neuropsychiatric symptoms in demented nursing home residents.”</w:t>
            </w:r>
            <w:r>
              <w:rPr>
                <w:rFonts w:eastAsia="Arial" w:cs="Arial" w:ascii="Arial" w:hAnsi="Arial"/>
                <w:sz w:val="24"/>
                <w:szCs w:val="24"/>
                <w:lang w:val="en-GB"/>
              </w:rPr>
              <w:t xml:space="preserve"> </w:t>
            </w:r>
            <w:r>
              <w:rPr>
                <w:rFonts w:eastAsia="Arial" w:cs="Arial" w:ascii="Arial" w:hAnsi="Arial"/>
                <w:b w:val="false"/>
                <w:bCs w:val="false"/>
                <w:i w:val="false"/>
                <w:iCs w:val="false"/>
                <w:caps w:val="false"/>
                <w:smallCaps w:val="false"/>
                <w:color w:val="1F1F20"/>
                <w:sz w:val="24"/>
                <w:szCs w:val="24"/>
                <w:lang w:val="en-GB"/>
              </w:rPr>
              <w:t xml:space="preserve">Batson et al (1998) supported this when they reported that the presence of </w:t>
            </w:r>
            <w:r>
              <w:rPr>
                <w:rFonts w:eastAsia="Arial" w:cs="Arial" w:ascii="Arial" w:hAnsi="Arial"/>
                <w:b w:val="false"/>
                <w:bCs w:val="false"/>
                <w:i w:val="false"/>
                <w:iCs w:val="false"/>
                <w:caps w:val="false"/>
                <w:smallCaps w:val="false"/>
                <w:color w:val="auto"/>
                <w:sz w:val="24"/>
                <w:szCs w:val="24"/>
                <w:lang w:val="en-GB"/>
              </w:rPr>
              <w:t>“a dog may activate a basic form of socialization in humans that is still within reach to those affected by all levels of dementia”, directly supporting the role of the support animal, the dog, in the research. When conducting research into the topic area, Nordgren and Engstrom (2013) made note of one participant who, at first, “refused to cooperate with the project interviewer... she would only answer one question in the MMSE” but would go on to find that “immediately after AAT she willingly cooperated “ showing the immediate positive effects of an animal in the lives of those who are perhaps afraid or reserved about ‘opening up’ to others or accepting treatment that they may at first be unsure of, ignoring any potential benefits.</w:t>
            </w:r>
          </w:p>
        </w:tc>
      </w:tr>
    </w:tbl>
    <w:p>
      <w:pPr>
        <w:pStyle w:val="Normal"/>
        <w:rPr>
          <w:rFonts w:ascii="Arial" w:hAnsi="Arial" w:cs="Arial"/>
          <w:sz w:val="8"/>
          <w:szCs w:val="8"/>
        </w:rPr>
      </w:pPr>
      <w:r>
        <w:rPr>
          <w:rFonts w:cs="Arial" w:ascii="Arial" w:hAnsi="Arial"/>
          <w:sz w:val="8"/>
          <w:szCs w:val="8"/>
        </w:rPr>
      </w:r>
    </w:p>
    <w:p>
      <w:pPr>
        <w:pStyle w:val="Normal"/>
        <w:rPr>
          <w:rFonts w:ascii="Arial" w:hAnsi="Arial" w:cs="Arial"/>
          <w:b/>
          <w:b/>
          <w:sz w:val="20"/>
        </w:rPr>
      </w:pPr>
      <w:r>
        <w:rPr>
          <w:rFonts w:cs="Arial" w:ascii="Arial" w:hAnsi="Arial"/>
          <w:b/>
          <w:sz w:val="20"/>
        </w:rPr>
      </w:r>
    </w:p>
    <w:p>
      <w:pPr>
        <w:pStyle w:val="Normal"/>
        <w:rPr>
          <w:rFonts w:ascii="Arial" w:hAnsi="Arial" w:cs="Arial"/>
          <w:b/>
          <w:b/>
          <w:bCs/>
          <w:sz w:val="20"/>
          <w:szCs w:val="20"/>
          <w:u w:val="single"/>
        </w:rPr>
      </w:pPr>
      <w:r>
        <w:rPr>
          <w:rFonts w:cs="Arial" w:ascii="Arial" w:hAnsi="Arial"/>
          <w:b/>
          <w:bCs/>
          <w:sz w:val="20"/>
          <w:szCs w:val="20"/>
          <w:u w:val="single"/>
        </w:rPr>
      </w:r>
    </w:p>
    <w:p>
      <w:pPr>
        <w:pStyle w:val="Normal"/>
        <w:rPr>
          <w:rFonts w:ascii="Arial" w:hAnsi="Arial" w:cs="Arial"/>
          <w:b/>
          <w:b/>
          <w:bCs/>
          <w:sz w:val="20"/>
          <w:szCs w:val="20"/>
          <w:u w:val="single"/>
        </w:rPr>
      </w:pPr>
      <w:r>
        <w:rPr>
          <w:rFonts w:cs="Arial" w:ascii="Arial" w:hAnsi="Arial"/>
          <w:b/>
          <w:bCs/>
          <w:sz w:val="20"/>
          <w:szCs w:val="20"/>
          <w:u w:val="single"/>
        </w:rPr>
        <w:t>Methodological Details</w:t>
      </w:r>
    </w:p>
    <w:tbl>
      <w:tblPr>
        <w:tblW w:w="10308" w:type="dxa"/>
        <w:jc w:val="left"/>
        <w:tblInd w:w="0" w:type="dxa"/>
        <w:tblCellMar>
          <w:top w:w="0" w:type="dxa"/>
          <w:left w:w="108" w:type="dxa"/>
          <w:bottom w:w="0" w:type="dxa"/>
          <w:right w:w="108" w:type="dxa"/>
        </w:tblCellMar>
        <w:tblLook w:firstRow="1" w:noVBand="0" w:lastRow="1" w:firstColumn="1" w:lastColumn="1" w:noHBand="0" w:val="01e0"/>
      </w:tblPr>
      <w:tblGrid>
        <w:gridCol w:w="10308"/>
      </w:tblGrid>
      <w:tr>
        <w:trPr/>
        <w:tc>
          <w:tcPr>
            <w:tcW w:w="10308" w:type="dxa"/>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b/>
                <w:b/>
                <w:bCs/>
                <w:sz w:val="20"/>
                <w:szCs w:val="20"/>
              </w:rPr>
            </w:pPr>
            <w:r>
              <w:rPr>
                <w:rFonts w:cs="Arial" w:ascii="Arial" w:hAnsi="Arial"/>
                <w:b/>
                <w:bCs/>
                <w:sz w:val="20"/>
                <w:szCs w:val="20"/>
              </w:rPr>
              <w:t xml:space="preserve">Please describe the anticipated design of your intervention (e.g., exercise programme, cognitive tasks, pet-therapy) - </w:t>
            </w:r>
          </w:p>
          <w:p>
            <w:pPr>
              <w:pStyle w:val="Normal"/>
              <w:rPr>
                <w:rFonts w:ascii="Arial" w:hAnsi="Arial" w:cs="Arial"/>
                <w:b/>
                <w:b/>
                <w:bCs/>
                <w:sz w:val="20"/>
                <w:szCs w:val="20"/>
              </w:rPr>
            </w:pPr>
            <w:r>
              <w:rPr>
                <w:rFonts w:cs="Arial" w:ascii="Arial" w:hAnsi="Arial"/>
                <w:b/>
                <w:bCs/>
                <w:sz w:val="20"/>
                <w:szCs w:val="20"/>
              </w:rPr>
            </w:r>
          </w:p>
          <w:p>
            <w:pPr>
              <w:pStyle w:val="Normal"/>
              <w:rPr>
                <w:rFonts w:ascii="Arial" w:hAnsi="Arial" w:cs="Arial"/>
                <w:b w:val="false"/>
                <w:b w:val="false"/>
                <w:bCs w:val="false"/>
                <w:sz w:val="24"/>
                <w:szCs w:val="24"/>
              </w:rPr>
            </w:pPr>
            <w:r>
              <w:rPr>
                <w:rFonts w:cs="Arial" w:ascii="Arial" w:hAnsi="Arial"/>
                <w:b w:val="false"/>
                <w:bCs w:val="false"/>
                <w:sz w:val="24"/>
                <w:szCs w:val="24"/>
              </w:rPr>
              <w:t>The design of the intervention proposed is a pet therapy involving cognitive activities/tasks.</w:t>
            </w:r>
          </w:p>
          <w:p>
            <w:pPr>
              <w:pStyle w:val="Normal"/>
              <w:rPr>
                <w:rFonts w:ascii="Arial" w:hAnsi="Arial" w:cs="Arial"/>
                <w:b w:val="false"/>
                <w:b w:val="false"/>
                <w:bCs w:val="false"/>
                <w:sz w:val="24"/>
                <w:szCs w:val="24"/>
              </w:rPr>
            </w:pPr>
            <w:r>
              <w:rPr>
                <w:rFonts w:cs="Arial" w:ascii="Arial" w:hAnsi="Arial"/>
                <w:b w:val="false"/>
                <w:bCs w:val="false"/>
                <w:sz w:val="24"/>
                <w:szCs w:val="24"/>
              </w:rPr>
              <w:t xml:space="preserve">The variables are as follows: - </w:t>
            </w:r>
          </w:p>
          <w:p>
            <w:pPr>
              <w:pStyle w:val="ListParagraph"/>
              <w:numPr>
                <w:ilvl w:val="0"/>
                <w:numId w:val="4"/>
              </w:numPr>
              <w:rPr>
                <w:rFonts w:ascii="Arial" w:hAnsi="Arial" w:cs="Arial"/>
                <w:b w:val="false"/>
                <w:b w:val="false"/>
                <w:bCs w:val="false"/>
                <w:sz w:val="24"/>
                <w:szCs w:val="24"/>
              </w:rPr>
            </w:pPr>
            <w:r>
              <w:rPr>
                <w:rFonts w:cs="Arial" w:ascii="Arial" w:hAnsi="Arial"/>
                <w:b w:val="false"/>
                <w:bCs w:val="false"/>
                <w:sz w:val="24"/>
                <w:szCs w:val="24"/>
              </w:rPr>
              <w:t>Independent Variable</w:t>
            </w:r>
          </w:p>
          <w:p>
            <w:pPr>
              <w:pStyle w:val="ListParagraph"/>
              <w:numPr>
                <w:ilvl w:val="1"/>
                <w:numId w:val="4"/>
              </w:numPr>
              <w:rPr>
                <w:rFonts w:ascii="Arial" w:hAnsi="Arial" w:cs="Arial"/>
                <w:b w:val="false"/>
                <w:b w:val="false"/>
                <w:bCs w:val="false"/>
                <w:sz w:val="24"/>
                <w:szCs w:val="24"/>
              </w:rPr>
            </w:pPr>
            <w:r>
              <w:rPr>
                <w:rFonts w:cs="Arial" w:ascii="Arial" w:hAnsi="Arial"/>
                <w:b w:val="false"/>
                <w:bCs w:val="false"/>
                <w:sz w:val="24"/>
                <w:szCs w:val="24"/>
              </w:rPr>
              <w:t>The presence of a support animal (Group A have a support animal, Group B do not)</w:t>
            </w:r>
          </w:p>
          <w:p>
            <w:pPr>
              <w:pStyle w:val="ListParagraph"/>
              <w:numPr>
                <w:ilvl w:val="0"/>
                <w:numId w:val="4"/>
              </w:numPr>
              <w:rPr>
                <w:rFonts w:ascii="Arial" w:hAnsi="Arial" w:cs="Arial"/>
                <w:b w:val="false"/>
                <w:b w:val="false"/>
                <w:bCs w:val="false"/>
                <w:sz w:val="24"/>
                <w:szCs w:val="24"/>
              </w:rPr>
            </w:pPr>
            <w:r>
              <w:rPr>
                <w:rFonts w:cs="Arial" w:ascii="Arial" w:hAnsi="Arial"/>
                <w:b w:val="false"/>
                <w:bCs w:val="false"/>
                <w:sz w:val="24"/>
                <w:szCs w:val="24"/>
              </w:rPr>
              <w:t>Dependant Variable</w:t>
            </w:r>
          </w:p>
          <w:p>
            <w:pPr>
              <w:pStyle w:val="ListParagraph"/>
              <w:numPr>
                <w:ilvl w:val="1"/>
                <w:numId w:val="4"/>
              </w:numPr>
              <w:rPr>
                <w:rFonts w:ascii="Arial" w:hAnsi="Arial" w:cs="Arial"/>
                <w:b w:val="false"/>
                <w:b w:val="false"/>
                <w:bCs w:val="false"/>
                <w:sz w:val="24"/>
                <w:szCs w:val="24"/>
              </w:rPr>
            </w:pPr>
            <w:r>
              <w:rPr>
                <w:rFonts w:cs="Arial" w:ascii="Arial" w:hAnsi="Arial"/>
                <w:b w:val="false"/>
                <w:bCs w:val="false"/>
                <w:sz w:val="24"/>
                <w:szCs w:val="24"/>
              </w:rPr>
              <w:t>The scores from the check in cognitive activities</w:t>
            </w:r>
          </w:p>
          <w:p>
            <w:pPr>
              <w:pStyle w:val="ListParagraph"/>
              <w:numPr>
                <w:ilvl w:val="0"/>
                <w:numId w:val="4"/>
              </w:numPr>
              <w:rPr>
                <w:rFonts w:ascii="Arial" w:hAnsi="Arial" w:cs="Arial"/>
                <w:b w:val="false"/>
                <w:b w:val="false"/>
                <w:bCs w:val="false"/>
                <w:sz w:val="24"/>
                <w:szCs w:val="24"/>
              </w:rPr>
            </w:pPr>
            <w:r>
              <w:rPr>
                <w:rFonts w:cs="Arial" w:ascii="Arial" w:hAnsi="Arial"/>
                <w:b w:val="false"/>
                <w:bCs w:val="false"/>
                <w:sz w:val="24"/>
                <w:szCs w:val="24"/>
              </w:rPr>
              <w:t>Control Variable</w:t>
            </w:r>
          </w:p>
          <w:p>
            <w:pPr>
              <w:pStyle w:val="ListParagraph"/>
              <w:numPr>
                <w:ilvl w:val="1"/>
                <w:numId w:val="4"/>
              </w:numPr>
              <w:rPr>
                <w:rFonts w:ascii="Arial" w:hAnsi="Arial" w:cs="Arial"/>
                <w:b w:val="false"/>
                <w:b w:val="false"/>
                <w:bCs w:val="false"/>
                <w:sz w:val="24"/>
                <w:szCs w:val="24"/>
              </w:rPr>
            </w:pPr>
            <w:r>
              <w:rPr>
                <w:rFonts w:cs="Arial" w:ascii="Arial" w:hAnsi="Arial"/>
                <w:b w:val="false"/>
                <w:bCs w:val="false"/>
                <w:sz w:val="24"/>
                <w:szCs w:val="24"/>
              </w:rPr>
              <w:t>The cognitive activities administered during each check in.</w:t>
            </w:r>
          </w:p>
          <w:p>
            <w:pPr>
              <w:pStyle w:val="ListParagraph"/>
              <w:numPr>
                <w:ilvl w:val="0"/>
                <w:numId w:val="4"/>
              </w:numPr>
              <w:rPr>
                <w:rFonts w:ascii="Arial" w:hAnsi="Arial" w:cs="Arial"/>
                <w:b w:val="false"/>
                <w:b w:val="false"/>
                <w:bCs w:val="false"/>
                <w:sz w:val="24"/>
                <w:szCs w:val="24"/>
              </w:rPr>
            </w:pPr>
            <w:r>
              <w:rPr>
                <w:rFonts w:cs="Arial" w:ascii="Arial" w:hAnsi="Arial"/>
                <w:b w:val="false"/>
                <w:bCs w:val="false"/>
                <w:sz w:val="24"/>
                <w:szCs w:val="24"/>
              </w:rPr>
              <w:t>Extraneous Variables</w:t>
            </w:r>
          </w:p>
          <w:p>
            <w:pPr>
              <w:pStyle w:val="ListParagraph"/>
              <w:numPr>
                <w:ilvl w:val="1"/>
                <w:numId w:val="4"/>
              </w:numPr>
              <w:rPr>
                <w:rFonts w:ascii="Arial" w:hAnsi="Arial" w:cs="Arial"/>
                <w:b w:val="false"/>
                <w:b w:val="false"/>
                <w:bCs w:val="false"/>
                <w:sz w:val="24"/>
                <w:szCs w:val="24"/>
              </w:rPr>
            </w:pPr>
            <w:r>
              <w:rPr>
                <w:rFonts w:cs="Arial" w:ascii="Arial" w:hAnsi="Arial"/>
                <w:b w:val="false"/>
                <w:bCs w:val="false"/>
                <w:sz w:val="24"/>
                <w:szCs w:val="24"/>
              </w:rPr>
              <w:t>The level/progression of dementia/cognitive decline prior to the research (difference between individuals)</w:t>
            </w:r>
          </w:p>
          <w:p>
            <w:pPr>
              <w:pStyle w:val="ListParagraph"/>
              <w:numPr>
                <w:ilvl w:val="1"/>
                <w:numId w:val="4"/>
              </w:numPr>
              <w:rPr>
                <w:rFonts w:ascii="Arial" w:hAnsi="Arial" w:cs="Arial"/>
                <w:b w:val="false"/>
                <w:b w:val="false"/>
                <w:bCs w:val="false"/>
                <w:sz w:val="24"/>
                <w:szCs w:val="24"/>
              </w:rPr>
            </w:pPr>
            <w:r>
              <w:rPr>
                <w:rFonts w:cs="Arial" w:ascii="Arial" w:hAnsi="Arial"/>
                <w:b w:val="false"/>
                <w:bCs w:val="false"/>
                <w:sz w:val="24"/>
                <w:szCs w:val="24"/>
              </w:rPr>
              <w:t>The care provided by the carer between each patient (different staff providing different treatment)</w:t>
            </w:r>
          </w:p>
          <w:p>
            <w:pPr>
              <w:pStyle w:val="Normal"/>
              <w:rPr>
                <w:rFonts w:ascii="Arial" w:hAnsi="Arial" w:cs="Arial"/>
                <w:b/>
                <w:b/>
                <w:bCs/>
                <w:sz w:val="20"/>
                <w:szCs w:val="20"/>
              </w:rPr>
            </w:pPr>
            <w:r>
              <w:rPr>
                <w:rFonts w:cs="Arial" w:ascii="Arial" w:hAnsi="Arial"/>
                <w:b/>
                <w:bCs/>
                <w:sz w:val="20"/>
                <w:szCs w:val="20"/>
              </w:rPr>
            </w:r>
          </w:p>
          <w:p>
            <w:pPr>
              <w:pStyle w:val="Normal"/>
              <w:rPr>
                <w:rFonts w:ascii="Arial" w:hAnsi="Arial" w:cs="Arial"/>
                <w:b/>
                <w:b/>
                <w:bCs/>
                <w:sz w:val="20"/>
                <w:szCs w:val="20"/>
              </w:rPr>
            </w:pPr>
            <w:r>
              <w:rPr>
                <w:rFonts w:cs="Arial" w:ascii="Arial" w:hAnsi="Arial"/>
                <w:b/>
                <w:bCs/>
                <w:sz w:val="20"/>
                <w:szCs w:val="20"/>
              </w:rPr>
            </w:r>
          </w:p>
          <w:p>
            <w:pPr>
              <w:pStyle w:val="Normal"/>
              <w:rPr>
                <w:rFonts w:ascii="Arial" w:hAnsi="Arial" w:cs="Arial"/>
                <w:sz w:val="20"/>
              </w:rPr>
            </w:pPr>
            <w:r>
              <w:rPr>
                <w:rFonts w:cs="Arial" w:ascii="Arial" w:hAnsi="Arial"/>
                <w:b/>
                <w:sz w:val="20"/>
              </w:rPr>
              <w:t xml:space="preserve">Participant group – </w:t>
            </w:r>
            <w:r>
              <w:rPr>
                <w:rFonts w:cs="Arial" w:ascii="Arial" w:hAnsi="Arial"/>
                <w:sz w:val="20"/>
              </w:rPr>
              <w:t xml:space="preserve">including anticipated numbers, target population, and any specific inclusion/exclusion criteria:  </w:t>
            </w:r>
          </w:p>
          <w:p>
            <w:pPr>
              <w:pStyle w:val="Normal"/>
              <w:rPr>
                <w:rFonts w:ascii="Arial" w:hAnsi="Arial" w:cs="Arial"/>
                <w:b w:val="false"/>
                <w:b w:val="false"/>
                <w:bCs w:val="false"/>
              </w:rPr>
            </w:pPr>
            <w:r>
              <w:rPr>
                <w:rFonts w:cs="Arial" w:ascii="Arial" w:hAnsi="Arial"/>
                <w:b w:val="false"/>
                <w:bCs w:val="false"/>
              </w:rPr>
              <w:t>Participants will be gathered through volunteer sampling in care homes for dementia patients, ideally all participants will be in the same home to reduce the effect of any extraneous variables. Given the debate over whether fully informed consent can be obtained from dementia patients, consent will be gained from the patient and their family members. The participant group will consist of dementia patients that are within a care home setting. Age range will be varied, the only criteria being that the participants are 18+ years old. The sample size will aim to be around 10 participants, 5 per group.</w:t>
            </w:r>
          </w:p>
          <w:p>
            <w:pPr>
              <w:pStyle w:val="Normal"/>
              <w:rPr>
                <w:rFonts w:ascii="Arial" w:hAnsi="Arial" w:cs="Arial"/>
                <w:b/>
                <w:b/>
                <w:bCs/>
              </w:rPr>
            </w:pPr>
            <w:r>
              <w:rPr>
                <w:rFonts w:cs="Arial" w:ascii="Arial" w:hAnsi="Arial"/>
                <w:b/>
                <w:bCs/>
              </w:rPr>
            </w:r>
          </w:p>
          <w:p>
            <w:pPr>
              <w:pStyle w:val="Normal"/>
              <w:rPr>
                <w:rFonts w:ascii="Arial" w:hAnsi="Arial" w:cs="Arial"/>
                <w:b/>
                <w:b/>
                <w:bCs/>
              </w:rPr>
            </w:pPr>
            <w:r>
              <w:rPr>
                <w:rFonts w:cs="Arial" w:ascii="Arial" w:hAnsi="Arial"/>
                <w:b/>
                <w:bCs/>
              </w:rPr>
            </w:r>
          </w:p>
          <w:p>
            <w:pPr>
              <w:pStyle w:val="Normal"/>
              <w:rPr>
                <w:rFonts w:ascii="Arial" w:hAnsi="Arial" w:cs="Arial"/>
                <w:b/>
                <w:b/>
                <w:bCs/>
                <w:sz w:val="20"/>
                <w:szCs w:val="20"/>
              </w:rPr>
            </w:pPr>
            <w:r>
              <w:rPr>
                <w:rFonts w:cs="Arial" w:ascii="Arial" w:hAnsi="Arial"/>
                <w:b/>
                <w:bCs/>
                <w:sz w:val="20"/>
                <w:szCs w:val="20"/>
              </w:rPr>
              <w:t>Materials/measures</w:t>
            </w:r>
            <w:r>
              <w:rPr>
                <w:rFonts w:cs="Arial" w:ascii="Arial" w:hAnsi="Arial"/>
                <w:sz w:val="20"/>
                <w:szCs w:val="20"/>
              </w:rPr>
              <w:t xml:space="preserve">: </w:t>
            </w:r>
          </w:p>
          <w:p>
            <w:pPr>
              <w:pStyle w:val="ListParagraph"/>
              <w:numPr>
                <w:ilvl w:val="0"/>
                <w:numId w:val="6"/>
              </w:numPr>
              <w:rPr>
                <w:rFonts w:ascii="Arial" w:hAnsi="Arial" w:cs="Arial"/>
                <w:b w:val="false"/>
                <w:b w:val="false"/>
                <w:bCs w:val="false"/>
                <w:sz w:val="24"/>
                <w:szCs w:val="24"/>
              </w:rPr>
            </w:pPr>
            <w:r>
              <w:rPr>
                <w:rFonts w:cs="Arial" w:ascii="Arial" w:hAnsi="Arial"/>
                <w:b w:val="false"/>
                <w:bCs w:val="false"/>
                <w:sz w:val="24"/>
                <w:szCs w:val="24"/>
              </w:rPr>
              <w:t>Support animals (Dog)</w:t>
            </w:r>
          </w:p>
          <w:p>
            <w:pPr>
              <w:pStyle w:val="ListParagraph"/>
              <w:numPr>
                <w:ilvl w:val="0"/>
                <w:numId w:val="6"/>
              </w:numPr>
              <w:rPr>
                <w:rFonts w:ascii="Arial" w:hAnsi="Arial" w:cs="Arial"/>
                <w:b w:val="false"/>
                <w:b w:val="false"/>
                <w:bCs w:val="false"/>
                <w:sz w:val="24"/>
                <w:szCs w:val="24"/>
              </w:rPr>
            </w:pPr>
            <w:r>
              <w:rPr>
                <w:rFonts w:cs="Arial" w:ascii="Arial" w:hAnsi="Arial"/>
                <w:b w:val="false"/>
                <w:bCs w:val="false"/>
                <w:sz w:val="24"/>
                <w:szCs w:val="24"/>
              </w:rPr>
              <w:t>Jigsaw puzzle</w:t>
            </w:r>
          </w:p>
          <w:p>
            <w:pPr>
              <w:pStyle w:val="ListParagraph"/>
              <w:numPr>
                <w:ilvl w:val="0"/>
                <w:numId w:val="6"/>
              </w:numPr>
              <w:rPr>
                <w:rFonts w:ascii="Arial" w:hAnsi="Arial" w:cs="Arial"/>
                <w:b w:val="false"/>
                <w:b w:val="false"/>
                <w:bCs w:val="false"/>
                <w:sz w:val="24"/>
                <w:szCs w:val="24"/>
              </w:rPr>
            </w:pPr>
            <w:r>
              <w:rPr>
                <w:rFonts w:cs="Arial" w:ascii="Arial" w:hAnsi="Arial"/>
                <w:b w:val="false"/>
                <w:bCs w:val="false"/>
                <w:sz w:val="24"/>
                <w:szCs w:val="24"/>
              </w:rPr>
              <w:t>Crossword</w:t>
            </w:r>
          </w:p>
          <w:p>
            <w:pPr>
              <w:pStyle w:val="ListParagraph"/>
              <w:numPr>
                <w:ilvl w:val="0"/>
                <w:numId w:val="6"/>
              </w:numPr>
              <w:rPr>
                <w:rFonts w:ascii="Arial" w:hAnsi="Arial" w:cs="Arial"/>
                <w:b w:val="false"/>
                <w:b w:val="false"/>
                <w:bCs w:val="false"/>
                <w:sz w:val="24"/>
                <w:szCs w:val="24"/>
              </w:rPr>
            </w:pPr>
            <w:r>
              <w:rPr>
                <w:rFonts w:cs="Arial" w:ascii="Arial" w:hAnsi="Arial"/>
                <w:b w:val="false"/>
                <w:bCs w:val="false"/>
                <w:sz w:val="24"/>
                <w:szCs w:val="24"/>
              </w:rPr>
              <w:t>Memory card picture puzzle (in the style of memory</w:t>
            </w:r>
            <w:r>
              <w:rPr>
                <w:rFonts w:eastAsia="Roboto" w:cs="Roboto" w:ascii="Roboto" w:hAnsi="Roboto"/>
                <w:b w:val="false"/>
                <w:bCs w:val="false"/>
                <w:i w:val="false"/>
                <w:iCs w:val="false"/>
                <w:caps w:val="false"/>
                <w:smallCaps w:val="false"/>
                <w:color w:val="auto"/>
                <w:vertAlign w:val="superscript"/>
                <w:lang w:val="en-GB"/>
              </w:rPr>
              <w:t xml:space="preserve">® </w:t>
            </w:r>
            <w:r>
              <w:rPr>
                <w:rFonts w:cs="Arial" w:ascii="Arial" w:hAnsi="Arial"/>
                <w:b w:val="false"/>
                <w:bCs w:val="false"/>
                <w:sz w:val="24"/>
                <w:szCs w:val="24"/>
              </w:rPr>
              <w:t>by Ravensburger)</w:t>
            </w:r>
          </w:p>
          <w:p>
            <w:pPr>
              <w:pStyle w:val="ListParagraph"/>
              <w:numPr>
                <w:ilvl w:val="0"/>
                <w:numId w:val="6"/>
              </w:numPr>
              <w:rPr>
                <w:rFonts w:ascii="Arial" w:hAnsi="Arial" w:cs="Arial"/>
                <w:b w:val="false"/>
                <w:b w:val="false"/>
                <w:bCs w:val="false"/>
                <w:sz w:val="24"/>
                <w:szCs w:val="24"/>
              </w:rPr>
            </w:pPr>
            <w:r>
              <w:rPr>
                <w:rFonts w:cs="Arial" w:ascii="Arial" w:hAnsi="Arial"/>
                <w:b w:val="false"/>
                <w:bCs w:val="false"/>
                <w:sz w:val="24"/>
                <w:szCs w:val="24"/>
              </w:rPr>
              <w:t>Consent form</w:t>
            </w:r>
          </w:p>
          <w:p>
            <w:pPr>
              <w:pStyle w:val="ListParagraph"/>
              <w:numPr>
                <w:ilvl w:val="0"/>
                <w:numId w:val="6"/>
              </w:numPr>
              <w:rPr>
                <w:rFonts w:ascii="Arial" w:hAnsi="Arial" w:cs="Arial"/>
                <w:b w:val="false"/>
                <w:b w:val="false"/>
                <w:bCs w:val="false"/>
                <w:sz w:val="24"/>
                <w:szCs w:val="24"/>
              </w:rPr>
            </w:pPr>
            <w:r>
              <w:rPr>
                <w:rFonts w:cs="Arial" w:ascii="Arial" w:hAnsi="Arial"/>
                <w:b w:val="false"/>
                <w:bCs w:val="false"/>
                <w:sz w:val="24"/>
                <w:szCs w:val="24"/>
              </w:rPr>
              <w:t>Debriefing form</w:t>
            </w:r>
          </w:p>
          <w:p>
            <w:pPr>
              <w:pStyle w:val="ListParagraph"/>
              <w:numPr>
                <w:ilvl w:val="0"/>
                <w:numId w:val="6"/>
              </w:numPr>
              <w:rPr>
                <w:rFonts w:ascii="Arial" w:hAnsi="Arial" w:cs="Arial"/>
                <w:b w:val="false"/>
                <w:b w:val="false"/>
                <w:bCs w:val="false"/>
                <w:sz w:val="24"/>
                <w:szCs w:val="24"/>
              </w:rPr>
            </w:pPr>
            <w:r>
              <w:rPr>
                <w:rFonts w:cs="Arial" w:ascii="Arial" w:hAnsi="Arial"/>
                <w:b w:val="false"/>
                <w:bCs w:val="false"/>
                <w:sz w:val="24"/>
                <w:szCs w:val="24"/>
              </w:rPr>
              <w:t>Score cards</w:t>
            </w:r>
          </w:p>
          <w:p>
            <w:pPr>
              <w:pStyle w:val="Normal"/>
              <w:rPr>
                <w:rFonts w:ascii="Arial" w:hAnsi="Arial" w:cs="Arial"/>
                <w:b/>
                <w:b/>
                <w:bCs/>
              </w:rPr>
            </w:pPr>
            <w:r>
              <w:rPr>
                <w:rFonts w:cs="Arial" w:ascii="Arial" w:hAnsi="Arial"/>
                <w:b/>
                <w:bCs/>
              </w:rPr>
            </w:r>
          </w:p>
          <w:p>
            <w:pPr>
              <w:pStyle w:val="Normal"/>
              <w:rPr>
                <w:rFonts w:ascii="Arial" w:hAnsi="Arial" w:cs="Arial"/>
                <w:b/>
                <w:b/>
                <w:bCs/>
              </w:rPr>
            </w:pPr>
            <w:r>
              <w:rPr>
                <w:rFonts w:cs="Arial" w:ascii="Arial" w:hAnsi="Arial"/>
                <w:b/>
                <w:bCs/>
              </w:rPr>
            </w:r>
          </w:p>
          <w:p>
            <w:pPr>
              <w:pStyle w:val="Normal"/>
              <w:rPr>
                <w:rFonts w:ascii="Arial" w:hAnsi="Arial" w:cs="Arial"/>
                <w:sz w:val="20"/>
                <w:szCs w:val="20"/>
              </w:rPr>
            </w:pPr>
            <w:r>
              <w:rPr>
                <w:rFonts w:cs="Arial" w:ascii="Arial" w:hAnsi="Arial"/>
                <w:b/>
                <w:bCs/>
                <w:sz w:val="20"/>
                <w:szCs w:val="20"/>
              </w:rPr>
              <w:t>Please describe the study procedure</w:t>
            </w:r>
            <w:r>
              <w:rPr>
                <w:rFonts w:cs="Arial" w:ascii="Arial" w:hAnsi="Arial"/>
                <w:sz w:val="20"/>
                <w:szCs w:val="20"/>
              </w:rPr>
              <w:t>:</w:t>
            </w:r>
          </w:p>
          <w:p>
            <w:pPr>
              <w:pStyle w:val="Normal"/>
              <w:rPr>
                <w:rFonts w:ascii="Arial" w:hAnsi="Arial" w:cs="Arial"/>
                <w:sz w:val="24"/>
                <w:szCs w:val="24"/>
              </w:rPr>
            </w:pPr>
            <w:r>
              <w:rPr>
                <w:rFonts w:cs="Arial" w:ascii="Arial" w:hAnsi="Arial"/>
                <w:sz w:val="24"/>
                <w:szCs w:val="24"/>
              </w:rPr>
              <w:t>All participants will be separated into two groups. Group A will consist of patients who will be provided with a support animal, in this instance a dog, and Group B will be the control group. The experiment will take place over the course of three months. The support animals will be provided by a company that deals in support animals for dementia/Alzheimer's patients that are willing to offer their service animals to the research.</w:t>
            </w:r>
          </w:p>
          <w:p>
            <w:pPr>
              <w:pStyle w:val="Normal"/>
              <w:rPr>
                <w:rFonts w:ascii="Arial" w:hAnsi="Arial" w:cs="Arial"/>
                <w:sz w:val="24"/>
                <w:szCs w:val="24"/>
              </w:rPr>
            </w:pPr>
            <w:r>
              <w:rPr>
                <w:rFonts w:cs="Arial" w:ascii="Arial" w:hAnsi="Arial"/>
                <w:sz w:val="24"/>
                <w:szCs w:val="24"/>
              </w:rPr>
              <w:t>Before the support animals are assigned, each participant will partake in a small set of cognitive activities. These activities will consist of a picture memory card game, a jigsaw puzzle and a crossword puzzle. As the participants take part, the researcher will take note of numerous factors, those being: -</w:t>
            </w:r>
          </w:p>
          <w:p>
            <w:pPr>
              <w:pStyle w:val="ListParagraph"/>
              <w:numPr>
                <w:ilvl w:val="0"/>
                <w:numId w:val="5"/>
              </w:numPr>
              <w:rPr>
                <w:rFonts w:ascii="Arial" w:hAnsi="Arial" w:cs="Arial"/>
                <w:sz w:val="24"/>
                <w:szCs w:val="24"/>
              </w:rPr>
            </w:pPr>
            <w:r>
              <w:rPr>
                <w:rFonts w:cs="Arial" w:ascii="Arial" w:hAnsi="Arial"/>
                <w:sz w:val="24"/>
                <w:szCs w:val="24"/>
              </w:rPr>
              <w:t>Was the task completed?</w:t>
            </w:r>
          </w:p>
          <w:p>
            <w:pPr>
              <w:pStyle w:val="ListParagraph"/>
              <w:numPr>
                <w:ilvl w:val="0"/>
                <w:numId w:val="5"/>
              </w:numPr>
              <w:rPr>
                <w:rFonts w:ascii="Arial" w:hAnsi="Arial" w:cs="Arial"/>
                <w:sz w:val="24"/>
                <w:szCs w:val="24"/>
              </w:rPr>
            </w:pPr>
            <w:r>
              <w:rPr>
                <w:rFonts w:cs="Arial" w:ascii="Arial" w:hAnsi="Arial"/>
                <w:sz w:val="24"/>
                <w:szCs w:val="24"/>
              </w:rPr>
              <w:t>How long did it take?</w:t>
            </w:r>
          </w:p>
          <w:p>
            <w:pPr>
              <w:pStyle w:val="ListParagraph"/>
              <w:numPr>
                <w:ilvl w:val="0"/>
                <w:numId w:val="5"/>
              </w:numPr>
              <w:rPr>
                <w:rFonts w:ascii="Arial" w:hAnsi="Arial" w:cs="Arial"/>
                <w:sz w:val="24"/>
                <w:szCs w:val="24"/>
              </w:rPr>
            </w:pPr>
            <w:r>
              <w:rPr>
                <w:rFonts w:cs="Arial" w:ascii="Arial" w:hAnsi="Arial"/>
                <w:sz w:val="24"/>
                <w:szCs w:val="24"/>
              </w:rPr>
              <w:t>How accurate was the participant?</w:t>
            </w:r>
          </w:p>
          <w:p>
            <w:pPr>
              <w:pStyle w:val="Normal"/>
              <w:ind w:left="0" w:hanging="0"/>
              <w:rPr>
                <w:rFonts w:ascii="Arial" w:hAnsi="Arial" w:cs="Arial"/>
                <w:sz w:val="24"/>
                <w:szCs w:val="24"/>
              </w:rPr>
            </w:pPr>
            <w:r>
              <w:rPr>
                <w:rFonts w:cs="Arial" w:ascii="Arial" w:hAnsi="Arial"/>
                <w:sz w:val="24"/>
                <w:szCs w:val="24"/>
              </w:rPr>
            </w:r>
          </w:p>
          <w:p>
            <w:pPr>
              <w:pStyle w:val="Normal"/>
              <w:ind w:left="0" w:hanging="0"/>
              <w:rPr>
                <w:rFonts w:ascii="Arial" w:hAnsi="Arial" w:cs="Arial"/>
                <w:sz w:val="24"/>
                <w:szCs w:val="24"/>
              </w:rPr>
            </w:pPr>
            <w:r>
              <w:rPr>
                <w:rFonts w:cs="Arial" w:ascii="Arial" w:hAnsi="Arial"/>
                <w:sz w:val="24"/>
                <w:szCs w:val="24"/>
              </w:rPr>
              <w:t xml:space="preserve">An average time will be calculated from the times taken and the completion rate per group will also be determined via a percentage. The accuracy will be measured on a scale of efficiency, mainly, how many moves did it take to complete the activity, if the task was completed in fewer moves, then the accuracy will be higher. </w:t>
            </w:r>
          </w:p>
          <w:p>
            <w:pPr>
              <w:pStyle w:val="Normal"/>
              <w:ind w:left="0" w:hanging="0"/>
              <w:rPr>
                <w:rFonts w:ascii="Arial" w:hAnsi="Arial" w:cs="Arial"/>
                <w:sz w:val="24"/>
                <w:szCs w:val="24"/>
              </w:rPr>
            </w:pPr>
            <w:r>
              <w:rPr>
                <w:rFonts w:cs="Arial" w:ascii="Arial" w:hAnsi="Arial"/>
                <w:sz w:val="24"/>
                <w:szCs w:val="24"/>
              </w:rPr>
              <w:t>After the initial scores are taken, Group A will be assigned their emotional support animals (dogs) and they will be left in their care, along with the carers of the organisation to ensure the health and safety of both the patient and the animal.</w:t>
            </w:r>
          </w:p>
          <w:p>
            <w:pPr>
              <w:pStyle w:val="Normal"/>
              <w:ind w:left="0" w:hanging="0"/>
              <w:rPr>
                <w:rFonts w:ascii="Arial" w:hAnsi="Arial" w:cs="Arial"/>
                <w:sz w:val="24"/>
                <w:szCs w:val="24"/>
              </w:rPr>
            </w:pPr>
            <w:r>
              <w:rPr>
                <w:rFonts w:cs="Arial" w:ascii="Arial" w:hAnsi="Arial"/>
                <w:sz w:val="24"/>
                <w:szCs w:val="24"/>
              </w:rPr>
              <w:t xml:space="preserve">The research will consist of three checkups over the span of six months, this includes the initial tests at the start followed by one check up at the end of every month to total three check ins. The check ins will consist of the same activities and the same measurements taken, however with the added factor of the support animals in Group A. </w:t>
            </w:r>
          </w:p>
          <w:p>
            <w:pPr>
              <w:pStyle w:val="Normal"/>
              <w:ind w:left="0" w:hanging="0"/>
              <w:rPr>
                <w:rFonts w:ascii="Arial" w:hAnsi="Arial" w:cs="Arial"/>
                <w:sz w:val="24"/>
                <w:szCs w:val="24"/>
              </w:rPr>
            </w:pPr>
            <w:r>
              <w:rPr>
                <w:rFonts w:cs="Arial" w:ascii="Arial" w:hAnsi="Arial"/>
                <w:sz w:val="24"/>
                <w:szCs w:val="24"/>
              </w:rPr>
              <w:t xml:space="preserve">The patient will be taught what is needed to care for their animal, this will be supported by care staff to ensure the animals safety. The staff will ask the patient to be involved in the care of the animal if they are not already completing the animal care requirements unprompted. </w:t>
            </w:r>
          </w:p>
          <w:p>
            <w:pPr>
              <w:pStyle w:val="Normal"/>
              <w:ind w:left="0" w:hanging="0"/>
              <w:rPr>
                <w:rFonts w:ascii="Arial" w:hAnsi="Arial" w:cs="Arial"/>
                <w:sz w:val="24"/>
                <w:szCs w:val="24"/>
              </w:rPr>
            </w:pPr>
            <w:r>
              <w:rPr>
                <w:rFonts w:cs="Arial" w:ascii="Arial" w:hAnsi="Arial"/>
                <w:sz w:val="24"/>
                <w:szCs w:val="24"/>
              </w:rPr>
              <w:t>The gathered data will be compared between groups after each check in to evaluate the effectiveness of the support animals in the cognitive abilities of the dementia patients. The data will also be compared to that of the previous data set to analyse any potential change to determine the factor of said change.</w:t>
            </w:r>
          </w:p>
          <w:p>
            <w:pPr>
              <w:pStyle w:val="Normal"/>
              <w:rPr>
                <w:rFonts w:ascii="Arial" w:hAnsi="Arial" w:cs="Arial"/>
                <w:sz w:val="20"/>
              </w:rPr>
            </w:pPr>
            <w:r>
              <w:rPr>
                <w:rFonts w:cs="Arial" w:ascii="Arial" w:hAnsi="Arial"/>
                <w:sz w:val="20"/>
              </w:rPr>
            </w:r>
          </w:p>
          <w:p>
            <w:pPr>
              <w:pStyle w:val="Normal"/>
              <w:rPr>
                <w:rFonts w:ascii="Arial" w:hAnsi="Arial" w:cs="Arial"/>
                <w:sz w:val="20"/>
              </w:rPr>
            </w:pPr>
            <w:r>
              <w:rPr>
                <w:rFonts w:cs="Arial" w:ascii="Arial" w:hAnsi="Arial"/>
                <w:sz w:val="20"/>
              </w:rPr>
            </w:r>
          </w:p>
          <w:p>
            <w:pPr>
              <w:pStyle w:val="Normal"/>
              <w:rPr>
                <w:rFonts w:ascii="Arial" w:hAnsi="Arial" w:cs="Arial"/>
                <w:sz w:val="20"/>
                <w:szCs w:val="20"/>
              </w:rPr>
            </w:pPr>
            <w:r>
              <w:rPr>
                <w:rFonts w:cs="Arial" w:ascii="Arial" w:hAnsi="Arial"/>
                <w:b/>
                <w:bCs/>
                <w:sz w:val="20"/>
                <w:szCs w:val="20"/>
              </w:rPr>
              <w:t>Ethics:</w:t>
            </w:r>
          </w:p>
          <w:p>
            <w:pPr>
              <w:pStyle w:val="Normal"/>
              <w:rPr>
                <w:rFonts w:ascii="Arial" w:hAnsi="Arial" w:cs="Arial"/>
                <w:sz w:val="20"/>
              </w:rPr>
            </w:pPr>
            <w:r>
              <w:rPr>
                <w:rFonts w:cs="Arial" w:ascii="Arial" w:hAnsi="Arial"/>
                <w:sz w:val="20"/>
              </w:rPr>
            </w:r>
          </w:p>
          <w:p>
            <w:pPr>
              <w:pStyle w:val="Normal"/>
              <w:rPr>
                <w:rFonts w:ascii="Arial" w:hAnsi="Arial" w:cs="Arial"/>
                <w:sz w:val="20"/>
                <w:szCs w:val="20"/>
              </w:rPr>
            </w:pPr>
            <w:r>
              <w:rPr>
                <w:rFonts w:cs="Arial" w:ascii="Arial" w:hAnsi="Arial"/>
                <w:sz w:val="24"/>
                <w:szCs w:val="24"/>
              </w:rPr>
              <w:t xml:space="preserve">Ethical considerations have been taken into account to ensure the most ethical procedure possible. All participants will be asked for valid informed consent after being briefed on the goals and aims of the via a consent form. The same will apply to the family members of the patient whom it may also concern regarding the patient's safety and well-being. The carers involved will also be provided a form to gain their consent regarding what is asked of them, mainly involving the animal care aspect. </w:t>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t>Anonymity of all involved will be prioritised.</w:t>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t>For the safety of the animals involved, the carers will add animal care and upkeep to their work routine to make sure no harm will come to the animal.</w:t>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t>Upon completion of the three-month course, each patient will be debriefed via a debriefing form, alongside the family. The support animal will return to their company of origin, where they will be available for redeployment according to the companies wishes.</w:t>
            </w:r>
          </w:p>
          <w:p>
            <w:pPr>
              <w:pStyle w:val="Normal"/>
              <w:rPr>
                <w:rFonts w:ascii="Arial" w:hAnsi="Arial" w:cs="Arial"/>
                <w:sz w:val="24"/>
                <w:szCs w:val="24"/>
              </w:rPr>
            </w:pPr>
            <w:r>
              <w:rPr>
                <w:rFonts w:cs="Arial" w:ascii="Arial" w:hAnsi="Arial"/>
                <w:sz w:val="24"/>
                <w:szCs w:val="24"/>
              </w:rPr>
            </w:r>
          </w:p>
          <w:p>
            <w:pPr>
              <w:pStyle w:val="Normal"/>
              <w:rPr>
                <w:rFonts w:ascii="Arial" w:hAnsi="Arial" w:eastAsia="Arial" w:cs="Arial"/>
                <w:sz w:val="24"/>
                <w:szCs w:val="24"/>
                <w:lang w:val="en-GB"/>
              </w:rPr>
            </w:pPr>
            <w:r>
              <w:rPr>
                <w:rFonts w:eastAsia="Arial" w:cs="Arial" w:ascii="Arial" w:hAnsi="Arial"/>
                <w:b w:val="false"/>
                <w:bCs w:val="false"/>
                <w:i w:val="false"/>
                <w:iCs w:val="false"/>
                <w:caps w:val="false"/>
                <w:smallCaps w:val="false"/>
                <w:color w:val="000000" w:themeColor="text1" w:themeShade="ff" w:themeTint="ff"/>
                <w:sz w:val="24"/>
                <w:szCs w:val="24"/>
                <w:lang w:val="en-GB"/>
              </w:rPr>
              <w:t>In terms of the data, all score sheets will be kept with the researcher at all times in a folder within a bag on the researcher's person until it can be locked away in a drawer owned by the researcher. Any data that requires technology, the score averages, will be kept on a USB drive owned by the researcher and kept in their custody at all times until also locked within the drawer.</w:t>
            </w:r>
          </w:p>
          <w:p>
            <w:pPr>
              <w:pStyle w:val="Normal"/>
              <w:rPr>
                <w:rFonts w:ascii="Arial" w:hAnsi="Arial" w:cs="Arial"/>
                <w:b/>
                <w:b/>
                <w:bCs/>
              </w:rPr>
            </w:pPr>
            <w:r>
              <w:rPr>
                <w:rFonts w:cs="Arial" w:ascii="Arial" w:hAnsi="Arial"/>
                <w:b/>
                <w:bCs/>
              </w:rPr>
            </w:r>
          </w:p>
          <w:p>
            <w:pPr>
              <w:pStyle w:val="Normal"/>
              <w:rPr>
                <w:rFonts w:ascii="Arial" w:hAnsi="Arial" w:cs="Arial"/>
                <w:b w:val="false"/>
                <w:b w:val="false"/>
                <w:bCs w:val="false"/>
              </w:rPr>
            </w:pPr>
            <w:r>
              <w:rPr>
                <w:rFonts w:cs="Arial" w:ascii="Arial" w:hAnsi="Arial"/>
                <w:b w:val="false"/>
                <w:bCs w:val="false"/>
              </w:rPr>
              <w:t>Upon withdrawal, any data associated with the individual will be destroyed immediately.</w:t>
            </w:r>
          </w:p>
          <w:p>
            <w:pPr>
              <w:pStyle w:val="Normal"/>
              <w:rPr>
                <w:rFonts w:ascii="Arial" w:hAnsi="Arial" w:cs="Arial"/>
                <w:b w:val="false"/>
                <w:b w:val="false"/>
                <w:bCs w:val="false"/>
              </w:rPr>
            </w:pPr>
            <w:r>
              <w:rPr>
                <w:rFonts w:cs="Arial" w:ascii="Arial" w:hAnsi="Arial"/>
                <w:b w:val="false"/>
                <w:bCs w:val="false"/>
              </w:rPr>
            </w:r>
          </w:p>
          <w:p>
            <w:pPr>
              <w:pStyle w:val="Normal"/>
              <w:rPr>
                <w:rFonts w:ascii="Arial" w:hAnsi="Arial" w:cs="Arial"/>
                <w:b w:val="false"/>
                <w:b w:val="false"/>
                <w:bCs w:val="false"/>
              </w:rPr>
            </w:pPr>
            <w:r>
              <w:rPr>
                <w:rFonts w:cs="Arial" w:ascii="Arial" w:hAnsi="Arial"/>
                <w:b w:val="false"/>
                <w:bCs w:val="false"/>
              </w:rPr>
              <w:t>Upon completion, the support animals will be phased out of the participant and carers lives by appearing at the homes during working hours, three days a week, for three weeks before returning to their company of origin.</w:t>
            </w:r>
          </w:p>
        </w:tc>
      </w:tr>
    </w:tbl>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sz w:val="4"/>
          <w:szCs w:val="4"/>
        </w:rPr>
      </w:pPr>
      <w:r>
        <w:rPr>
          <w:sz w:val="4"/>
          <w:szCs w:val="4"/>
        </w:rPr>
      </w:r>
    </w:p>
    <w:p>
      <w:pPr>
        <w:pStyle w:val="Normal"/>
        <w:rPr>
          <w:sz w:val="8"/>
          <w:szCs w:val="8"/>
        </w:rPr>
      </w:pPr>
      <w:r>
        <w:rPr>
          <w:sz w:val="8"/>
          <w:szCs w:val="8"/>
        </w:rPr>
      </w:r>
    </w:p>
    <w:p>
      <w:pPr>
        <w:pStyle w:val="Normal"/>
        <w:rPr>
          <w:rFonts w:ascii="Arial" w:hAnsi="Arial" w:cs="Arial"/>
          <w:b/>
          <w:b/>
        </w:rPr>
      </w:pPr>
      <w:r>
        <w:rPr>
          <w:rFonts w:cs="Arial" w:ascii="Arial" w:hAnsi="Arial"/>
          <w:b/>
        </w:rPr>
      </w:r>
    </w:p>
    <w:tbl>
      <w:tblPr>
        <w:tblW w:w="10308" w:type="dxa"/>
        <w:jc w:val="left"/>
        <w:tblInd w:w="0" w:type="dxa"/>
        <w:tblCellMar>
          <w:top w:w="0" w:type="dxa"/>
          <w:left w:w="108" w:type="dxa"/>
          <w:bottom w:w="0" w:type="dxa"/>
          <w:right w:w="108" w:type="dxa"/>
        </w:tblCellMar>
        <w:tblLook w:firstRow="1" w:noVBand="0" w:lastRow="1" w:firstColumn="1" w:lastColumn="1" w:noHBand="0" w:val="01e0"/>
      </w:tblPr>
      <w:tblGrid>
        <w:gridCol w:w="10308"/>
      </w:tblGrid>
      <w:tr>
        <w:trPr/>
        <w:tc>
          <w:tcPr>
            <w:tcW w:w="10308" w:type="dxa"/>
            <w:tcBorders>
              <w:top w:val="single" w:sz="4" w:space="0" w:color="000000"/>
              <w:left w:val="single" w:sz="4" w:space="0" w:color="000000"/>
              <w:bottom w:val="single" w:sz="4" w:space="0" w:color="000000"/>
              <w:right w:val="single" w:sz="4" w:space="0" w:color="000000"/>
            </w:tcBorders>
            <w:shd w:fill="auto" w:val="clear"/>
          </w:tcPr>
          <w:p>
            <w:pPr>
              <w:pStyle w:val="Normal"/>
              <w:rPr>
                <w:rFonts w:ascii="Arial" w:hAnsi="Arial" w:cs="Arial"/>
                <w:sz w:val="20"/>
                <w:szCs w:val="20"/>
              </w:rPr>
            </w:pPr>
            <w:r>
              <w:rPr>
                <w:rFonts w:cs="Arial" w:ascii="Arial" w:hAnsi="Arial"/>
                <w:b/>
                <w:bCs/>
                <w:sz w:val="20"/>
                <w:szCs w:val="20"/>
              </w:rPr>
              <w:t>Please describe how you will measure the effectiveness of your intervention. the data you will obtain and how it will be analysed</w:t>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t>A scoring system will be used that consists of task completion (as a percent average of the group), time taken to complete the activity (as a group average) and number of moves taken to complete the task (as a group average). Scores will be compared between groups and between check ins. The group with the highest completion rate, lowest time and lowest moves used will be considered the better results and thus the effectiveness of the intervention can be determined.</w:t>
            </w:r>
          </w:p>
          <w:p>
            <w:pPr>
              <w:pStyle w:val="Normal"/>
              <w:rPr>
                <w:rFonts w:ascii="Arial" w:hAnsi="Arial" w:cs="Arial"/>
                <w:sz w:val="20"/>
              </w:rPr>
            </w:pPr>
            <w:r>
              <w:rPr>
                <w:rFonts w:cs="Arial" w:ascii="Arial" w:hAnsi="Arial"/>
                <w:sz w:val="20"/>
              </w:rPr>
            </w:r>
          </w:p>
          <w:p>
            <w:pPr>
              <w:pStyle w:val="Normal"/>
              <w:rPr>
                <w:rFonts w:ascii="Arial" w:hAnsi="Arial" w:cs="Arial"/>
                <w:sz w:val="20"/>
                <w:szCs w:val="20"/>
              </w:rPr>
            </w:pPr>
            <w:r>
              <w:rPr>
                <w:rFonts w:cs="Arial" w:ascii="Arial" w:hAnsi="Arial"/>
                <w:sz w:val="20"/>
                <w:szCs w:val="20"/>
              </w:rPr>
            </w:r>
          </w:p>
        </w:tc>
      </w:tr>
    </w:tbl>
    <w:p>
      <w:pPr>
        <w:pStyle w:val="Normal"/>
        <w:rPr>
          <w:rFonts w:ascii="Arial" w:hAnsi="Arial" w:cs="Arial"/>
          <w:b/>
          <w:b/>
        </w:rPr>
      </w:pPr>
      <w:r>
        <w:rPr>
          <w:rFonts w:cs="Arial" w:ascii="Arial" w:hAnsi="Arial"/>
          <w:b/>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0"/>
          <w:szCs w:val="20"/>
        </w:rPr>
      </w:pPr>
      <w:r>
        <w:rPr>
          <w:rFonts w:eastAsia="Arial" w:cs="Arial" w:ascii="Arial" w:hAnsi="Arial"/>
          <w:b/>
          <w:bCs/>
          <w:sz w:val="20"/>
          <w:szCs w:val="20"/>
        </w:rPr>
      </w:r>
    </w:p>
    <w:p>
      <w:pPr>
        <w:pStyle w:val="Normal"/>
        <w:rPr>
          <w:rFonts w:ascii="Arial" w:hAnsi="Arial" w:eastAsia="Arial" w:cs="Arial"/>
          <w:b/>
          <w:b/>
          <w:bCs/>
          <w:sz w:val="24"/>
          <w:szCs w:val="24"/>
          <w:u w:val="single"/>
        </w:rPr>
      </w:pPr>
      <w:r>
        <w:rPr/>
      </w:r>
    </w:p>
    <w:p>
      <w:pPr>
        <w:pStyle w:val="Normal"/>
        <w:rPr>
          <w:rFonts w:ascii="Arial" w:hAnsi="Arial" w:eastAsia="Arial" w:cs="Arial"/>
          <w:b/>
          <w:b/>
          <w:bCs/>
          <w:sz w:val="24"/>
          <w:szCs w:val="24"/>
          <w:u w:val="single"/>
        </w:rPr>
      </w:pPr>
      <w:r>
        <w:rPr/>
      </w:r>
    </w:p>
    <w:p>
      <w:pPr>
        <w:pStyle w:val="Normal"/>
        <w:rPr>
          <w:rFonts w:ascii="Arial" w:hAnsi="Arial" w:eastAsia="Arial" w:cs="Arial"/>
          <w:b/>
          <w:b/>
          <w:bCs/>
          <w:sz w:val="24"/>
          <w:szCs w:val="24"/>
          <w:u w:val="single"/>
        </w:rPr>
      </w:pPr>
      <w:r>
        <w:rPr>
          <w:rFonts w:eastAsia="Arial" w:cs="Arial" w:ascii="Arial" w:hAnsi="Arial"/>
          <w:b/>
          <w:bCs/>
          <w:sz w:val="24"/>
          <w:szCs w:val="24"/>
          <w:u w:val="single"/>
        </w:rPr>
        <w:t>Appendix</w:t>
      </w:r>
    </w:p>
    <w:p>
      <w:pPr>
        <w:pStyle w:val="SMUNORMALARIAL"/>
        <w:rPr/>
      </w:pPr>
      <w:r>
        <w:rPr/>
        <w:drawing>
          <wp:inline distT="0" distB="0" distL="0" distR="0">
            <wp:extent cx="1790700" cy="733425"/>
            <wp:effectExtent l="0" t="0" r="0" b="0"/>
            <wp:docPr id="2" name="Image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TSD_logo2010"/>
                    <pic:cNvPicPr>
                      <a:picLocks noChangeAspect="1" noChangeArrowheads="1"/>
                    </pic:cNvPicPr>
                  </pic:nvPicPr>
                  <pic:blipFill>
                    <a:blip r:embed="rId9"/>
                    <a:stretch>
                      <a:fillRect/>
                    </a:stretch>
                  </pic:blipFill>
                  <pic:spPr bwMode="auto">
                    <a:xfrm>
                      <a:off x="0" y="0"/>
                      <a:ext cx="1790700" cy="733425"/>
                    </a:xfrm>
                    <a:prstGeom prst="rect">
                      <a:avLst/>
                    </a:prstGeom>
                  </pic:spPr>
                </pic:pic>
              </a:graphicData>
            </a:graphic>
          </wp:inline>
        </w:drawing>
      </w:r>
    </w:p>
    <w:p>
      <w:pPr>
        <w:pStyle w:val="SMUNORMALARIAL"/>
        <w:jc w:val="center"/>
        <w:rPr/>
      </w:pPr>
      <w:r>
        <w:rPr>
          <w:b/>
          <w:bCs/>
          <w:color w:val="auto"/>
          <w:sz w:val="28"/>
          <w:szCs w:val="28"/>
          <w:u w:val="single"/>
        </w:rPr>
        <w:t>Participant Consent Form</w:t>
      </w:r>
      <w:r>
        <w:rPr/>
        <w:br/>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firstLine="720"/>
        <w:rPr>
          <w:sz w:val="28"/>
          <w:szCs w:val="28"/>
        </w:rPr>
      </w:pPr>
      <w:r>
        <w:rPr>
          <w:sz w:val="28"/>
          <w:szCs w:val="28"/>
        </w:rPr>
        <w:t>I understand that this research will be carried out in association with Dementia UK and that taking part in this study may involve the presence of a support animal, a dog, in my day-to-day life and become a part of my routine for 6 months, with assistance from participating care staff.</w:t>
      </w:r>
    </w:p>
    <w:p>
      <w:pPr>
        <w:pStyle w:val="SMUNORMALARIAL"/>
        <w:ind w:hanging="0"/>
        <w:rPr>
          <w:sz w:val="28"/>
          <w:szCs w:val="28"/>
        </w:rPr>
      </w:pPr>
      <w:r>
        <w:rPr>
          <w:sz w:val="28"/>
          <w:szCs w:val="28"/>
        </w:rPr>
      </w:r>
    </w:p>
    <w:p>
      <w:pPr>
        <w:pStyle w:val="SMUNORMALARIAL"/>
        <w:ind w:hanging="0"/>
        <w:rPr>
          <w:sz w:val="28"/>
          <w:szCs w:val="28"/>
        </w:rPr>
      </w:pPr>
      <w:r>
        <w:rPr>
          <w:sz w:val="28"/>
          <w:szCs w:val="28"/>
        </w:rPr>
        <w:t>The study will take 6 months to complete.</w:t>
      </w:r>
    </w:p>
    <w:p>
      <w:pPr>
        <w:pStyle w:val="SMUNORMALARIAL"/>
        <w:ind w:firstLine="720"/>
        <w:rPr>
          <w:sz w:val="28"/>
          <w:szCs w:val="28"/>
        </w:rPr>
      </w:pPr>
      <w:r>
        <w:rPr>
          <w:sz w:val="28"/>
          <w:szCs w:val="28"/>
        </w:rPr>
      </w:r>
    </w:p>
    <w:p>
      <w:pPr>
        <w:pStyle w:val="SMUNORMALARIAL"/>
        <w:ind w:firstLine="720"/>
        <w:rPr>
          <w:sz w:val="28"/>
          <w:szCs w:val="28"/>
        </w:rPr>
      </w:pPr>
      <w:r>
        <w:rPr>
          <w:sz w:val="28"/>
          <w:szCs w:val="28"/>
        </w:rPr>
        <w:t>I understand that, as a participant, I will have the right to withdraw at any point, in which any data associated to my persons will be destroyed upon confirmation of withdrawal. This also extends to my family if they wish for my name to be withdrawn from the study.</w:t>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firstLine="720"/>
        <w:rPr>
          <w:sz w:val="28"/>
          <w:szCs w:val="28"/>
        </w:rPr>
      </w:pPr>
      <w:r>
        <w:rPr>
          <w:sz w:val="28"/>
          <w:szCs w:val="28"/>
        </w:rPr>
        <w:t>I …............................................. (</w:t>
      </w:r>
      <w:r>
        <w:rPr>
          <w:i/>
          <w:iCs/>
          <w:color w:val="FF0000"/>
          <w:sz w:val="28"/>
          <w:szCs w:val="28"/>
        </w:rPr>
        <w:t>Full participant name</w:t>
      </w:r>
      <w:r>
        <w:rPr>
          <w:sz w:val="28"/>
          <w:szCs w:val="28"/>
        </w:rPr>
        <w:t>) consent to participating in the research project described.</w:t>
      </w:r>
    </w:p>
    <w:p>
      <w:pPr>
        <w:pStyle w:val="SMUNORMALARIAL"/>
        <w:ind w:firstLine="720"/>
        <w:rPr>
          <w:sz w:val="28"/>
          <w:szCs w:val="28"/>
        </w:rPr>
      </w:pPr>
      <w:r>
        <w:rPr>
          <w:sz w:val="28"/>
          <w:szCs w:val="28"/>
        </w:rPr>
        <w:t>I …............................................. (</w:t>
      </w:r>
      <w:r>
        <w:rPr>
          <w:i/>
          <w:iCs/>
          <w:color w:val="FF0000"/>
          <w:sz w:val="28"/>
          <w:szCs w:val="28"/>
        </w:rPr>
        <w:t>Full name</w:t>
      </w:r>
      <w:r>
        <w:rPr>
          <w:sz w:val="28"/>
          <w:szCs w:val="28"/>
        </w:rPr>
        <w:t>) consent to the participants data usage as the participants ….......................... (</w:t>
      </w:r>
      <w:r>
        <w:rPr>
          <w:i/>
          <w:iCs/>
          <w:color w:val="FF0000"/>
          <w:sz w:val="28"/>
          <w:szCs w:val="28"/>
        </w:rPr>
        <w:t>Relation to participant</w:t>
      </w:r>
      <w:r>
        <w:rPr>
          <w:sz w:val="28"/>
          <w:szCs w:val="28"/>
        </w:rPr>
        <w:t>)</w:t>
      </w:r>
    </w:p>
    <w:p>
      <w:pPr>
        <w:pStyle w:val="SMUNORMALARIAL"/>
        <w:ind w:firstLine="720"/>
        <w:rPr>
          <w:sz w:val="28"/>
          <w:szCs w:val="28"/>
        </w:rPr>
      </w:pPr>
      <w:r>
        <w:rPr>
          <w:sz w:val="28"/>
          <w:szCs w:val="28"/>
        </w:rPr>
      </w:r>
    </w:p>
    <w:p>
      <w:pPr>
        <w:pStyle w:val="SMUNORMALARIAL"/>
        <w:ind w:firstLine="720"/>
        <w:rPr>
          <w:sz w:val="28"/>
          <w:szCs w:val="28"/>
        </w:rPr>
      </w:pPr>
      <w:r>
        <w:rPr>
          <w:sz w:val="28"/>
          <w:szCs w:val="28"/>
        </w:rPr>
      </w:r>
    </w:p>
    <w:p>
      <w:pPr>
        <w:pStyle w:val="SMUNORMALARIAL"/>
        <w:ind w:hanging="0"/>
        <w:rPr>
          <w:sz w:val="28"/>
          <w:szCs w:val="28"/>
        </w:rPr>
      </w:pPr>
      <w:r>
        <w:rPr>
          <w:sz w:val="28"/>
          <w:szCs w:val="28"/>
        </w:rPr>
        <w:t>Participant Signature ….........................................</w:t>
      </w:r>
    </w:p>
    <w:p>
      <w:pPr>
        <w:pStyle w:val="SMUNORMALARIAL"/>
        <w:ind w:hanging="0"/>
        <w:rPr>
          <w:sz w:val="28"/>
          <w:szCs w:val="28"/>
        </w:rPr>
      </w:pPr>
      <w:r>
        <w:rPr>
          <w:sz w:val="28"/>
          <w:szCs w:val="28"/>
        </w:rPr>
        <w:t>Relative Signature     ….........................................</w:t>
      </w:r>
    </w:p>
    <w:p>
      <w:pPr>
        <w:pStyle w:val="SMUNORMALARIAL"/>
        <w:ind w:hanging="0"/>
        <w:rPr>
          <w:sz w:val="28"/>
          <w:szCs w:val="28"/>
        </w:rPr>
      </w:pPr>
      <w:r>
        <w:rPr>
          <w:sz w:val="28"/>
          <w:szCs w:val="28"/>
        </w:rPr>
        <w:t xml:space="preserve">Date: </w:t>
      </w:r>
    </w:p>
    <w:p>
      <w:pPr>
        <w:pStyle w:val="SMUNORMALARIAL"/>
        <w:ind w:hanging="0"/>
        <w:rPr>
          <w:sz w:val="28"/>
          <w:szCs w:val="28"/>
        </w:rPr>
      </w:pPr>
      <w:r>
        <w:rPr>
          <w:sz w:val="28"/>
          <w:szCs w:val="28"/>
        </w:rPr>
      </w:r>
    </w:p>
    <w:p>
      <w:pPr>
        <w:pStyle w:val="SMUNORMALARIAL"/>
        <w:ind w:hanging="0"/>
        <w:rPr>
          <w:sz w:val="28"/>
          <w:szCs w:val="28"/>
        </w:rPr>
      </w:pPr>
      <w:r>
        <w:rPr>
          <w:sz w:val="28"/>
          <w:szCs w:val="28"/>
        </w:rPr>
      </w:r>
    </w:p>
    <w:p>
      <w:pPr>
        <w:pStyle w:val="SMUNORMALARIAL"/>
        <w:ind w:hanging="0"/>
        <w:rPr>
          <w:sz w:val="28"/>
          <w:szCs w:val="28"/>
        </w:rPr>
      </w:pPr>
      <w:r>
        <w:rPr>
          <w:sz w:val="28"/>
          <w:szCs w:val="28"/>
        </w:rPr>
        <w:t>Researcher signature …........................................</w:t>
      </w:r>
    </w:p>
    <w:p>
      <w:pPr>
        <w:pStyle w:val="SMUNORMALARIAL"/>
        <w:rPr/>
      </w:pPr>
      <w:r>
        <w:rPr/>
      </w:r>
    </w:p>
    <w:p>
      <w:pPr>
        <w:pStyle w:val="SMUNORMALARIAL"/>
        <w:rPr/>
      </w:pPr>
      <w:r>
        <w:rPr/>
      </w:r>
    </w:p>
    <w:p>
      <w:pPr>
        <w:pStyle w:val="SMUNORMALARIAL"/>
        <w:rPr/>
      </w:pPr>
      <w:r>
        <w:rPr/>
      </w:r>
    </w:p>
    <w:p>
      <w:pPr>
        <w:pStyle w:val="SMUNORMALARIAL"/>
        <w:rPr/>
      </w:pPr>
      <w:r>
        <w:rPr/>
      </w:r>
    </w:p>
    <w:p>
      <w:pPr>
        <w:pStyle w:val="SMUNORMALARIAL"/>
        <w:rPr/>
      </w:pPr>
      <w:r>
        <w:rPr/>
      </w:r>
    </w:p>
    <w:p>
      <w:pPr>
        <w:pStyle w:val="SMUNORMALARIAL"/>
        <w:rPr/>
      </w:pPr>
      <w:r>
        <w:rPr/>
      </w:r>
    </w:p>
    <w:p>
      <w:pPr>
        <w:pStyle w:val="SMUNORMALARIAL"/>
        <w:rPr/>
      </w:pPr>
      <w:r>
        <w:rPr/>
        <w:drawing>
          <wp:inline distT="0" distB="0" distL="0" distR="0">
            <wp:extent cx="1790700" cy="733425"/>
            <wp:effectExtent l="0" t="0" r="0" b="0"/>
            <wp:docPr id="3" name="Image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descr="TSD_logo2010"/>
                    <pic:cNvPicPr>
                      <a:picLocks noChangeAspect="1" noChangeArrowheads="1"/>
                    </pic:cNvPicPr>
                  </pic:nvPicPr>
                  <pic:blipFill>
                    <a:blip r:embed="rId10"/>
                    <a:stretch>
                      <a:fillRect/>
                    </a:stretch>
                  </pic:blipFill>
                  <pic:spPr bwMode="auto">
                    <a:xfrm>
                      <a:off x="0" y="0"/>
                      <a:ext cx="1790700" cy="733425"/>
                    </a:xfrm>
                    <a:prstGeom prst="rect">
                      <a:avLst/>
                    </a:prstGeom>
                  </pic:spPr>
                </pic:pic>
              </a:graphicData>
            </a:graphic>
          </wp:inline>
        </w:drawing>
      </w:r>
    </w:p>
    <w:p>
      <w:pPr>
        <w:pStyle w:val="SMUNORMALARIAL"/>
        <w:jc w:val="center"/>
        <w:rPr>
          <w:b/>
          <w:b/>
          <w:bCs/>
          <w:sz w:val="28"/>
          <w:szCs w:val="28"/>
          <w:u w:val="single"/>
        </w:rPr>
      </w:pPr>
      <w:r>
        <w:rPr>
          <w:b/>
          <w:bCs/>
          <w:sz w:val="28"/>
          <w:szCs w:val="28"/>
          <w:u w:val="single"/>
        </w:rPr>
        <w:t>Carer Consent Form</w:t>
      </w:r>
    </w:p>
    <w:p>
      <w:pPr>
        <w:pStyle w:val="SMUNORMALARIAL"/>
        <w:jc w:val="center"/>
        <w:rPr>
          <w:b/>
          <w:b/>
          <w:bCs/>
          <w:sz w:val="28"/>
          <w:szCs w:val="28"/>
          <w:u w:val="single"/>
        </w:rPr>
      </w:pPr>
      <w:r>
        <w:rPr>
          <w:b/>
          <w:bCs/>
          <w:sz w:val="28"/>
          <w:szCs w:val="28"/>
          <w:u w:val="single"/>
        </w:rPr>
      </w:r>
    </w:p>
    <w:p>
      <w:pPr>
        <w:pStyle w:val="SMUNORMALARIAL"/>
        <w:jc w:val="left"/>
        <w:rPr>
          <w:b w:val="false"/>
          <w:b w:val="false"/>
          <w:bCs w:val="false"/>
          <w:sz w:val="28"/>
          <w:szCs w:val="28"/>
          <w:u w:val="none"/>
        </w:rPr>
      </w:pPr>
      <w:r>
        <w:rPr>
          <w:b w:val="false"/>
          <w:bCs w:val="false"/>
          <w:sz w:val="28"/>
          <w:szCs w:val="28"/>
          <w:u w:val="none"/>
        </w:rPr>
        <w:t>I understand that by participating in this research as a carer that I will be expected to provide uniform care to all participants, excluding individualised specific care needs, to ensure the results are un-skewed by preferred care and favoured treatment of care staff.</w:t>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t>I understand that I may be required to work alongside a support animal, a dog, and provide care of the animal as part of a routine involving the participant to promote cognitive activity.</w:t>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t>I understand that I have the right to withdrawal at any point and upon withdrawal, I will be reassigned to care for any patients not included with the study.</w:t>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t>I …................................. (Full name) consent to my participation in the care aspect of this research project.</w:t>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t>Participant Signature …........................................</w:t>
      </w:r>
    </w:p>
    <w:p>
      <w:pPr>
        <w:pStyle w:val="SMUNORMALARIAL"/>
        <w:jc w:val="left"/>
        <w:rPr>
          <w:b w:val="false"/>
          <w:b w:val="false"/>
          <w:bCs w:val="false"/>
          <w:sz w:val="28"/>
          <w:szCs w:val="28"/>
          <w:u w:val="none"/>
        </w:rPr>
      </w:pPr>
      <w:r>
        <w:rPr>
          <w:b w:val="false"/>
          <w:bCs w:val="false"/>
          <w:sz w:val="28"/>
          <w:szCs w:val="28"/>
          <w:u w:val="none"/>
        </w:rPr>
        <w:t xml:space="preserve">Date: </w:t>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r>
    </w:p>
    <w:p>
      <w:pPr>
        <w:pStyle w:val="SMUNORMALARIAL"/>
        <w:jc w:val="left"/>
        <w:rPr>
          <w:b w:val="false"/>
          <w:b w:val="false"/>
          <w:bCs w:val="false"/>
          <w:sz w:val="28"/>
          <w:szCs w:val="28"/>
          <w:u w:val="none"/>
        </w:rPr>
      </w:pPr>
      <w:r>
        <w:rPr>
          <w:b w:val="false"/>
          <w:bCs w:val="false"/>
          <w:sz w:val="28"/>
          <w:szCs w:val="28"/>
          <w:u w:val="none"/>
        </w:rPr>
        <w:t>Researcher signature …........................................</w:t>
      </w:r>
    </w:p>
    <w:p>
      <w:pPr>
        <w:pStyle w:val="SMUNORMALARIAL"/>
        <w:rPr/>
      </w:pPr>
      <w:r>
        <w:rPr/>
      </w:r>
    </w:p>
    <w:p>
      <w:pPr>
        <w:pStyle w:val="SMUNORMALARIAL"/>
        <w:rPr/>
      </w:pPr>
      <w:r>
        <w:rPr/>
      </w:r>
    </w:p>
    <w:p>
      <w:pPr>
        <w:pStyle w:val="SMUNORMALARIAL"/>
        <w:rPr/>
      </w:pPr>
      <w:r>
        <w:rPr/>
      </w:r>
    </w:p>
    <w:p>
      <w:pPr>
        <w:pStyle w:val="SMUNORMALARIAL"/>
        <w:rPr/>
      </w:pPr>
      <w:r>
        <w:rPr/>
      </w:r>
    </w:p>
    <w:p>
      <w:pPr>
        <w:pStyle w:val="SMUNORMALARIAL"/>
        <w:rPr/>
      </w:pPr>
      <w:r>
        <w:rPr/>
      </w:r>
    </w:p>
    <w:p>
      <w:pPr>
        <w:pStyle w:val="SMUNORMALARIAL"/>
        <w:rPr/>
      </w:pPr>
      <w:r>
        <w:rPr/>
      </w:r>
    </w:p>
    <w:p>
      <w:pPr>
        <w:pStyle w:val="SMUNORMALARIAL"/>
        <w:rPr/>
      </w:pPr>
      <w:r>
        <w:rPr/>
      </w:r>
    </w:p>
    <w:p>
      <w:pPr>
        <w:pStyle w:val="SMUNORMALARIAL"/>
        <w:rPr/>
      </w:pPr>
      <w:r>
        <w:rPr/>
        <w:drawing>
          <wp:inline distT="0" distB="0" distL="0" distR="0">
            <wp:extent cx="1790700" cy="733425"/>
            <wp:effectExtent l="0" t="0" r="0" b="0"/>
            <wp:docPr id="4" name="Image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 descr="TSD_logo2010"/>
                    <pic:cNvPicPr>
                      <a:picLocks noChangeAspect="1" noChangeArrowheads="1"/>
                    </pic:cNvPicPr>
                  </pic:nvPicPr>
                  <pic:blipFill>
                    <a:blip r:embed="rId11"/>
                    <a:stretch>
                      <a:fillRect/>
                    </a:stretch>
                  </pic:blipFill>
                  <pic:spPr bwMode="auto">
                    <a:xfrm>
                      <a:off x="0" y="0"/>
                      <a:ext cx="1790700" cy="733425"/>
                    </a:xfrm>
                    <a:prstGeom prst="rect">
                      <a:avLst/>
                    </a:prstGeom>
                  </pic:spPr>
                </pic:pic>
              </a:graphicData>
            </a:graphic>
          </wp:inline>
        </w:drawing>
      </w:r>
    </w:p>
    <w:p>
      <w:pPr>
        <w:pStyle w:val="SMUNORMALARIAL"/>
        <w:rPr/>
      </w:pPr>
      <w:r>
        <w:rPr/>
      </w:r>
    </w:p>
    <w:p>
      <w:pPr>
        <w:pStyle w:val="SMUNORMALARIAL"/>
        <w:jc w:val="center"/>
        <w:rPr>
          <w:b/>
          <w:b/>
          <w:bCs/>
          <w:sz w:val="28"/>
          <w:szCs w:val="28"/>
          <w:u w:val="single"/>
        </w:rPr>
      </w:pPr>
      <w:r>
        <w:rPr>
          <w:b/>
          <w:bCs/>
          <w:sz w:val="28"/>
          <w:szCs w:val="28"/>
          <w:u w:val="single"/>
        </w:rPr>
        <w:t>Debriefing Form</w:t>
      </w:r>
    </w:p>
    <w:p>
      <w:pPr>
        <w:pStyle w:val="SMUNORMALARIAL"/>
        <w:jc w:val="left"/>
        <w:rPr>
          <w:b/>
          <w:b/>
          <w:bCs/>
          <w:sz w:val="28"/>
          <w:szCs w:val="28"/>
          <w:u w:val="single"/>
        </w:rPr>
      </w:pPr>
      <w:r>
        <w:rPr>
          <w:b/>
          <w:bCs/>
          <w:sz w:val="28"/>
          <w:szCs w:val="28"/>
          <w:u w:val="single"/>
        </w:rPr>
      </w:r>
    </w:p>
    <w:p>
      <w:pPr>
        <w:pStyle w:val="SMUNORMALARIAL"/>
        <w:jc w:val="left"/>
        <w:rPr>
          <w:b/>
          <w:b/>
          <w:bCs/>
          <w:sz w:val="28"/>
          <w:szCs w:val="28"/>
          <w:u w:val="none"/>
        </w:rPr>
      </w:pPr>
      <w:r>
        <w:rPr>
          <w:b/>
          <w:bCs/>
          <w:sz w:val="28"/>
          <w:szCs w:val="28"/>
          <w:u w:val="none"/>
        </w:rPr>
        <w:t>Thank you for your participation in this study.</w:t>
      </w:r>
    </w:p>
    <w:p>
      <w:pPr>
        <w:pStyle w:val="SMUNORMALARIAL"/>
        <w:jc w:val="left"/>
        <w:rPr>
          <w:b w:val="false"/>
          <w:b w:val="false"/>
          <w:bCs w:val="false"/>
          <w:sz w:val="28"/>
          <w:szCs w:val="28"/>
          <w:u w:val="none"/>
        </w:rPr>
      </w:pPr>
      <w:r>
        <w:rPr>
          <w:b w:val="false"/>
          <w:bCs w:val="false"/>
          <w:sz w:val="28"/>
          <w:szCs w:val="28"/>
          <w:u w:val="none"/>
        </w:rPr>
      </w:r>
    </w:p>
    <w:p>
      <w:pPr>
        <w:pStyle w:val="SMUNORMALARIAL"/>
        <w:ind w:firstLine="720"/>
        <w:jc w:val="left"/>
        <w:rPr>
          <w:b w:val="false"/>
          <w:b w:val="false"/>
          <w:bCs w:val="false"/>
          <w:sz w:val="28"/>
          <w:szCs w:val="28"/>
          <w:u w:val="none"/>
        </w:rPr>
      </w:pPr>
      <w:r>
        <w:rPr>
          <w:b w:val="false"/>
          <w:bCs w:val="false"/>
          <w:sz w:val="28"/>
          <w:szCs w:val="28"/>
          <w:u w:val="none"/>
        </w:rPr>
        <w:t xml:space="preserve">The goal of this study was to determine the effects of a live in support animal on dementia patients. </w:t>
      </w:r>
    </w:p>
    <w:p>
      <w:pPr>
        <w:pStyle w:val="SMUNORMALARIAL"/>
        <w:ind w:firstLine="720"/>
        <w:jc w:val="left"/>
        <w:rPr>
          <w:b w:val="false"/>
          <w:b w:val="false"/>
          <w:bCs w:val="false"/>
          <w:sz w:val="28"/>
          <w:szCs w:val="28"/>
          <w:u w:val="none"/>
        </w:rPr>
      </w:pPr>
      <w:r>
        <w:rPr>
          <w:b w:val="false"/>
          <w:bCs w:val="false"/>
          <w:sz w:val="28"/>
          <w:szCs w:val="28"/>
          <w:u w:val="none"/>
        </w:rPr>
      </w:r>
    </w:p>
    <w:p>
      <w:pPr>
        <w:pStyle w:val="SMUNORMALARIAL"/>
        <w:ind w:firstLine="720"/>
        <w:jc w:val="left"/>
        <w:rPr>
          <w:b w:val="false"/>
          <w:b w:val="false"/>
          <w:bCs w:val="false"/>
          <w:sz w:val="28"/>
          <w:szCs w:val="28"/>
          <w:u w:val="none"/>
        </w:rPr>
      </w:pPr>
      <w:r>
        <w:rPr>
          <w:b w:val="false"/>
          <w:bCs w:val="false"/>
          <w:sz w:val="28"/>
          <w:szCs w:val="28"/>
          <w:u w:val="none"/>
        </w:rPr>
        <w:t xml:space="preserve">All animals involved will be phased out, being at the home for 3 days a week for 3 weeks before being returned to their home companies to once again be deployed to accomplish the companies' goals. </w:t>
      </w:r>
    </w:p>
    <w:p>
      <w:pPr>
        <w:pStyle w:val="SMUNORMALARIAL"/>
        <w:ind w:firstLine="720"/>
        <w:jc w:val="left"/>
        <w:rPr>
          <w:b w:val="false"/>
          <w:b w:val="false"/>
          <w:bCs w:val="false"/>
          <w:sz w:val="28"/>
          <w:szCs w:val="28"/>
          <w:u w:val="none"/>
        </w:rPr>
      </w:pPr>
      <w:r>
        <w:rPr>
          <w:b w:val="false"/>
          <w:bCs w:val="false"/>
          <w:sz w:val="28"/>
          <w:szCs w:val="28"/>
          <w:u w:val="none"/>
        </w:rPr>
      </w:r>
    </w:p>
    <w:p>
      <w:pPr>
        <w:pStyle w:val="SMUNORMALARIAL"/>
        <w:ind w:firstLine="720"/>
        <w:jc w:val="left"/>
        <w:rPr>
          <w:b w:val="false"/>
          <w:b w:val="false"/>
          <w:bCs w:val="false"/>
          <w:sz w:val="28"/>
          <w:szCs w:val="28"/>
          <w:u w:val="none"/>
        </w:rPr>
      </w:pPr>
      <w:r>
        <w:rPr>
          <w:b w:val="false"/>
          <w:bCs w:val="false"/>
          <w:sz w:val="28"/>
          <w:szCs w:val="28"/>
          <w:u w:val="none"/>
        </w:rPr>
        <w:t>Your day-to-day life should now begin to return to as it was before this study.</w:t>
      </w:r>
    </w:p>
    <w:p>
      <w:pPr>
        <w:pStyle w:val="SMUNORMALARIAL"/>
        <w:ind w:firstLine="720"/>
        <w:jc w:val="left"/>
        <w:rPr>
          <w:b w:val="false"/>
          <w:b w:val="false"/>
          <w:bCs w:val="false"/>
          <w:sz w:val="28"/>
          <w:szCs w:val="28"/>
          <w:u w:val="none"/>
        </w:rPr>
      </w:pPr>
      <w:r>
        <w:rPr>
          <w:b w:val="false"/>
          <w:bCs w:val="false"/>
          <w:sz w:val="28"/>
          <w:szCs w:val="28"/>
          <w:u w:val="none"/>
        </w:rPr>
      </w:r>
    </w:p>
    <w:p>
      <w:pPr>
        <w:pStyle w:val="SMUNORMALARIAL"/>
        <w:ind w:hanging="0"/>
        <w:jc w:val="left"/>
        <w:rPr>
          <w:b w:val="false"/>
          <w:b w:val="false"/>
          <w:bCs w:val="false"/>
          <w:sz w:val="28"/>
          <w:szCs w:val="28"/>
          <w:u w:val="none"/>
        </w:rPr>
      </w:pPr>
      <w:r>
        <w:rPr>
          <w:b/>
          <w:bCs/>
          <w:sz w:val="28"/>
          <w:szCs w:val="28"/>
          <w:u w:val="none"/>
        </w:rPr>
        <w:t>If you wish to withdraw, please inform the researcher now!</w:t>
      </w:r>
    </w:p>
    <w:p>
      <w:pPr>
        <w:pStyle w:val="SMUNORMALARIAL"/>
        <w:ind w:hanging="0"/>
        <w:jc w:val="left"/>
        <w:rPr>
          <w:b/>
          <w:b/>
          <w:bCs/>
          <w:sz w:val="28"/>
          <w:szCs w:val="28"/>
          <w:u w:val="none"/>
        </w:rPr>
      </w:pPr>
      <w:r>
        <w:rPr>
          <w:b/>
          <w:bCs/>
          <w:sz w:val="28"/>
          <w:szCs w:val="28"/>
          <w:u w:val="none"/>
        </w:rPr>
      </w:r>
    </w:p>
    <w:p>
      <w:pPr>
        <w:pStyle w:val="SMUNORMALARIAL"/>
        <w:ind w:hanging="0"/>
        <w:jc w:val="left"/>
        <w:rPr>
          <w:b/>
          <w:b/>
          <w:bCs/>
          <w:sz w:val="28"/>
          <w:szCs w:val="28"/>
          <w:u w:val="none"/>
        </w:rPr>
      </w:pPr>
      <w:r>
        <w:rPr>
          <w:b w:val="false"/>
          <w:bCs w:val="false"/>
          <w:sz w:val="28"/>
          <w:szCs w:val="28"/>
          <w:u w:val="none"/>
        </w:rPr>
        <w:t>If taking part in this research has raised any questions, please contact 2104467@student.uwtsd.ac.uk.</w:t>
      </w:r>
      <w:r>
        <w:rPr>
          <w:b/>
          <w:bCs/>
          <w:sz w:val="28"/>
          <w:szCs w:val="28"/>
          <w:u w:val="none"/>
        </w:rPr>
        <w:t xml:space="preserve"> </w:t>
      </w:r>
    </w:p>
    <w:p>
      <w:pPr>
        <w:pStyle w:val="SMUNORMALARIAL"/>
        <w:ind w:hanging="0"/>
        <w:jc w:val="left"/>
        <w:rPr>
          <w:b/>
          <w:b/>
          <w:bCs/>
          <w:sz w:val="28"/>
          <w:szCs w:val="28"/>
          <w:u w:val="none"/>
        </w:rPr>
      </w:pPr>
      <w:r>
        <w:rPr>
          <w:b/>
          <w:bCs/>
          <w:sz w:val="28"/>
          <w:szCs w:val="28"/>
          <w:u w:val="none"/>
        </w:rPr>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r>
    </w:p>
    <w:p>
      <w:pPr>
        <w:pStyle w:val="Normal"/>
        <w:spacing w:lineRule="auto" w:line="259" w:before="0" w:after="160"/>
        <w:rPr>
          <w:rFonts w:ascii="Arial" w:hAnsi="Arial" w:eastAsia="Arial" w:cs="Arial"/>
          <w:b/>
          <w:b/>
          <w:bCs/>
          <w:i w:val="false"/>
          <w:i w:val="false"/>
          <w:iCs w:val="false"/>
          <w:caps w:val="false"/>
          <w:smallCaps w:val="false"/>
          <w:color w:val="000000" w:themeColor="text1" w:themeShade="ff" w:themeTint="ff"/>
          <w:sz w:val="28"/>
          <w:szCs w:val="28"/>
          <w:lang w:val="en-GB"/>
        </w:rPr>
      </w:pPr>
      <w:r>
        <w:rPr>
          <w:rFonts w:eastAsia="Arial" w:cs="Arial" w:ascii="Arial" w:hAnsi="Arial"/>
          <w:b/>
          <w:bCs/>
          <w:i w:val="false"/>
          <w:iCs w:val="false"/>
          <w:caps w:val="false"/>
          <w:smallCaps w:val="false"/>
          <w:color w:val="000000" w:themeColor="text1" w:themeShade="ff" w:themeTint="ff"/>
          <w:sz w:val="28"/>
          <w:szCs w:val="28"/>
          <w:lang w:val="en-GB"/>
        </w:rPr>
        <w:t>Thank you once more for your participation.</w:t>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t>Ethan Dowey-Wadham</w:t>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t>Centre of Psychology and Counselling</w:t>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t>Mental Health BSc</w:t>
      </w:r>
    </w:p>
    <w:p>
      <w:pPr>
        <w:pStyle w:val="Normal"/>
        <w:spacing w:lineRule="auto" w:line="259" w:before="0" w:after="160"/>
        <w:rPr>
          <w:rFonts w:ascii="Arial" w:hAnsi="Arial" w:eastAsia="Arial" w:cs="Arial"/>
          <w:b w:val="false"/>
          <w:b w:val="false"/>
          <w:bCs w:val="false"/>
          <w:i w:val="false"/>
          <w:i w:val="false"/>
          <w:iCs w:val="false"/>
          <w:caps w:val="false"/>
          <w:smallCaps w:val="false"/>
          <w:color w:val="000000" w:themeColor="text1" w:themeShade="ff" w:themeTint="ff"/>
          <w:sz w:val="28"/>
          <w:szCs w:val="28"/>
          <w:lang w:val="en-GB"/>
        </w:rPr>
      </w:pPr>
      <w:r>
        <w:rPr>
          <w:rFonts w:eastAsia="Arial" w:cs="Arial" w:ascii="Arial" w:hAnsi="Arial"/>
          <w:b w:val="false"/>
          <w:bCs w:val="false"/>
          <w:i w:val="false"/>
          <w:iCs w:val="false"/>
          <w:caps w:val="false"/>
          <w:smallCaps w:val="false"/>
          <w:color w:val="000000" w:themeColor="text1" w:themeShade="ff" w:themeTint="ff"/>
          <w:sz w:val="28"/>
          <w:szCs w:val="28"/>
          <w:lang w:val="en-GB"/>
        </w:rPr>
        <w:t xml:space="preserve"> </w:t>
      </w:r>
    </w:p>
    <w:p>
      <w:pPr>
        <w:pStyle w:val="Normal"/>
        <w:spacing w:lineRule="auto" w:line="259" w:before="0" w:after="160"/>
        <w:rPr/>
      </w:pPr>
      <w:r>
        <w:rPr>
          <w:rFonts w:eastAsia="Arial" w:cs="Arial" w:ascii="Arial" w:hAnsi="Arial"/>
          <w:b w:val="false"/>
          <w:bCs w:val="false"/>
          <w:i w:val="false"/>
          <w:iCs w:val="false"/>
          <w:caps w:val="false"/>
          <w:smallCaps w:val="false"/>
          <w:color w:val="000000" w:themeColor="text1" w:themeShade="ff" w:themeTint="ff"/>
          <w:sz w:val="28"/>
          <w:szCs w:val="28"/>
          <w:lang w:val="en-GB"/>
        </w:rPr>
        <w:t>University of Wales Trinity Saint David in association with Dementia UK</w:t>
      </w:r>
    </w:p>
    <w:p>
      <w:pPr>
        <w:pStyle w:val="SMUNORMALARIAL"/>
        <w:rPr/>
      </w:pPr>
      <w:r>
        <w:rPr/>
        <w:drawing>
          <wp:inline distT="0" distB="0" distL="0" distR="0">
            <wp:extent cx="1790700" cy="733425"/>
            <wp:effectExtent l="0" t="0" r="0" b="0"/>
            <wp:docPr id="5" name="Image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 descr="TSD_logo2010"/>
                    <pic:cNvPicPr>
                      <a:picLocks noChangeAspect="1" noChangeArrowheads="1"/>
                    </pic:cNvPicPr>
                  </pic:nvPicPr>
                  <pic:blipFill>
                    <a:blip r:embed="rId12"/>
                    <a:stretch>
                      <a:fillRect/>
                    </a:stretch>
                  </pic:blipFill>
                  <pic:spPr bwMode="auto">
                    <a:xfrm>
                      <a:off x="0" y="0"/>
                      <a:ext cx="1790700" cy="733425"/>
                    </a:xfrm>
                    <a:prstGeom prst="rect">
                      <a:avLst/>
                    </a:prstGeom>
                  </pic:spPr>
                </pic:pic>
              </a:graphicData>
            </a:graphic>
          </wp:inline>
        </w:drawing>
      </w:r>
    </w:p>
    <w:p>
      <w:pPr>
        <w:pStyle w:val="SMUNORMALARIAL"/>
        <w:rPr/>
      </w:pPr>
      <w:r>
        <w:rPr/>
      </w:r>
    </w:p>
    <w:p>
      <w:pPr>
        <w:pStyle w:val="SMUNORMALARIAL"/>
        <w:jc w:val="center"/>
        <w:rPr>
          <w:b/>
          <w:b/>
          <w:bCs/>
          <w:sz w:val="28"/>
          <w:szCs w:val="28"/>
        </w:rPr>
      </w:pPr>
      <w:r>
        <w:rPr>
          <w:b/>
          <w:bCs/>
          <w:sz w:val="28"/>
          <w:szCs w:val="28"/>
        </w:rPr>
        <w:t>Cognitive Activity Scoresheet</w:t>
      </w:r>
    </w:p>
    <w:p>
      <w:pPr>
        <w:pStyle w:val="SMUNORMALARIAL"/>
        <w:jc w:val="left"/>
        <w:rPr>
          <w:b w:val="false"/>
          <w:b w:val="false"/>
          <w:bCs w:val="false"/>
          <w:i/>
          <w:i/>
          <w:iCs/>
          <w:color w:val="FF0000"/>
          <w:sz w:val="28"/>
          <w:szCs w:val="28"/>
        </w:rPr>
      </w:pPr>
      <w:r>
        <w:rPr>
          <w:b w:val="false"/>
          <w:bCs w:val="false"/>
          <w:i/>
          <w:iCs/>
          <w:color w:val="FF0000"/>
          <w:sz w:val="28"/>
          <w:szCs w:val="28"/>
        </w:rPr>
        <w:t>This form is for researcher use only</w:t>
      </w:r>
    </w:p>
    <w:p>
      <w:pPr>
        <w:pStyle w:val="SMUNORMALARIAL"/>
        <w:jc w:val="center"/>
        <w:rPr>
          <w:b/>
          <w:b/>
          <w:bCs/>
          <w:sz w:val="28"/>
          <w:szCs w:val="28"/>
        </w:rPr>
      </w:pPr>
      <w:r>
        <w:rPr>
          <w:b/>
          <w:bCs/>
          <w:sz w:val="28"/>
          <w:szCs w:val="28"/>
        </w:rPr>
      </w:r>
    </w:p>
    <w:p>
      <w:pPr>
        <w:pStyle w:val="SMUNORMALARIAL"/>
        <w:jc w:val="center"/>
        <w:rPr>
          <w:b/>
          <w:b/>
          <w:bCs/>
          <w:sz w:val="28"/>
          <w:szCs w:val="28"/>
        </w:rPr>
      </w:pPr>
      <w:r>
        <w:rPr>
          <w:b w:val="false"/>
          <w:bCs w:val="false"/>
          <w:sz w:val="28"/>
          <w:szCs w:val="28"/>
        </w:rPr>
        <w:t>This form contains the scores of …................................</w:t>
      </w:r>
    </w:p>
    <w:p>
      <w:pPr>
        <w:pStyle w:val="SMUNORMALARIAL"/>
        <w:jc w:val="left"/>
        <w:rPr>
          <w:b w:val="false"/>
          <w:b w:val="false"/>
          <w:bCs w:val="false"/>
          <w:sz w:val="28"/>
          <w:szCs w:val="28"/>
        </w:rPr>
      </w:pPr>
      <w:r>
        <w:rPr>
          <w:b w:val="false"/>
          <w:bCs w:val="false"/>
          <w:sz w:val="28"/>
          <w:szCs w:val="28"/>
        </w:rPr>
      </w:r>
    </w:p>
    <w:p>
      <w:pPr>
        <w:pStyle w:val="SMUNORMALARIAL"/>
        <w:jc w:val="left"/>
        <w:rPr>
          <w:b w:val="false"/>
          <w:b w:val="false"/>
          <w:bCs w:val="false"/>
          <w:sz w:val="28"/>
          <w:szCs w:val="28"/>
        </w:rPr>
      </w:pPr>
      <w:r>
        <w:rPr>
          <w:b w:val="false"/>
          <w:bCs w:val="false"/>
          <w:sz w:val="28"/>
          <w:szCs w:val="28"/>
        </w:rPr>
        <w:t>The participant is from Group</w:t>
      </w:r>
      <w:r>
        <w:rPr/>
        <w:tab/>
        <w:tab/>
      </w:r>
      <w:r>
        <w:rPr>
          <w:b/>
          <w:bCs/>
          <w:i/>
          <w:iCs/>
          <w:sz w:val="28"/>
          <w:szCs w:val="28"/>
        </w:rPr>
        <w:t>A</w:t>
      </w:r>
      <w:r>
        <w:rPr/>
        <w:tab/>
        <w:tab/>
        <w:tab/>
      </w:r>
      <w:r>
        <w:rPr>
          <w:b/>
          <w:bCs/>
          <w:i/>
          <w:iCs/>
          <w:sz w:val="28"/>
          <w:szCs w:val="28"/>
        </w:rPr>
        <w:t>B</w:t>
      </w:r>
    </w:p>
    <w:p>
      <w:pPr>
        <w:pStyle w:val="SMUNORMALARIAL"/>
        <w:jc w:val="left"/>
        <w:rPr>
          <w:b w:val="false"/>
          <w:b w:val="false"/>
          <w:bCs w:val="false"/>
          <w:i/>
          <w:i/>
          <w:iCs/>
          <w:color w:val="FF0000"/>
          <w:sz w:val="28"/>
          <w:szCs w:val="28"/>
        </w:rPr>
      </w:pPr>
      <w:r>
        <w:rPr>
          <w:b w:val="false"/>
          <w:bCs w:val="false"/>
          <w:i/>
          <w:iCs/>
          <w:color w:val="FF0000"/>
          <w:sz w:val="28"/>
          <w:szCs w:val="28"/>
        </w:rPr>
        <w:t>(Circle the associated group)</w:t>
      </w:r>
    </w:p>
    <w:p>
      <w:pPr>
        <w:pStyle w:val="SMUNORMALARIAL"/>
        <w:jc w:val="left"/>
        <w:rPr>
          <w:b w:val="false"/>
          <w:b w:val="false"/>
          <w:bCs w:val="false"/>
          <w:sz w:val="28"/>
          <w:szCs w:val="28"/>
        </w:rPr>
      </w:pPr>
      <w:r>
        <w:rPr>
          <w:b w:val="false"/>
          <w:bCs w:val="false"/>
          <w:sz w:val="28"/>
          <w:szCs w:val="28"/>
        </w:rPr>
      </w:r>
    </w:p>
    <w:p>
      <w:pPr>
        <w:pStyle w:val="SMUNORMALARIAL"/>
        <w:jc w:val="left"/>
        <w:rPr>
          <w:b w:val="false"/>
          <w:b w:val="false"/>
          <w:bCs w:val="false"/>
          <w:sz w:val="28"/>
          <w:szCs w:val="28"/>
        </w:rPr>
      </w:pPr>
      <w:r>
        <w:rPr>
          <w:b w:val="false"/>
          <w:bCs w:val="false"/>
          <w:sz w:val="28"/>
          <w:szCs w:val="28"/>
        </w:rPr>
      </w:r>
    </w:p>
    <w:p>
      <w:pPr>
        <w:pStyle w:val="SMUNORMALARIAL"/>
        <w:jc w:val="left"/>
        <w:rPr>
          <w:b w:val="false"/>
          <w:b w:val="false"/>
          <w:bCs w:val="false"/>
          <w:sz w:val="28"/>
          <w:szCs w:val="28"/>
        </w:rPr>
      </w:pPr>
      <w:r>
        <w:rPr>
          <w:b w:val="false"/>
          <w:bCs w:val="false"/>
          <w:i/>
          <w:iCs/>
          <w:sz w:val="28"/>
          <w:szCs w:val="28"/>
        </w:rPr>
        <w:t>Time should be recorded in the format 00 minutes 00 seconds.</w:t>
      </w:r>
    </w:p>
    <w:p>
      <w:pPr>
        <w:pStyle w:val="SMUNORMALARIAL"/>
        <w:jc w:val="left"/>
        <w:rPr>
          <w:b w:val="false"/>
          <w:b w:val="false"/>
          <w:bCs w:val="false"/>
          <w:i/>
          <w:i/>
          <w:iCs/>
          <w:sz w:val="28"/>
          <w:szCs w:val="28"/>
        </w:rPr>
      </w:pPr>
      <w:r>
        <w:rPr>
          <w:b w:val="false"/>
          <w:bCs w:val="false"/>
          <w:i/>
          <w:iCs/>
          <w:sz w:val="28"/>
          <w:szCs w:val="28"/>
        </w:rPr>
        <w:t>Moves for crossword are represented by any attempt to fill a section with a word.</w:t>
      </w:r>
    </w:p>
    <w:p>
      <w:pPr>
        <w:pStyle w:val="SMUNORMALARIAL"/>
        <w:jc w:val="left"/>
        <w:rPr>
          <w:b w:val="false"/>
          <w:b w:val="false"/>
          <w:bCs w:val="false"/>
          <w:sz w:val="28"/>
          <w:szCs w:val="28"/>
        </w:rPr>
      </w:pPr>
      <w:r>
        <w:rPr>
          <w:b w:val="false"/>
          <w:bCs w:val="false"/>
          <w:sz w:val="28"/>
          <w:szCs w:val="28"/>
        </w:rPr>
      </w:r>
    </w:p>
    <w:tbl>
      <w:tblPr>
        <w:tblStyle w:val="TableGrid"/>
        <w:tblW w:w="10305" w:type="dxa"/>
        <w:jc w:val="left"/>
        <w:tblInd w:w="0" w:type="dxa"/>
        <w:tblCellMar>
          <w:top w:w="0" w:type="dxa"/>
          <w:left w:w="108" w:type="dxa"/>
          <w:bottom w:w="0" w:type="dxa"/>
          <w:right w:w="108" w:type="dxa"/>
        </w:tblCellMar>
        <w:tblLook w:firstRow="1" w:noVBand="1" w:lastRow="0" w:firstColumn="1" w:lastColumn="0" w:noHBand="1" w:val="06a0"/>
      </w:tblPr>
      <w:tblGrid>
        <w:gridCol w:w="3435"/>
        <w:gridCol w:w="3435"/>
        <w:gridCol w:w="3435"/>
      </w:tblGrid>
      <w:tr>
        <w:trPr>
          <w:trHeight w:val="300" w:hRule="atLeast"/>
        </w:trPr>
        <w:tc>
          <w:tcPr>
            <w:tcW w:w="3435" w:type="dxa"/>
            <w:tcBorders/>
            <w:shd w:fill="auto" w:val="clear"/>
          </w:tcPr>
          <w:p>
            <w:pPr>
              <w:pStyle w:val="SMUNORMALARIAL"/>
              <w:rPr>
                <w:b w:val="false"/>
                <w:b w:val="false"/>
                <w:bCs w:val="false"/>
                <w:sz w:val="28"/>
                <w:szCs w:val="28"/>
              </w:rPr>
            </w:pPr>
            <w:r>
              <w:rPr>
                <w:b w:val="false"/>
                <w:bCs w:val="false"/>
                <w:sz w:val="28"/>
                <w:szCs w:val="28"/>
              </w:rPr>
            </w:r>
          </w:p>
        </w:tc>
        <w:tc>
          <w:tcPr>
            <w:tcW w:w="3435" w:type="dxa"/>
            <w:tcBorders/>
            <w:shd w:fill="auto" w:val="clear"/>
          </w:tcPr>
          <w:p>
            <w:pPr>
              <w:pStyle w:val="SMUNORMALARIAL"/>
              <w:rPr>
                <w:b/>
                <w:b/>
                <w:bCs/>
                <w:sz w:val="28"/>
                <w:szCs w:val="28"/>
              </w:rPr>
            </w:pPr>
            <w:r>
              <w:rPr>
                <w:b/>
                <w:bCs/>
                <w:sz w:val="28"/>
                <w:szCs w:val="28"/>
              </w:rPr>
              <w:t>Time</w:t>
            </w:r>
          </w:p>
        </w:tc>
        <w:tc>
          <w:tcPr>
            <w:tcW w:w="3435" w:type="dxa"/>
            <w:tcBorders/>
            <w:shd w:fill="auto" w:val="clear"/>
          </w:tcPr>
          <w:p>
            <w:pPr>
              <w:pStyle w:val="SMUNORMALARIAL"/>
              <w:rPr>
                <w:b/>
                <w:b/>
                <w:bCs/>
                <w:sz w:val="28"/>
                <w:szCs w:val="28"/>
              </w:rPr>
            </w:pPr>
            <w:r>
              <w:rPr>
                <w:b/>
                <w:bCs/>
                <w:sz w:val="28"/>
                <w:szCs w:val="28"/>
              </w:rPr>
              <w:t>Moves taken</w:t>
            </w:r>
          </w:p>
        </w:tc>
      </w:tr>
      <w:tr>
        <w:trPr>
          <w:trHeight w:val="300" w:hRule="atLeast"/>
        </w:trPr>
        <w:tc>
          <w:tcPr>
            <w:tcW w:w="3435" w:type="dxa"/>
            <w:tcBorders/>
            <w:shd w:fill="auto" w:val="clear"/>
          </w:tcPr>
          <w:p>
            <w:pPr>
              <w:pStyle w:val="SMUNORMALARIAL"/>
              <w:rPr>
                <w:b/>
                <w:b/>
                <w:bCs/>
                <w:sz w:val="28"/>
                <w:szCs w:val="28"/>
              </w:rPr>
            </w:pPr>
            <w:r>
              <w:rPr>
                <w:b/>
                <w:bCs/>
                <w:sz w:val="28"/>
                <w:szCs w:val="28"/>
              </w:rPr>
              <w:t>Memory Card Game</w:t>
            </w:r>
          </w:p>
        </w:tc>
        <w:tc>
          <w:tcPr>
            <w:tcW w:w="3435" w:type="dxa"/>
            <w:tcBorders/>
            <w:shd w:fill="auto" w:val="clear"/>
          </w:tcPr>
          <w:p>
            <w:pPr>
              <w:pStyle w:val="SMUNORMALARIAL"/>
              <w:rPr>
                <w:b w:val="false"/>
                <w:b w:val="false"/>
                <w:bCs w:val="false"/>
                <w:sz w:val="28"/>
                <w:szCs w:val="28"/>
              </w:rPr>
            </w:pPr>
            <w:r>
              <w:rPr>
                <w:b w:val="false"/>
                <w:bCs w:val="false"/>
                <w:sz w:val="28"/>
                <w:szCs w:val="28"/>
              </w:rPr>
            </w:r>
          </w:p>
        </w:tc>
        <w:tc>
          <w:tcPr>
            <w:tcW w:w="3435" w:type="dxa"/>
            <w:tcBorders/>
            <w:shd w:fill="auto" w:val="clear"/>
          </w:tcPr>
          <w:p>
            <w:pPr>
              <w:pStyle w:val="SMUNORMALARIAL"/>
              <w:rPr>
                <w:b w:val="false"/>
                <w:b w:val="false"/>
                <w:bCs w:val="false"/>
                <w:sz w:val="28"/>
                <w:szCs w:val="28"/>
              </w:rPr>
            </w:pPr>
            <w:r>
              <w:rPr>
                <w:b w:val="false"/>
                <w:bCs w:val="false"/>
                <w:sz w:val="28"/>
                <w:szCs w:val="28"/>
              </w:rPr>
            </w:r>
          </w:p>
        </w:tc>
      </w:tr>
      <w:tr>
        <w:trPr>
          <w:trHeight w:val="300" w:hRule="atLeast"/>
        </w:trPr>
        <w:tc>
          <w:tcPr>
            <w:tcW w:w="3435" w:type="dxa"/>
            <w:tcBorders/>
            <w:shd w:fill="auto" w:val="clear"/>
          </w:tcPr>
          <w:p>
            <w:pPr>
              <w:pStyle w:val="SMUNORMALARIAL"/>
              <w:rPr>
                <w:b/>
                <w:b/>
                <w:bCs/>
                <w:sz w:val="28"/>
                <w:szCs w:val="28"/>
              </w:rPr>
            </w:pPr>
            <w:r>
              <w:rPr>
                <w:b/>
                <w:bCs/>
                <w:sz w:val="28"/>
                <w:szCs w:val="28"/>
              </w:rPr>
              <w:t>Jigsaw Puzzle</w:t>
            </w:r>
          </w:p>
        </w:tc>
        <w:tc>
          <w:tcPr>
            <w:tcW w:w="3435" w:type="dxa"/>
            <w:tcBorders/>
            <w:shd w:fill="auto" w:val="clear"/>
          </w:tcPr>
          <w:p>
            <w:pPr>
              <w:pStyle w:val="SMUNORMALARIAL"/>
              <w:rPr>
                <w:b w:val="false"/>
                <w:b w:val="false"/>
                <w:bCs w:val="false"/>
                <w:sz w:val="28"/>
                <w:szCs w:val="28"/>
              </w:rPr>
            </w:pPr>
            <w:r>
              <w:rPr>
                <w:b w:val="false"/>
                <w:bCs w:val="false"/>
                <w:sz w:val="28"/>
                <w:szCs w:val="28"/>
              </w:rPr>
            </w:r>
          </w:p>
        </w:tc>
        <w:tc>
          <w:tcPr>
            <w:tcW w:w="3435" w:type="dxa"/>
            <w:tcBorders/>
            <w:shd w:fill="auto" w:val="clear"/>
          </w:tcPr>
          <w:p>
            <w:pPr>
              <w:pStyle w:val="SMUNORMALARIAL"/>
              <w:rPr>
                <w:b w:val="false"/>
                <w:b w:val="false"/>
                <w:bCs w:val="false"/>
                <w:sz w:val="28"/>
                <w:szCs w:val="28"/>
              </w:rPr>
            </w:pPr>
            <w:r>
              <w:rPr>
                <w:b w:val="false"/>
                <w:bCs w:val="false"/>
                <w:sz w:val="28"/>
                <w:szCs w:val="28"/>
              </w:rPr>
            </w:r>
          </w:p>
        </w:tc>
      </w:tr>
      <w:tr>
        <w:trPr>
          <w:trHeight w:val="300" w:hRule="atLeast"/>
        </w:trPr>
        <w:tc>
          <w:tcPr>
            <w:tcW w:w="3435" w:type="dxa"/>
            <w:tcBorders/>
            <w:shd w:fill="auto" w:val="clear"/>
          </w:tcPr>
          <w:p>
            <w:pPr>
              <w:pStyle w:val="SMUNORMALARIAL"/>
              <w:rPr>
                <w:b/>
                <w:b/>
                <w:bCs/>
                <w:sz w:val="28"/>
                <w:szCs w:val="28"/>
              </w:rPr>
            </w:pPr>
            <w:r>
              <w:rPr>
                <w:b/>
                <w:bCs/>
                <w:sz w:val="28"/>
                <w:szCs w:val="28"/>
              </w:rPr>
              <w:t>Crossword</w:t>
            </w:r>
          </w:p>
        </w:tc>
        <w:tc>
          <w:tcPr>
            <w:tcW w:w="3435" w:type="dxa"/>
            <w:tcBorders/>
            <w:shd w:fill="auto" w:val="clear"/>
          </w:tcPr>
          <w:p>
            <w:pPr>
              <w:pStyle w:val="SMUNORMALARIAL"/>
              <w:rPr>
                <w:b w:val="false"/>
                <w:b w:val="false"/>
                <w:bCs w:val="false"/>
                <w:sz w:val="28"/>
                <w:szCs w:val="28"/>
              </w:rPr>
            </w:pPr>
            <w:r>
              <w:rPr>
                <w:b w:val="false"/>
                <w:bCs w:val="false"/>
                <w:sz w:val="28"/>
                <w:szCs w:val="28"/>
              </w:rPr>
            </w:r>
          </w:p>
        </w:tc>
        <w:tc>
          <w:tcPr>
            <w:tcW w:w="3435" w:type="dxa"/>
            <w:tcBorders/>
            <w:shd w:fill="auto" w:val="clear"/>
          </w:tcPr>
          <w:p>
            <w:pPr>
              <w:pStyle w:val="SMUNORMALARIAL"/>
              <w:rPr>
                <w:b w:val="false"/>
                <w:b w:val="false"/>
                <w:bCs w:val="false"/>
                <w:sz w:val="28"/>
                <w:szCs w:val="28"/>
              </w:rPr>
            </w:pPr>
            <w:r>
              <w:rPr>
                <w:b w:val="false"/>
                <w:bCs w:val="false"/>
                <w:sz w:val="28"/>
                <w:szCs w:val="28"/>
              </w:rPr>
            </w:r>
          </w:p>
        </w:tc>
      </w:tr>
    </w:tbl>
    <w:p>
      <w:pPr>
        <w:pStyle w:val="SMUNORMALARIAL"/>
        <w:jc w:val="left"/>
        <w:rPr>
          <w:b w:val="false"/>
          <w:b w:val="false"/>
          <w:bCs w:val="false"/>
          <w:sz w:val="28"/>
          <w:szCs w:val="28"/>
        </w:rPr>
      </w:pPr>
      <w:r>
        <w:rPr>
          <w:b w:val="false"/>
          <w:bCs w:val="false"/>
          <w:sz w:val="28"/>
          <w:szCs w:val="28"/>
        </w:rPr>
      </w:r>
    </w:p>
    <w:p>
      <w:pPr>
        <w:pStyle w:val="SMUNORMALARIAL"/>
        <w:jc w:val="left"/>
        <w:rPr/>
      </w:pPr>
      <w:r>
        <w:rPr/>
        <w:t>…</w:t>
      </w:r>
      <w:r>
        <w:rPr/>
        <w:t>......................................................................................................................................................</w:t>
      </w:r>
      <w:r>
        <w:rPr>
          <w:i/>
          <w:iCs/>
        </w:rPr>
        <w:t>Cut Here</w:t>
      </w:r>
    </w:p>
    <w:p>
      <w:pPr>
        <w:pStyle w:val="SMUNORMALARIAL"/>
        <w:jc w:val="left"/>
        <w:rPr/>
      </w:pPr>
      <w:r>
        <w:rPr/>
        <w:drawing>
          <wp:inline distT="0" distB="0" distL="0" distR="0">
            <wp:extent cx="1790700" cy="733425"/>
            <wp:effectExtent l="0" t="0" r="0" b="0"/>
            <wp:docPr id="6" name="Image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 descr="TSD_logo2010"/>
                    <pic:cNvPicPr>
                      <a:picLocks noChangeAspect="1" noChangeArrowheads="1"/>
                    </pic:cNvPicPr>
                  </pic:nvPicPr>
                  <pic:blipFill>
                    <a:blip r:embed="rId13"/>
                    <a:stretch>
                      <a:fillRect/>
                    </a:stretch>
                  </pic:blipFill>
                  <pic:spPr bwMode="auto">
                    <a:xfrm>
                      <a:off x="0" y="0"/>
                      <a:ext cx="1790700" cy="733425"/>
                    </a:xfrm>
                    <a:prstGeom prst="rect">
                      <a:avLst/>
                    </a:prstGeom>
                  </pic:spPr>
                </pic:pic>
              </a:graphicData>
            </a:graphic>
          </wp:inline>
        </w:drawing>
      </w:r>
    </w:p>
    <w:p>
      <w:pPr>
        <w:pStyle w:val="SMUNORMALARIAL"/>
        <w:jc w:val="center"/>
        <w:rPr>
          <w:b/>
          <w:b/>
          <w:bCs/>
          <w:sz w:val="28"/>
          <w:szCs w:val="28"/>
        </w:rPr>
      </w:pPr>
      <w:r>
        <w:rPr>
          <w:b/>
          <w:bCs/>
          <w:sz w:val="28"/>
          <w:szCs w:val="28"/>
        </w:rPr>
      </w:r>
    </w:p>
    <w:p>
      <w:pPr>
        <w:pStyle w:val="SMUNORMALARIAL"/>
        <w:jc w:val="center"/>
        <w:rPr>
          <w:b/>
          <w:b/>
          <w:bCs/>
          <w:sz w:val="28"/>
          <w:szCs w:val="28"/>
        </w:rPr>
      </w:pPr>
      <w:r>
        <w:rPr>
          <w:b/>
          <w:bCs/>
          <w:sz w:val="28"/>
          <w:szCs w:val="28"/>
        </w:rPr>
        <w:t>Cognitive Activity Scoresheet</w:t>
      </w:r>
    </w:p>
    <w:p>
      <w:pPr>
        <w:pStyle w:val="SMUNORMALARIAL"/>
        <w:jc w:val="left"/>
        <w:rPr>
          <w:b w:val="false"/>
          <w:b w:val="false"/>
          <w:bCs w:val="false"/>
          <w:i/>
          <w:i/>
          <w:iCs/>
          <w:color w:val="FF0000"/>
          <w:sz w:val="28"/>
          <w:szCs w:val="28"/>
        </w:rPr>
      </w:pPr>
      <w:r>
        <w:rPr>
          <w:b w:val="false"/>
          <w:bCs w:val="false"/>
          <w:i/>
          <w:iCs/>
          <w:color w:val="FF0000"/>
          <w:sz w:val="28"/>
          <w:szCs w:val="28"/>
        </w:rPr>
        <w:t>This form is for researcher use only</w:t>
      </w:r>
    </w:p>
    <w:p>
      <w:pPr>
        <w:pStyle w:val="SMUNORMALARIAL"/>
        <w:jc w:val="center"/>
        <w:rPr>
          <w:b w:val="false"/>
          <w:b w:val="false"/>
          <w:bCs w:val="false"/>
          <w:sz w:val="28"/>
          <w:szCs w:val="28"/>
        </w:rPr>
      </w:pPr>
      <w:r>
        <w:rPr>
          <w:b w:val="false"/>
          <w:bCs w:val="false"/>
          <w:sz w:val="28"/>
          <w:szCs w:val="28"/>
        </w:rPr>
      </w:r>
    </w:p>
    <w:p>
      <w:pPr>
        <w:pStyle w:val="SMUNORMALARIAL"/>
        <w:jc w:val="center"/>
        <w:rPr>
          <w:b/>
          <w:b/>
          <w:bCs/>
          <w:sz w:val="28"/>
          <w:szCs w:val="28"/>
        </w:rPr>
      </w:pPr>
      <w:r>
        <w:rPr>
          <w:b w:val="false"/>
          <w:bCs w:val="false"/>
          <w:sz w:val="28"/>
          <w:szCs w:val="28"/>
        </w:rPr>
        <w:t>This form contains the scores of ….................................</w:t>
      </w:r>
    </w:p>
    <w:p>
      <w:pPr>
        <w:pStyle w:val="SMUNORMALARIAL"/>
        <w:jc w:val="left"/>
        <w:rPr>
          <w:b w:val="false"/>
          <w:b w:val="false"/>
          <w:bCs w:val="false"/>
          <w:sz w:val="28"/>
          <w:szCs w:val="28"/>
        </w:rPr>
      </w:pPr>
      <w:r>
        <w:rPr>
          <w:b w:val="false"/>
          <w:bCs w:val="false"/>
          <w:sz w:val="28"/>
          <w:szCs w:val="28"/>
        </w:rPr>
      </w:r>
    </w:p>
    <w:p>
      <w:pPr>
        <w:pStyle w:val="SMUNORMALARIAL"/>
        <w:jc w:val="left"/>
        <w:rPr>
          <w:b w:val="false"/>
          <w:b w:val="false"/>
          <w:bCs w:val="false"/>
          <w:sz w:val="28"/>
          <w:szCs w:val="28"/>
        </w:rPr>
      </w:pPr>
      <w:r>
        <w:rPr>
          <w:b w:val="false"/>
          <w:bCs w:val="false"/>
          <w:sz w:val="28"/>
          <w:szCs w:val="28"/>
        </w:rPr>
        <w:t>The participant is from Group</w:t>
      </w:r>
      <w:r>
        <w:rPr/>
        <w:tab/>
        <w:tab/>
      </w:r>
      <w:r>
        <w:rPr>
          <w:b/>
          <w:bCs/>
          <w:i/>
          <w:iCs/>
          <w:sz w:val="28"/>
          <w:szCs w:val="28"/>
        </w:rPr>
        <w:t>A</w:t>
      </w:r>
      <w:r>
        <w:rPr/>
        <w:tab/>
        <w:tab/>
        <w:tab/>
      </w:r>
      <w:r>
        <w:rPr>
          <w:b/>
          <w:bCs/>
          <w:i/>
          <w:iCs/>
          <w:sz w:val="28"/>
          <w:szCs w:val="28"/>
        </w:rPr>
        <w:t>B</w:t>
      </w:r>
    </w:p>
    <w:p>
      <w:pPr>
        <w:pStyle w:val="SMUNORMALARIAL"/>
        <w:jc w:val="left"/>
        <w:rPr>
          <w:b w:val="false"/>
          <w:b w:val="false"/>
          <w:bCs w:val="false"/>
          <w:i/>
          <w:i/>
          <w:iCs/>
          <w:color w:val="FF0000"/>
          <w:sz w:val="28"/>
          <w:szCs w:val="28"/>
        </w:rPr>
      </w:pPr>
      <w:r>
        <w:rPr>
          <w:b w:val="false"/>
          <w:bCs w:val="false"/>
          <w:i/>
          <w:iCs/>
          <w:color w:val="FF0000"/>
          <w:sz w:val="28"/>
          <w:szCs w:val="28"/>
        </w:rPr>
        <w:t>(Circle the associated group)</w:t>
      </w:r>
    </w:p>
    <w:p>
      <w:pPr>
        <w:pStyle w:val="SMUNORMALARIAL"/>
        <w:jc w:val="left"/>
        <w:rPr>
          <w:b w:val="false"/>
          <w:b w:val="false"/>
          <w:bCs w:val="false"/>
          <w:sz w:val="28"/>
          <w:szCs w:val="28"/>
        </w:rPr>
      </w:pPr>
      <w:r>
        <w:rPr>
          <w:b w:val="false"/>
          <w:bCs w:val="false"/>
          <w:sz w:val="28"/>
          <w:szCs w:val="28"/>
        </w:rPr>
      </w:r>
    </w:p>
    <w:p>
      <w:pPr>
        <w:pStyle w:val="SMUNORMALARIAL"/>
        <w:jc w:val="left"/>
        <w:rPr>
          <w:b w:val="false"/>
          <w:b w:val="false"/>
          <w:bCs w:val="false"/>
          <w:sz w:val="28"/>
          <w:szCs w:val="28"/>
        </w:rPr>
      </w:pPr>
      <w:r>
        <w:rPr>
          <w:b w:val="false"/>
          <w:bCs w:val="false"/>
          <w:sz w:val="28"/>
          <w:szCs w:val="28"/>
        </w:rPr>
      </w:r>
    </w:p>
    <w:p>
      <w:pPr>
        <w:pStyle w:val="SMUNORMALARIAL"/>
        <w:jc w:val="left"/>
        <w:rPr>
          <w:b w:val="false"/>
          <w:b w:val="false"/>
          <w:bCs w:val="false"/>
          <w:sz w:val="28"/>
          <w:szCs w:val="28"/>
        </w:rPr>
      </w:pPr>
      <w:r>
        <w:rPr>
          <w:b w:val="false"/>
          <w:bCs w:val="false"/>
          <w:i/>
          <w:iCs/>
          <w:sz w:val="28"/>
          <w:szCs w:val="28"/>
        </w:rPr>
        <w:t>Time should be recorded in the format 00 minutes 00 seconds.</w:t>
      </w:r>
    </w:p>
    <w:p>
      <w:pPr>
        <w:pStyle w:val="SMUNORMALARIAL"/>
        <w:jc w:val="left"/>
        <w:rPr>
          <w:b w:val="false"/>
          <w:b w:val="false"/>
          <w:bCs w:val="false"/>
          <w:i/>
          <w:i/>
          <w:iCs/>
          <w:sz w:val="28"/>
          <w:szCs w:val="28"/>
        </w:rPr>
      </w:pPr>
      <w:r>
        <w:rPr>
          <w:b w:val="false"/>
          <w:bCs w:val="false"/>
          <w:i/>
          <w:iCs/>
          <w:sz w:val="28"/>
          <w:szCs w:val="28"/>
        </w:rPr>
        <w:t>Moves for crossword are represented by any attempt to fill a section with a word.</w:t>
      </w:r>
    </w:p>
    <w:p>
      <w:pPr>
        <w:pStyle w:val="SMUNORMALARIAL"/>
        <w:jc w:val="left"/>
        <w:rPr>
          <w:b w:val="false"/>
          <w:b w:val="false"/>
          <w:bCs w:val="false"/>
          <w:sz w:val="28"/>
          <w:szCs w:val="28"/>
        </w:rPr>
      </w:pPr>
      <w:r>
        <w:rPr>
          <w:b w:val="false"/>
          <w:bCs w:val="false"/>
          <w:sz w:val="28"/>
          <w:szCs w:val="28"/>
        </w:rPr>
      </w:r>
    </w:p>
    <w:tbl>
      <w:tblPr>
        <w:tblStyle w:val="TableGrid"/>
        <w:tblW w:w="10305" w:type="dxa"/>
        <w:jc w:val="left"/>
        <w:tblInd w:w="0" w:type="dxa"/>
        <w:tblCellMar>
          <w:top w:w="0" w:type="dxa"/>
          <w:left w:w="108" w:type="dxa"/>
          <w:bottom w:w="0" w:type="dxa"/>
          <w:right w:w="108" w:type="dxa"/>
        </w:tblCellMar>
        <w:tblLook w:firstRow="1" w:noVBand="1" w:lastRow="0" w:firstColumn="1" w:lastColumn="0" w:noHBand="1" w:val="06a0"/>
      </w:tblPr>
      <w:tblGrid>
        <w:gridCol w:w="3435"/>
        <w:gridCol w:w="3435"/>
        <w:gridCol w:w="3435"/>
      </w:tblGrid>
      <w:tr>
        <w:trPr>
          <w:trHeight w:val="300" w:hRule="atLeast"/>
        </w:trPr>
        <w:tc>
          <w:tcPr>
            <w:tcW w:w="3435" w:type="dxa"/>
            <w:tcBorders/>
            <w:shd w:fill="auto" w:val="clear"/>
          </w:tcPr>
          <w:p>
            <w:pPr>
              <w:pStyle w:val="SMUNORMALARIAL"/>
              <w:rPr>
                <w:b w:val="false"/>
                <w:b w:val="false"/>
                <w:bCs w:val="false"/>
                <w:sz w:val="28"/>
                <w:szCs w:val="28"/>
              </w:rPr>
            </w:pPr>
            <w:r>
              <w:rPr>
                <w:b w:val="false"/>
                <w:bCs w:val="false"/>
                <w:sz w:val="28"/>
                <w:szCs w:val="28"/>
              </w:rPr>
            </w:r>
          </w:p>
        </w:tc>
        <w:tc>
          <w:tcPr>
            <w:tcW w:w="3435" w:type="dxa"/>
            <w:tcBorders/>
            <w:shd w:fill="auto" w:val="clear"/>
          </w:tcPr>
          <w:p>
            <w:pPr>
              <w:pStyle w:val="SMUNORMALARIAL"/>
              <w:rPr>
                <w:b/>
                <w:b/>
                <w:bCs/>
                <w:sz w:val="28"/>
                <w:szCs w:val="28"/>
              </w:rPr>
            </w:pPr>
            <w:r>
              <w:rPr>
                <w:b/>
                <w:bCs/>
                <w:sz w:val="28"/>
                <w:szCs w:val="28"/>
              </w:rPr>
              <w:t>Time</w:t>
            </w:r>
          </w:p>
        </w:tc>
        <w:tc>
          <w:tcPr>
            <w:tcW w:w="3435" w:type="dxa"/>
            <w:tcBorders/>
            <w:shd w:fill="auto" w:val="clear"/>
          </w:tcPr>
          <w:p>
            <w:pPr>
              <w:pStyle w:val="SMUNORMALARIAL"/>
              <w:rPr>
                <w:b/>
                <w:b/>
                <w:bCs/>
                <w:sz w:val="28"/>
                <w:szCs w:val="28"/>
              </w:rPr>
            </w:pPr>
            <w:r>
              <w:rPr>
                <w:b/>
                <w:bCs/>
                <w:sz w:val="28"/>
                <w:szCs w:val="28"/>
              </w:rPr>
              <w:t>Moves taken</w:t>
            </w:r>
          </w:p>
        </w:tc>
      </w:tr>
      <w:tr>
        <w:trPr>
          <w:trHeight w:val="300" w:hRule="atLeast"/>
        </w:trPr>
        <w:tc>
          <w:tcPr>
            <w:tcW w:w="3435" w:type="dxa"/>
            <w:tcBorders/>
            <w:shd w:fill="auto" w:val="clear"/>
          </w:tcPr>
          <w:p>
            <w:pPr>
              <w:pStyle w:val="SMUNORMALARIAL"/>
              <w:rPr>
                <w:b/>
                <w:b/>
                <w:bCs/>
                <w:sz w:val="28"/>
                <w:szCs w:val="28"/>
              </w:rPr>
            </w:pPr>
            <w:r>
              <w:rPr>
                <w:b/>
                <w:bCs/>
                <w:sz w:val="28"/>
                <w:szCs w:val="28"/>
              </w:rPr>
              <w:t>Memory Card Game</w:t>
            </w:r>
          </w:p>
        </w:tc>
        <w:tc>
          <w:tcPr>
            <w:tcW w:w="3435" w:type="dxa"/>
            <w:tcBorders/>
            <w:shd w:fill="auto" w:val="clear"/>
          </w:tcPr>
          <w:p>
            <w:pPr>
              <w:pStyle w:val="SMUNORMALARIAL"/>
              <w:rPr>
                <w:b w:val="false"/>
                <w:b w:val="false"/>
                <w:bCs w:val="false"/>
                <w:sz w:val="28"/>
                <w:szCs w:val="28"/>
              </w:rPr>
            </w:pPr>
            <w:r>
              <w:rPr>
                <w:b w:val="false"/>
                <w:bCs w:val="false"/>
                <w:sz w:val="28"/>
                <w:szCs w:val="28"/>
              </w:rPr>
            </w:r>
          </w:p>
        </w:tc>
        <w:tc>
          <w:tcPr>
            <w:tcW w:w="3435" w:type="dxa"/>
            <w:tcBorders/>
            <w:shd w:fill="auto" w:val="clear"/>
          </w:tcPr>
          <w:p>
            <w:pPr>
              <w:pStyle w:val="SMUNORMALARIAL"/>
              <w:rPr>
                <w:b w:val="false"/>
                <w:b w:val="false"/>
                <w:bCs w:val="false"/>
                <w:sz w:val="28"/>
                <w:szCs w:val="28"/>
              </w:rPr>
            </w:pPr>
            <w:r>
              <w:rPr>
                <w:b w:val="false"/>
                <w:bCs w:val="false"/>
                <w:sz w:val="28"/>
                <w:szCs w:val="28"/>
              </w:rPr>
            </w:r>
          </w:p>
        </w:tc>
      </w:tr>
      <w:tr>
        <w:trPr>
          <w:trHeight w:val="300" w:hRule="atLeast"/>
        </w:trPr>
        <w:tc>
          <w:tcPr>
            <w:tcW w:w="3435" w:type="dxa"/>
            <w:tcBorders/>
            <w:shd w:fill="auto" w:val="clear"/>
          </w:tcPr>
          <w:p>
            <w:pPr>
              <w:pStyle w:val="SMUNORMALARIAL"/>
              <w:rPr>
                <w:b/>
                <w:b/>
                <w:bCs/>
                <w:sz w:val="28"/>
                <w:szCs w:val="28"/>
              </w:rPr>
            </w:pPr>
            <w:r>
              <w:rPr>
                <w:b/>
                <w:bCs/>
                <w:sz w:val="28"/>
                <w:szCs w:val="28"/>
              </w:rPr>
              <w:t>Jigsaw Puzzle</w:t>
            </w:r>
          </w:p>
        </w:tc>
        <w:tc>
          <w:tcPr>
            <w:tcW w:w="3435" w:type="dxa"/>
            <w:tcBorders/>
            <w:shd w:fill="auto" w:val="clear"/>
          </w:tcPr>
          <w:p>
            <w:pPr>
              <w:pStyle w:val="SMUNORMALARIAL"/>
              <w:rPr>
                <w:b w:val="false"/>
                <w:b w:val="false"/>
                <w:bCs w:val="false"/>
                <w:sz w:val="28"/>
                <w:szCs w:val="28"/>
              </w:rPr>
            </w:pPr>
            <w:r>
              <w:rPr>
                <w:b w:val="false"/>
                <w:bCs w:val="false"/>
                <w:sz w:val="28"/>
                <w:szCs w:val="28"/>
              </w:rPr>
            </w:r>
          </w:p>
        </w:tc>
        <w:tc>
          <w:tcPr>
            <w:tcW w:w="3435" w:type="dxa"/>
            <w:tcBorders/>
            <w:shd w:fill="auto" w:val="clear"/>
          </w:tcPr>
          <w:p>
            <w:pPr>
              <w:pStyle w:val="SMUNORMALARIAL"/>
              <w:rPr>
                <w:b w:val="false"/>
                <w:b w:val="false"/>
                <w:bCs w:val="false"/>
                <w:sz w:val="28"/>
                <w:szCs w:val="28"/>
              </w:rPr>
            </w:pPr>
            <w:r>
              <w:rPr>
                <w:b w:val="false"/>
                <w:bCs w:val="false"/>
                <w:sz w:val="28"/>
                <w:szCs w:val="28"/>
              </w:rPr>
            </w:r>
          </w:p>
        </w:tc>
      </w:tr>
      <w:tr>
        <w:trPr>
          <w:trHeight w:val="300" w:hRule="atLeast"/>
        </w:trPr>
        <w:tc>
          <w:tcPr>
            <w:tcW w:w="3435" w:type="dxa"/>
            <w:tcBorders/>
            <w:shd w:fill="auto" w:val="clear"/>
          </w:tcPr>
          <w:p>
            <w:pPr>
              <w:pStyle w:val="SMUNORMALARIAL"/>
              <w:rPr>
                <w:b/>
                <w:b/>
                <w:bCs/>
                <w:sz w:val="28"/>
                <w:szCs w:val="28"/>
              </w:rPr>
            </w:pPr>
            <w:r>
              <w:rPr>
                <w:b/>
                <w:bCs/>
                <w:sz w:val="28"/>
                <w:szCs w:val="28"/>
              </w:rPr>
              <w:t>Crossword</w:t>
            </w:r>
          </w:p>
        </w:tc>
        <w:tc>
          <w:tcPr>
            <w:tcW w:w="3435" w:type="dxa"/>
            <w:tcBorders/>
            <w:shd w:fill="auto" w:val="clear"/>
          </w:tcPr>
          <w:p>
            <w:pPr>
              <w:pStyle w:val="SMUNORMALARIAL"/>
              <w:rPr>
                <w:b w:val="false"/>
                <w:b w:val="false"/>
                <w:bCs w:val="false"/>
                <w:sz w:val="28"/>
                <w:szCs w:val="28"/>
              </w:rPr>
            </w:pPr>
            <w:r>
              <w:rPr>
                <w:b w:val="false"/>
                <w:bCs w:val="false"/>
                <w:sz w:val="28"/>
                <w:szCs w:val="28"/>
              </w:rPr>
            </w:r>
          </w:p>
        </w:tc>
        <w:tc>
          <w:tcPr>
            <w:tcW w:w="3435" w:type="dxa"/>
            <w:tcBorders/>
            <w:shd w:fill="auto" w:val="clear"/>
          </w:tcPr>
          <w:p>
            <w:pPr>
              <w:pStyle w:val="SMUNORMALARIAL"/>
              <w:rPr>
                <w:b w:val="false"/>
                <w:b w:val="false"/>
                <w:bCs w:val="false"/>
                <w:sz w:val="28"/>
                <w:szCs w:val="28"/>
              </w:rPr>
            </w:pPr>
            <w:r>
              <w:rPr>
                <w:b w:val="false"/>
                <w:bCs w:val="false"/>
                <w:sz w:val="28"/>
                <w:szCs w:val="28"/>
              </w:rPr>
            </w:r>
          </w:p>
        </w:tc>
      </w:tr>
    </w:tbl>
    <w:p>
      <w:pPr>
        <w:pStyle w:val="SMUNORMALARIAL"/>
        <w:jc w:val="left"/>
        <w:rPr>
          <w:b w:val="false"/>
          <w:b w:val="false"/>
          <w:bCs w:val="false"/>
          <w:sz w:val="28"/>
          <w:szCs w:val="28"/>
        </w:rPr>
      </w:pPr>
      <w:r>
        <w:rPr>
          <w:b w:val="false"/>
          <w:bCs w:val="false"/>
          <w:sz w:val="28"/>
          <w:szCs w:val="28"/>
        </w:rPr>
      </w:r>
    </w:p>
    <w:p>
      <w:pPr>
        <w:pStyle w:val="SMUNORMALARIAL"/>
        <w:jc w:val="left"/>
        <w:rPr>
          <w:b/>
          <w:b/>
          <w:bCs/>
          <w:sz w:val="24"/>
          <w:szCs w:val="24"/>
          <w:u w:val="single"/>
        </w:rPr>
      </w:pPr>
      <w:r>
        <w:rPr>
          <w:b/>
          <w:bCs/>
          <w:sz w:val="24"/>
          <w:szCs w:val="24"/>
          <w:u w:val="single"/>
        </w:rPr>
      </w:r>
    </w:p>
    <w:p>
      <w:pPr>
        <w:pStyle w:val="SMUNORMALARIAL"/>
        <w:jc w:val="left"/>
        <w:rPr>
          <w:b w:val="false"/>
          <w:b w:val="false"/>
          <w:bCs w:val="false"/>
          <w:sz w:val="28"/>
          <w:szCs w:val="28"/>
        </w:rPr>
      </w:pPr>
      <w:r>
        <w:rPr>
          <w:b/>
          <w:bCs/>
          <w:sz w:val="24"/>
          <w:szCs w:val="24"/>
          <w:u w:val="single"/>
        </w:rPr>
        <w:t>References</w:t>
      </w:r>
    </w:p>
    <w:p>
      <w:pPr>
        <w:pStyle w:val="SMUNORMALARIAL"/>
        <w:jc w:val="left"/>
        <w:rPr>
          <w:b/>
          <w:b/>
          <w:bCs/>
          <w:sz w:val="28"/>
          <w:szCs w:val="28"/>
          <w:u w:val="single"/>
        </w:rPr>
      </w:pPr>
      <w:r>
        <w:rPr>
          <w:b/>
          <w:bCs/>
          <w:sz w:val="28"/>
          <w:szCs w:val="28"/>
          <w:u w:val="single"/>
        </w:rPr>
      </w:r>
    </w:p>
    <w:p>
      <w:pPr>
        <w:pStyle w:val="SMUNORMALARIAL"/>
        <w:ind w:firstLine="720"/>
        <w:jc w:val="left"/>
        <w:rPr/>
      </w:pPr>
      <w:r>
        <w:rPr>
          <w:rFonts w:eastAsia="Arial" w:cs="Arial"/>
          <w:b w:val="false"/>
          <w:bCs w:val="false"/>
          <w:i w:val="false"/>
          <w:iCs w:val="false"/>
          <w:caps w:val="false"/>
          <w:smallCaps w:val="false"/>
          <w:color w:val="auto"/>
          <w:sz w:val="24"/>
          <w:szCs w:val="24"/>
          <w:lang w:val="en-GB"/>
        </w:rPr>
        <w:t>Nordgren L, Engström G (2012). ‘</w:t>
      </w:r>
      <w:r>
        <w:rPr>
          <w:rFonts w:eastAsia="Arial" w:cs="Arial"/>
          <w:b w:val="false"/>
          <w:bCs w:val="false"/>
          <w:i/>
          <w:iCs/>
          <w:caps w:val="false"/>
          <w:smallCaps w:val="false"/>
          <w:color w:val="auto"/>
          <w:sz w:val="24"/>
          <w:szCs w:val="24"/>
          <w:lang w:val="en-GB"/>
        </w:rPr>
        <w:t>Effects of Animal-Assisted Therapy on Behavioral and/or Psychological Symptoms in Dementia: A Case Report</w:t>
      </w:r>
      <w:r>
        <w:rPr>
          <w:rFonts w:eastAsia="Arial" w:cs="Arial"/>
          <w:b w:val="false"/>
          <w:bCs w:val="false"/>
          <w:i w:val="false"/>
          <w:iCs w:val="false"/>
          <w:caps w:val="false"/>
          <w:smallCaps w:val="false"/>
          <w:color w:val="auto"/>
          <w:sz w:val="24"/>
          <w:szCs w:val="24"/>
          <w:lang w:val="en-GB"/>
        </w:rPr>
        <w:t>’. American Journal of Alzheimer’s Disease &amp; Other Dementias. 2012;27(8):625-632. Available at:</w:t>
      </w:r>
      <w:hyperlink r:id="rId14">
        <w:r>
          <w:rPr>
            <w:rStyle w:val="InternetLink"/>
            <w:rFonts w:eastAsia="Arial" w:cs="Arial"/>
            <w:b w:val="false"/>
            <w:bCs w:val="false"/>
            <w:i w:val="false"/>
            <w:iCs w:val="false"/>
            <w:caps w:val="false"/>
            <w:smallCaps w:val="false"/>
            <w:strike w:val="false"/>
            <w:dstrike w:val="false"/>
            <w:color w:val="006ACC"/>
            <w:sz w:val="24"/>
            <w:szCs w:val="24"/>
            <w:u w:val="single"/>
            <w:lang w:val="en-GB"/>
          </w:rPr>
          <w:t>10.1177/1533317512464117</w:t>
        </w:r>
        <w:r>
          <w:rPr>
            <w:rStyle w:val="InternetLink"/>
            <w:rFonts w:eastAsia="Arial" w:cs="Arial"/>
            <w:b w:val="false"/>
            <w:bCs w:val="false"/>
            <w:i w:val="false"/>
            <w:iCs w:val="false"/>
            <w:caps w:val="false"/>
            <w:smallCaps w:val="false"/>
            <w:strike w:val="false"/>
            <w:dstrike w:val="false"/>
            <w:color w:val="auto"/>
            <w:sz w:val="24"/>
            <w:szCs w:val="24"/>
            <w:u w:val="none"/>
            <w:lang w:val="en-GB"/>
          </w:rPr>
          <w:t>.</w:t>
        </w:r>
      </w:hyperlink>
      <w:r>
        <w:rPr>
          <w:rFonts w:eastAsia="Arial" w:cs="Arial"/>
          <w:color w:val="auto"/>
          <w:u w:val="none"/>
          <w:lang w:val="en-GB"/>
        </w:rPr>
        <w:t xml:space="preserve"> </w:t>
      </w:r>
      <w:r>
        <w:rPr>
          <w:rFonts w:eastAsia="Arial" w:cs="Arial"/>
          <w:color w:val="auto"/>
          <w:sz w:val="24"/>
          <w:szCs w:val="24"/>
          <w:u w:val="none"/>
          <w:lang w:val="en-GB"/>
        </w:rPr>
        <w:t>Accessed on December 12</w:t>
      </w:r>
      <w:r>
        <w:rPr>
          <w:rFonts w:eastAsia="Arial" w:cs="Arial"/>
          <w:color w:val="auto"/>
          <w:sz w:val="24"/>
          <w:szCs w:val="24"/>
          <w:u w:val="none"/>
          <w:vertAlign w:val="superscript"/>
          <w:lang w:val="en-GB"/>
        </w:rPr>
        <w:t>th</w:t>
      </w:r>
      <w:r>
        <w:rPr>
          <w:rFonts w:eastAsia="Arial" w:cs="Arial"/>
          <w:color w:val="auto"/>
          <w:sz w:val="24"/>
          <w:szCs w:val="24"/>
          <w:u w:val="none"/>
          <w:lang w:val="en-GB"/>
        </w:rPr>
        <w:t>, 2023.</w:t>
      </w:r>
    </w:p>
    <w:p>
      <w:pPr>
        <w:pStyle w:val="SMUNORMALARIAL"/>
        <w:ind w:firstLine="720"/>
        <w:jc w:val="left"/>
        <w:rPr>
          <w:rFonts w:ascii="Arial" w:hAnsi="Arial" w:eastAsia="Arial" w:cs="Arial"/>
          <w:color w:val="auto"/>
          <w:sz w:val="24"/>
          <w:szCs w:val="24"/>
          <w:u w:val="none"/>
          <w:lang w:val="en-GB"/>
        </w:rPr>
      </w:pPr>
      <w:r>
        <w:rPr>
          <w:rFonts w:eastAsia="Arial" w:cs="Arial"/>
          <w:color w:val="auto"/>
          <w:sz w:val="24"/>
          <w:szCs w:val="24"/>
          <w:u w:val="none"/>
          <w:lang w:val="en-GB"/>
        </w:rPr>
      </w:r>
    </w:p>
    <w:p>
      <w:pPr>
        <w:pStyle w:val="Heading1"/>
        <w:ind w:firstLine="720"/>
        <w:rPr/>
      </w:pPr>
      <w:r>
        <w:rPr>
          <w:rFonts w:eastAsia="Arial" w:cs="Arial"/>
          <w:b w:val="false"/>
          <w:bCs w:val="false"/>
          <w:color w:val="auto"/>
          <w:sz w:val="24"/>
          <w:szCs w:val="24"/>
          <w:u w:val="none"/>
          <w:lang w:val="en-GB"/>
        </w:rPr>
        <w:t>Majic et al (2012).</w:t>
      </w:r>
      <w:r>
        <w:rPr>
          <w:rFonts w:eastAsia="Arial" w:cs="Arial"/>
          <w:color w:val="auto"/>
          <w:sz w:val="24"/>
          <w:szCs w:val="24"/>
          <w:u w:val="none"/>
          <w:lang w:val="en-GB"/>
        </w:rPr>
        <w:t xml:space="preserve"> </w:t>
      </w:r>
      <w:r>
        <w:rPr>
          <w:rFonts w:eastAsia="Arial" w:cs="Arial"/>
          <w:i/>
          <w:iCs/>
          <w:color w:val="auto"/>
          <w:sz w:val="24"/>
          <w:szCs w:val="24"/>
          <w:u w:val="none"/>
          <w:lang w:val="en-GB"/>
        </w:rPr>
        <w:t>‘</w:t>
      </w:r>
      <w:r>
        <w:rPr>
          <w:rFonts w:eastAsia="Arial" w:cs="Arial"/>
          <w:b w:val="false"/>
          <w:bCs w:val="false"/>
          <w:i/>
          <w:iCs/>
          <w:caps w:val="false"/>
          <w:smallCaps w:val="false"/>
          <w:color w:val="auto"/>
          <w:sz w:val="24"/>
          <w:szCs w:val="24"/>
          <w:lang w:val="en-GB"/>
        </w:rPr>
        <w:t>Animal-Assisted Therapy and Agitation and Depression in Nursing Home Residents with Dementia: A Matched Case–Control Trial</w:t>
      </w:r>
      <w:r>
        <w:rPr>
          <w:rFonts w:eastAsia="Arial" w:cs="Arial"/>
          <w:i/>
          <w:iCs/>
          <w:color w:val="auto"/>
          <w:sz w:val="24"/>
          <w:szCs w:val="24"/>
          <w:u w:val="none"/>
          <w:lang w:val="en-GB"/>
        </w:rPr>
        <w:t>’</w:t>
      </w:r>
      <w:r>
        <w:rPr>
          <w:rFonts w:eastAsia="Arial" w:cs="Arial"/>
          <w:color w:val="auto"/>
          <w:sz w:val="24"/>
          <w:szCs w:val="24"/>
          <w:u w:val="none"/>
          <w:lang w:val="en-GB"/>
        </w:rPr>
        <w:t xml:space="preserve">. </w:t>
      </w:r>
      <w:r>
        <w:rPr>
          <w:rFonts w:eastAsia="Arial" w:cs="Arial"/>
          <w:b w:val="false"/>
          <w:bCs w:val="false"/>
          <w:color w:val="auto"/>
          <w:sz w:val="24"/>
          <w:szCs w:val="24"/>
          <w:u w:val="none"/>
          <w:lang w:val="en-GB"/>
        </w:rPr>
        <w:t xml:space="preserve">The American Journal of Geriatric Psychiatry, Volume 21, Issue 11, 2013. Available at: </w:t>
      </w:r>
      <w:hyperlink r:id="rId15">
        <w:r>
          <w:rPr>
            <w:rStyle w:val="InternetLink"/>
            <w:rFonts w:eastAsia="Arial" w:cs="Arial"/>
            <w:b w:val="false"/>
            <w:bCs w:val="false"/>
            <w:sz w:val="24"/>
            <w:szCs w:val="24"/>
            <w:lang w:val="en-GB"/>
          </w:rPr>
          <w:t>https://doi.org/10.1016/j.jagp.2013.03.004</w:t>
        </w:r>
      </w:hyperlink>
      <w:r>
        <w:rPr>
          <w:rFonts w:eastAsia="Arial" w:cs="Arial"/>
          <w:b w:val="false"/>
          <w:bCs w:val="false"/>
          <w:color w:val="auto"/>
          <w:sz w:val="24"/>
          <w:szCs w:val="24"/>
          <w:u w:val="none"/>
          <w:lang w:val="en-GB"/>
        </w:rPr>
        <w:t xml:space="preserve"> Accessed on December 12</w:t>
      </w:r>
      <w:r>
        <w:rPr>
          <w:rFonts w:eastAsia="Arial" w:cs="Arial"/>
          <w:b w:val="false"/>
          <w:bCs w:val="false"/>
          <w:color w:val="auto"/>
          <w:sz w:val="24"/>
          <w:szCs w:val="24"/>
          <w:u w:val="none"/>
          <w:vertAlign w:val="superscript"/>
          <w:lang w:val="en-GB"/>
        </w:rPr>
        <w:t>th</w:t>
      </w:r>
      <w:r>
        <w:rPr>
          <w:rFonts w:eastAsia="Arial" w:cs="Arial"/>
          <w:b w:val="false"/>
          <w:bCs w:val="false"/>
          <w:color w:val="auto"/>
          <w:sz w:val="24"/>
          <w:szCs w:val="24"/>
          <w:u w:val="none"/>
          <w:lang w:val="en-GB"/>
        </w:rPr>
        <w:t>, 2023.</w:t>
      </w:r>
    </w:p>
    <w:p>
      <w:pPr>
        <w:pStyle w:val="Normal"/>
        <w:rPr>
          <w:lang w:val="en-GB"/>
        </w:rPr>
      </w:pPr>
      <w:r>
        <w:rPr>
          <w:lang w:val="en-GB"/>
        </w:rPr>
      </w:r>
    </w:p>
    <w:p>
      <w:pPr>
        <w:pStyle w:val="Normal"/>
        <w:rPr>
          <w:rFonts w:ascii="Arial" w:hAnsi="Arial" w:eastAsia="Arial" w:cs="Arial"/>
          <w:lang w:val="en-GB"/>
        </w:rPr>
      </w:pPr>
      <w:r>
        <w:rPr>
          <w:rFonts w:eastAsia="Arial" w:cs="Arial" w:ascii="Arial" w:hAnsi="Arial"/>
          <w:lang w:val="en-GB"/>
        </w:rPr>
        <w:t xml:space="preserve">Batson et al (1998). </w:t>
      </w:r>
      <w:r>
        <w:rPr>
          <w:rFonts w:eastAsia="Arial" w:cs="Arial" w:ascii="Arial" w:hAnsi="Arial"/>
          <w:i/>
          <w:iCs/>
          <w:lang w:val="en-GB"/>
        </w:rPr>
        <w:t>‘The Effect of a Therapy Dog on Socialization and Psychological Indicators of Stress in Persons Diagnosed Alzheimer’s Disease’</w:t>
      </w:r>
      <w:r>
        <w:rPr>
          <w:rFonts w:eastAsia="Arial" w:cs="Arial" w:ascii="Arial" w:hAnsi="Arial"/>
          <w:lang w:val="en-GB"/>
        </w:rPr>
        <w:t xml:space="preserve">. Companion Animals in Human Health, SAGE. </w:t>
      </w:r>
    </w:p>
    <w:p>
      <w:pPr>
        <w:pStyle w:val="Normal"/>
        <w:rPr>
          <w:rFonts w:ascii="Arial" w:hAnsi="Arial" w:eastAsia="Arial" w:cs="Arial"/>
          <w:lang w:val="en-GB"/>
        </w:rPr>
      </w:pPr>
      <w:r>
        <w:rPr>
          <w:rFonts w:eastAsia="Arial" w:cs="Arial" w:ascii="Arial" w:hAnsi="Arial"/>
          <w:lang w:val="en-GB"/>
        </w:rPr>
      </w:r>
    </w:p>
    <w:p>
      <w:pPr>
        <w:pStyle w:val="Normal"/>
        <w:rPr/>
      </w:pPr>
      <w:r>
        <w:rPr>
          <w:rFonts w:eastAsia="Arial" w:cs="Arial" w:ascii="Arial" w:hAnsi="Arial"/>
          <w:lang w:val="en-GB"/>
        </w:rPr>
        <w:t xml:space="preserve">Urwin and Holroyd (2022). </w:t>
      </w:r>
      <w:r>
        <w:rPr>
          <w:rFonts w:eastAsia="Arial" w:cs="Arial" w:ascii="Arial" w:hAnsi="Arial"/>
          <w:i/>
          <w:iCs/>
          <w:lang w:val="en-GB"/>
        </w:rPr>
        <w:t>‘What is Animal Assisted Therapy?’</w:t>
      </w:r>
      <w:r>
        <w:rPr>
          <w:rFonts w:eastAsia="Arial" w:cs="Arial" w:ascii="Arial" w:hAnsi="Arial"/>
          <w:lang w:val="en-GB"/>
        </w:rPr>
        <w:t xml:space="preserve">. BACP. Available at: </w:t>
      </w:r>
      <w:hyperlink r:id="rId16">
        <w:r>
          <w:rPr>
            <w:rStyle w:val="InternetLink"/>
            <w:rFonts w:eastAsia="Arial" w:cs="Arial" w:ascii="Arial" w:hAnsi="Arial"/>
            <w:lang w:val="en-GB"/>
          </w:rPr>
          <w:t>https://www.bacp.co.uk/about-therapy/types-of-therapy/animal-assisted-therapy/</w:t>
        </w:r>
      </w:hyperlink>
      <w:r>
        <w:rPr>
          <w:rFonts w:eastAsia="Arial" w:cs="Arial" w:ascii="Arial" w:hAnsi="Arial"/>
          <w:lang w:val="en-GB"/>
        </w:rPr>
        <w:t xml:space="preserve"> Accessed on December 12</w:t>
      </w:r>
      <w:r>
        <w:rPr>
          <w:rFonts w:eastAsia="Arial" w:cs="Arial" w:ascii="Arial" w:hAnsi="Arial"/>
          <w:vertAlign w:val="superscript"/>
          <w:lang w:val="en-GB"/>
        </w:rPr>
        <w:t>th</w:t>
      </w:r>
      <w:r>
        <w:rPr>
          <w:rFonts w:eastAsia="Arial" w:cs="Arial" w:ascii="Arial" w:hAnsi="Arial"/>
          <w:lang w:val="en-GB"/>
        </w:rPr>
        <w:t>, 2023.</w:t>
      </w:r>
    </w:p>
    <w:p>
      <w:pPr>
        <w:pStyle w:val="Normal"/>
        <w:rPr>
          <w:rFonts w:ascii="Arial" w:hAnsi="Arial" w:eastAsia="Arial" w:cs="Arial"/>
          <w:lang w:val="en-GB"/>
        </w:rPr>
      </w:pPr>
      <w:r>
        <w:rPr>
          <w:rFonts w:eastAsia="Arial" w:cs="Arial" w:ascii="Arial" w:hAnsi="Arial"/>
          <w:lang w:val="en-GB"/>
        </w:rPr>
      </w:r>
    </w:p>
    <w:p>
      <w:pPr>
        <w:pStyle w:val="Normal"/>
        <w:ind w:firstLine="720"/>
        <w:rPr/>
      </w:pPr>
      <w:r>
        <w:rPr>
          <w:rFonts w:eastAsia="Arial" w:cs="Arial" w:ascii="Arial" w:hAnsi="Arial"/>
          <w:b w:val="false"/>
          <w:bCs w:val="false"/>
          <w:i w:val="false"/>
          <w:iCs w:val="false"/>
          <w:caps w:val="false"/>
          <w:smallCaps w:val="false"/>
          <w:color w:val="auto"/>
          <w:sz w:val="24"/>
          <w:szCs w:val="24"/>
          <w:lang w:val="en-GB"/>
        </w:rPr>
        <w:t xml:space="preserve">Filan SL, Llewellyn-Jones RH (2006). Animal-assisted therapy for dementia: a review of the literature. </w:t>
      </w:r>
      <w:r>
        <w:rPr>
          <w:rFonts w:eastAsia="Arial" w:cs="Arial" w:ascii="Arial" w:hAnsi="Arial"/>
          <w:b w:val="false"/>
          <w:bCs w:val="false"/>
          <w:i/>
          <w:iCs/>
          <w:caps w:val="false"/>
          <w:smallCaps w:val="false"/>
          <w:color w:val="auto"/>
          <w:sz w:val="24"/>
          <w:szCs w:val="24"/>
          <w:lang w:val="en-GB"/>
        </w:rPr>
        <w:t>International Psychogeriatrics</w:t>
      </w:r>
      <w:r>
        <w:rPr>
          <w:rFonts w:eastAsia="Arial" w:cs="Arial" w:ascii="Arial" w:hAnsi="Arial"/>
          <w:b w:val="false"/>
          <w:bCs w:val="false"/>
          <w:i w:val="false"/>
          <w:iCs w:val="false"/>
          <w:caps w:val="false"/>
          <w:smallCaps w:val="false"/>
          <w:color w:val="auto"/>
          <w:sz w:val="24"/>
          <w:szCs w:val="24"/>
          <w:lang w:val="en-GB"/>
        </w:rPr>
        <w:t xml:space="preserve">. 2006;18(4):597-611. Available at: </w:t>
      </w:r>
      <w:hyperlink r:id="rId17">
        <w:r>
          <w:rPr>
            <w:rStyle w:val="InternetLink"/>
            <w:rFonts w:eastAsia="Arial" w:cs="Arial" w:ascii="Arial" w:hAnsi="Arial"/>
            <w:b w:val="false"/>
            <w:bCs w:val="false"/>
            <w:i w:val="false"/>
            <w:iCs w:val="false"/>
            <w:caps w:val="false"/>
            <w:smallCaps w:val="false"/>
            <w:sz w:val="24"/>
            <w:szCs w:val="24"/>
            <w:lang w:val="en-GB"/>
          </w:rPr>
          <w:t>https://www.cambridge.org/core/journals/international-psychogeriatrics/article/animalassisted-therapy-for-dementia-a-review-of-the-literature/CA29DC68F280C4A7EFBE67C9BDD0FDD0</w:t>
        </w:r>
      </w:hyperlink>
      <w:r>
        <w:rPr>
          <w:rFonts w:eastAsia="Arial" w:cs="Arial" w:ascii="Arial" w:hAnsi="Arial"/>
          <w:b w:val="false"/>
          <w:bCs w:val="false"/>
          <w:i w:val="false"/>
          <w:iCs w:val="false"/>
          <w:caps w:val="false"/>
          <w:smallCaps w:val="false"/>
          <w:color w:val="auto"/>
          <w:sz w:val="24"/>
          <w:szCs w:val="24"/>
          <w:lang w:val="en-GB"/>
        </w:rPr>
        <w:t xml:space="preserve"> .</w:t>
      </w:r>
      <w:r>
        <w:rPr>
          <w:rFonts w:eastAsia="Arial" w:cs="Arial" w:ascii="Arial" w:hAnsi="Arial"/>
          <w:b w:val="false"/>
          <w:bCs w:val="false"/>
          <w:i w:val="false"/>
          <w:iCs w:val="false"/>
          <w:caps w:val="false"/>
          <w:smallCaps w:val="false"/>
          <w:color w:val="181817"/>
          <w:sz w:val="24"/>
          <w:szCs w:val="24"/>
          <w:lang w:val="en-GB"/>
        </w:rPr>
        <w:t xml:space="preserve"> Accessed on December 12</w:t>
      </w:r>
      <w:r>
        <w:rPr>
          <w:rFonts w:eastAsia="Arial" w:cs="Arial" w:ascii="Arial" w:hAnsi="Arial"/>
          <w:b w:val="false"/>
          <w:bCs w:val="false"/>
          <w:i w:val="false"/>
          <w:iCs w:val="false"/>
          <w:caps w:val="false"/>
          <w:smallCaps w:val="false"/>
          <w:color w:val="181817"/>
          <w:sz w:val="24"/>
          <w:szCs w:val="24"/>
          <w:vertAlign w:val="superscript"/>
          <w:lang w:val="en-GB"/>
        </w:rPr>
        <w:t>th</w:t>
      </w:r>
      <w:r>
        <w:rPr>
          <w:rFonts w:eastAsia="Arial" w:cs="Arial" w:ascii="Arial" w:hAnsi="Arial"/>
          <w:b w:val="false"/>
          <w:bCs w:val="false"/>
          <w:i w:val="false"/>
          <w:iCs w:val="false"/>
          <w:caps w:val="false"/>
          <w:smallCaps w:val="false"/>
          <w:color w:val="181817"/>
          <w:sz w:val="24"/>
          <w:szCs w:val="24"/>
          <w:lang w:val="en-GB"/>
        </w:rPr>
        <w:t>, 2023.</w:t>
      </w:r>
    </w:p>
    <w:sectPr>
      <w:headerReference w:type="default" r:id="rId18"/>
      <w:headerReference w:type="first" r:id="rId19"/>
      <w:footerReference w:type="default" r:id="rId20"/>
      <w:footerReference w:type="first" r:id="rId21"/>
      <w:type w:val="nextPage"/>
      <w:pgSz w:w="11906" w:h="16838"/>
      <w:pgMar w:left="794" w:right="794" w:header="709" w:top="766" w:footer="709" w:bottom="766" w:gutter="0"/>
      <w:pgNumType w:start="6"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Liberation Sans">
    <w:altName w:val="Arial"/>
    <w:charset w:val="00"/>
    <w:family w:val="roman"/>
    <w:pitch w:val="variable"/>
  </w:font>
  <w:font w:name="Tahoma">
    <w:charset w:val="00"/>
    <w:family w:val="roman"/>
    <w:pitch w:val="variable"/>
  </w:font>
  <w:font w:name="Calibri">
    <w:charset w:val="00"/>
    <w:family w:val="roman"/>
    <w:pitch w:val="variable"/>
  </w:font>
  <w:font w:name="Roboto">
    <w:charset w:val="00"/>
    <w:family w:val="roman"/>
    <w:pitch w:val="variable"/>
  </w:font>
  <w:font w:name="Calibri">
    <w:charset w:val="01"/>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ind w:right="360" w:hanging="0"/>
      <w:jc w:val="right"/>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10305" w:type="dxa"/>
      <w:jc w:val="left"/>
      <w:tblInd w:w="0" w:type="dxa"/>
      <w:tblCellMar>
        <w:top w:w="0" w:type="dxa"/>
        <w:left w:w="108" w:type="dxa"/>
        <w:bottom w:w="0" w:type="dxa"/>
        <w:right w:w="108" w:type="dxa"/>
      </w:tblCellMar>
      <w:tblLook w:firstRow="1" w:noVBand="1" w:lastRow="0" w:firstColumn="1" w:lastColumn="0" w:noHBand="1" w:val="06a0"/>
    </w:tblPr>
    <w:tblGrid>
      <w:gridCol w:w="3435"/>
      <w:gridCol w:w="3435"/>
      <w:gridCol w:w="3435"/>
    </w:tblGrid>
    <w:tr>
      <w:trPr>
        <w:trHeight w:val="300" w:hRule="atLeast"/>
      </w:trPr>
      <w:tc>
        <w:tcPr>
          <w:tcW w:w="3435" w:type="dxa"/>
          <w:tcBorders/>
          <w:shd w:fill="auto" w:val="clear"/>
        </w:tcPr>
        <w:p>
          <w:pPr>
            <w:pStyle w:val="Header"/>
            <w:bidi w:val="0"/>
            <w:ind w:left="-115" w:hanging="0"/>
            <w:jc w:val="left"/>
            <w:rPr/>
          </w:pPr>
          <w:r>
            <w:rPr/>
          </w:r>
        </w:p>
      </w:tc>
      <w:tc>
        <w:tcPr>
          <w:tcW w:w="3435" w:type="dxa"/>
          <w:tcBorders/>
          <w:shd w:fill="auto" w:val="clear"/>
        </w:tcPr>
        <w:p>
          <w:pPr>
            <w:pStyle w:val="Header"/>
            <w:bidi w:val="0"/>
            <w:jc w:val="center"/>
            <w:rPr/>
          </w:pPr>
          <w:r>
            <w:rPr/>
          </w:r>
        </w:p>
      </w:tc>
      <w:tc>
        <w:tcPr>
          <w:tcW w:w="3435" w:type="dxa"/>
          <w:tcBorders/>
          <w:shd w:fill="auto" w:val="clear"/>
        </w:tcPr>
        <w:p>
          <w:pPr>
            <w:pStyle w:val="Header"/>
            <w:bidi w:val="0"/>
            <w:ind w:right="-115" w:hanging="0"/>
            <w:jc w:val="right"/>
            <w:rPr/>
          </w:pPr>
          <w:r>
            <w:rPr/>
          </w:r>
        </w:p>
      </w:tc>
    </w:tr>
  </w:tbl>
  <w:p>
    <w:pPr>
      <w:pStyle w:val="Footer"/>
      <w:bidi w:val="0"/>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10305" w:type="dxa"/>
      <w:jc w:val="left"/>
      <w:tblInd w:w="0" w:type="dxa"/>
      <w:tblCellMar>
        <w:top w:w="0" w:type="dxa"/>
        <w:left w:w="108" w:type="dxa"/>
        <w:bottom w:w="0" w:type="dxa"/>
        <w:right w:w="108" w:type="dxa"/>
      </w:tblCellMar>
      <w:tblLook w:firstRow="1" w:noVBand="1" w:lastRow="0" w:firstColumn="1" w:lastColumn="0" w:noHBand="1" w:val="06a0"/>
    </w:tblPr>
    <w:tblGrid>
      <w:gridCol w:w="3435"/>
      <w:gridCol w:w="3435"/>
      <w:gridCol w:w="3435"/>
    </w:tblGrid>
    <w:tr>
      <w:trPr>
        <w:trHeight w:val="300" w:hRule="atLeast"/>
      </w:trPr>
      <w:tc>
        <w:tcPr>
          <w:tcW w:w="3435" w:type="dxa"/>
          <w:tcBorders/>
          <w:shd w:fill="auto" w:val="clear"/>
        </w:tcPr>
        <w:p>
          <w:pPr>
            <w:pStyle w:val="Header"/>
            <w:bidi w:val="0"/>
            <w:ind w:left="-115" w:hanging="0"/>
            <w:jc w:val="left"/>
            <w:rPr/>
          </w:pPr>
          <w:r>
            <w:rPr/>
          </w:r>
        </w:p>
      </w:tc>
      <w:tc>
        <w:tcPr>
          <w:tcW w:w="3435" w:type="dxa"/>
          <w:tcBorders/>
          <w:shd w:fill="auto" w:val="clear"/>
        </w:tcPr>
        <w:p>
          <w:pPr>
            <w:pStyle w:val="Header"/>
            <w:bidi w:val="0"/>
            <w:jc w:val="center"/>
            <w:rPr/>
          </w:pPr>
          <w:r>
            <w:rPr/>
          </w:r>
        </w:p>
      </w:tc>
      <w:tc>
        <w:tcPr>
          <w:tcW w:w="3435" w:type="dxa"/>
          <w:tcBorders/>
          <w:shd w:fill="auto" w:val="clear"/>
        </w:tcPr>
        <w:p>
          <w:pPr>
            <w:pStyle w:val="Header"/>
            <w:bidi w:val="0"/>
            <w:ind w:right="-115" w:hanging="0"/>
            <w:jc w:val="right"/>
            <w:rPr/>
          </w:pPr>
          <w:r>
            <w:rPr/>
          </w:r>
        </w:p>
      </w:tc>
    </w:tr>
  </w:tbl>
  <w:p>
    <w:pPr>
      <w:pStyle w:val="Header"/>
      <w:bidi w:val="0"/>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10305" w:type="dxa"/>
      <w:jc w:val="left"/>
      <w:tblInd w:w="0" w:type="dxa"/>
      <w:tblCellMar>
        <w:top w:w="0" w:type="dxa"/>
        <w:left w:w="108" w:type="dxa"/>
        <w:bottom w:w="0" w:type="dxa"/>
        <w:right w:w="108" w:type="dxa"/>
      </w:tblCellMar>
      <w:tblLook w:firstRow="1" w:noVBand="1" w:lastRow="0" w:firstColumn="1" w:lastColumn="0" w:noHBand="1" w:val="06a0"/>
    </w:tblPr>
    <w:tblGrid>
      <w:gridCol w:w="3435"/>
      <w:gridCol w:w="3435"/>
      <w:gridCol w:w="3435"/>
    </w:tblGrid>
    <w:tr>
      <w:trPr>
        <w:trHeight w:val="300" w:hRule="atLeast"/>
      </w:trPr>
      <w:tc>
        <w:tcPr>
          <w:tcW w:w="3435" w:type="dxa"/>
          <w:tcBorders/>
          <w:shd w:fill="auto" w:val="clear"/>
        </w:tcPr>
        <w:p>
          <w:pPr>
            <w:pStyle w:val="Header"/>
            <w:bidi w:val="0"/>
            <w:ind w:left="-115" w:hanging="0"/>
            <w:jc w:val="left"/>
            <w:rPr/>
          </w:pPr>
          <w:r>
            <w:rPr/>
          </w:r>
        </w:p>
      </w:tc>
      <w:tc>
        <w:tcPr>
          <w:tcW w:w="3435" w:type="dxa"/>
          <w:tcBorders/>
          <w:shd w:fill="auto" w:val="clear"/>
        </w:tcPr>
        <w:p>
          <w:pPr>
            <w:pStyle w:val="Header"/>
            <w:bidi w:val="0"/>
            <w:jc w:val="center"/>
            <w:rPr/>
          </w:pPr>
          <w:r>
            <w:rPr/>
          </w:r>
        </w:p>
      </w:tc>
      <w:tc>
        <w:tcPr>
          <w:tcW w:w="3435" w:type="dxa"/>
          <w:tcBorders/>
          <w:shd w:fill="auto" w:val="clear"/>
        </w:tcPr>
        <w:p>
          <w:pPr>
            <w:pStyle w:val="Header"/>
            <w:bidi w:val="0"/>
            <w:ind w:right="-115" w:hanging="0"/>
            <w:jc w:val="right"/>
            <w:rPr/>
          </w:pPr>
          <w:r>
            <w:rPr/>
            <w:t>Ethan Dowey-Wadham</w:t>
          </w:r>
        </w:p>
        <w:p>
          <w:pPr>
            <w:pStyle w:val="Header"/>
            <w:bidi w:val="0"/>
            <w:ind w:right="-115" w:hanging="0"/>
            <w:jc w:val="right"/>
            <w:rPr/>
          </w:pPr>
          <w:r>
            <w:rPr/>
            <w:t>2104467</w:t>
          </w:r>
        </w:p>
      </w:tc>
    </w:tr>
  </w:tbl>
  <w:p>
    <w:pPr>
      <w:pStyle w:val="Header"/>
      <w:bidi w:val="0"/>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1440" w:hanging="360"/>
      </w:pPr>
      <w:rPr>
        <w:rFonts w:ascii="Calibri" w:hAnsi="Calibri" w:cs="Calibri" w:hint="default"/>
        <w:sz w:val="24"/>
        <w:b w:val="false"/>
        <w:rFonts w:cs="Calibri"/>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bullet"/>
      <w:lvlText w:val="-"/>
      <w:lvlJc w:val="left"/>
      <w:pPr>
        <w:ind w:left="1440" w:hanging="360"/>
      </w:pPr>
      <w:rPr>
        <w:rFonts w:ascii="Calibri" w:hAnsi="Calibri" w:cs="Calibri" w:hint="default"/>
        <w:sz w:val="24"/>
        <w:b w:val="false"/>
        <w:rFonts w:cs="Calibri"/>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3">
    <w:lvl w:ilvl="0">
      <w:start w:val="1"/>
      <w:numFmt w:val="bullet"/>
      <w:lvlText w:val="-"/>
      <w:lvlJc w:val="left"/>
      <w:pPr>
        <w:ind w:left="1440" w:hanging="360"/>
      </w:pPr>
      <w:rPr>
        <w:rFonts w:ascii="Calibri" w:hAnsi="Calibri" w:cs="Calibri" w:hint="default"/>
        <w:sz w:val="24"/>
        <w:b w:val="false"/>
        <w:rFonts w:cs="Calibri"/>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4">
    <w:lvl w:ilvl="0">
      <w:start w:val="1"/>
      <w:numFmt w:val="bullet"/>
      <w:lvlText w:val="-"/>
      <w:lvlJc w:val="left"/>
      <w:pPr>
        <w:ind w:left="720" w:hanging="360"/>
      </w:pPr>
      <w:rPr>
        <w:rFonts w:ascii="Calibri" w:hAnsi="Calibri" w:cs="Calibri" w:hint="default"/>
        <w:sz w:val="24"/>
        <w:b w:val="false"/>
        <w:rFonts w:cs="Calibri"/>
      </w:rPr>
    </w:lvl>
    <w:lvl w:ilvl="1">
      <w:start w:val="1"/>
      <w:numFmt w:val="bullet"/>
      <w:lvlText w:val="o"/>
      <w:lvlJc w:val="left"/>
      <w:pPr>
        <w:ind w:left="1440" w:hanging="360"/>
      </w:pPr>
      <w:rPr>
        <w:rFonts w:ascii="Courier New" w:hAnsi="Courier New" w:cs="Courier New" w:hint="default"/>
        <w:sz w:val="24"/>
        <w:b w:val="false"/>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5">
    <w:lvl w:ilvl="0">
      <w:start w:val="1"/>
      <w:numFmt w:val="bullet"/>
      <w:lvlText w:val="-"/>
      <w:lvlJc w:val="left"/>
      <w:pPr>
        <w:ind w:left="3240" w:hanging="360"/>
      </w:pPr>
      <w:rPr>
        <w:rFonts w:ascii="Calibri" w:hAnsi="Calibri" w:cs="Calibri" w:hint="default"/>
        <w:sz w:val="24"/>
        <w:rFonts w:cs="Calibri"/>
      </w:rPr>
    </w:lvl>
    <w:lvl w:ilvl="1">
      <w:start w:val="1"/>
      <w:numFmt w:val="bullet"/>
      <w:lvlText w:val="o"/>
      <w:lvlJc w:val="left"/>
      <w:pPr>
        <w:ind w:left="3960" w:hanging="360"/>
      </w:pPr>
      <w:rPr>
        <w:rFonts w:ascii="Courier New" w:hAnsi="Courier New" w:cs="Courier New" w:hint="default"/>
        <w:rFonts w:cs="Courier New"/>
      </w:rPr>
    </w:lvl>
    <w:lvl w:ilvl="2">
      <w:start w:val="1"/>
      <w:numFmt w:val="bullet"/>
      <w:lvlText w:val=""/>
      <w:lvlJc w:val="left"/>
      <w:pPr>
        <w:ind w:left="4680" w:hanging="360"/>
      </w:pPr>
      <w:rPr>
        <w:rFonts w:ascii="Wingdings" w:hAnsi="Wingdings" w:cs="Wingdings" w:hint="default"/>
        <w:rFonts w:cs="Wingdings"/>
      </w:rPr>
    </w:lvl>
    <w:lvl w:ilvl="3">
      <w:start w:val="1"/>
      <w:numFmt w:val="bullet"/>
      <w:lvlText w:val=""/>
      <w:lvlJc w:val="left"/>
      <w:pPr>
        <w:ind w:left="5400" w:hanging="360"/>
      </w:pPr>
      <w:rPr>
        <w:rFonts w:ascii="Symbol" w:hAnsi="Symbol" w:cs="Symbol" w:hint="default"/>
        <w:rFonts w:cs="Symbol"/>
      </w:rPr>
    </w:lvl>
    <w:lvl w:ilvl="4">
      <w:start w:val="1"/>
      <w:numFmt w:val="bullet"/>
      <w:lvlText w:val="o"/>
      <w:lvlJc w:val="left"/>
      <w:pPr>
        <w:ind w:left="6120" w:hanging="360"/>
      </w:pPr>
      <w:rPr>
        <w:rFonts w:ascii="Courier New" w:hAnsi="Courier New" w:cs="Courier New" w:hint="default"/>
        <w:rFonts w:cs="Courier New"/>
      </w:rPr>
    </w:lvl>
    <w:lvl w:ilvl="5">
      <w:start w:val="1"/>
      <w:numFmt w:val="bullet"/>
      <w:lvlText w:val=""/>
      <w:lvlJc w:val="left"/>
      <w:pPr>
        <w:ind w:left="6840" w:hanging="360"/>
      </w:pPr>
      <w:rPr>
        <w:rFonts w:ascii="Wingdings" w:hAnsi="Wingdings" w:cs="Wingdings" w:hint="default"/>
        <w:rFonts w:cs="Wingdings"/>
      </w:rPr>
    </w:lvl>
    <w:lvl w:ilvl="6">
      <w:start w:val="1"/>
      <w:numFmt w:val="bullet"/>
      <w:lvlText w:val=""/>
      <w:lvlJc w:val="left"/>
      <w:pPr>
        <w:ind w:left="7560" w:hanging="360"/>
      </w:pPr>
      <w:rPr>
        <w:rFonts w:ascii="Symbol" w:hAnsi="Symbol" w:cs="Symbol" w:hint="default"/>
        <w:rFonts w:cs="Symbol"/>
      </w:rPr>
    </w:lvl>
    <w:lvl w:ilvl="7">
      <w:start w:val="1"/>
      <w:numFmt w:val="bullet"/>
      <w:lvlText w:val="o"/>
      <w:lvlJc w:val="left"/>
      <w:pPr>
        <w:ind w:left="8280" w:hanging="360"/>
      </w:pPr>
      <w:rPr>
        <w:rFonts w:ascii="Courier New" w:hAnsi="Courier New" w:cs="Courier New" w:hint="default"/>
        <w:rFonts w:cs="Courier New"/>
      </w:rPr>
    </w:lvl>
    <w:lvl w:ilvl="8">
      <w:start w:val="1"/>
      <w:numFmt w:val="bullet"/>
      <w:lvlText w:val=""/>
      <w:lvlJc w:val="left"/>
      <w:pPr>
        <w:ind w:left="9000" w:hanging="360"/>
      </w:pPr>
      <w:rPr>
        <w:rFonts w:ascii="Wingdings" w:hAnsi="Wingdings" w:cs="Wingdings" w:hint="default"/>
        <w:rFonts w:cs="Wingdings"/>
      </w:rPr>
    </w:lvl>
  </w:abstractNum>
  <w:abstractNum w:abstractNumId="6">
    <w:lvl w:ilvl="0">
      <w:start w:val="1"/>
      <w:numFmt w:val="bullet"/>
      <w:lvlText w:val="-"/>
      <w:lvlJc w:val="left"/>
      <w:pPr>
        <w:ind w:left="720" w:hanging="360"/>
      </w:pPr>
      <w:rPr>
        <w:rFonts w:ascii="Calibri" w:hAnsi="Calibri" w:cs="Calibri" w:hint="default"/>
        <w:sz w:val="24"/>
        <w:b w:val="false"/>
        <w:rFonts w:cs="Calibri"/>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7">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widowControl/>
      <w:bidi w:val="0"/>
      <w:jc w:val="left"/>
    </w:pPr>
    <w:rPr>
      <w:rFonts w:ascii="Times New Roman" w:hAnsi="Times New Roman" w:eastAsia="Times New Roman" w:cs="Times New Roman"/>
      <w:color w:val="auto"/>
      <w:kern w:val="0"/>
      <w:sz w:val="24"/>
      <w:szCs w:val="24"/>
      <w:lang w:val="en-GB" w:eastAsia="en-GB" w:bidi="ar-SA"/>
    </w:rPr>
  </w:style>
  <w:style w:type="paragraph" w:styleId="Heading1">
    <w:name w:val="Heading 1"/>
    <w:basedOn w:val="Normal"/>
    <w:next w:val="Normal"/>
    <w:autoRedefine/>
    <w:qFormat/>
    <w:rsid w:val="00a64e67"/>
    <w:pPr>
      <w:keepNext w:val="true"/>
      <w:spacing w:before="240" w:after="60"/>
      <w:outlineLvl w:val="0"/>
    </w:pPr>
    <w:rPr>
      <w:rFonts w:ascii="Arial" w:hAnsi="Arial" w:cs="Arial"/>
      <w:b/>
      <w:bCs/>
      <w:kern w:val="2"/>
      <w:sz w:val="32"/>
      <w:szCs w:val="32"/>
    </w:rPr>
  </w:style>
  <w:style w:type="character" w:styleId="DefaultParagraphFont" w:default="1">
    <w:name w:val="Default Paragraph Font"/>
    <w:uiPriority w:val="1"/>
    <w:semiHidden/>
    <w:unhideWhenUsed/>
    <w:qFormat/>
    <w:rPr/>
  </w:style>
  <w:style w:type="character" w:styleId="Pagenumber">
    <w:name w:val="page number"/>
    <w:basedOn w:val="DefaultParagraphFont"/>
    <w:semiHidden/>
    <w:qFormat/>
    <w:rsid w:val="00311a2c"/>
    <w:rPr/>
  </w:style>
  <w:style w:type="character" w:styleId="Normaltextrun" w:customStyle="1">
    <w:name w:val="normaltextrun"/>
    <w:basedOn w:val="DefaultParagraphFont"/>
    <w:qFormat/>
    <w:rsid w:val="00607752"/>
    <w:rPr/>
  </w:style>
  <w:style w:type="character" w:styleId="Eop" w:customStyle="1">
    <w:name w:val="eop"/>
    <w:basedOn w:val="DefaultParagraphFont"/>
    <w:qFormat/>
    <w:rsid w:val="00607752"/>
    <w:rPr/>
  </w:style>
  <w:style w:type="character" w:styleId="InternetLink">
    <w:name w:val="Internet Link"/>
    <w:basedOn w:val="DefaultParagraphFont"/>
    <w:uiPriority w:val="99"/>
    <w:unhideWhenUsed/>
    <w:rPr>
      <w:color w:val="0563C1" w:themeColor="hyperlink"/>
      <w:u w:val="single"/>
    </w:rPr>
  </w:style>
  <w:style w:type="character" w:styleId="ListLabel1">
    <w:name w:val="ListLabel 1"/>
    <w:qFormat/>
    <w:rPr>
      <w:rFonts w:eastAsia="Times New Roman" w:cs="Times New Roman"/>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ascii="Arial" w:hAnsi="Arial" w:eastAsia="Arial" w:cs="Arial"/>
      <w:b w:val="false"/>
      <w:bCs w:val="false"/>
      <w:i w:val="false"/>
      <w:iCs w:val="false"/>
      <w:caps w:val="false"/>
      <w:smallCaps w:val="false"/>
      <w:strike w:val="false"/>
      <w:dstrike w:val="false"/>
      <w:sz w:val="24"/>
      <w:szCs w:val="24"/>
      <w:lang w:val="en-GB"/>
    </w:rPr>
  </w:style>
  <w:style w:type="character" w:styleId="ListLabel9">
    <w:name w:val="ListLabel 9"/>
    <w:qFormat/>
    <w:rPr>
      <w:rFonts w:ascii="Arial" w:hAnsi="Arial" w:eastAsia="Arial" w:cs="Arial"/>
      <w:b w:val="false"/>
      <w:bCs w:val="false"/>
      <w:i w:val="false"/>
      <w:iCs w:val="false"/>
      <w:caps w:val="false"/>
      <w:smallCaps w:val="false"/>
      <w:strike w:val="false"/>
      <w:dstrike w:val="false"/>
      <w:color w:val="006ACC"/>
      <w:sz w:val="24"/>
      <w:szCs w:val="24"/>
      <w:u w:val="single"/>
      <w:lang w:val="en-GB"/>
    </w:rPr>
  </w:style>
  <w:style w:type="character" w:styleId="ListLabel10">
    <w:name w:val="ListLabel 10"/>
    <w:qFormat/>
    <w:rPr>
      <w:rFonts w:ascii="Arial" w:hAnsi="Arial" w:eastAsia="Arial" w:cs="Arial"/>
      <w:b w:val="false"/>
      <w:bCs w:val="false"/>
      <w:i w:val="false"/>
      <w:iCs w:val="false"/>
      <w:caps w:val="false"/>
      <w:smallCaps w:val="false"/>
      <w:strike w:val="false"/>
      <w:dstrike w:val="false"/>
      <w:color w:val="auto"/>
      <w:sz w:val="24"/>
      <w:szCs w:val="24"/>
      <w:u w:val="none"/>
      <w:lang w:val="en-GB"/>
    </w:rPr>
  </w:style>
  <w:style w:type="character" w:styleId="ListLabel11">
    <w:name w:val="ListLabel 11"/>
    <w:qFormat/>
    <w:rPr>
      <w:rFonts w:ascii="Arial" w:hAnsi="Arial" w:eastAsia="Arial" w:cs="Arial"/>
      <w:b w:val="false"/>
      <w:bCs w:val="false"/>
      <w:sz w:val="24"/>
      <w:szCs w:val="24"/>
      <w:lang w:val="en-GB"/>
    </w:rPr>
  </w:style>
  <w:style w:type="character" w:styleId="ListLabel12">
    <w:name w:val="ListLabel 12"/>
    <w:qFormat/>
    <w:rPr>
      <w:rFonts w:ascii="Arial" w:hAnsi="Arial" w:eastAsia="Arial" w:cs="Arial"/>
      <w:lang w:val="en-GB"/>
    </w:rPr>
  </w:style>
  <w:style w:type="character" w:styleId="ListLabel13">
    <w:name w:val="ListLabel 13"/>
    <w:qFormat/>
    <w:rPr>
      <w:rFonts w:ascii="Arial" w:hAnsi="Arial" w:eastAsia="Arial" w:cs="Arial"/>
      <w:b w:val="false"/>
      <w:bCs w:val="false"/>
      <w:i w:val="false"/>
      <w:iCs w:val="false"/>
      <w:caps w:val="false"/>
      <w:smallCaps w:val="false"/>
      <w:sz w:val="24"/>
      <w:szCs w:val="24"/>
      <w:lang w:val="en-GB"/>
    </w:rPr>
  </w:style>
  <w:style w:type="character" w:styleId="ListLabel14">
    <w:name w:val="ListLabel 14"/>
    <w:qFormat/>
    <w:rPr>
      <w:rFonts w:ascii="Arial" w:hAnsi="Arial" w:cs="Calibri"/>
      <w:b w:val="false"/>
      <w:sz w:val="24"/>
    </w:rPr>
  </w:style>
  <w:style w:type="character" w:styleId="ListLabel15">
    <w:name w:val="ListLabel 15"/>
    <w:qFormat/>
    <w:rPr>
      <w:rFonts w:cs="Courier New"/>
    </w:rPr>
  </w:style>
  <w:style w:type="character" w:styleId="ListLabel16">
    <w:name w:val="ListLabel 16"/>
    <w:qFormat/>
    <w:rPr>
      <w:rFonts w:cs="Wingdings"/>
    </w:rPr>
  </w:style>
  <w:style w:type="character" w:styleId="ListLabel17">
    <w:name w:val="ListLabel 17"/>
    <w:qFormat/>
    <w:rPr>
      <w:rFonts w:cs="Symbol"/>
    </w:rPr>
  </w:style>
  <w:style w:type="character" w:styleId="ListLabel18">
    <w:name w:val="ListLabel 18"/>
    <w:qFormat/>
    <w:rPr>
      <w:rFonts w:cs="Courier New"/>
    </w:rPr>
  </w:style>
  <w:style w:type="character" w:styleId="ListLabel19">
    <w:name w:val="ListLabel 19"/>
    <w:qFormat/>
    <w:rPr>
      <w:rFonts w:cs="Wingdings"/>
    </w:rPr>
  </w:style>
  <w:style w:type="character" w:styleId="ListLabel20">
    <w:name w:val="ListLabel 20"/>
    <w:qFormat/>
    <w:rPr>
      <w:rFonts w:cs="Symbol"/>
    </w:rPr>
  </w:style>
  <w:style w:type="character" w:styleId="ListLabel21">
    <w:name w:val="ListLabel 21"/>
    <w:qFormat/>
    <w:rPr>
      <w:rFonts w:cs="Courier New"/>
    </w:rPr>
  </w:style>
  <w:style w:type="character" w:styleId="ListLabel22">
    <w:name w:val="ListLabel 22"/>
    <w:qFormat/>
    <w:rPr>
      <w:rFonts w:cs="Wingdings"/>
    </w:rPr>
  </w:style>
  <w:style w:type="character" w:styleId="ListLabel23">
    <w:name w:val="ListLabel 23"/>
    <w:qFormat/>
    <w:rPr>
      <w:rFonts w:ascii="Arial" w:hAnsi="Arial" w:cs="Calibri"/>
      <w:b w:val="false"/>
      <w:sz w:val="24"/>
    </w:rPr>
  </w:style>
  <w:style w:type="character" w:styleId="ListLabel24">
    <w:name w:val="ListLabel 24"/>
    <w:qFormat/>
    <w:rPr>
      <w:rFonts w:cs="Courier New"/>
    </w:rPr>
  </w:style>
  <w:style w:type="character" w:styleId="ListLabel25">
    <w:name w:val="ListLabel 25"/>
    <w:qFormat/>
    <w:rPr>
      <w:rFonts w:cs="Wingdings"/>
    </w:rPr>
  </w:style>
  <w:style w:type="character" w:styleId="ListLabel26">
    <w:name w:val="ListLabel 26"/>
    <w:qFormat/>
    <w:rPr>
      <w:rFonts w:cs="Symbol"/>
    </w:rPr>
  </w:style>
  <w:style w:type="character" w:styleId="ListLabel27">
    <w:name w:val="ListLabel 27"/>
    <w:qFormat/>
    <w:rPr>
      <w:rFonts w:cs="Courier New"/>
    </w:rPr>
  </w:style>
  <w:style w:type="character" w:styleId="ListLabel28">
    <w:name w:val="ListLabel 28"/>
    <w:qFormat/>
    <w:rPr>
      <w:rFonts w:cs="Wingdings"/>
    </w:rPr>
  </w:style>
  <w:style w:type="character" w:styleId="ListLabel29">
    <w:name w:val="ListLabel 29"/>
    <w:qFormat/>
    <w:rPr>
      <w:rFonts w:cs="Symbol"/>
    </w:rPr>
  </w:style>
  <w:style w:type="character" w:styleId="ListLabel30">
    <w:name w:val="ListLabel 30"/>
    <w:qFormat/>
    <w:rPr>
      <w:rFonts w:cs="Courier New"/>
    </w:rPr>
  </w:style>
  <w:style w:type="character" w:styleId="ListLabel31">
    <w:name w:val="ListLabel 31"/>
    <w:qFormat/>
    <w:rPr>
      <w:rFonts w:cs="Wingdings"/>
    </w:rPr>
  </w:style>
  <w:style w:type="character" w:styleId="ListLabel32">
    <w:name w:val="ListLabel 32"/>
    <w:qFormat/>
    <w:rPr>
      <w:rFonts w:ascii="Arial" w:hAnsi="Arial" w:cs="Calibri"/>
      <w:b w:val="false"/>
      <w:sz w:val="24"/>
    </w:rPr>
  </w:style>
  <w:style w:type="character" w:styleId="ListLabel33">
    <w:name w:val="ListLabel 33"/>
    <w:qFormat/>
    <w:rPr>
      <w:rFonts w:cs="Courier New"/>
    </w:rPr>
  </w:style>
  <w:style w:type="character" w:styleId="ListLabel34">
    <w:name w:val="ListLabel 34"/>
    <w:qFormat/>
    <w:rPr>
      <w:rFonts w:cs="Wingdings"/>
    </w:rPr>
  </w:style>
  <w:style w:type="character" w:styleId="ListLabel35">
    <w:name w:val="ListLabel 35"/>
    <w:qFormat/>
    <w:rPr>
      <w:rFonts w:cs="Symbol"/>
    </w:rPr>
  </w:style>
  <w:style w:type="character" w:styleId="ListLabel36">
    <w:name w:val="ListLabel 36"/>
    <w:qFormat/>
    <w:rPr>
      <w:rFonts w:cs="Courier New"/>
    </w:rPr>
  </w:style>
  <w:style w:type="character" w:styleId="ListLabel37">
    <w:name w:val="ListLabel 37"/>
    <w:qFormat/>
    <w:rPr>
      <w:rFonts w:cs="Wingdings"/>
    </w:rPr>
  </w:style>
  <w:style w:type="character" w:styleId="ListLabel38">
    <w:name w:val="ListLabel 38"/>
    <w:qFormat/>
    <w:rPr>
      <w:rFonts w:cs="Symbol"/>
    </w:rPr>
  </w:style>
  <w:style w:type="character" w:styleId="ListLabel39">
    <w:name w:val="ListLabel 39"/>
    <w:qFormat/>
    <w:rPr>
      <w:rFonts w:cs="Courier New"/>
    </w:rPr>
  </w:style>
  <w:style w:type="character" w:styleId="ListLabel40">
    <w:name w:val="ListLabel 40"/>
    <w:qFormat/>
    <w:rPr>
      <w:rFonts w:cs="Wingdings"/>
    </w:rPr>
  </w:style>
  <w:style w:type="character" w:styleId="ListLabel41">
    <w:name w:val="ListLabel 41"/>
    <w:qFormat/>
    <w:rPr>
      <w:rFonts w:ascii="Arial" w:hAnsi="Arial" w:cs="Calibri"/>
      <w:b w:val="false"/>
      <w:sz w:val="24"/>
    </w:rPr>
  </w:style>
  <w:style w:type="character" w:styleId="ListLabel42">
    <w:name w:val="ListLabel 42"/>
    <w:qFormat/>
    <w:rPr>
      <w:rFonts w:ascii="Arial" w:hAnsi="Arial" w:cs="Courier New"/>
      <w:b w:val="false"/>
      <w:sz w:val="24"/>
    </w:rPr>
  </w:style>
  <w:style w:type="character" w:styleId="ListLabel43">
    <w:name w:val="ListLabel 43"/>
    <w:qFormat/>
    <w:rPr>
      <w:rFonts w:cs="Wingdings"/>
    </w:rPr>
  </w:style>
  <w:style w:type="character" w:styleId="ListLabel44">
    <w:name w:val="ListLabel 44"/>
    <w:qFormat/>
    <w:rPr>
      <w:rFonts w:cs="Symbol"/>
    </w:rPr>
  </w:style>
  <w:style w:type="character" w:styleId="ListLabel45">
    <w:name w:val="ListLabel 45"/>
    <w:qFormat/>
    <w:rPr>
      <w:rFonts w:cs="Courier New"/>
    </w:rPr>
  </w:style>
  <w:style w:type="character" w:styleId="ListLabel46">
    <w:name w:val="ListLabel 46"/>
    <w:qFormat/>
    <w:rPr>
      <w:rFonts w:cs="Wingdings"/>
    </w:rPr>
  </w:style>
  <w:style w:type="character" w:styleId="ListLabel47">
    <w:name w:val="ListLabel 47"/>
    <w:qFormat/>
    <w:rPr>
      <w:rFonts w:cs="Symbol"/>
    </w:rPr>
  </w:style>
  <w:style w:type="character" w:styleId="ListLabel48">
    <w:name w:val="ListLabel 48"/>
    <w:qFormat/>
    <w:rPr>
      <w:rFonts w:cs="Courier New"/>
    </w:rPr>
  </w:style>
  <w:style w:type="character" w:styleId="ListLabel49">
    <w:name w:val="ListLabel 49"/>
    <w:qFormat/>
    <w:rPr>
      <w:rFonts w:cs="Wingdings"/>
    </w:rPr>
  </w:style>
  <w:style w:type="character" w:styleId="ListLabel50">
    <w:name w:val="ListLabel 50"/>
    <w:qFormat/>
    <w:rPr>
      <w:rFonts w:ascii="Arial" w:hAnsi="Arial" w:cs="Calibri"/>
      <w:sz w:val="24"/>
    </w:rPr>
  </w:style>
  <w:style w:type="character" w:styleId="ListLabel51">
    <w:name w:val="ListLabel 51"/>
    <w:qFormat/>
    <w:rPr>
      <w:rFonts w:cs="Courier New"/>
    </w:rPr>
  </w:style>
  <w:style w:type="character" w:styleId="ListLabel52">
    <w:name w:val="ListLabel 52"/>
    <w:qFormat/>
    <w:rPr>
      <w:rFonts w:cs="Wingdings"/>
    </w:rPr>
  </w:style>
  <w:style w:type="character" w:styleId="ListLabel53">
    <w:name w:val="ListLabel 53"/>
    <w:qFormat/>
    <w:rPr>
      <w:rFonts w:cs="Symbol"/>
    </w:rPr>
  </w:style>
  <w:style w:type="character" w:styleId="ListLabel54">
    <w:name w:val="ListLabel 54"/>
    <w:qFormat/>
    <w:rPr>
      <w:rFonts w:cs="Courier New"/>
    </w:rPr>
  </w:style>
  <w:style w:type="character" w:styleId="ListLabel55">
    <w:name w:val="ListLabel 55"/>
    <w:qFormat/>
    <w:rPr>
      <w:rFonts w:cs="Wingdings"/>
    </w:rPr>
  </w:style>
  <w:style w:type="character" w:styleId="ListLabel56">
    <w:name w:val="ListLabel 56"/>
    <w:qFormat/>
    <w:rPr>
      <w:rFonts w:cs="Symbol"/>
    </w:rPr>
  </w:style>
  <w:style w:type="character" w:styleId="ListLabel57">
    <w:name w:val="ListLabel 57"/>
    <w:qFormat/>
    <w:rPr>
      <w:rFonts w:cs="Courier New"/>
    </w:rPr>
  </w:style>
  <w:style w:type="character" w:styleId="ListLabel58">
    <w:name w:val="ListLabel 58"/>
    <w:qFormat/>
    <w:rPr>
      <w:rFonts w:cs="Wingdings"/>
    </w:rPr>
  </w:style>
  <w:style w:type="character" w:styleId="ListLabel59">
    <w:name w:val="ListLabel 59"/>
    <w:qFormat/>
    <w:rPr>
      <w:rFonts w:ascii="Arial" w:hAnsi="Arial" w:cs="Calibri"/>
      <w:b w:val="false"/>
      <w:sz w:val="24"/>
    </w:rPr>
  </w:style>
  <w:style w:type="character" w:styleId="ListLabel60">
    <w:name w:val="ListLabel 60"/>
    <w:qFormat/>
    <w:rPr>
      <w:rFonts w:cs="Courier New"/>
    </w:rPr>
  </w:style>
  <w:style w:type="character" w:styleId="ListLabel61">
    <w:name w:val="ListLabel 61"/>
    <w:qFormat/>
    <w:rPr>
      <w:rFonts w:cs="Wingdings"/>
    </w:rPr>
  </w:style>
  <w:style w:type="character" w:styleId="ListLabel62">
    <w:name w:val="ListLabel 62"/>
    <w:qFormat/>
    <w:rPr>
      <w:rFonts w:cs="Symbol"/>
    </w:rPr>
  </w:style>
  <w:style w:type="character" w:styleId="ListLabel63">
    <w:name w:val="ListLabel 63"/>
    <w:qFormat/>
    <w:rPr>
      <w:rFonts w:cs="Courier New"/>
    </w:rPr>
  </w:style>
  <w:style w:type="character" w:styleId="ListLabel64">
    <w:name w:val="ListLabel 64"/>
    <w:qFormat/>
    <w:rPr>
      <w:rFonts w:cs="Wingdings"/>
    </w:rPr>
  </w:style>
  <w:style w:type="character" w:styleId="ListLabel65">
    <w:name w:val="ListLabel 65"/>
    <w:qFormat/>
    <w:rPr>
      <w:rFonts w:cs="Symbol"/>
    </w:rPr>
  </w:style>
  <w:style w:type="character" w:styleId="ListLabel66">
    <w:name w:val="ListLabel 66"/>
    <w:qFormat/>
    <w:rPr>
      <w:rFonts w:cs="Courier New"/>
    </w:rPr>
  </w:style>
  <w:style w:type="character" w:styleId="ListLabel67">
    <w:name w:val="ListLabel 67"/>
    <w:qFormat/>
    <w:rPr>
      <w:rFonts w:cs="Wingdings"/>
    </w:rPr>
  </w:style>
  <w:style w:type="character" w:styleId="ListLabel68">
    <w:name w:val="ListLabel 68"/>
    <w:qFormat/>
    <w:rPr>
      <w:rFonts w:ascii="Arial" w:hAnsi="Arial" w:eastAsia="Arial" w:cs="Arial"/>
      <w:b w:val="false"/>
      <w:bCs w:val="false"/>
      <w:i w:val="false"/>
      <w:iCs w:val="false"/>
      <w:caps w:val="false"/>
      <w:smallCaps w:val="false"/>
      <w:strike w:val="false"/>
      <w:dstrike w:val="false"/>
      <w:sz w:val="24"/>
      <w:szCs w:val="24"/>
      <w:lang w:val="en-GB"/>
    </w:rPr>
  </w:style>
  <w:style w:type="character" w:styleId="ListLabel69">
    <w:name w:val="ListLabel 69"/>
    <w:qFormat/>
    <w:rPr>
      <w:rFonts w:eastAsia="Arial" w:cs="Arial"/>
      <w:b w:val="false"/>
      <w:bCs w:val="false"/>
      <w:i w:val="false"/>
      <w:iCs w:val="false"/>
      <w:caps w:val="false"/>
      <w:smallCaps w:val="false"/>
      <w:strike w:val="false"/>
      <w:dstrike w:val="false"/>
      <w:color w:val="006ACC"/>
      <w:sz w:val="24"/>
      <w:szCs w:val="24"/>
      <w:u w:val="single"/>
      <w:lang w:val="en-GB"/>
    </w:rPr>
  </w:style>
  <w:style w:type="character" w:styleId="ListLabel70">
    <w:name w:val="ListLabel 70"/>
    <w:qFormat/>
    <w:rPr>
      <w:rFonts w:eastAsia="Arial" w:cs="Arial"/>
      <w:b w:val="false"/>
      <w:bCs w:val="false"/>
      <w:i w:val="false"/>
      <w:iCs w:val="false"/>
      <w:caps w:val="false"/>
      <w:smallCaps w:val="false"/>
      <w:strike w:val="false"/>
      <w:dstrike w:val="false"/>
      <w:color w:val="auto"/>
      <w:sz w:val="24"/>
      <w:szCs w:val="24"/>
      <w:u w:val="none"/>
      <w:lang w:val="en-GB"/>
    </w:rPr>
  </w:style>
  <w:style w:type="character" w:styleId="ListLabel71">
    <w:name w:val="ListLabel 71"/>
    <w:qFormat/>
    <w:rPr>
      <w:rFonts w:eastAsia="Arial" w:cs="Arial"/>
      <w:b w:val="false"/>
      <w:bCs w:val="false"/>
      <w:sz w:val="24"/>
      <w:szCs w:val="24"/>
      <w:lang w:val="en-GB"/>
    </w:rPr>
  </w:style>
  <w:style w:type="character" w:styleId="ListLabel72">
    <w:name w:val="ListLabel 72"/>
    <w:qFormat/>
    <w:rPr>
      <w:rFonts w:ascii="Arial" w:hAnsi="Arial" w:eastAsia="Arial" w:cs="Arial"/>
      <w:lang w:val="en-GB"/>
    </w:rPr>
  </w:style>
  <w:style w:type="character" w:styleId="ListLabel73">
    <w:name w:val="ListLabel 73"/>
    <w:qFormat/>
    <w:rPr>
      <w:rFonts w:ascii="Arial" w:hAnsi="Arial" w:eastAsia="Arial" w:cs="Arial"/>
      <w:b w:val="false"/>
      <w:bCs w:val="false"/>
      <w:i w:val="false"/>
      <w:iCs w:val="false"/>
      <w:caps w:val="false"/>
      <w:smallCaps w:val="false"/>
      <w:sz w:val="24"/>
      <w:szCs w:val="24"/>
      <w:lang w:val="en-GB"/>
    </w:rPr>
  </w:style>
  <w:style w:type="character" w:styleId="ListLabel74">
    <w:name w:val="ListLabel 74"/>
    <w:qFormat/>
    <w:rPr>
      <w:rFonts w:ascii="Arial" w:hAnsi="Arial" w:cs="Calibri"/>
      <w:b w:val="false"/>
      <w:sz w:val="24"/>
    </w:rPr>
  </w:style>
  <w:style w:type="character" w:styleId="ListLabel75">
    <w:name w:val="ListLabel 75"/>
    <w:qFormat/>
    <w:rPr>
      <w:rFonts w:cs="Courier New"/>
    </w:rPr>
  </w:style>
  <w:style w:type="character" w:styleId="ListLabel76">
    <w:name w:val="ListLabel 76"/>
    <w:qFormat/>
    <w:rPr>
      <w:rFonts w:cs="Wingdings"/>
    </w:rPr>
  </w:style>
  <w:style w:type="character" w:styleId="ListLabel77">
    <w:name w:val="ListLabel 77"/>
    <w:qFormat/>
    <w:rPr>
      <w:rFonts w:cs="Symbol"/>
    </w:rPr>
  </w:style>
  <w:style w:type="character" w:styleId="ListLabel78">
    <w:name w:val="ListLabel 78"/>
    <w:qFormat/>
    <w:rPr>
      <w:rFonts w:cs="Courier New"/>
    </w:rPr>
  </w:style>
  <w:style w:type="character" w:styleId="ListLabel79">
    <w:name w:val="ListLabel 79"/>
    <w:qFormat/>
    <w:rPr>
      <w:rFonts w:cs="Wingdings"/>
    </w:rPr>
  </w:style>
  <w:style w:type="character" w:styleId="ListLabel80">
    <w:name w:val="ListLabel 80"/>
    <w:qFormat/>
    <w:rPr>
      <w:rFonts w:cs="Symbol"/>
    </w:rPr>
  </w:style>
  <w:style w:type="character" w:styleId="ListLabel81">
    <w:name w:val="ListLabel 81"/>
    <w:qFormat/>
    <w:rPr>
      <w:rFonts w:cs="Courier New"/>
    </w:rPr>
  </w:style>
  <w:style w:type="character" w:styleId="ListLabel82">
    <w:name w:val="ListLabel 82"/>
    <w:qFormat/>
    <w:rPr>
      <w:rFonts w:cs="Wingdings"/>
    </w:rPr>
  </w:style>
  <w:style w:type="character" w:styleId="ListLabel83">
    <w:name w:val="ListLabel 83"/>
    <w:qFormat/>
    <w:rPr>
      <w:rFonts w:ascii="Arial" w:hAnsi="Arial" w:cs="Calibri"/>
      <w:b w:val="false"/>
      <w:sz w:val="24"/>
    </w:rPr>
  </w:style>
  <w:style w:type="character" w:styleId="ListLabel84">
    <w:name w:val="ListLabel 84"/>
    <w:qFormat/>
    <w:rPr>
      <w:rFonts w:cs="Courier New"/>
    </w:rPr>
  </w:style>
  <w:style w:type="character" w:styleId="ListLabel85">
    <w:name w:val="ListLabel 85"/>
    <w:qFormat/>
    <w:rPr>
      <w:rFonts w:cs="Wingdings"/>
    </w:rPr>
  </w:style>
  <w:style w:type="character" w:styleId="ListLabel86">
    <w:name w:val="ListLabel 86"/>
    <w:qFormat/>
    <w:rPr>
      <w:rFonts w:cs="Symbol"/>
    </w:rPr>
  </w:style>
  <w:style w:type="character" w:styleId="ListLabel87">
    <w:name w:val="ListLabel 87"/>
    <w:qFormat/>
    <w:rPr>
      <w:rFonts w:cs="Courier New"/>
    </w:rPr>
  </w:style>
  <w:style w:type="character" w:styleId="ListLabel88">
    <w:name w:val="ListLabel 88"/>
    <w:qFormat/>
    <w:rPr>
      <w:rFonts w:cs="Wingdings"/>
    </w:rPr>
  </w:style>
  <w:style w:type="character" w:styleId="ListLabel89">
    <w:name w:val="ListLabel 89"/>
    <w:qFormat/>
    <w:rPr>
      <w:rFonts w:cs="Symbol"/>
    </w:rPr>
  </w:style>
  <w:style w:type="character" w:styleId="ListLabel90">
    <w:name w:val="ListLabel 90"/>
    <w:qFormat/>
    <w:rPr>
      <w:rFonts w:cs="Courier New"/>
    </w:rPr>
  </w:style>
  <w:style w:type="character" w:styleId="ListLabel91">
    <w:name w:val="ListLabel 91"/>
    <w:qFormat/>
    <w:rPr>
      <w:rFonts w:cs="Wingdings"/>
    </w:rPr>
  </w:style>
  <w:style w:type="character" w:styleId="ListLabel92">
    <w:name w:val="ListLabel 92"/>
    <w:qFormat/>
    <w:rPr>
      <w:rFonts w:ascii="Arial" w:hAnsi="Arial" w:cs="Calibri"/>
      <w:b w:val="false"/>
      <w:sz w:val="24"/>
    </w:rPr>
  </w:style>
  <w:style w:type="character" w:styleId="ListLabel93">
    <w:name w:val="ListLabel 93"/>
    <w:qFormat/>
    <w:rPr>
      <w:rFonts w:cs="Courier New"/>
    </w:rPr>
  </w:style>
  <w:style w:type="character" w:styleId="ListLabel94">
    <w:name w:val="ListLabel 94"/>
    <w:qFormat/>
    <w:rPr>
      <w:rFonts w:cs="Wingdings"/>
    </w:rPr>
  </w:style>
  <w:style w:type="character" w:styleId="ListLabel95">
    <w:name w:val="ListLabel 95"/>
    <w:qFormat/>
    <w:rPr>
      <w:rFonts w:cs="Symbol"/>
    </w:rPr>
  </w:style>
  <w:style w:type="character" w:styleId="ListLabel96">
    <w:name w:val="ListLabel 96"/>
    <w:qFormat/>
    <w:rPr>
      <w:rFonts w:cs="Courier New"/>
    </w:rPr>
  </w:style>
  <w:style w:type="character" w:styleId="ListLabel97">
    <w:name w:val="ListLabel 97"/>
    <w:qFormat/>
    <w:rPr>
      <w:rFonts w:cs="Wingdings"/>
    </w:rPr>
  </w:style>
  <w:style w:type="character" w:styleId="ListLabel98">
    <w:name w:val="ListLabel 98"/>
    <w:qFormat/>
    <w:rPr>
      <w:rFonts w:cs="Symbol"/>
    </w:rPr>
  </w:style>
  <w:style w:type="character" w:styleId="ListLabel99">
    <w:name w:val="ListLabel 99"/>
    <w:qFormat/>
    <w:rPr>
      <w:rFonts w:cs="Courier New"/>
    </w:rPr>
  </w:style>
  <w:style w:type="character" w:styleId="ListLabel100">
    <w:name w:val="ListLabel 100"/>
    <w:qFormat/>
    <w:rPr>
      <w:rFonts w:cs="Wingdings"/>
    </w:rPr>
  </w:style>
  <w:style w:type="character" w:styleId="ListLabel101">
    <w:name w:val="ListLabel 101"/>
    <w:qFormat/>
    <w:rPr>
      <w:rFonts w:ascii="Arial" w:hAnsi="Arial" w:cs="Calibri"/>
      <w:b w:val="false"/>
      <w:sz w:val="24"/>
    </w:rPr>
  </w:style>
  <w:style w:type="character" w:styleId="ListLabel102">
    <w:name w:val="ListLabel 102"/>
    <w:qFormat/>
    <w:rPr>
      <w:rFonts w:ascii="Arial" w:hAnsi="Arial" w:cs="Courier New"/>
      <w:b w:val="false"/>
      <w:sz w:val="24"/>
    </w:rPr>
  </w:style>
  <w:style w:type="character" w:styleId="ListLabel103">
    <w:name w:val="ListLabel 103"/>
    <w:qFormat/>
    <w:rPr>
      <w:rFonts w:cs="Wingdings"/>
    </w:rPr>
  </w:style>
  <w:style w:type="character" w:styleId="ListLabel104">
    <w:name w:val="ListLabel 104"/>
    <w:qFormat/>
    <w:rPr>
      <w:rFonts w:cs="Symbol"/>
    </w:rPr>
  </w:style>
  <w:style w:type="character" w:styleId="ListLabel105">
    <w:name w:val="ListLabel 105"/>
    <w:qFormat/>
    <w:rPr>
      <w:rFonts w:cs="Courier New"/>
    </w:rPr>
  </w:style>
  <w:style w:type="character" w:styleId="ListLabel106">
    <w:name w:val="ListLabel 106"/>
    <w:qFormat/>
    <w:rPr>
      <w:rFonts w:cs="Wingdings"/>
    </w:rPr>
  </w:style>
  <w:style w:type="character" w:styleId="ListLabel107">
    <w:name w:val="ListLabel 107"/>
    <w:qFormat/>
    <w:rPr>
      <w:rFonts w:cs="Symbol"/>
    </w:rPr>
  </w:style>
  <w:style w:type="character" w:styleId="ListLabel108">
    <w:name w:val="ListLabel 108"/>
    <w:qFormat/>
    <w:rPr>
      <w:rFonts w:cs="Courier New"/>
    </w:rPr>
  </w:style>
  <w:style w:type="character" w:styleId="ListLabel109">
    <w:name w:val="ListLabel 109"/>
    <w:qFormat/>
    <w:rPr>
      <w:rFonts w:cs="Wingdings"/>
    </w:rPr>
  </w:style>
  <w:style w:type="character" w:styleId="ListLabel110">
    <w:name w:val="ListLabel 110"/>
    <w:qFormat/>
    <w:rPr>
      <w:rFonts w:ascii="Arial" w:hAnsi="Arial" w:cs="Calibri"/>
      <w:sz w:val="24"/>
    </w:rPr>
  </w:style>
  <w:style w:type="character" w:styleId="ListLabel111">
    <w:name w:val="ListLabel 111"/>
    <w:qFormat/>
    <w:rPr>
      <w:rFonts w:cs="Courier New"/>
    </w:rPr>
  </w:style>
  <w:style w:type="character" w:styleId="ListLabel112">
    <w:name w:val="ListLabel 112"/>
    <w:qFormat/>
    <w:rPr>
      <w:rFonts w:cs="Wingdings"/>
    </w:rPr>
  </w:style>
  <w:style w:type="character" w:styleId="ListLabel113">
    <w:name w:val="ListLabel 113"/>
    <w:qFormat/>
    <w:rPr>
      <w:rFonts w:cs="Symbol"/>
    </w:rPr>
  </w:style>
  <w:style w:type="character" w:styleId="ListLabel114">
    <w:name w:val="ListLabel 114"/>
    <w:qFormat/>
    <w:rPr>
      <w:rFonts w:cs="Courier New"/>
    </w:rPr>
  </w:style>
  <w:style w:type="character" w:styleId="ListLabel115">
    <w:name w:val="ListLabel 115"/>
    <w:qFormat/>
    <w:rPr>
      <w:rFonts w:cs="Wingdings"/>
    </w:rPr>
  </w:style>
  <w:style w:type="character" w:styleId="ListLabel116">
    <w:name w:val="ListLabel 116"/>
    <w:qFormat/>
    <w:rPr>
      <w:rFonts w:cs="Symbol"/>
    </w:rPr>
  </w:style>
  <w:style w:type="character" w:styleId="ListLabel117">
    <w:name w:val="ListLabel 117"/>
    <w:qFormat/>
    <w:rPr>
      <w:rFonts w:cs="Courier New"/>
    </w:rPr>
  </w:style>
  <w:style w:type="character" w:styleId="ListLabel118">
    <w:name w:val="ListLabel 118"/>
    <w:qFormat/>
    <w:rPr>
      <w:rFonts w:cs="Wingdings"/>
    </w:rPr>
  </w:style>
  <w:style w:type="character" w:styleId="ListLabel119">
    <w:name w:val="ListLabel 119"/>
    <w:qFormat/>
    <w:rPr>
      <w:rFonts w:ascii="Arial" w:hAnsi="Arial" w:cs="Calibri"/>
      <w:b w:val="false"/>
      <w:sz w:val="24"/>
    </w:rPr>
  </w:style>
  <w:style w:type="character" w:styleId="ListLabel120">
    <w:name w:val="ListLabel 120"/>
    <w:qFormat/>
    <w:rPr>
      <w:rFonts w:cs="Courier New"/>
    </w:rPr>
  </w:style>
  <w:style w:type="character" w:styleId="ListLabel121">
    <w:name w:val="ListLabel 121"/>
    <w:qFormat/>
    <w:rPr>
      <w:rFonts w:cs="Wingdings"/>
    </w:rPr>
  </w:style>
  <w:style w:type="character" w:styleId="ListLabel122">
    <w:name w:val="ListLabel 122"/>
    <w:qFormat/>
    <w:rPr>
      <w:rFonts w:cs="Symbol"/>
    </w:rPr>
  </w:style>
  <w:style w:type="character" w:styleId="ListLabel123">
    <w:name w:val="ListLabel 123"/>
    <w:qFormat/>
    <w:rPr>
      <w:rFonts w:cs="Courier New"/>
    </w:rPr>
  </w:style>
  <w:style w:type="character" w:styleId="ListLabel124">
    <w:name w:val="ListLabel 124"/>
    <w:qFormat/>
    <w:rPr>
      <w:rFonts w:cs="Wingdings"/>
    </w:rPr>
  </w:style>
  <w:style w:type="character" w:styleId="ListLabel125">
    <w:name w:val="ListLabel 125"/>
    <w:qFormat/>
    <w:rPr>
      <w:rFonts w:cs="Symbol"/>
    </w:rPr>
  </w:style>
  <w:style w:type="character" w:styleId="ListLabel126">
    <w:name w:val="ListLabel 126"/>
    <w:qFormat/>
    <w:rPr>
      <w:rFonts w:cs="Courier New"/>
    </w:rPr>
  </w:style>
  <w:style w:type="character" w:styleId="ListLabel127">
    <w:name w:val="ListLabel 127"/>
    <w:qFormat/>
    <w:rPr>
      <w:rFonts w:cs="Wingdings"/>
    </w:rPr>
  </w:style>
  <w:style w:type="character" w:styleId="ListLabel128">
    <w:name w:val="ListLabel 128"/>
    <w:qFormat/>
    <w:rPr>
      <w:rFonts w:ascii="Arial" w:hAnsi="Arial" w:eastAsia="Arial" w:cs="Arial"/>
      <w:b w:val="false"/>
      <w:bCs w:val="false"/>
      <w:i w:val="false"/>
      <w:iCs w:val="false"/>
      <w:caps w:val="false"/>
      <w:smallCaps w:val="false"/>
      <w:strike w:val="false"/>
      <w:dstrike w:val="false"/>
      <w:sz w:val="24"/>
      <w:szCs w:val="24"/>
      <w:lang w:val="en-GB"/>
    </w:rPr>
  </w:style>
  <w:style w:type="character" w:styleId="ListLabel129">
    <w:name w:val="ListLabel 129"/>
    <w:qFormat/>
    <w:rPr>
      <w:rFonts w:eastAsia="Arial" w:cs="Arial"/>
      <w:b w:val="false"/>
      <w:bCs w:val="false"/>
      <w:i w:val="false"/>
      <w:iCs w:val="false"/>
      <w:caps w:val="false"/>
      <w:smallCaps w:val="false"/>
      <w:strike w:val="false"/>
      <w:dstrike w:val="false"/>
      <w:color w:val="006ACC"/>
      <w:sz w:val="24"/>
      <w:szCs w:val="24"/>
      <w:u w:val="single"/>
      <w:lang w:val="en-GB"/>
    </w:rPr>
  </w:style>
  <w:style w:type="character" w:styleId="ListLabel130">
    <w:name w:val="ListLabel 130"/>
    <w:qFormat/>
    <w:rPr>
      <w:rFonts w:eastAsia="Arial" w:cs="Arial"/>
      <w:b w:val="false"/>
      <w:bCs w:val="false"/>
      <w:i w:val="false"/>
      <w:iCs w:val="false"/>
      <w:caps w:val="false"/>
      <w:smallCaps w:val="false"/>
      <w:strike w:val="false"/>
      <w:dstrike w:val="false"/>
      <w:color w:val="auto"/>
      <w:sz w:val="24"/>
      <w:szCs w:val="24"/>
      <w:u w:val="none"/>
      <w:lang w:val="en-GB"/>
    </w:rPr>
  </w:style>
  <w:style w:type="character" w:styleId="ListLabel131">
    <w:name w:val="ListLabel 131"/>
    <w:qFormat/>
    <w:rPr>
      <w:rFonts w:eastAsia="Arial" w:cs="Arial"/>
      <w:b w:val="false"/>
      <w:bCs w:val="false"/>
      <w:sz w:val="24"/>
      <w:szCs w:val="24"/>
      <w:lang w:val="en-GB"/>
    </w:rPr>
  </w:style>
  <w:style w:type="character" w:styleId="ListLabel132">
    <w:name w:val="ListLabel 132"/>
    <w:qFormat/>
    <w:rPr>
      <w:rFonts w:ascii="Arial" w:hAnsi="Arial" w:eastAsia="Arial" w:cs="Arial"/>
      <w:lang w:val="en-GB"/>
    </w:rPr>
  </w:style>
  <w:style w:type="character" w:styleId="ListLabel133">
    <w:name w:val="ListLabel 133"/>
    <w:qFormat/>
    <w:rPr>
      <w:rFonts w:ascii="Arial" w:hAnsi="Arial" w:eastAsia="Arial" w:cs="Arial"/>
      <w:b w:val="false"/>
      <w:bCs w:val="false"/>
      <w:i w:val="false"/>
      <w:iCs w:val="false"/>
      <w:caps w:val="false"/>
      <w:smallCaps w:val="false"/>
      <w:sz w:val="24"/>
      <w:szCs w:val="24"/>
      <w:lang w:val="en-GB"/>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semiHidden/>
    <w:rsid w:val="006d10ac"/>
    <w:pPr>
      <w:tabs>
        <w:tab w:val="clear" w:pos="720"/>
        <w:tab w:val="center" w:pos="4153" w:leader="none"/>
        <w:tab w:val="right" w:pos="8306" w:leader="none"/>
      </w:tabs>
    </w:pPr>
    <w:rPr/>
  </w:style>
  <w:style w:type="paragraph" w:styleId="Footer">
    <w:name w:val="Footer"/>
    <w:basedOn w:val="Normal"/>
    <w:semiHidden/>
    <w:rsid w:val="006d10ac"/>
    <w:pPr>
      <w:tabs>
        <w:tab w:val="clear" w:pos="720"/>
        <w:tab w:val="center" w:pos="4153" w:leader="none"/>
        <w:tab w:val="right" w:pos="8306" w:leader="none"/>
      </w:tabs>
    </w:pPr>
    <w:rPr/>
  </w:style>
  <w:style w:type="paragraph" w:styleId="SMUNORMALARIAL" w:customStyle="1">
    <w:name w:val="SMU NORMAL ARIAL"/>
    <w:basedOn w:val="Normal"/>
    <w:qFormat/>
    <w:rsid w:val="006d10ac"/>
    <w:pPr/>
    <w:rPr>
      <w:rFonts w:ascii="Arial" w:hAnsi="Arial"/>
      <w:sz w:val="22"/>
    </w:rPr>
  </w:style>
  <w:style w:type="paragraph" w:styleId="SMUARIAL14BOLD" w:customStyle="1">
    <w:name w:val="SMU ARIAL 14 BOLD"/>
    <w:qFormat/>
    <w:rsid w:val="00f73a03"/>
    <w:pPr>
      <w:widowControl/>
      <w:bidi w:val="0"/>
      <w:spacing w:before="240" w:after="0"/>
      <w:jc w:val="left"/>
    </w:pPr>
    <w:rPr>
      <w:rFonts w:ascii="Arial" w:hAnsi="Arial" w:eastAsia="Times New Roman" w:cs="Arial"/>
      <w:b/>
      <w:bCs/>
      <w:caps/>
      <w:color w:val="auto"/>
      <w:kern w:val="2"/>
      <w:sz w:val="28"/>
      <w:szCs w:val="32"/>
      <w:lang w:val="en-GB" w:eastAsia="en-GB" w:bidi="ar-SA"/>
    </w:rPr>
  </w:style>
  <w:style w:type="paragraph" w:styleId="BalloonText">
    <w:name w:val="Balloon Text"/>
    <w:basedOn w:val="Normal"/>
    <w:semiHidden/>
    <w:qFormat/>
    <w:rsid w:val="0097069b"/>
    <w:pPr/>
    <w:rPr>
      <w:rFonts w:ascii="Tahoma" w:hAnsi="Tahoma" w:cs="Tahoma"/>
      <w:sz w:val="16"/>
      <w:szCs w:val="16"/>
    </w:rPr>
  </w:style>
  <w:style w:type="paragraph" w:styleId="Paragraph" w:customStyle="1">
    <w:name w:val="paragraph"/>
    <w:basedOn w:val="Normal"/>
    <w:qFormat/>
    <w:rsid w:val="00607752"/>
    <w:pPr>
      <w:spacing w:beforeAutospacing="1" w:afterAutospacing="1"/>
    </w:pPr>
    <w:rPr>
      <w:lang w:eastAsia="zh-CN"/>
    </w:rPr>
  </w:style>
  <w:style w:type="paragraph" w:styleId="ListParagraph">
    <w:name w:val="List Paragraph"/>
    <w:basedOn w:val="Normal"/>
    <w:uiPriority w:val="34"/>
    <w:qFormat/>
    <w:pPr>
      <w:spacing w:before="0" w:after="0"/>
      <w:ind w:left="720" w:hanging="0"/>
      <w:contextualSpacing/>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semiHidden/>
    <w:rsid w:val="00f73a0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lzheimers.org.uk/about-us/policy-and-influencing/dementia-scale-impact-numbers" TargetMode="External"/><Relationship Id="rId3" Type="http://schemas.openxmlformats.org/officeDocument/2006/relationships/hyperlink" Target="https://www.alzheimersresearchuk.org/blog/the-governments-major-conditions-strategy-must-deliver-for-people-with-dementia/" TargetMode="External"/><Relationship Id="rId4" Type="http://schemas.openxmlformats.org/officeDocument/2006/relationships/hyperlink" Target="https://www.dementiauk.org/information-and-support/young-onset-dementia/young-onset-dementia-facts-and-figures/" TargetMode="External"/><Relationship Id="rId5" Type="http://schemas.openxmlformats.org/officeDocument/2006/relationships/hyperlink" Target="https://www.gov.uk/government/speeches/health-and-social-care-secretary-sajid-javid-speech-at-alzheimers-society-2022-conference" TargetMode="External"/><Relationship Id="rId6" Type="http://schemas.openxmlformats.org/officeDocument/2006/relationships/hyperlink" Target="https://researchbriefings.files.parliament.uk/documents/SN07007/SN07007.pdf" TargetMode="External"/><Relationship Id="rId7" Type="http://schemas.openxmlformats.org/officeDocument/2006/relationships/hyperlink" Target="https://www.yhscn.nhs.uk/media/PDFs/mhdn/Dementia/Bulletin/2019/December 2019/cpec_report_november_2019.pdf" TargetMode="Externa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hyperlink" Target="https://doi.org/10.1177/1533317512464117" TargetMode="External"/><Relationship Id="rId15" Type="http://schemas.openxmlformats.org/officeDocument/2006/relationships/hyperlink" Target="https://doi.org/10.1016/j.jagp.2013.03.004" TargetMode="External"/><Relationship Id="rId16" Type="http://schemas.openxmlformats.org/officeDocument/2006/relationships/hyperlink" Target="https://www.bacp.co.uk/about-therapy/types-of-therapy/animal-assisted-therapy/" TargetMode="External"/><Relationship Id="rId17" Type="http://schemas.openxmlformats.org/officeDocument/2006/relationships/hyperlink" Target="https://www.cambridge.org/core/journals/international-psychogeriatrics/article/animalassisted-therapy-for-dementia-a-review-of-the-literature/CA29DC68F280C4A7EFBE67C9BDD0FDD0" TargetMode="External"/><Relationship Id="rId18" Type="http://schemas.openxmlformats.org/officeDocument/2006/relationships/header" Target="header1.xml"/><Relationship Id="rId19" Type="http://schemas.openxmlformats.org/officeDocument/2006/relationships/header" Target="header2.xml"/><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numbering" Target="numbering.xml"/><Relationship Id="rId23" Type="http://schemas.openxmlformats.org/officeDocument/2006/relationships/fontTable" Target="fontTable.xml"/><Relationship Id="rId24" Type="http://schemas.openxmlformats.org/officeDocument/2006/relationships/settings" Target="settings.xml"/><Relationship Id="rId25" Type="http://schemas.openxmlformats.org/officeDocument/2006/relationships/theme" Target="theme/theme1.xml"/><Relationship Id="rId2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14</TotalTime>
  <Application>Neat_Office/6.2.8.2$Windows_x86 LibreOffice_project/</Application>
  <Pages>14</Pages>
  <Words>3348</Words>
  <Characters>18976</Characters>
  <CharactersWithSpaces>22188</CharactersWithSpaces>
  <Paragraphs>160</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2023-12-02T14:38:00Z</dcterms:created>
  <dc:creator>Gill Fildes</dc:creator>
  <dc:description/>
  <dc:language>en-GB</dc:language>
  <cp:lastModifiedBy/>
  <cp:lastPrinted>2008-04-14T13:39:00Z</cp:lastPrinted>
  <dcterms:modified xsi:type="dcterms:W3CDTF">2023-12-16T01:43:56Z</dcterms:modified>
  <cp:revision>8</cp:revision>
  <dc:subject/>
  <dc:title>ETHICS APPROVAL FORM</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