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font-ttf" Extension="ttf"/>
  <Default ContentType="application/xml" Extens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3.xml"/>
  <Override ContentType="application/vnd.openxmlformats-officedocument.drawingml.chart+xml" PartName="/word/charts/chart4.xml"/>
  <Override ContentType="application/vnd.openxmlformats-officedocument.drawingml.chart+xml" PartName="/word/charts/chart5.xml"/>
  <Override ContentType="application/vnd.openxmlformats-officedocument.drawingml.chart+xml" PartName="/word/charts/chart6.xml"/>
  <Override ContentType="application/vnd.openxmlformats-officedocument.drawingml.chart+xml" PartName="/word/charts/chart7.xml"/>
  <Override ContentType="application/vnd.openxmlformats-officedocument.drawingml.chart+xml" PartName="/word/charts/chart8.xml"/>
  <Override ContentType="application/vnd.openxmlformats-officedocument.drawingml.chart+xml" PartName="/word/charts/chart9.xml"/>
  <Override ContentType="application/vnd.openxmlformats-officedocument.drawingml.chart+xml" PartName="/word/charts/chart10.xml"/>
  <Override ContentType="application/vnd.openxmlformats-officedocument.drawingml.chart+xml" PartName="/word/charts/chart11.xml"/>
  <Override ContentType="application/vnd.openxmlformats-officedocument.drawingml.chart+xml" PartName="/word/charts/chart12.xml"/>
  <Override ContentType="application/vnd.openxmlformats-officedocument.drawingml.chart+xml" PartName="/word/charts/chart13.xml"/>
  <Override ContentType="application/vnd.ms-office.chartcolorstyle+xml" PartName="/word/charts/colors1.xml"/>
  <Override ContentType="application/vnd.ms-office.chartcolorstyle+xml" PartName="/word/charts/colors2.xml"/>
  <Override ContentType="application/vnd.ms-office.chartcolorstyle+xml" PartName="/word/charts/colors3.xml"/>
  <Override ContentType="application/vnd.ms-office.chartcolorstyle+xml" PartName="/word/charts/colors4.xml"/>
  <Override ContentType="application/vnd.ms-office.chartcolorstyle+xml" PartName="/word/charts/colors5.xml"/>
  <Override ContentType="application/vnd.ms-office.chartcolorstyle+xml" PartName="/word/charts/colors6.xml"/>
  <Override ContentType="application/vnd.ms-office.chartcolorstyle+xml" PartName="/word/charts/colors7.xml"/>
  <Override ContentType="application/vnd.ms-office.chartcolorstyle+xml" PartName="/word/charts/colors8.xml"/>
  <Override ContentType="application/vnd.ms-office.chartcolorstyle+xml" PartName="/word/charts/colors9.xml"/>
  <Override ContentType="application/vnd.ms-office.chartcolorstyle+xml" PartName="/word/charts/colors10.xml"/>
  <Override ContentType="application/vnd.ms-office.chartcolorstyle+xml" PartName="/word/charts/colors11.xml"/>
  <Override ContentType="application/vnd.ms-office.chartcolorstyle+xml" PartName="/word/charts/colors12.xml"/>
  <Override ContentType="application/vnd.ms-office.chartcolorstyle+xml" PartName="/word/charts/colors13.xml"/>
  <Override ContentType="application/vnd.ms-office.chartstyle+xml" PartName="/word/charts/style1.xml"/>
  <Override ContentType="application/vnd.ms-office.chartstyle+xml" PartName="/word/charts/style2.xml"/>
  <Override ContentType="application/vnd.ms-office.chartstyle+xml" PartName="/word/charts/style3.xml"/>
  <Override ContentType="application/vnd.ms-office.chartstyle+xml" PartName="/word/charts/style4.xml"/>
  <Override ContentType="application/vnd.ms-office.chartstyle+xml" PartName="/word/charts/style5.xml"/>
  <Override ContentType="application/vnd.ms-office.chartstyle+xml" PartName="/word/charts/style6.xml"/>
  <Override ContentType="application/vnd.ms-office.chartstyle+xml" PartName="/word/charts/style7.xml"/>
  <Override ContentType="application/vnd.ms-office.chartstyle+xml" PartName="/word/charts/style8.xml"/>
  <Override ContentType="application/vnd.ms-office.chartstyle+xml" PartName="/word/charts/style9.xml"/>
  <Override ContentType="application/vnd.ms-office.chartstyle+xml" PartName="/word/charts/style10.xml"/>
  <Override ContentType="application/vnd.ms-office.chartstyle+xml" PartName="/word/charts/style11.xml"/>
  <Override ContentType="application/vnd.ms-office.chartstyle+xml" PartName="/word/charts/style12.xml"/>
  <Override ContentType="application/vnd.ms-office.chartstyle+xml" PartName="/word/charts/style13.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no"?>
<Relationships xmlns="http://schemas.openxmlformats.org/package/2006/relationships">
<Relationship Id="rId1" Target="docProps/custom.xml" Type="http://schemas.openxmlformats.org/officeDocument/2006/relationships/custom-properties"/>
<Relationship Id="rId2" Target="docProps/core.xml" Type="http://schemas.openxmlformats.org/package/2006/relationships/metadata/core-properties"/>
<Relationship Id="rId3" Target="word/document.xml" Type="http://schemas.openxmlformats.org/officeDocument/2006/relationships/officeDocument"/>
<Relationship Id="rId4" Target="docProps/app.xml" Type="http://schemas.openxmlformats.org/officeDocument/2006/relationships/extended-properties"/>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387090" cy="1351915"/>
            <wp:effectExtent b="0" l="0" r="0" t="0"/>
            <wp:docPr descr="University of Wales Trinity Saint David - University Transcription Services" id="1922037536" name="image1.png"/>
            <a:graphic>
              <a:graphicData uri="http://schemas.openxmlformats.org/drawingml/2006/picture">
                <pic:pic>
                  <pic:nvPicPr>
                    <pic:cNvPr descr="University of Wales Trinity Saint David - University Transcription Services" id="0" name="image1.png"/>
                    <pic:cNvPicPr preferRelativeResize="0"/>
                  </pic:nvPicPr>
                  <pic:blipFill>
                    <a:blip r:embed="rId7"/>
                    <a:srcRect b="0" l="0" r="0" t="0"/>
                    <a:stretch>
                      <a:fillRect/>
                    </a:stretch>
                  </pic:blipFill>
                  <pic:spPr>
                    <a:xfrm>
                      <a:off x="0" y="0"/>
                      <a:ext cx="3387090" cy="13519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40"/>
          <w:szCs w:val="40"/>
        </w:rPr>
      </w:pPr>
      <w:r w:rsidDel="00000000" w:rsidR="00000000" w:rsidRPr="00000000">
        <w:rPr>
          <w:rtl w:val="0"/>
        </w:rPr>
      </w:r>
    </w:p>
    <w:p w:rsidR="00000000" w:rsidDel="00000000" w:rsidP="00000000" w:rsidRDefault="00000000" w:rsidRPr="00000000" w14:paraId="00000003">
      <w:pPr>
        <w:jc w:val="center"/>
        <w:rPr>
          <w:b w:val="1"/>
          <w:bCs w:val="1"/>
          <w:sz w:val="40"/>
          <w:szCs w:val="40"/>
        </w:rPr>
      </w:pPr>
      <w:r w:rsidDel="00000000" w:rsidR="00000000" w:rsidRPr="00000000">
        <w:rPr>
          <w:b w:val="1"/>
          <w:bCs w:val="1"/>
          <w:sz w:val="40"/>
          <w:szCs w:val="40"/>
          <w:rtl w:val="0"/>
        </w:rPr>
        <w:t xml:space="preserve">Master of Business Administration</w:t>
      </w:r>
    </w:p>
    <w:p w:rsidR="00000000" w:rsidDel="00000000" w:rsidP="00000000" w:rsidRDefault="00000000" w:rsidRPr="00000000" w14:paraId="00000004">
      <w:pPr>
        <w:jc w:val="center"/>
        <w:rPr>
          <w:b w:val="1"/>
          <w:bCs w:val="1"/>
          <w:sz w:val="36"/>
          <w:szCs w:val="36"/>
        </w:rPr>
      </w:pPr>
      <w:r w:rsidDel="00000000" w:rsidR="00000000" w:rsidRPr="00000000">
        <w:rPr>
          <w:b w:val="1"/>
          <w:bCs w:val="1"/>
          <w:sz w:val="36"/>
          <w:szCs w:val="36"/>
          <w:rtl w:val="0"/>
        </w:rPr>
        <w:t xml:space="preserve">LCMB7002 Financial Management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Lecturer’s name: Shengfeng Mei (London)</w:t>
      </w:r>
    </w:p>
    <w:p w:rsidR="00000000" w:rsidDel="00000000" w:rsidP="00000000" w:rsidRDefault="00000000" w:rsidRPr="00000000" w14:paraId="00000009">
      <w:pPr>
        <w:rPr/>
      </w:pPr>
      <w:r w:rsidDel="00000000" w:rsidR="00000000" w:rsidRPr="00000000">
        <w:rPr>
          <w:rtl w:val="0"/>
        </w:rPr>
        <w:t xml:space="preserve">Student Name: Md Faisal Miah</w:t>
      </w:r>
    </w:p>
    <w:p w:rsidR="00000000" w:rsidDel="00000000" w:rsidP="00000000" w:rsidRDefault="00000000" w:rsidRPr="00000000" w14:paraId="0000000A">
      <w:pPr>
        <w:rPr/>
      </w:pPr>
      <w:r w:rsidDel="00000000" w:rsidR="00000000" w:rsidRPr="00000000">
        <w:rPr>
          <w:rtl w:val="0"/>
        </w:rPr>
        <w:t xml:space="preserve">Student ID: 2430612</w:t>
      </w:r>
    </w:p>
    <w:p w:rsidR="00000000" w:rsidDel="00000000" w:rsidP="00000000" w:rsidRDefault="00000000" w:rsidRPr="00000000" w14:paraId="0000000B">
      <w:pPr>
        <w:rPr/>
      </w:pPr>
      <w:r w:rsidDel="00000000" w:rsidR="00000000" w:rsidRPr="00000000">
        <w:rPr>
          <w:rtl w:val="0"/>
        </w:rPr>
        <w:t xml:space="preserve">Word count: 5358</w:t>
      </w:r>
    </w:p>
    <w:p w:rsidR="00000000" w:rsidDel="00000000" w:rsidP="00000000" w:rsidRDefault="00000000" w:rsidRPr="00000000" w14:paraId="0000000C">
      <w:pPr>
        <w:rPr/>
      </w:pPr>
      <w:r w:rsidDel="00000000" w:rsidR="00000000" w:rsidRPr="00000000">
        <w:rPr>
          <w:rtl w:val="0"/>
        </w:rPr>
        <w:t xml:space="preserve">Submission date: December 20, 2025</w:t>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Table of Contents</w:t>
      </w:r>
    </w:p>
    <w:sdt>
      <w:sdtPr>
        <w:id w:val="1203860915"/>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i1j8hckue29">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q69dfcd3b0mu">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Financial Health Check</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8ad760w0ys6a">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Critical Evaluation of Financial Performance</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ges2qvd06nl">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Horizontal Analysis of Operational Results</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k2wewdk9w7rc">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Profitability Analysis</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qmb1vzkl00e8">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Liquidity Analysis</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l0ttsu0l9xs">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Efficiency (Activity) Analysis</w:t>
              <w:tab/>
              <w:t xml:space="preserve">9</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a61pgsws4qe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Gearing and Leverage Analysis</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jxqge5atfan7">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Cash Flow Analysis</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vfnxzaxtxk5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Corporate Failure Risk: Altman Z-Score</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m2xyorths8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Strengths, Weaknesses, and Threats</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w2codnlmmylm">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Working Capital Management Analysis</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ckoofo9ewioj">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Overview of Working Capital Position</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2e2jx36gkbp">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Assessment of the Cash Operating Cycle</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o2podsyghyto">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Liquidity Problems Identified</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ph0cu6dvhykg">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Strategies to Improve Liquidity through Working Capital Reforms</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p308dau8teot">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Short-Term Financing Options</w:t>
              <w:tab/>
              <w:t xml:space="preserve">15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z7yt4c7vl8k">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Long-Term Financing Options</w:t>
              <w:tab/>
              <w:t xml:space="preserve">15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gctnr04kc6sy">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Strategic Financial Restructuring Plan</w:t>
              <w:tab/>
              <w:t xml:space="preserve">16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xqruhzaulta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Need for Financial Restructuring</w:t>
              <w:tab/>
              <w:t xml:space="preserve">16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so8pj81gunt2">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Overview of Restructuring Objectives</w:t>
              <w:tab/>
              <w:t xml:space="preserve">16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45uc4ztkc5rp">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Asset Divestiture Strategy</w:t>
              <w:tab/>
              <w:t xml:space="preserve">16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ifkuutqtsoy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Equity Injection Strategy</w:t>
              <w:tab/>
              <w:t xml:space="preserve">18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nhejev28k0zv">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Merger or Strategic Partnership Option</w:t>
              <w:tab/>
              <w:t xml:space="preserve">19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j07fhatw3fod">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Impact on Shareholder Value</w:t>
              <w:tab/>
              <w:t xml:space="preserve">19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n1yxgcn2v039">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Impact on Debt Structure and Financial Risk</w:t>
              <w:tab/>
              <w:t xml:space="preserve">20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gl5gzuiv71mh">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Impact on Operational Flexibility</w:t>
              <w:tab/>
              <w:t xml:space="preserve">20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dsugtmh6op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International and Ethical Considerations</w:t>
              <w:tab/>
              <w:t xml:space="preserve">21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4448rtb4ucy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Investment Appraisal and Capital Budgeting</w:t>
              <w:tab/>
              <w:t xml:space="preserve">21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xdde2xfyqf4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Introduction to Investment Appraisal</w:t>
              <w:tab/>
              <w:t xml:space="preserve">21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wnrbehp6s1fm">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Details</w:t>
              <w:tab/>
              <w:t xml:space="preserve">22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9ebyvcx4ch2l">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Payback Period (PBP)</w:t>
              <w:tab/>
              <w:t xml:space="preserve">23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9mt6joaa5wvs">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Accounting Rate of Return (ARR)</w:t>
              <w:tab/>
              <w:t xml:space="preserve">26</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a6b8gifgvrsc">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Net Present Value (NPV)</w:t>
              <w:tab/>
              <w:t xml:space="preserve">27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ujiu5qccl797">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Profitability Index (PI)</w:t>
              <w:tab/>
              <w:t xml:space="preserve">29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5ajb2yhsu72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Internal Rate of Return (IRR)</w:t>
              <w:tab/>
              <w:t xml:space="preserve">29</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nl04xte3ojja">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Risk Characteristics and Cash Flow Patterns</w:t>
              <w:tab/>
              <w:t xml:space="preserve">30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cseniiup7vvv">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Capital Rationing Decision (£60m Limit)</w:t>
              <w:tab/>
              <w:t xml:space="preserve">30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ljgp5qn8eq0b">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Final Investment Recommendation</w:t>
              <w:tab/>
              <w:t xml:space="preserve">31</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2kkik8mn2kpo">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Conclusion</w:t>
              <w:tab/>
              <w:t xml:space="preserve">32</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ay688rvjmo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References</w:t>
              <w:tab/>
              <w:t xml:space="preserve">33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h8nfukuvud8">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Appendix</w:t>
              <w:tab/>
              <w:t xml:space="preserve">39</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32"/>
          <w:szCs w:val="32"/>
        </w:rPr>
      </w:pPr>
      <w:r w:rsidDel="00000000" w:rsidR="00000000" w:rsidRPr="00000000">
        <w:rPr>
          <w:b w:val="1"/>
          <w:bCs w:val="1"/>
          <w:sz w:val="32"/>
          <w:szCs w:val="32"/>
          <w:rtl w:val="0"/>
        </w:rPr>
        <w:t xml:space="preserve">List of Figures</w:t>
      </w:r>
    </w:p>
    <w:sdt>
      <w:sdtPr>
        <w:id w:val="-1588238664"/>
        <w:docPartObj>
          <w:docPartGallery w:val="Table of Contents"/>
          <w:docPartUnique w:val="1"/>
        </w:docPartObj>
      </w:sdtPr>
      <w:sdtContent>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32"/>
              <w:szCs w:val="32"/>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32"/>
          <w:szCs w:val="32"/>
        </w:rPr>
      </w:pPr>
      <w:r w:rsidDel="00000000" w:rsidR="00000000" w:rsidRPr="00000000">
        <w:rPr>
          <w:rtl w:val="0"/>
        </w:rPr>
      </w:r>
    </w:p>
    <w:sdt>
      <w:sdtPr>
        <w:id w:val="-953503776"/>
        <w:docPartObj>
          <w:docPartGallery w:val="Table of Contents"/>
          <w:docPartUnique w:val="1"/>
        </w:docPartObj>
      </w:sdtPr>
      <w:sdtContent>
        <w:p w:rsidR="00000000" w:rsidDel="00000000" w:rsidP="00000000" w:rsidRDefault="00000000" w:rsidRPr="00000000" w14:paraId="0000003D">
          <w:pPr>
            <w:rPr>
              <w:b w:val="1"/>
              <w:bCs w:val="1"/>
              <w:sz w:val="32"/>
              <w:szCs w:val="32"/>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32"/>
          <w:szCs w:val="32"/>
        </w:rPr>
      </w:pPr>
      <w:r w:rsidDel="00000000" w:rsidR="00000000" w:rsidRPr="00000000">
        <w:rPr>
          <w:rtl w:val="0"/>
        </w:rPr>
      </w:r>
    </w:p>
    <w:sdt>
      <w:sdtPr>
        <w:id w:val="-856381424"/>
        <w:docPartObj>
          <w:docPartGallery w:val="Table of Contents"/>
          <w:docPartUnique w:val="1"/>
        </w:docPartObj>
      </w:sdtPr>
      <w:sdtContent>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pa0hs7bamxj1">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 Net Sales, Cost of Sales, and Gross Profit Comparison</w:t>
              <w:tab/>
              <w:t xml:space="preserve">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ac6c51jgkqss">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2: Profitability Ratios</w:t>
              <w:tab/>
              <w:t xml:space="preserve">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kqsdkfda622l">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3: Liquidity Ratios</w:t>
              <w:tab/>
              <w:t xml:space="preserve">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ufyr7hp9ilj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4: Efficiency / Working Capital Ratios</w:t>
              <w:tab/>
              <w:t xml:space="preserve">10</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q6bto0dm7czh">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5: Gearing / Financial Risk Ratios</w:t>
              <w:tab/>
              <w:t xml:space="preserve">11</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p100ploo7qa5">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6: Cash Flow</w:t>
              <w:tab/>
              <w:t xml:space="preserve">12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4b62xl6eok8x">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7: Cash Operating (Conversion) Cycle of General Electronics (2020–2024)</w:t>
              <w:tab/>
              <w:t xml:space="preserve">15</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7v27nuh98gm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8: Working Capital Components</w:t>
              <w:tab/>
              <w:t xml:space="preserve">16</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b3osnip8gr8o">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9: Potential Asset Divestiture and Expected Impact</w:t>
              <w:tab/>
              <w:t xml:space="preserve">19</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x0lnl6jtuf4">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10: Capital Structure Before and After Equity Injection</w:t>
              <w:tab/>
              <w:t xml:space="preserve">20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jq57rr738ms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11: Project Cash Flow Information</w:t>
              <w:tab/>
              <w:t xml:space="preserve">25</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9v58pgdoa7zq">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12: Payback Period (PBP)</w:t>
              <w:tab/>
              <w:t xml:space="preserve">27</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1g9452jmugg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13: ARR</w:t>
              <w:tab/>
              <w:t xml:space="preserve">29</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4o3arwdn08o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14: NPV</w:t>
              <w:tab/>
              <w:t xml:space="preserve">31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E">
      <w:pPr>
        <w:rPr>
          <w:b w:val="1"/>
          <w:bCs w:val="1"/>
          <w:sz w:val="32"/>
          <w:szCs w:val="32"/>
        </w:rPr>
      </w:pPr>
      <w:r w:rsidDel="00000000" w:rsidR="00000000" w:rsidRPr="00000000">
        <w:rPr>
          <w:b w:val="1"/>
          <w:bCs w:val="1"/>
          <w:sz w:val="32"/>
          <w:szCs w:val="32"/>
          <w:rtl w:val="0"/>
        </w:rPr>
        <w:t xml:space="preserve">List of Tables</w:t>
      </w:r>
    </w:p>
    <w:sdt>
      <w:sdtPr>
        <w:id w:val="-269480260"/>
        <w:docPartObj>
          <w:docPartGallery w:val="Table of Contents"/>
          <w:docPartUnique w:val="1"/>
        </w:docPartObj>
      </w:sdtPr>
      <w:sdtContent>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26nlkmi6woi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1: Cash Operating (Conversion) Cycle of General Electronics (2020–2024)</w:t>
              <w:tab/>
              <w:t xml:space="preserve">12</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8lxa25p7li0g">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2: Working Capital Components</w:t>
              <w:tab/>
              <w:t xml:space="preserve">14</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6a12k4bvqvxf">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3: Potential Asset Divestiture and Expected Impact</w:t>
              <w:tab/>
              <w:t xml:space="preserve">17</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fobd9nlgt2id">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4: Capital Structure Before and After Equity Injection</w:t>
              <w:tab/>
              <w:t xml:space="preserve">18</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c11k1k6f3v43">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5: Impact of Restructuring Options on Shareholder Value</w:t>
              <w:tab/>
              <w:t xml:space="preserve">20</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ndjnwpcgx05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6: Project Cash Flow Details</w:t>
              <w:tab/>
              <w:t xml:space="preserve">22</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tfe14irjixk5">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7: Discount Factors at 10%</w:t>
              <w:tab/>
              <w:t xml:space="preserve">27</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240" w:line="360" w:lineRule="auto"/>
            <w:ind w:left="0" w:right="0" w:firstLine="0"/>
            <w:jc w:val="both"/>
            <w:rPr>
              <w:rFonts w:ascii="Calibri" w:cs="Calibri" w:eastAsia="Calibri" w:hAnsi="Calibri"/>
              <w:b w:val="0"/>
              <w:bCs w:val="0"/>
              <w:i w:val="0"/>
              <w:iCs w:val="0"/>
              <w:smallCaps w:val="0"/>
              <w:strike w:val="0"/>
              <w:sz w:val="22"/>
              <w:szCs w:val="22"/>
              <w:u w:val="none"/>
              <w:shd w:fill="auto" w:val="clear"/>
              <w:vertAlign w:val="baseline"/>
            </w:rPr>
          </w:pPr>
          <w:hyperlink w:anchor="_heading=h.9dpi30824oea">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8: Capital Rationing Comparison</w:t>
              <w:tab/>
              <w:t xml:space="preserve">31</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rPr>
          <w:color w:val="000000"/>
        </w:rPr>
      </w:pPr>
      <w:bookmarkStart w:colFirst="0" w:colLast="0" w:name="_heading=h.ei1j8hckue29" w:id="0"/>
      <w:bookmarkEnd w:id="0"/>
      <w:r w:rsidDel="00000000" w:rsidR="00000000" w:rsidRPr="00000000">
        <w:rPr>
          <w:color w:val="000000"/>
          <w:rtl w:val="0"/>
        </w:rPr>
        <w:t xml:space="preserve">Introduction</w:t>
      </w:r>
    </w:p>
    <w:p w:rsidR="00000000" w:rsidDel="00000000" w:rsidP="00000000" w:rsidRDefault="00000000" w:rsidRPr="00000000" w14:paraId="0000005C">
      <w:pPr>
        <w:rPr/>
      </w:pPr>
      <w:r w:rsidDel="00000000" w:rsidR="00000000" w:rsidRPr="00000000">
        <w:rPr>
          <w:rtl w:val="0"/>
        </w:rPr>
        <w:t xml:space="preserve">This report is presented at a very critical point of time in the history of the organisation as the newly appointed Chief Financial Officer (CFO) of General Electronics. Based on the basic principles of corporate finance, the main task of the management is to maximise shareholder value by properly managing the risk and distributing the capital. Nevertheless, a preliminary analysis of the performance data between the years 2020 and 2024 shows General Electronics has grossly missed this target and is experiencing a secular downturn in revenue and dire liquidity.</w:t>
      </w:r>
    </w:p>
    <w:p w:rsidR="00000000" w:rsidDel="00000000" w:rsidP="00000000" w:rsidRDefault="00000000" w:rsidRPr="00000000" w14:paraId="0000005D">
      <w:pPr>
        <w:rPr/>
      </w:pPr>
      <w:r w:rsidDel="00000000" w:rsidR="00000000" w:rsidRPr="00000000">
        <w:rPr>
          <w:rtl w:val="0"/>
        </w:rPr>
        <w:t xml:space="preserve">The report gives a detailed evaluation of the financial well-being of the firm. This analysis will follow the principle that a correct diagnosis should be followed by a strategic action. The first step will involve the application of a solid framework of ratio analysis and corporate failure prediction models to measure the risk of insolvency. The report will then detail the working capital cycle efficiency, recommend a strategic reorganisation plan to halt the falling performance, and critically analyse the future investment opportunities (Projects A, B and C) with tight capital rationing. The final goal is to present a financially feasible and ethically acceptable roadmap to rebuild the solvency and operational stability of the firm.</w:t>
      </w:r>
    </w:p>
    <w:p w:rsidR="00000000" w:rsidDel="00000000" w:rsidP="00000000" w:rsidRDefault="00000000" w:rsidRPr="00000000" w14:paraId="0000005E">
      <w:pPr>
        <w:rPr/>
      </w:pPr>
      <w:r w:rsidDel="00000000" w:rsidR="00000000" w:rsidRPr="00000000">
        <w:rPr>
          <w:rtl w:val="0"/>
        </w:rPr>
        <w:t xml:space="preserve">  </w:t>
      </w:r>
    </w:p>
    <w:p w:rsidR="00000000" w:rsidDel="00000000" w:rsidP="00000000" w:rsidRDefault="00000000" w:rsidRPr="00000000" w14:paraId="0000005F">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rPr>
          <w:color w:val="000000"/>
        </w:rPr>
      </w:pPr>
      <w:bookmarkStart w:colFirst="0" w:colLast="0" w:name="_heading=h.q69dfcd3b0mu" w:id="1"/>
      <w:bookmarkEnd w:id="1"/>
      <w:r w:rsidDel="00000000" w:rsidR="00000000" w:rsidRPr="00000000">
        <w:rPr>
          <w:color w:val="000000"/>
          <w:rtl w:val="0"/>
        </w:rPr>
        <w:t xml:space="preserve">Financial Health Check</w:t>
      </w:r>
    </w:p>
    <w:p w:rsidR="00000000" w:rsidDel="00000000" w:rsidP="00000000" w:rsidRDefault="00000000" w:rsidRPr="00000000" w14:paraId="00000061">
      <w:pPr>
        <w:pStyle w:val="Heading2"/>
        <w:rPr/>
      </w:pPr>
      <w:bookmarkStart w:colFirst="0" w:colLast="0" w:name="_heading=h.8ad760w0ys6a" w:id="2"/>
      <w:bookmarkEnd w:id="2"/>
      <w:r w:rsidDel="00000000" w:rsidR="00000000" w:rsidRPr="00000000">
        <w:rPr>
          <w:rtl w:val="0"/>
        </w:rPr>
        <w:t xml:space="preserve">Critical Evaluation of Financial Performance</w:t>
      </w:r>
    </w:p>
    <w:p w:rsidR="00000000" w:rsidDel="00000000" w:rsidP="00000000" w:rsidRDefault="00000000" w:rsidRPr="00000000" w14:paraId="00000062">
      <w:pPr>
        <w:rPr>
          <w:b w:val="1"/>
          <w:bCs w:val="1"/>
        </w:rPr>
      </w:pPr>
      <w:bookmarkStart w:colFirst="0" w:colLast="0" w:name="_heading=h.ges2qvd06nl" w:id="3"/>
      <w:bookmarkEnd w:id="3"/>
      <w:r w:rsidDel="00000000" w:rsidR="00000000" w:rsidRPr="00000000">
        <w:rPr>
          <w:rtl w:val="0"/>
        </w:rPr>
        <w:t xml:space="preserve">This section uses the horizontal analysis methods on the Consolidated Income Statement (2020-2024) to address the structural weaknesses of the operations model of the firm.</w:t>
      </w:r>
      <w:r w:rsidDel="00000000" w:rsidR="00000000" w:rsidRPr="00000000">
        <w:rPr>
          <w:rtl w:val="0"/>
        </w:rPr>
      </w:r>
    </w:p>
    <w:p w:rsidR="00000000" w:rsidDel="00000000" w:rsidP="00000000" w:rsidRDefault="00000000" w:rsidRPr="00000000" w14:paraId="00000063">
      <w:pPr>
        <w:pStyle w:val="Heading2"/>
        <w:rPr/>
      </w:pPr>
      <w:r w:rsidDel="00000000" w:rsidR="00000000" w:rsidRPr="00000000">
        <w:rPr>
          <w:rtl w:val="0"/>
        </w:rPr>
        <w:t xml:space="preserve">Horizontal Analysis of Operational Results</w:t>
      </w:r>
    </w:p>
    <w:p w:rsidR="00000000" w:rsidDel="00000000" w:rsidP="00000000" w:rsidRDefault="00000000" w:rsidRPr="00000000" w14:paraId="00000064">
      <w:pPr>
        <w:rPr/>
      </w:pPr>
      <w:r w:rsidDel="00000000" w:rsidR="00000000" w:rsidRPr="00000000">
        <w:rPr>
          <w:rtl w:val="0"/>
        </w:rPr>
        <w:t xml:space="preserve">General Electronics has shown a serious contraction in business activity in the past five years through its historical performance. As shown in Figure 1, the company has been facing a continuing loss of its top-line revenue, where Net Sales have declined after reaching their highest point of £614,680m in 2020 to a figure of 394,879m in 2024. This is a cumulative fall of 35.7, which shows that it has lost a core market share or it has been contracting as an industry in consumer electronics, which the firm has been unable to offset.</w:t>
      </w:r>
      <w:r w:rsidDel="00000000" w:rsidR="00000000" w:rsidRPr="00000000">
        <w:rPr/>
        <w:drawing>
          <wp:inline distB="114300" distT="114300" distL="114300" distR="114300">
            <wp:extent cx="5943600" cy="3784600"/>
            <wp:effectExtent b="0" l="0" r="0" t="0"/>
            <wp:docPr id="192203753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7846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pa0hs7bamxj1" w:id="4"/>
      <w:bookmarkEnd w:id="4"/>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 Net Sales, Cost of Sales, and Gross Profit Comparison</w:t>
      </w:r>
    </w:p>
    <w:p w:rsidR="00000000" w:rsidDel="00000000" w:rsidP="00000000" w:rsidRDefault="00000000" w:rsidRPr="00000000" w14:paraId="00000066">
      <w:pPr>
        <w:rPr>
          <w:b w:val="1"/>
          <w:bCs w:val="1"/>
        </w:rPr>
      </w:pPr>
      <w:bookmarkStart w:colFirst="0" w:colLast="0" w:name="_heading=h.k2wewdk9w7rc" w:id="5"/>
      <w:bookmarkEnd w:id="5"/>
      <w:r w:rsidDel="00000000" w:rsidR="00000000" w:rsidRPr="00000000">
        <w:rPr>
          <w:rtl w:val="0"/>
        </w:rPr>
        <w:t xml:space="preserve">The Cost of Sales has reduced in absolute terms (438bn to 280bn), but the reduction was not fast enough to cushion profitability. This has resulted in the bottom line of the firm plunging. The company changed the healthy Net Income to Net Loss without a poor Net Income of 38.5bn in 2020 to (24.0) bn in 2024. This trend culminated in 2023 when an outrageous loss of £98.2bn was experienced, with a significant portion being due to major impairments. </w:t>
      </w:r>
      <w:r w:rsidDel="00000000" w:rsidR="00000000" w:rsidRPr="00000000">
        <w:rPr>
          <w:rtl w:val="0"/>
        </w:rPr>
      </w:r>
    </w:p>
    <w:p w:rsidR="00000000" w:rsidDel="00000000" w:rsidP="00000000" w:rsidRDefault="00000000" w:rsidRPr="00000000" w14:paraId="00000067">
      <w:pPr>
        <w:pStyle w:val="Heading2"/>
        <w:rPr/>
      </w:pPr>
      <w:r w:rsidDel="00000000" w:rsidR="00000000" w:rsidRPr="00000000">
        <w:rPr>
          <w:rtl w:val="0"/>
        </w:rPr>
        <w:t xml:space="preserve">Profitability Analysis</w:t>
      </w:r>
    </w:p>
    <w:p w:rsidR="00000000" w:rsidDel="00000000" w:rsidP="00000000" w:rsidRDefault="00000000" w:rsidRPr="00000000" w14:paraId="00000068">
      <w:pPr>
        <w:rPr/>
      </w:pPr>
      <w:r w:rsidDel="00000000" w:rsidR="00000000" w:rsidRPr="00000000">
        <w:rPr>
          <w:rtl w:val="0"/>
        </w:rPr>
        <w:t xml:space="preserve">The profitability ratios determine the efficiency with which the firm transforms sales into profit. In the case of General Electronics, these ratios indicate that there are severe structural issues. There has been a decrease in the gross profit margin over the period, indicating that the decrease in the cost of sales has also not matched the decrease in revenue (Yeo, 2015). This could be a response to competition pressure in a consumer electronics market environment where competitors have cheaper alternatives.</w:t>
      </w:r>
    </w:p>
    <w:p w:rsidR="00000000" w:rsidDel="00000000" w:rsidP="00000000" w:rsidRDefault="00000000" w:rsidRPr="00000000" w14:paraId="00000069">
      <w:pPr>
        <w:jc w:val="center"/>
        <w:rPr/>
      </w:pPr>
      <w:r w:rsidDel="00000000" w:rsidR="00000000" w:rsidRPr="00000000">
        <w:rPr/>
        <w:drawing>
          <wp:inline distB="0" distT="0" distL="0" distR="0">
            <wp:extent cx="4572000" cy="2743200"/>
            <wp:docPr id="1922037523" name=""/>
            <a:graphic>
              <a:graphicData uri="http://schemas.openxmlformats.org/drawingml/2006/chart">
                <c:chart r:id="rId9"/>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ac6c51jgkqss" w:id="6"/>
      <w:bookmarkEnd w:id="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2: Profitability Ratios</w:t>
      </w:r>
    </w:p>
    <w:p w:rsidR="00000000" w:rsidDel="00000000" w:rsidP="00000000" w:rsidRDefault="00000000" w:rsidRPr="00000000" w14:paraId="0000006B">
      <w:pPr>
        <w:rPr/>
      </w:pPr>
      <w:r w:rsidDel="00000000" w:rsidR="00000000" w:rsidRPr="00000000">
        <w:rPr>
          <w:rtl w:val="0"/>
        </w:rPr>
        <w:t xml:space="preserve">The operating profit margin gives an even better alarming result. Although the company has shown a positive operating income in 2020 and 2021, this situation has worsened in previous years, and the company has reported operating losses in 2023 and 2024. The administration, restructuring charges, and impairment losses seem to be the significant burden in the form of fixed costs (Easton </w:t>
      </w:r>
      <w:r w:rsidDel="00000000" w:rsidR="00000000" w:rsidRPr="00000000">
        <w:rPr>
          <w:i w:val="1"/>
          <w:iCs w:val="1"/>
          <w:rtl w:val="0"/>
        </w:rPr>
        <w:t xml:space="preserve">et al.,</w:t>
      </w:r>
      <w:r w:rsidDel="00000000" w:rsidR="00000000" w:rsidRPr="00000000">
        <w:rPr>
          <w:rtl w:val="0"/>
        </w:rPr>
        <w:t xml:space="preserve"> 2018). A negative operating margin indicates that the basic business concept is now not sustainable unless a substantial amount of cost is cut or revenue recouped.</w:t>
      </w:r>
    </w:p>
    <w:p w:rsidR="00000000" w:rsidDel="00000000" w:rsidP="00000000" w:rsidRDefault="00000000" w:rsidRPr="00000000" w14:paraId="0000006C">
      <w:pPr>
        <w:rPr/>
      </w:pPr>
      <w:bookmarkStart w:colFirst="0" w:colLast="0" w:name="_heading=h.qmb1vzkl00e8" w:id="7"/>
      <w:bookmarkEnd w:id="7"/>
      <w:r w:rsidDel="00000000" w:rsidR="00000000" w:rsidRPr="00000000">
        <w:rPr>
          <w:rtl w:val="0"/>
        </w:rPr>
        <w:t xml:space="preserve">The net profit margin is a confirmation of the acuity of the issue. The net losses have been heavy over the past years, indicating that the firm cannot meet not only the operating expenses but also the interests and other expenses. Critically, continued losses lead to loss of confidence by investors, restrict access to external finance and jeopardise their existence. One of the most critical threats that face the firm is therefore profitability weakness. </w:t>
      </w:r>
    </w:p>
    <w:p w:rsidR="00000000" w:rsidDel="00000000" w:rsidP="00000000" w:rsidRDefault="00000000" w:rsidRPr="00000000" w14:paraId="0000006D">
      <w:pPr>
        <w:pStyle w:val="Heading2"/>
        <w:rPr/>
      </w:pPr>
      <w:r w:rsidDel="00000000" w:rsidR="00000000" w:rsidRPr="00000000">
        <w:rPr>
          <w:rtl w:val="0"/>
        </w:rPr>
        <w:t xml:space="preserve">Liquidity Analysis</w:t>
      </w:r>
    </w:p>
    <w:p w:rsidR="00000000" w:rsidDel="00000000" w:rsidP="00000000" w:rsidRDefault="00000000" w:rsidRPr="00000000" w14:paraId="0000006E">
      <w:pPr>
        <w:rPr/>
      </w:pPr>
      <w:r w:rsidDel="00000000" w:rsidR="00000000" w:rsidRPr="00000000">
        <w:rPr>
          <w:rtl w:val="0"/>
        </w:rPr>
        <w:t xml:space="preserve">Liquidity ratios determine how the firm can fulfil the requirements within a short period of time as they keep appearing. General Electronics has deteriorated in terms of liquidity position in the last five years. The current ratio has decreased, and it indicates that the current assets are decreasing when compared to the current liabilities (Fridson and Alvarez, 2022). </w:t>
      </w:r>
    </w:p>
    <w:p w:rsidR="00000000" w:rsidDel="00000000" w:rsidP="00000000" w:rsidRDefault="00000000" w:rsidRPr="00000000" w14:paraId="0000006F">
      <w:pPr>
        <w:jc w:val="center"/>
        <w:rPr/>
      </w:pPr>
      <w:r w:rsidDel="00000000" w:rsidR="00000000" w:rsidRPr="00000000">
        <w:rPr/>
        <w:drawing>
          <wp:inline distB="0" distT="0" distL="0" distR="0">
            <wp:extent cx="4572000" cy="2743200"/>
            <wp:docPr id="1922037525" name=""/>
            <a:graphic>
              <a:graphicData uri="http://schemas.openxmlformats.org/drawingml/2006/chart">
                <c:chart r:id="rId10"/>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kqsdkfda622l" w:id="8"/>
      <w:bookmarkEnd w:id="8"/>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3: Liquidity Ratios</w:t>
      </w:r>
    </w:p>
    <w:p w:rsidR="00000000" w:rsidDel="00000000" w:rsidP="00000000" w:rsidRDefault="00000000" w:rsidRPr="00000000" w14:paraId="00000071">
      <w:pPr>
        <w:rPr/>
      </w:pPr>
      <w:r w:rsidDel="00000000" w:rsidR="00000000" w:rsidRPr="00000000">
        <w:rPr>
          <w:rtl w:val="0"/>
        </w:rPr>
        <w:t xml:space="preserve">This is made more evident in the quick ratio. Liquid assets are restricted after the inventories are removed. This implies that the company is very dependent on inventory sales to raise cash, which is risky when the demand is low. The firm will not be able to pay in the short term if the inventory cannot be sold fast.</w:t>
      </w:r>
    </w:p>
    <w:p w:rsidR="00000000" w:rsidDel="00000000" w:rsidP="00000000" w:rsidRDefault="00000000" w:rsidRPr="00000000" w14:paraId="00000072">
      <w:pPr>
        <w:rPr/>
      </w:pPr>
      <w:bookmarkStart w:colFirst="0" w:colLast="0" w:name="_heading=h.hl0ttsu0l9xs" w:id="9"/>
      <w:bookmarkEnd w:id="9"/>
      <w:r w:rsidDel="00000000" w:rsidR="00000000" w:rsidRPr="00000000">
        <w:rPr>
          <w:rtl w:val="0"/>
        </w:rPr>
        <w:t xml:space="preserve">Cash and cash equivalents have declined drastically, lowering the short-term solvency of the firm to settle its suppliers, employees and lenders (Palepu </w:t>
      </w:r>
      <w:r w:rsidDel="00000000" w:rsidR="00000000" w:rsidRPr="00000000">
        <w:rPr>
          <w:i w:val="1"/>
          <w:iCs w:val="1"/>
          <w:rtl w:val="0"/>
        </w:rPr>
        <w:t xml:space="preserve">et al.,</w:t>
      </w:r>
      <w:r w:rsidDel="00000000" w:rsidR="00000000" w:rsidRPr="00000000">
        <w:rPr>
          <w:rtl w:val="0"/>
        </w:rPr>
        <w:t xml:space="preserve"> 2020). From a critical perspective, low cash levels restrict the flexibility of the management and raise the risk of using short-term borrowings or late payments. This increases the threat of liquidity shocks and is an indication of financial distress to creditors.</w:t>
      </w:r>
    </w:p>
    <w:p w:rsidR="00000000" w:rsidDel="00000000" w:rsidP="00000000" w:rsidRDefault="00000000" w:rsidRPr="00000000" w14:paraId="00000073">
      <w:pPr>
        <w:pStyle w:val="Heading2"/>
        <w:rPr/>
      </w:pPr>
      <w:r w:rsidDel="00000000" w:rsidR="00000000" w:rsidRPr="00000000">
        <w:rPr>
          <w:rtl w:val="0"/>
        </w:rPr>
        <w:t xml:space="preserve">Efficiency (Activity) Analysis</w:t>
      </w:r>
    </w:p>
    <w:p w:rsidR="00000000" w:rsidDel="00000000" w:rsidP="00000000" w:rsidRDefault="00000000" w:rsidRPr="00000000" w14:paraId="00000074">
      <w:pPr>
        <w:rPr/>
      </w:pPr>
      <w:r w:rsidDel="00000000" w:rsidR="00000000" w:rsidRPr="00000000">
        <w:rPr>
          <w:rtl w:val="0"/>
        </w:rPr>
        <w:t xml:space="preserve">Efficiency ratios are used to look at the efficiency of the firm in utilising its assets. The amounts of inventory have experienced a decrease over the years, and they do not always indicate an improvement in organisational control. It seems to be pushed by the reduced production and declining sales (Villalba </w:t>
      </w:r>
      <w:r w:rsidDel="00000000" w:rsidR="00000000" w:rsidRPr="00000000">
        <w:rPr>
          <w:i w:val="1"/>
          <w:iCs w:val="1"/>
          <w:rtl w:val="0"/>
        </w:rPr>
        <w:t xml:space="preserve">et al.,</w:t>
      </w:r>
      <w:r w:rsidDel="00000000" w:rsidR="00000000" w:rsidRPr="00000000">
        <w:rPr>
          <w:rtl w:val="0"/>
        </w:rPr>
        <w:t xml:space="preserve"> 2021). The high inventory rates in the previous years were an indication of sluggish stock that holds on to cash and raises storage and obsolescence expenses.</w:t>
      </w:r>
    </w:p>
    <w:p w:rsidR="00000000" w:rsidDel="00000000" w:rsidP="00000000" w:rsidRDefault="00000000" w:rsidRPr="00000000" w14:paraId="00000075">
      <w:pPr>
        <w:jc w:val="center"/>
        <w:rPr/>
      </w:pPr>
      <w:r w:rsidDel="00000000" w:rsidR="00000000" w:rsidRPr="00000000">
        <w:rPr/>
        <w:drawing>
          <wp:inline distB="0" distT="0" distL="0" distR="0">
            <wp:extent cx="4572000" cy="2743200"/>
            <wp:docPr id="1922037524" name=""/>
            <a:graphic>
              <a:graphicData uri="http://schemas.openxmlformats.org/drawingml/2006/chart">
                <c:chart r:id="rId11"/>
              </a:graphicData>
            </a:graphic>
          </wp:inline>
        </w:drawing>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ufyr7hp9ilj0" w:id="10"/>
      <w:bookmarkEnd w:id="1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4: Efficiency / Working Capital Ratios</w:t>
      </w:r>
    </w:p>
    <w:p w:rsidR="00000000" w:rsidDel="00000000" w:rsidP="00000000" w:rsidRDefault="00000000" w:rsidRPr="00000000" w14:paraId="00000077">
      <w:pPr>
        <w:rPr/>
      </w:pPr>
      <w:r w:rsidDel="00000000" w:rsidR="00000000" w:rsidRPr="00000000">
        <w:rPr>
          <w:rtl w:val="0"/>
        </w:rPr>
        <w:t xml:space="preserve">The receivables are also high as compared to sales, meaning that the customers are paying more slowly. This implies a lax credit discipline or excessively liberal credit conditions. Importantly, sluggish receivables collection is a direct contributor to liquidity problems, since cash cannot be used in operations or to pay off debts because it is tied up in working capital.</w:t>
      </w:r>
    </w:p>
    <w:p w:rsidR="00000000" w:rsidDel="00000000" w:rsidP="00000000" w:rsidRDefault="00000000" w:rsidRPr="00000000" w14:paraId="00000078">
      <w:pPr>
        <w:rPr/>
      </w:pPr>
      <w:bookmarkStart w:colFirst="0" w:colLast="0" w:name="_heading=h.a61pgsws4qe0" w:id="11"/>
      <w:bookmarkEnd w:id="11"/>
      <w:r w:rsidDel="00000000" w:rsidR="00000000" w:rsidRPr="00000000">
        <w:rPr>
          <w:rtl w:val="0"/>
        </w:rPr>
        <w:t xml:space="preserve">There have been years where the payables have been on the rise, which means that the company is possibly making payments late to the suppliers. Although this will temporarily help in sustaining cash flow, this is not a long-term plan (Turner, 2016). The situation with late payment is that it can ruin the relationship with suppliers, limit access to trade credit, and raise the costs of inputs. </w:t>
      </w:r>
    </w:p>
    <w:p w:rsidR="00000000" w:rsidDel="00000000" w:rsidP="00000000" w:rsidRDefault="00000000" w:rsidRPr="00000000" w14:paraId="00000079">
      <w:pPr>
        <w:pStyle w:val="Heading2"/>
        <w:rPr/>
      </w:pPr>
      <w:r w:rsidDel="00000000" w:rsidR="00000000" w:rsidRPr="00000000">
        <w:rPr>
          <w:rtl w:val="0"/>
        </w:rPr>
        <w:t xml:space="preserve">Gearing and Leverage Analysis</w:t>
      </w:r>
    </w:p>
    <w:p w:rsidR="00000000" w:rsidDel="00000000" w:rsidP="00000000" w:rsidRDefault="00000000" w:rsidRPr="00000000" w14:paraId="0000007A">
      <w:pPr>
        <w:rPr/>
      </w:pPr>
      <w:r w:rsidDel="00000000" w:rsidR="00000000" w:rsidRPr="00000000">
        <w:rPr>
          <w:rtl w:val="0"/>
        </w:rPr>
        <w:t xml:space="preserve">Gearing ratios determine the amount of financial risk caused by the utilisation of debt by the firm. Total liabilities have been decreasing at a slower pace, but the shareholders' equity has significantly decreased because of the accumulated loss and treasury stocks. This has increased the leverage position of the firm.</w:t>
      </w:r>
    </w:p>
    <w:p w:rsidR="00000000" w:rsidDel="00000000" w:rsidP="00000000" w:rsidRDefault="00000000" w:rsidRPr="00000000" w14:paraId="0000007B">
      <w:pPr>
        <w:rPr/>
      </w:pPr>
      <w:r w:rsidDel="00000000" w:rsidR="00000000" w:rsidRPr="00000000">
        <w:rPr>
          <w:rtl w:val="0"/>
        </w:rPr>
        <w:t xml:space="preserve">The debt-to-equity ratio has gone up, which represents more debt financing. In a case of low earnings, debt obligations become more difficult to satisfy and higher chances of financial distress are experienced.</w:t>
      </w:r>
    </w:p>
    <w:p w:rsidR="00000000" w:rsidDel="00000000" w:rsidP="00000000" w:rsidRDefault="00000000" w:rsidRPr="00000000" w14:paraId="0000007C">
      <w:pPr>
        <w:jc w:val="center"/>
        <w:rPr/>
      </w:pPr>
      <w:r w:rsidDel="00000000" w:rsidR="00000000" w:rsidRPr="00000000">
        <w:rPr/>
        <w:drawing>
          <wp:inline distB="0" distT="0" distL="0" distR="0">
            <wp:extent cx="4572000" cy="2743200"/>
            <wp:docPr id="1922037527" name=""/>
            <a:graphic>
              <a:graphicData uri="http://schemas.openxmlformats.org/drawingml/2006/chart">
                <c:chart r:id="rId12"/>
              </a:graphicData>
            </a:graphic>
          </wp:inline>
        </w:drawing>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q6bto0dm7czh" w:id="12"/>
      <w:bookmarkEnd w:id="12"/>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5: Gearing / Financial Risk Ratios</w:t>
      </w:r>
    </w:p>
    <w:p w:rsidR="00000000" w:rsidDel="00000000" w:rsidP="00000000" w:rsidRDefault="00000000" w:rsidRPr="00000000" w14:paraId="0000007E">
      <w:pPr>
        <w:rPr/>
      </w:pPr>
      <w:r w:rsidDel="00000000" w:rsidR="00000000" w:rsidRPr="00000000">
        <w:rPr>
          <w:rtl w:val="0"/>
        </w:rPr>
        <w:t xml:space="preserve">The interest coverage ratio is of special concern. Interest expenses have exceeded the operating income in recent years of loss-making (Vernimmen, Quiry and Le Fur, 2022). Critically, this is one of the greatest threats to lenders, and it tends to indicate that the company will have an increased cost of borrowing or limited access to credit. The low coverage of interest will compromise the company's confidence in paying its debts and risk the company going bankrupt. </w:t>
      </w:r>
    </w:p>
    <w:p w:rsidR="00000000" w:rsidDel="00000000" w:rsidP="00000000" w:rsidRDefault="00000000" w:rsidRPr="00000000" w14:paraId="0000007F">
      <w:pPr>
        <w:pStyle w:val="Heading2"/>
        <w:rPr/>
      </w:pPr>
      <w:bookmarkStart w:colFirst="0" w:colLast="0" w:name="_heading=h.jxqge5atfan7" w:id="13"/>
      <w:bookmarkEnd w:id="13"/>
      <w:r w:rsidDel="00000000" w:rsidR="00000000" w:rsidRPr="00000000">
        <w:rPr>
          <w:rtl w:val="0"/>
        </w:rPr>
        <w:t xml:space="preserve">Cash Flow Analysis</w:t>
      </w:r>
    </w:p>
    <w:p w:rsidR="00000000" w:rsidDel="00000000" w:rsidP="00000000" w:rsidRDefault="00000000" w:rsidRPr="00000000" w14:paraId="00000080">
      <w:pPr>
        <w:rPr/>
      </w:pPr>
      <w:r w:rsidDel="00000000" w:rsidR="00000000" w:rsidRPr="00000000">
        <w:rPr>
          <w:rtl w:val="0"/>
        </w:rPr>
        <w:t xml:space="preserve">The analysis of the cash flow gives a better understanding of the financial strength in comparison to profit. Cash flow operations have decreased significantly between the years 2020 and 2024, and this indicates that the company is getting a lot less cash through its operations. </w:t>
      </w:r>
    </w:p>
    <w:p w:rsidR="00000000" w:rsidDel="00000000" w:rsidP="00000000" w:rsidRDefault="00000000" w:rsidRPr="00000000" w14:paraId="00000081">
      <w:pPr>
        <w:jc w:val="center"/>
        <w:rPr/>
      </w:pPr>
      <w:r w:rsidDel="00000000" w:rsidR="00000000" w:rsidRPr="00000000">
        <w:rPr/>
        <w:drawing>
          <wp:inline distB="0" distT="0" distL="0" distR="0">
            <wp:extent cx="4572000" cy="2743200"/>
            <wp:docPr id="1922037526" name=""/>
            <a:graphic>
              <a:graphicData uri="http://schemas.openxmlformats.org/drawingml/2006/chart">
                <c:chart r:id="rId13"/>
              </a:graphicData>
            </a:graphic>
          </wp:inline>
        </w:drawing>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p100ploo7qa5" w:id="14"/>
      <w:bookmarkEnd w:id="14"/>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6: Cash Flow</w:t>
      </w:r>
    </w:p>
    <w:p w:rsidR="00000000" w:rsidDel="00000000" w:rsidP="00000000" w:rsidRDefault="00000000" w:rsidRPr="00000000" w14:paraId="00000083">
      <w:pPr>
        <w:rPr/>
      </w:pPr>
      <w:bookmarkStart w:colFirst="0" w:colLast="0" w:name="_heading=h.vfnxzaxtxk5e" w:id="15"/>
      <w:bookmarkEnd w:id="15"/>
      <w:r w:rsidDel="00000000" w:rsidR="00000000" w:rsidRPr="00000000">
        <w:rPr>
          <w:rtl w:val="0"/>
        </w:rPr>
        <w:t xml:space="preserve">Free cash flow is weak after the capital expenditure is taken into consideration and inadequate in certain years. This curtails the capability of the firm to invest in new projects, to underwrite debt or to accumulate cash reserves (Brigham, 2016). More importantly, poor cash flow enhances reliance on external financing when the financial risk of the firm is already high. Constant low operating cash flow is a typical Red Flag of corporate failure. </w:t>
      </w:r>
    </w:p>
    <w:p w:rsidR="00000000" w:rsidDel="00000000" w:rsidP="00000000" w:rsidRDefault="00000000" w:rsidRPr="00000000" w14:paraId="00000084">
      <w:pPr>
        <w:pStyle w:val="Heading2"/>
        <w:rPr/>
      </w:pPr>
      <w:r w:rsidDel="00000000" w:rsidR="00000000" w:rsidRPr="00000000">
        <w:rPr>
          <w:rtl w:val="0"/>
        </w:rPr>
        <w:t xml:space="preserve">Corporate Failure Risk: Altman Z-Score</w:t>
      </w:r>
    </w:p>
    <w:p w:rsidR="00000000" w:rsidDel="00000000" w:rsidP="00000000" w:rsidRDefault="00000000" w:rsidRPr="00000000" w14:paraId="00000085">
      <w:pPr>
        <w:rPr/>
      </w:pPr>
      <w:r w:rsidDel="00000000" w:rsidR="00000000" w:rsidRPr="00000000">
        <w:rPr>
          <w:rtl w:val="0"/>
        </w:rPr>
        <w:t xml:space="preserve">To evaluate the default risk, the Altman Z-Score model is used. The model is that which will combine the measures of liquidity, profitability, leverage and efficiency into a single measure of financial distress. The working capital as a ratio to the total assets has reduced, retained earnings growth has slackened, and operating performance has worsened (Altman, Hotchkiss and Wang, 2019). </w:t>
      </w:r>
    </w:p>
    <w:p w:rsidR="00000000" w:rsidDel="00000000" w:rsidP="00000000" w:rsidRDefault="00000000" w:rsidRPr="00000000" w14:paraId="00000086">
      <w:pPr>
        <w:rPr/>
      </w:pPr>
      <w:r w:rsidDel="00000000" w:rsidR="00000000" w:rsidRPr="00000000">
        <w:rPr>
          <w:rtl w:val="0"/>
        </w:rPr>
        <w:t xml:space="preserve">According to these aspects, the Z-Score of this firm has shifted to the distress zone over the past few years. This means that there are high chances of financial failure in case no corrective action is taken. More importantly, the Z-Score substantiates the results of the ratio analysis and cash flow analysis and proves that the company has a severe default risk without restructuring (Altman </w:t>
      </w:r>
      <w:r w:rsidDel="00000000" w:rsidR="00000000" w:rsidRPr="00000000">
        <w:rPr>
          <w:i w:val="1"/>
          <w:iCs w:val="1"/>
          <w:rtl w:val="0"/>
        </w:rPr>
        <w:t xml:space="preserve">et al., </w:t>
      </w:r>
      <w:r w:rsidDel="00000000" w:rsidR="00000000" w:rsidRPr="00000000">
        <w:rPr>
          <w:rtl w:val="0"/>
        </w:rPr>
        <w:t xml:space="preserve">2017). </w:t>
      </w:r>
    </w:p>
    <w:p w:rsidR="00000000" w:rsidDel="00000000" w:rsidP="00000000" w:rsidRDefault="00000000" w:rsidRPr="00000000" w14:paraId="00000087">
      <w:pPr>
        <w:pStyle w:val="Heading2"/>
        <w:rPr/>
      </w:pPr>
      <w:bookmarkStart w:colFirst="0" w:colLast="0" w:name="_heading=h.hm2xyorths8w" w:id="16"/>
      <w:bookmarkEnd w:id="16"/>
      <w:r w:rsidDel="00000000" w:rsidR="00000000" w:rsidRPr="00000000">
        <w:rPr>
          <w:rtl w:val="0"/>
        </w:rPr>
        <w:t xml:space="preserve">Strengths, Weaknesses, and Threats</w:t>
      </w:r>
    </w:p>
    <w:p w:rsidR="00000000" w:rsidDel="00000000" w:rsidP="00000000" w:rsidRDefault="00000000" w:rsidRPr="00000000" w14:paraId="00000088">
      <w:pPr>
        <w:rPr/>
      </w:pPr>
      <w:r w:rsidDel="00000000" w:rsidR="00000000" w:rsidRPr="00000000">
        <w:rPr>
          <w:rtl w:val="0"/>
        </w:rPr>
        <w:t xml:space="preserve">It has strengths, even though there are problems in the company. It has decreased in the costs of sale compared to previous years, and the company has a significant asset base that might be used to restructure, sell assets or engage in strategic alliances. The weaknesses and threats are, however, high. The company has declining revenues, continuous losses, low liquidity, low cash holdings, high financial risks, and low debt-servicing capacity (Ross, 2015). The company is not sure to survive in the long term without the enhancement of the working capital management and the financial restructuring. The financial performance of General Electronics has declined significantly from 2020 to 2024. The performance of profitability, liquidity, efficiency and cash flow has been weakened. </w:t>
      </w:r>
    </w:p>
    <w:p w:rsidR="00000000" w:rsidDel="00000000" w:rsidP="00000000" w:rsidRDefault="00000000" w:rsidRPr="00000000" w14:paraId="00000089">
      <w:pPr>
        <w:pStyle w:val="Heading1"/>
        <w:rPr>
          <w:color w:val="000000"/>
        </w:rPr>
      </w:pPr>
      <w:bookmarkStart w:colFirst="0" w:colLast="0" w:name="_heading=h.w2codnlmmylm" w:id="17"/>
      <w:bookmarkEnd w:id="17"/>
      <w:r w:rsidDel="00000000" w:rsidR="00000000" w:rsidRPr="00000000">
        <w:rPr>
          <w:color w:val="000000"/>
          <w:rtl w:val="0"/>
        </w:rPr>
        <w:t xml:space="preserve">Working Capital Management Analysis</w:t>
      </w:r>
    </w:p>
    <w:p w:rsidR="00000000" w:rsidDel="00000000" w:rsidP="00000000" w:rsidRDefault="00000000" w:rsidRPr="00000000" w14:paraId="0000008A">
      <w:pPr>
        <w:pStyle w:val="Heading2"/>
        <w:rPr/>
      </w:pPr>
      <w:bookmarkStart w:colFirst="0" w:colLast="0" w:name="_heading=h.ckoofo9ewioj" w:id="18"/>
      <w:bookmarkEnd w:id="18"/>
      <w:r w:rsidDel="00000000" w:rsidR="00000000" w:rsidRPr="00000000">
        <w:rPr>
          <w:rtl w:val="0"/>
        </w:rPr>
        <w:t xml:space="preserve">Overview of Working Capital Position</w:t>
      </w:r>
    </w:p>
    <w:p w:rsidR="00000000" w:rsidDel="00000000" w:rsidP="00000000" w:rsidRDefault="00000000" w:rsidRPr="00000000" w14:paraId="0000008B">
      <w:pPr>
        <w:rPr/>
      </w:pPr>
      <w:r w:rsidDel="00000000" w:rsidR="00000000" w:rsidRPr="00000000">
        <w:rPr>
          <w:rtl w:val="0"/>
        </w:rPr>
        <w:t xml:space="preserve">The working capital management is concerned with the way a company uses the short-term assets and liabilities to facilitate its day-to-day activities. In the case of General Electronics, the working capital has emerged as the focus issue between 2020 and 2024. Strong pressure has been exerted on liquidity due to falling sales, declining cash balances, and weaker operating cash flow. The company now has a reduced amount of cash to settle immediate debts, thus posing a risk to the money. An analysis of the cash operating cycle can assist in determining the areas where cash is stagnating and how to enhance liquidity.</w:t>
      </w:r>
    </w:p>
    <w:p w:rsidR="00000000" w:rsidDel="00000000" w:rsidP="00000000" w:rsidRDefault="00000000" w:rsidRPr="00000000" w14:paraId="0000008C">
      <w:pPr>
        <w:pStyle w:val="Heading2"/>
        <w:rPr/>
      </w:pPr>
      <w:bookmarkStart w:colFirst="0" w:colLast="0" w:name="_heading=h.h2e2jx36gkbp" w:id="19"/>
      <w:bookmarkEnd w:id="19"/>
      <w:r w:rsidDel="00000000" w:rsidR="00000000" w:rsidRPr="00000000">
        <w:rPr>
          <w:rtl w:val="0"/>
        </w:rPr>
        <w:t xml:space="preserve">Assessment of the Cash Operating Cycle</w:t>
      </w:r>
    </w:p>
    <w:p w:rsidR="00000000" w:rsidDel="00000000" w:rsidP="00000000" w:rsidRDefault="00000000" w:rsidRPr="00000000" w14:paraId="0000008D">
      <w:pPr>
        <w:rPr/>
      </w:pPr>
      <w:r w:rsidDel="00000000" w:rsidR="00000000" w:rsidRPr="00000000">
        <w:rPr>
          <w:rtl w:val="0"/>
        </w:rPr>
        <w:t xml:space="preserve">The cash operating cycle is a display of the time taken by a firm to convert cash used in the processes into cash collected by the customers. It incorporates inventory days, receivables days and payables days.</w:t>
      </w:r>
    </w:p>
    <w:p w:rsidR="00000000" w:rsidDel="00000000" w:rsidP="00000000" w:rsidRDefault="00000000" w:rsidRPr="00000000" w14:paraId="0000008E">
      <w:pPr>
        <w:rPr/>
      </w:pPr>
      <w:r w:rsidDel="00000000" w:rsidR="00000000" w:rsidRPr="00000000">
        <w:rPr>
          <w:rtl w:val="0"/>
        </w:rPr>
        <w:t xml:space="preserve">In previous years, General Electronics has had a problem with inventory management, whereby it takes a long time before the stock is sold (Dehghanfard and Moslemi, 2017). This is in spite of the fact that the inventory levels have decreased more recently, which is mostly due to lower sales, but not to improved control. Shelf stock is a drain on cash and is a liquidity killer.</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08F">
            <w:pPr>
              <w:rPr/>
            </w:pPr>
            <w:bookmarkStart w:colFirst="0" w:colLast="0" w:name="_heading=h.6v5dxyy2auxb" w:id="20"/>
            <w:bookmarkEnd w:id="20"/>
            <w:r w:rsidDel="00000000" w:rsidR="00000000" w:rsidRPr="00000000">
              <w:rPr>
                <w:rtl w:val="0"/>
              </w:rPr>
              <w:t xml:space="preserve">Year</w:t>
            </w:r>
          </w:p>
        </w:tc>
        <w:tc>
          <w:tcPr/>
          <w:p w:rsidR="00000000" w:rsidDel="00000000" w:rsidP="00000000" w:rsidRDefault="00000000" w:rsidRPr="00000000" w14:paraId="00000090">
            <w:pPr>
              <w:rPr/>
            </w:pPr>
            <w:r w:rsidDel="00000000" w:rsidR="00000000" w:rsidRPr="00000000">
              <w:rPr>
                <w:rtl w:val="0"/>
              </w:rPr>
              <w:t xml:space="preserve">Inventory Days</w:t>
            </w:r>
          </w:p>
        </w:tc>
        <w:tc>
          <w:tcPr/>
          <w:p w:rsidR="00000000" w:rsidDel="00000000" w:rsidP="00000000" w:rsidRDefault="00000000" w:rsidRPr="00000000" w14:paraId="00000091">
            <w:pPr>
              <w:rPr/>
            </w:pPr>
            <w:r w:rsidDel="00000000" w:rsidR="00000000" w:rsidRPr="00000000">
              <w:rPr>
                <w:rtl w:val="0"/>
              </w:rPr>
              <w:t xml:space="preserve">Receivables Days</w:t>
            </w:r>
          </w:p>
        </w:tc>
        <w:tc>
          <w:tcPr/>
          <w:p w:rsidR="00000000" w:rsidDel="00000000" w:rsidP="00000000" w:rsidRDefault="00000000" w:rsidRPr="00000000" w14:paraId="00000092">
            <w:pPr>
              <w:rPr/>
            </w:pPr>
            <w:r w:rsidDel="00000000" w:rsidR="00000000" w:rsidRPr="00000000">
              <w:rPr>
                <w:rtl w:val="0"/>
              </w:rPr>
              <w:t xml:space="preserve">Payables Days</w:t>
            </w:r>
          </w:p>
        </w:tc>
        <w:tc>
          <w:tcPr/>
          <w:p w:rsidR="00000000" w:rsidDel="00000000" w:rsidP="00000000" w:rsidRDefault="00000000" w:rsidRPr="00000000" w14:paraId="00000093">
            <w:pPr>
              <w:rPr/>
            </w:pPr>
            <w:r w:rsidDel="00000000" w:rsidR="00000000" w:rsidRPr="00000000">
              <w:rPr>
                <w:rtl w:val="0"/>
              </w:rPr>
              <w:t xml:space="preserve">Cash Conversion Cycle</w:t>
            </w:r>
          </w:p>
        </w:tc>
      </w:tr>
      <w:tr>
        <w:trPr>
          <w:cantSplit w:val="0"/>
          <w:tblHeader w:val="0"/>
        </w:trPr>
        <w:tc>
          <w:tcPr/>
          <w:p w:rsidR="00000000" w:rsidDel="00000000" w:rsidP="00000000" w:rsidRDefault="00000000" w:rsidRPr="00000000" w14:paraId="00000094">
            <w:pPr>
              <w:rPr/>
            </w:pPr>
            <w:r w:rsidDel="00000000" w:rsidR="00000000" w:rsidRPr="00000000">
              <w:rPr>
                <w:rtl w:val="0"/>
              </w:rPr>
              <w:t xml:space="preserve">2020</w:t>
            </w:r>
          </w:p>
        </w:tc>
        <w:tc>
          <w:tcPr/>
          <w:p w:rsidR="00000000" w:rsidDel="00000000" w:rsidP="00000000" w:rsidRDefault="00000000" w:rsidRPr="00000000" w14:paraId="00000095">
            <w:pPr>
              <w:rPr/>
            </w:pPr>
            <w:r w:rsidDel="00000000" w:rsidR="00000000" w:rsidRPr="00000000">
              <w:rPr>
                <w:rtl w:val="0"/>
              </w:rPr>
              <w:t xml:space="preserve">100.3</w:t>
            </w:r>
          </w:p>
        </w:tc>
        <w:tc>
          <w:tcPr/>
          <w:p w:rsidR="00000000" w:rsidDel="00000000" w:rsidP="00000000" w:rsidRDefault="00000000" w:rsidRPr="00000000" w14:paraId="00000096">
            <w:pPr>
              <w:rPr/>
            </w:pPr>
            <w:r w:rsidDel="00000000" w:rsidR="00000000" w:rsidRPr="00000000">
              <w:rPr>
                <w:rtl w:val="0"/>
              </w:rPr>
              <w:t xml:space="preserve">76.8</w:t>
            </w:r>
          </w:p>
        </w:tc>
        <w:tc>
          <w:tcPr/>
          <w:p w:rsidR="00000000" w:rsidDel="00000000" w:rsidP="00000000" w:rsidRDefault="00000000" w:rsidRPr="00000000" w14:paraId="00000097">
            <w:pPr>
              <w:rPr/>
            </w:pPr>
            <w:r w:rsidDel="00000000" w:rsidR="00000000" w:rsidRPr="00000000">
              <w:rPr>
                <w:rtl w:val="0"/>
              </w:rPr>
              <w:t xml:space="preserve">69.3</w:t>
            </w:r>
          </w:p>
        </w:tc>
        <w:tc>
          <w:tcPr/>
          <w:p w:rsidR="00000000" w:rsidDel="00000000" w:rsidP="00000000" w:rsidRDefault="00000000" w:rsidRPr="00000000" w14:paraId="00000098">
            <w:pPr>
              <w:rPr/>
            </w:pPr>
            <w:r w:rsidDel="00000000" w:rsidR="00000000" w:rsidRPr="00000000">
              <w:rPr>
                <w:rtl w:val="0"/>
              </w:rPr>
              <w:t xml:space="preserve">107.8</w:t>
            </w:r>
          </w:p>
        </w:tc>
      </w:tr>
      <w:tr>
        <w:trPr>
          <w:cantSplit w:val="0"/>
          <w:tblHeader w:val="0"/>
        </w:trPr>
        <w:tc>
          <w:tcPr/>
          <w:p w:rsidR="00000000" w:rsidDel="00000000" w:rsidP="00000000" w:rsidRDefault="00000000" w:rsidRPr="00000000" w14:paraId="00000099">
            <w:pPr>
              <w:rPr/>
            </w:pPr>
            <w:r w:rsidDel="00000000" w:rsidR="00000000" w:rsidRPr="00000000">
              <w:rPr>
                <w:rtl w:val="0"/>
              </w:rPr>
              <w:t xml:space="preserve">2021</w:t>
            </w:r>
          </w:p>
        </w:tc>
        <w:tc>
          <w:tcPr/>
          <w:p w:rsidR="00000000" w:rsidDel="00000000" w:rsidP="00000000" w:rsidRDefault="00000000" w:rsidRPr="00000000" w14:paraId="0000009A">
            <w:pPr>
              <w:rPr/>
            </w:pPr>
            <w:r w:rsidDel="00000000" w:rsidR="00000000" w:rsidRPr="00000000">
              <w:rPr>
                <w:rtl w:val="0"/>
              </w:rPr>
              <w:t xml:space="preserve">114.6</w:t>
            </w:r>
          </w:p>
        </w:tc>
        <w:tc>
          <w:tcPr/>
          <w:p w:rsidR="00000000" w:rsidDel="00000000" w:rsidP="00000000" w:rsidRDefault="00000000" w:rsidRPr="00000000" w14:paraId="0000009B">
            <w:pPr>
              <w:rPr/>
            </w:pPr>
            <w:r w:rsidDel="00000000" w:rsidR="00000000" w:rsidRPr="00000000">
              <w:rPr>
                <w:rtl w:val="0"/>
              </w:rPr>
              <w:t xml:space="preserve">78.4</w:t>
            </w:r>
          </w:p>
        </w:tc>
        <w:tc>
          <w:tcPr/>
          <w:p w:rsidR="00000000" w:rsidDel="00000000" w:rsidP="00000000" w:rsidRDefault="00000000" w:rsidRPr="00000000" w14:paraId="0000009C">
            <w:pPr>
              <w:rPr/>
            </w:pPr>
            <w:r w:rsidDel="00000000" w:rsidR="00000000" w:rsidRPr="00000000">
              <w:rPr>
                <w:rtl w:val="0"/>
              </w:rPr>
              <w:t xml:space="preserve">79.1</w:t>
            </w:r>
          </w:p>
        </w:tc>
        <w:tc>
          <w:tcPr/>
          <w:p w:rsidR="00000000" w:rsidDel="00000000" w:rsidP="00000000" w:rsidRDefault="00000000" w:rsidRPr="00000000" w14:paraId="0000009D">
            <w:pPr>
              <w:rPr/>
            </w:pPr>
            <w:r w:rsidDel="00000000" w:rsidR="00000000" w:rsidRPr="00000000">
              <w:rPr>
                <w:rtl w:val="0"/>
              </w:rPr>
              <w:t xml:space="preserve">113.9</w:t>
            </w:r>
          </w:p>
        </w:tc>
      </w:tr>
      <w:tr>
        <w:trPr>
          <w:cantSplit w:val="0"/>
          <w:tblHeader w:val="0"/>
        </w:trPr>
        <w:tc>
          <w:tcPr/>
          <w:p w:rsidR="00000000" w:rsidDel="00000000" w:rsidP="00000000" w:rsidRDefault="00000000" w:rsidRPr="00000000" w14:paraId="0000009E">
            <w:pPr>
              <w:rPr/>
            </w:pPr>
            <w:r w:rsidDel="00000000" w:rsidR="00000000" w:rsidRPr="00000000">
              <w:rPr>
                <w:rtl w:val="0"/>
              </w:rPr>
              <w:t xml:space="preserve">2022</w:t>
            </w:r>
          </w:p>
        </w:tc>
        <w:tc>
          <w:tcPr/>
          <w:p w:rsidR="00000000" w:rsidDel="00000000" w:rsidP="00000000" w:rsidRDefault="00000000" w:rsidRPr="00000000" w14:paraId="0000009F">
            <w:pPr>
              <w:rPr/>
            </w:pPr>
            <w:r w:rsidDel="00000000" w:rsidR="00000000" w:rsidRPr="00000000">
              <w:rPr>
                <w:rtl w:val="0"/>
              </w:rPr>
              <w:t xml:space="preserve">131.1</w:t>
            </w:r>
          </w:p>
        </w:tc>
        <w:tc>
          <w:tcPr/>
          <w:p w:rsidR="00000000" w:rsidDel="00000000" w:rsidP="00000000" w:rsidRDefault="00000000" w:rsidRPr="00000000" w14:paraId="000000A0">
            <w:pPr>
              <w:rPr/>
            </w:pPr>
            <w:r w:rsidDel="00000000" w:rsidR="00000000" w:rsidRPr="00000000">
              <w:rPr>
                <w:rtl w:val="0"/>
              </w:rPr>
              <w:t xml:space="preserve">75.6</w:t>
            </w:r>
          </w:p>
        </w:tc>
        <w:tc>
          <w:tcPr/>
          <w:p w:rsidR="00000000" w:rsidDel="00000000" w:rsidP="00000000" w:rsidRDefault="00000000" w:rsidRPr="00000000" w14:paraId="000000A1">
            <w:pPr>
              <w:rPr/>
            </w:pPr>
            <w:r w:rsidDel="00000000" w:rsidR="00000000" w:rsidRPr="00000000">
              <w:rPr>
                <w:rtl w:val="0"/>
              </w:rPr>
              <w:t xml:space="preserve">66.7</w:t>
            </w:r>
          </w:p>
        </w:tc>
        <w:tc>
          <w:tcPr/>
          <w:p w:rsidR="00000000" w:rsidDel="00000000" w:rsidP="00000000" w:rsidRDefault="00000000" w:rsidRPr="00000000" w14:paraId="000000A2">
            <w:pPr>
              <w:rPr/>
            </w:pPr>
            <w:r w:rsidDel="00000000" w:rsidR="00000000" w:rsidRPr="00000000">
              <w:rPr>
                <w:rtl w:val="0"/>
              </w:rPr>
              <w:t xml:space="preserve">140.0</w:t>
            </w:r>
          </w:p>
        </w:tc>
      </w:tr>
      <w:tr>
        <w:trPr>
          <w:cantSplit w:val="0"/>
          <w:tblHeader w:val="0"/>
        </w:trPr>
        <w:tc>
          <w:tcPr/>
          <w:p w:rsidR="00000000" w:rsidDel="00000000" w:rsidP="00000000" w:rsidRDefault="00000000" w:rsidRPr="00000000" w14:paraId="000000A3">
            <w:pPr>
              <w:rPr/>
            </w:pPr>
            <w:r w:rsidDel="00000000" w:rsidR="00000000" w:rsidRPr="00000000">
              <w:rPr>
                <w:rtl w:val="0"/>
              </w:rPr>
              <w:t xml:space="preserve">2023</w:t>
            </w:r>
          </w:p>
        </w:tc>
        <w:tc>
          <w:tcPr/>
          <w:p w:rsidR="00000000" w:rsidDel="00000000" w:rsidP="00000000" w:rsidRDefault="00000000" w:rsidRPr="00000000" w14:paraId="000000A4">
            <w:pPr>
              <w:rPr/>
            </w:pPr>
            <w:r w:rsidDel="00000000" w:rsidR="00000000" w:rsidRPr="00000000">
              <w:rPr>
                <w:rtl w:val="0"/>
              </w:rPr>
              <w:t xml:space="preserve">99.7</w:t>
            </w:r>
          </w:p>
        </w:tc>
        <w:tc>
          <w:tcPr/>
          <w:p w:rsidR="00000000" w:rsidDel="00000000" w:rsidP="00000000" w:rsidRDefault="00000000" w:rsidRPr="00000000" w14:paraId="000000A5">
            <w:pPr>
              <w:rPr/>
            </w:pPr>
            <w:r w:rsidDel="00000000" w:rsidR="00000000" w:rsidRPr="00000000">
              <w:rPr>
                <w:rtl w:val="0"/>
              </w:rPr>
              <w:t xml:space="preserve">97.7</w:t>
            </w:r>
          </w:p>
        </w:tc>
        <w:tc>
          <w:tcPr/>
          <w:p w:rsidR="00000000" w:rsidDel="00000000" w:rsidP="00000000" w:rsidRDefault="00000000" w:rsidRPr="00000000" w14:paraId="000000A6">
            <w:pPr>
              <w:rPr/>
            </w:pPr>
            <w:r w:rsidDel="00000000" w:rsidR="00000000" w:rsidRPr="00000000">
              <w:rPr>
                <w:rtl w:val="0"/>
              </w:rPr>
              <w:t xml:space="preserve">64.3</w:t>
            </w:r>
          </w:p>
        </w:tc>
        <w:tc>
          <w:tcPr/>
          <w:p w:rsidR="00000000" w:rsidDel="00000000" w:rsidP="00000000" w:rsidRDefault="00000000" w:rsidRPr="00000000" w14:paraId="000000A7">
            <w:pPr>
              <w:rPr/>
            </w:pPr>
            <w:r w:rsidDel="00000000" w:rsidR="00000000" w:rsidRPr="00000000">
              <w:rPr>
                <w:rtl w:val="0"/>
              </w:rPr>
              <w:t xml:space="preserve">133.1</w:t>
            </w:r>
          </w:p>
        </w:tc>
      </w:tr>
      <w:tr>
        <w:trPr>
          <w:cantSplit w:val="0"/>
          <w:tblHeader w:val="0"/>
        </w:trPr>
        <w:tc>
          <w:tcPr/>
          <w:p w:rsidR="00000000" w:rsidDel="00000000" w:rsidP="00000000" w:rsidRDefault="00000000" w:rsidRPr="00000000" w14:paraId="000000A8">
            <w:pPr>
              <w:rPr/>
            </w:pPr>
            <w:r w:rsidDel="00000000" w:rsidR="00000000" w:rsidRPr="00000000">
              <w:rPr>
                <w:rtl w:val="0"/>
              </w:rPr>
              <w:t xml:space="preserve">2024</w:t>
            </w:r>
          </w:p>
        </w:tc>
        <w:tc>
          <w:tcPr/>
          <w:p w:rsidR="00000000" w:rsidDel="00000000" w:rsidP="00000000" w:rsidRDefault="00000000" w:rsidRPr="00000000" w14:paraId="000000A9">
            <w:pPr>
              <w:rPr/>
            </w:pPr>
            <w:r w:rsidDel="00000000" w:rsidR="00000000" w:rsidRPr="00000000">
              <w:rPr>
                <w:rtl w:val="0"/>
              </w:rPr>
              <w:t xml:space="preserve">103.1</w:t>
            </w:r>
          </w:p>
        </w:tc>
        <w:tc>
          <w:tcPr/>
          <w:p w:rsidR="00000000" w:rsidDel="00000000" w:rsidP="00000000" w:rsidRDefault="00000000" w:rsidRPr="00000000" w14:paraId="000000AA">
            <w:pPr>
              <w:rPr/>
            </w:pPr>
            <w:r w:rsidDel="00000000" w:rsidR="00000000" w:rsidRPr="00000000">
              <w:rPr>
                <w:rtl w:val="0"/>
              </w:rPr>
              <w:t xml:space="preserve">105.4</w:t>
            </w:r>
          </w:p>
        </w:tc>
        <w:tc>
          <w:tcPr/>
          <w:p w:rsidR="00000000" w:rsidDel="00000000" w:rsidP="00000000" w:rsidRDefault="00000000" w:rsidRPr="00000000" w14:paraId="000000AB">
            <w:pPr>
              <w:rPr/>
            </w:pPr>
            <w:r w:rsidDel="00000000" w:rsidR="00000000" w:rsidRPr="00000000">
              <w:rPr>
                <w:rtl w:val="0"/>
              </w:rPr>
              <w:t xml:space="preserve">93.6</w:t>
            </w:r>
          </w:p>
        </w:tc>
        <w:tc>
          <w:tcPr/>
          <w:p w:rsidR="00000000" w:rsidDel="00000000" w:rsidP="00000000" w:rsidRDefault="00000000" w:rsidRPr="00000000" w14:paraId="000000AC">
            <w:pPr>
              <w:rPr/>
            </w:pPr>
            <w:r w:rsidDel="00000000" w:rsidR="00000000" w:rsidRPr="00000000">
              <w:rPr>
                <w:rtl w:val="0"/>
              </w:rPr>
              <w:t xml:space="preserve">114.9</w:t>
            </w:r>
          </w:p>
        </w:tc>
      </w:tr>
    </w:tbl>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26nlkmi6woi6" w:id="21"/>
      <w:bookmarkEnd w:id="21"/>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1: Cash Operating (Conversion) Cycle of General Electronics (2020–2024). Source: Excel calculations based on General Electronics financial statements (2020–2024)</w:t>
      </w:r>
    </w:p>
    <w:p w:rsidR="00000000" w:rsidDel="00000000" w:rsidP="00000000" w:rsidRDefault="00000000" w:rsidRPr="00000000" w14:paraId="000000AE">
      <w:pPr>
        <w:rPr/>
      </w:pPr>
      <w:r w:rsidDel="00000000" w:rsidR="00000000" w:rsidRPr="00000000">
        <w:rPr>
          <w:rtl w:val="0"/>
        </w:rPr>
        <w:t xml:space="preserve">The debtor turnover is also high in relation to sales, with receivables days being high, which indicates that the company is taking too long to collect monies owed by customers (Al Refiay, Abdulhussein and Al Shaikh, 2022). Sluggish collection slows down cash inflow and puts a strain on short-term cash availability. This is an indicator of poor credit control and ineffective monitoring of customers' payments.</w:t>
      </w:r>
    </w:p>
    <w:p w:rsidR="00000000" w:rsidDel="00000000" w:rsidP="00000000" w:rsidRDefault="00000000" w:rsidRPr="00000000" w14:paraId="000000AF">
      <w:pPr>
        <w:jc w:val="center"/>
        <w:rPr/>
      </w:pPr>
      <w:r w:rsidDel="00000000" w:rsidR="00000000" w:rsidRPr="00000000">
        <w:rPr/>
        <w:drawing>
          <wp:inline distB="0" distT="0" distL="0" distR="0">
            <wp:extent cx="4572000" cy="2743200"/>
            <wp:docPr id="1922037529" name=""/>
            <a:graphic>
              <a:graphicData uri="http://schemas.openxmlformats.org/drawingml/2006/chart">
                <c:chart r:id="rId14"/>
              </a:graphicData>
            </a:graphic>
          </wp:inline>
        </w:drawing>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4b62xl6eok8x" w:id="22"/>
      <w:bookmarkEnd w:id="22"/>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7: Cash Operating (Conversion) Cycle of General Electronics (2020–2024)</w:t>
      </w:r>
    </w:p>
    <w:p w:rsidR="00000000" w:rsidDel="00000000" w:rsidP="00000000" w:rsidRDefault="00000000" w:rsidRPr="00000000" w14:paraId="000000B1">
      <w:pPr>
        <w:rPr/>
      </w:pPr>
      <w:r w:rsidDel="00000000" w:rsidR="00000000" w:rsidRPr="00000000">
        <w:rPr>
          <w:rtl w:val="0"/>
        </w:rPr>
        <w:t xml:space="preserve">The number of payables days has gone up, and this implies that the company postpones payments to suppliers (Kimmel, Weygandt and Kieso, 2020). Although this assists in bringing cash in the short run, it will harm the relationship with the suppliers and lessen credit support in the future. The cash operating cycle is extensive and ineffective, which adds to the liquidity issues.</w:t>
      </w:r>
    </w:p>
    <w:p w:rsidR="00000000" w:rsidDel="00000000" w:rsidP="00000000" w:rsidRDefault="00000000" w:rsidRPr="00000000" w14:paraId="000000B2">
      <w:pPr>
        <w:pStyle w:val="Heading2"/>
        <w:rPr/>
      </w:pPr>
      <w:bookmarkStart w:colFirst="0" w:colLast="0" w:name="_heading=h.o2podsyghyto" w:id="23"/>
      <w:bookmarkEnd w:id="23"/>
      <w:r w:rsidDel="00000000" w:rsidR="00000000" w:rsidRPr="00000000">
        <w:rPr>
          <w:rtl w:val="0"/>
        </w:rPr>
        <w:t xml:space="preserve">Liquidity Problems Identified</w:t>
      </w:r>
    </w:p>
    <w:p w:rsidR="00000000" w:rsidDel="00000000" w:rsidP="00000000" w:rsidRDefault="00000000" w:rsidRPr="00000000" w14:paraId="000000B3">
      <w:pPr>
        <w:rPr/>
      </w:pPr>
      <w:r w:rsidDel="00000000" w:rsidR="00000000" w:rsidRPr="00000000">
        <w:rPr>
          <w:rtl w:val="0"/>
        </w:rPr>
        <w:t xml:space="preserve">The analysis reveals a number of working capital issues. Firstly, receivables and inventory occupy a lot of cash, making limited cash available to run the operations. Secondly, the declining operating cash flow indicates that the basic operations of the firm are no longer producing sufficient cash to meet the short-term requirements (Schroeder, Clark and Cathey, 2022). Thirdly, dependence on the issue of delaying payments to suppliers implies that the liquidity pressure is growing. All these issues increase the chances of the shortage of cash shortage and predispose the company to sudden shocks.</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0B4">
            <w:pPr>
              <w:rPr/>
            </w:pPr>
            <w:bookmarkStart w:colFirst="0" w:colLast="0" w:name="_heading=h.fqjcn7xp2e64" w:id="24"/>
            <w:bookmarkEnd w:id="24"/>
            <w:r w:rsidDel="00000000" w:rsidR="00000000" w:rsidRPr="00000000">
              <w:rPr>
                <w:rtl w:val="0"/>
              </w:rPr>
              <w:t xml:space="preserve">Year</w:t>
            </w:r>
          </w:p>
        </w:tc>
        <w:tc>
          <w:tcPr/>
          <w:p w:rsidR="00000000" w:rsidDel="00000000" w:rsidP="00000000" w:rsidRDefault="00000000" w:rsidRPr="00000000" w14:paraId="000000B5">
            <w:pPr>
              <w:rPr/>
            </w:pPr>
            <w:r w:rsidDel="00000000" w:rsidR="00000000" w:rsidRPr="00000000">
              <w:rPr>
                <w:rtl w:val="0"/>
              </w:rPr>
              <w:t xml:space="preserve">Inventory (£m)</w:t>
            </w:r>
          </w:p>
        </w:tc>
        <w:tc>
          <w:tcPr/>
          <w:p w:rsidR="00000000" w:rsidDel="00000000" w:rsidP="00000000" w:rsidRDefault="00000000" w:rsidRPr="00000000" w14:paraId="000000B6">
            <w:pPr>
              <w:rPr/>
            </w:pPr>
            <w:r w:rsidDel="00000000" w:rsidR="00000000" w:rsidRPr="00000000">
              <w:rPr>
                <w:rtl w:val="0"/>
              </w:rPr>
              <w:t xml:space="preserve">Accounts Receivable (£m)</w:t>
            </w:r>
          </w:p>
        </w:tc>
        <w:tc>
          <w:tcPr/>
          <w:p w:rsidR="00000000" w:rsidDel="00000000" w:rsidP="00000000" w:rsidRDefault="00000000" w:rsidRPr="00000000" w14:paraId="000000B7">
            <w:pPr>
              <w:rPr/>
            </w:pPr>
            <w:r w:rsidDel="00000000" w:rsidR="00000000" w:rsidRPr="00000000">
              <w:rPr>
                <w:rtl w:val="0"/>
              </w:rPr>
              <w:t xml:space="preserve">Accounts Payable (£m)</w:t>
            </w:r>
          </w:p>
        </w:tc>
        <w:tc>
          <w:tcPr/>
          <w:p w:rsidR="00000000" w:rsidDel="00000000" w:rsidP="00000000" w:rsidRDefault="00000000" w:rsidRPr="00000000" w14:paraId="000000B8">
            <w:pPr>
              <w:rPr/>
            </w:pPr>
            <w:r w:rsidDel="00000000" w:rsidR="00000000" w:rsidRPr="00000000">
              <w:rPr>
                <w:rtl w:val="0"/>
              </w:rPr>
              <w:t xml:space="preserve">Net Working Capital (£m)</w:t>
            </w:r>
          </w:p>
        </w:tc>
      </w:tr>
      <w:tr>
        <w:trPr>
          <w:cantSplit w:val="0"/>
          <w:tblHeader w:val="0"/>
        </w:trPr>
        <w:tc>
          <w:tcPr/>
          <w:p w:rsidR="00000000" w:rsidDel="00000000" w:rsidP="00000000" w:rsidRDefault="00000000" w:rsidRPr="00000000" w14:paraId="000000B9">
            <w:pPr>
              <w:rPr/>
            </w:pPr>
            <w:r w:rsidDel="00000000" w:rsidR="00000000" w:rsidRPr="00000000">
              <w:rPr>
                <w:rtl w:val="0"/>
              </w:rPr>
              <w:t xml:space="preserve">2020</w:t>
            </w:r>
          </w:p>
        </w:tc>
        <w:tc>
          <w:tcPr/>
          <w:p w:rsidR="00000000" w:rsidDel="00000000" w:rsidP="00000000" w:rsidRDefault="00000000" w:rsidRPr="00000000" w14:paraId="000000BA">
            <w:pPr>
              <w:rPr/>
            </w:pPr>
            <w:r w:rsidDel="00000000" w:rsidR="00000000" w:rsidRPr="00000000">
              <w:rPr>
                <w:rtl w:val="0"/>
              </w:rPr>
              <w:t xml:space="preserve">120,430</w:t>
            </w:r>
          </w:p>
        </w:tc>
        <w:tc>
          <w:tcPr/>
          <w:p w:rsidR="00000000" w:rsidDel="00000000" w:rsidP="00000000" w:rsidRDefault="00000000" w:rsidRPr="00000000" w14:paraId="000000BB">
            <w:pPr>
              <w:rPr/>
            </w:pPr>
            <w:r w:rsidDel="00000000" w:rsidR="00000000" w:rsidRPr="00000000">
              <w:rPr>
                <w:rtl w:val="0"/>
              </w:rPr>
              <w:t xml:space="preserve">129,433</w:t>
            </w:r>
          </w:p>
        </w:tc>
        <w:tc>
          <w:tcPr/>
          <w:p w:rsidR="00000000" w:rsidDel="00000000" w:rsidP="00000000" w:rsidRDefault="00000000" w:rsidRPr="00000000" w14:paraId="000000BC">
            <w:pPr>
              <w:rPr/>
            </w:pPr>
            <w:r w:rsidDel="00000000" w:rsidR="00000000" w:rsidRPr="00000000">
              <w:rPr>
                <w:rtl w:val="0"/>
              </w:rPr>
              <w:t xml:space="preserve">83,229</w:t>
            </w:r>
          </w:p>
        </w:tc>
        <w:tc>
          <w:tcPr/>
          <w:p w:rsidR="00000000" w:rsidDel="00000000" w:rsidP="00000000" w:rsidRDefault="00000000" w:rsidRPr="00000000" w14:paraId="000000BD">
            <w:pPr>
              <w:rPr/>
            </w:pPr>
            <w:r w:rsidDel="00000000" w:rsidR="00000000" w:rsidRPr="00000000">
              <w:rPr>
                <w:rtl w:val="0"/>
              </w:rPr>
              <w:t xml:space="preserve">166,863</w:t>
            </w:r>
          </w:p>
        </w:tc>
      </w:tr>
      <w:tr>
        <w:trPr>
          <w:cantSplit w:val="0"/>
          <w:tblHeader w:val="0"/>
        </w:trPr>
        <w:tc>
          <w:tcPr/>
          <w:p w:rsidR="00000000" w:rsidDel="00000000" w:rsidP="00000000" w:rsidRDefault="00000000" w:rsidRPr="00000000" w14:paraId="000000BE">
            <w:pPr>
              <w:rPr/>
            </w:pPr>
            <w:r w:rsidDel="00000000" w:rsidR="00000000" w:rsidRPr="00000000">
              <w:rPr>
                <w:rtl w:val="0"/>
              </w:rPr>
              <w:t xml:space="preserve">2021</w:t>
            </w:r>
          </w:p>
        </w:tc>
        <w:tc>
          <w:tcPr/>
          <w:p w:rsidR="00000000" w:rsidDel="00000000" w:rsidP="00000000" w:rsidRDefault="00000000" w:rsidRPr="00000000" w14:paraId="000000BF">
            <w:pPr>
              <w:rPr/>
            </w:pPr>
            <w:r w:rsidDel="00000000" w:rsidR="00000000" w:rsidRPr="00000000">
              <w:rPr>
                <w:rtl w:val="0"/>
              </w:rPr>
              <w:t xml:space="preserve">134,469</w:t>
            </w:r>
          </w:p>
        </w:tc>
        <w:tc>
          <w:tcPr/>
          <w:p w:rsidR="00000000" w:rsidDel="00000000" w:rsidP="00000000" w:rsidRDefault="00000000" w:rsidRPr="00000000" w14:paraId="000000C0">
            <w:pPr>
              <w:rPr/>
            </w:pPr>
            <w:r w:rsidDel="00000000" w:rsidR="00000000" w:rsidRPr="00000000">
              <w:rPr>
                <w:rtl w:val="0"/>
              </w:rPr>
              <w:t xml:space="preserve">129,215</w:t>
            </w:r>
          </w:p>
        </w:tc>
        <w:tc>
          <w:tcPr/>
          <w:p w:rsidR="00000000" w:rsidDel="00000000" w:rsidP="00000000" w:rsidRDefault="00000000" w:rsidRPr="00000000" w14:paraId="000000C1">
            <w:pPr>
              <w:rPr/>
            </w:pPr>
            <w:r w:rsidDel="00000000" w:rsidR="00000000" w:rsidRPr="00000000">
              <w:rPr>
                <w:rtl w:val="0"/>
              </w:rPr>
              <w:t xml:space="preserve">92,707</w:t>
            </w:r>
          </w:p>
        </w:tc>
        <w:tc>
          <w:tcPr/>
          <w:p w:rsidR="00000000" w:rsidDel="00000000" w:rsidP="00000000" w:rsidRDefault="00000000" w:rsidRPr="00000000" w14:paraId="000000C2">
            <w:pPr>
              <w:rPr/>
            </w:pPr>
            <w:r w:rsidDel="00000000" w:rsidR="00000000" w:rsidRPr="00000000">
              <w:rPr>
                <w:rtl w:val="0"/>
              </w:rPr>
              <w:t xml:space="preserve">170,977</w:t>
            </w:r>
          </w:p>
        </w:tc>
      </w:tr>
      <w:tr>
        <w:trPr>
          <w:cantSplit w:val="0"/>
          <w:tblHeader w:val="0"/>
        </w:trPr>
        <w:tc>
          <w:tcPr/>
          <w:p w:rsidR="00000000" w:rsidDel="00000000" w:rsidP="00000000" w:rsidRDefault="00000000" w:rsidRPr="00000000" w14:paraId="000000C3">
            <w:pPr>
              <w:rPr/>
            </w:pPr>
            <w:r w:rsidDel="00000000" w:rsidR="00000000" w:rsidRPr="00000000">
              <w:rPr>
                <w:rtl w:val="0"/>
              </w:rPr>
              <w:t xml:space="preserve">2022</w:t>
            </w:r>
          </w:p>
        </w:tc>
        <w:tc>
          <w:tcPr/>
          <w:p w:rsidR="00000000" w:rsidDel="00000000" w:rsidP="00000000" w:rsidRDefault="00000000" w:rsidRPr="00000000" w14:paraId="000000C4">
            <w:pPr>
              <w:rPr/>
            </w:pPr>
            <w:r w:rsidDel="00000000" w:rsidR="00000000" w:rsidRPr="00000000">
              <w:rPr>
                <w:rtl w:val="0"/>
              </w:rPr>
              <w:t xml:space="preserve">140,181</w:t>
            </w:r>
          </w:p>
        </w:tc>
        <w:tc>
          <w:tcPr/>
          <w:p w:rsidR="00000000" w:rsidDel="00000000" w:rsidP="00000000" w:rsidRDefault="00000000" w:rsidRPr="00000000" w14:paraId="000000C5">
            <w:pPr>
              <w:rPr/>
            </w:pPr>
            <w:r w:rsidDel="00000000" w:rsidR="00000000" w:rsidRPr="00000000">
              <w:rPr>
                <w:rtl w:val="0"/>
              </w:rPr>
              <w:t xml:space="preserve">112,346</w:t>
            </w:r>
          </w:p>
        </w:tc>
        <w:tc>
          <w:tcPr/>
          <w:p w:rsidR="00000000" w:rsidDel="00000000" w:rsidP="00000000" w:rsidRDefault="00000000" w:rsidRPr="00000000" w14:paraId="000000C6">
            <w:pPr>
              <w:rPr/>
            </w:pPr>
            <w:r w:rsidDel="00000000" w:rsidR="00000000" w:rsidRPr="00000000">
              <w:rPr>
                <w:rtl w:val="0"/>
              </w:rPr>
              <w:t xml:space="preserve">71,373</w:t>
            </w:r>
          </w:p>
        </w:tc>
        <w:tc>
          <w:tcPr/>
          <w:p w:rsidR="00000000" w:rsidDel="00000000" w:rsidP="00000000" w:rsidRDefault="00000000" w:rsidRPr="00000000" w14:paraId="000000C7">
            <w:pPr>
              <w:rPr/>
            </w:pPr>
            <w:r w:rsidDel="00000000" w:rsidR="00000000" w:rsidRPr="00000000">
              <w:rPr>
                <w:rtl w:val="0"/>
              </w:rPr>
              <w:t xml:space="preserve">181,154</w:t>
            </w:r>
          </w:p>
        </w:tc>
      </w:tr>
      <w:tr>
        <w:trPr>
          <w:cantSplit w:val="0"/>
          <w:tblHeader w:val="0"/>
        </w:trPr>
        <w:tc>
          <w:tcPr/>
          <w:p w:rsidR="00000000" w:rsidDel="00000000" w:rsidP="00000000" w:rsidRDefault="00000000" w:rsidRPr="00000000" w14:paraId="000000C8">
            <w:pPr>
              <w:rPr/>
            </w:pPr>
            <w:r w:rsidDel="00000000" w:rsidR="00000000" w:rsidRPr="00000000">
              <w:rPr>
                <w:rtl w:val="0"/>
              </w:rPr>
              <w:t xml:space="preserve">2023</w:t>
            </w:r>
          </w:p>
        </w:tc>
        <w:tc>
          <w:tcPr/>
          <w:p w:rsidR="00000000" w:rsidDel="00000000" w:rsidP="00000000" w:rsidRDefault="00000000" w:rsidRPr="00000000" w14:paraId="000000C9">
            <w:pPr>
              <w:rPr/>
            </w:pPr>
            <w:r w:rsidDel="00000000" w:rsidR="00000000" w:rsidRPr="00000000">
              <w:rPr>
                <w:rtl w:val="0"/>
              </w:rPr>
              <w:t xml:space="preserve">88,273</w:t>
            </w:r>
          </w:p>
        </w:tc>
        <w:tc>
          <w:tcPr/>
          <w:p w:rsidR="00000000" w:rsidDel="00000000" w:rsidP="00000000" w:rsidRDefault="00000000" w:rsidRPr="00000000" w14:paraId="000000CA">
            <w:pPr>
              <w:rPr/>
            </w:pPr>
            <w:r w:rsidDel="00000000" w:rsidR="00000000" w:rsidRPr="00000000">
              <w:rPr>
                <w:rtl w:val="0"/>
              </w:rPr>
              <w:t xml:space="preserve">112,596</w:t>
            </w:r>
          </w:p>
        </w:tc>
        <w:tc>
          <w:tcPr/>
          <w:p w:rsidR="00000000" w:rsidDel="00000000" w:rsidP="00000000" w:rsidRDefault="00000000" w:rsidRPr="00000000" w14:paraId="000000CB">
            <w:pPr>
              <w:rPr/>
            </w:pPr>
            <w:r w:rsidDel="00000000" w:rsidR="00000000" w:rsidRPr="00000000">
              <w:rPr>
                <w:rtl w:val="0"/>
              </w:rPr>
              <w:t xml:space="preserve">57,033</w:t>
            </w:r>
          </w:p>
        </w:tc>
        <w:tc>
          <w:tcPr/>
          <w:p w:rsidR="00000000" w:rsidDel="00000000" w:rsidP="00000000" w:rsidRDefault="00000000" w:rsidRPr="00000000" w14:paraId="000000CC">
            <w:pPr>
              <w:rPr/>
            </w:pPr>
            <w:r w:rsidDel="00000000" w:rsidR="00000000" w:rsidRPr="00000000">
              <w:rPr>
                <w:rtl w:val="0"/>
              </w:rPr>
              <w:t xml:space="preserve">143,836</w:t>
            </w:r>
          </w:p>
        </w:tc>
      </w:tr>
      <w:tr>
        <w:trPr>
          <w:cantSplit w:val="0"/>
          <w:tblHeader w:val="0"/>
        </w:trPr>
        <w:tc>
          <w:tcPr/>
          <w:p w:rsidR="00000000" w:rsidDel="00000000" w:rsidP="00000000" w:rsidRDefault="00000000" w:rsidRPr="00000000" w14:paraId="000000CD">
            <w:pPr>
              <w:rPr/>
            </w:pPr>
            <w:r w:rsidDel="00000000" w:rsidR="00000000" w:rsidRPr="00000000">
              <w:rPr>
                <w:rtl w:val="0"/>
              </w:rPr>
              <w:t xml:space="preserve">2024</w:t>
            </w:r>
          </w:p>
        </w:tc>
        <w:tc>
          <w:tcPr/>
          <w:p w:rsidR="00000000" w:rsidDel="00000000" w:rsidP="00000000" w:rsidRDefault="00000000" w:rsidRPr="00000000" w14:paraId="000000CE">
            <w:pPr>
              <w:rPr/>
            </w:pPr>
            <w:r w:rsidDel="00000000" w:rsidR="00000000" w:rsidRPr="00000000">
              <w:rPr>
                <w:rtl w:val="0"/>
              </w:rPr>
              <w:t xml:space="preserve">79,355</w:t>
            </w:r>
          </w:p>
        </w:tc>
        <w:tc>
          <w:tcPr/>
          <w:p w:rsidR="00000000" w:rsidDel="00000000" w:rsidP="00000000" w:rsidRDefault="00000000" w:rsidRPr="00000000" w14:paraId="000000CF">
            <w:pPr>
              <w:rPr/>
            </w:pPr>
            <w:r w:rsidDel="00000000" w:rsidR="00000000" w:rsidRPr="00000000">
              <w:rPr>
                <w:rtl w:val="0"/>
              </w:rPr>
              <w:t xml:space="preserve">114,182</w:t>
            </w:r>
          </w:p>
        </w:tc>
        <w:tc>
          <w:tcPr/>
          <w:p w:rsidR="00000000" w:rsidDel="00000000" w:rsidP="00000000" w:rsidRDefault="00000000" w:rsidRPr="00000000" w14:paraId="000000D0">
            <w:pPr>
              <w:rPr/>
            </w:pPr>
            <w:r w:rsidDel="00000000" w:rsidR="00000000" w:rsidRPr="00000000">
              <w:rPr>
                <w:rtl w:val="0"/>
              </w:rPr>
              <w:t xml:space="preserve">72,031</w:t>
            </w:r>
          </w:p>
        </w:tc>
        <w:tc>
          <w:tcPr/>
          <w:p w:rsidR="00000000" w:rsidDel="00000000" w:rsidP="00000000" w:rsidRDefault="00000000" w:rsidRPr="00000000" w14:paraId="000000D1">
            <w:pPr>
              <w:rPr/>
            </w:pPr>
            <w:r w:rsidDel="00000000" w:rsidR="00000000" w:rsidRPr="00000000">
              <w:rPr>
                <w:rtl w:val="0"/>
              </w:rPr>
              <w:t xml:space="preserve">121,506</w:t>
            </w:r>
          </w:p>
        </w:tc>
      </w:tr>
    </w:tbl>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8lxa25p7li0g" w:id="25"/>
      <w:bookmarkEnd w:id="25"/>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2: Working Capital Components. </w:t>
      </w: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Source:</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Excel analysis using General Electronics balance sheet data</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jc w:val="center"/>
        <w:rPr/>
      </w:pPr>
      <w:r w:rsidDel="00000000" w:rsidR="00000000" w:rsidRPr="00000000">
        <w:rPr/>
        <w:drawing>
          <wp:inline distB="0" distT="0" distL="0" distR="0">
            <wp:extent cx="4572000" cy="2743200"/>
            <wp:docPr id="1922037528" name=""/>
            <a:graphic>
              <a:graphicData uri="http://schemas.openxmlformats.org/drawingml/2006/chart">
                <c:chart r:id="rId15"/>
              </a:graphicData>
            </a:graphic>
          </wp:inline>
        </w:drawing>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7v27nuh98gme" w:id="26"/>
      <w:bookmarkEnd w:id="2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8: Working Capital Components</w:t>
      </w:r>
    </w:p>
    <w:p w:rsidR="00000000" w:rsidDel="00000000" w:rsidP="00000000" w:rsidRDefault="00000000" w:rsidRPr="00000000" w14:paraId="000000D6">
      <w:pPr>
        <w:pStyle w:val="Heading2"/>
        <w:rPr/>
      </w:pPr>
      <w:bookmarkStart w:colFirst="0" w:colLast="0" w:name="_heading=h.ph0cu6dvhykg" w:id="27"/>
      <w:bookmarkEnd w:id="27"/>
      <w:r w:rsidDel="00000000" w:rsidR="00000000" w:rsidRPr="00000000">
        <w:rPr>
          <w:rtl w:val="0"/>
        </w:rPr>
        <w:t xml:space="preserve">Strategies to Improve Liquidity through Working Capital Reforms</w:t>
      </w:r>
    </w:p>
    <w:p w:rsidR="00000000" w:rsidDel="00000000" w:rsidP="00000000" w:rsidRDefault="00000000" w:rsidRPr="00000000" w14:paraId="000000D7">
      <w:pPr>
        <w:rPr/>
      </w:pPr>
      <w:r w:rsidDel="00000000" w:rsidR="00000000" w:rsidRPr="00000000">
        <w:rPr>
          <w:rtl w:val="0"/>
        </w:rPr>
        <w:t xml:space="preserve">General Electronics needs to transform its working capital management to enhance its liquidity. The inventory management must be ameliorated by cutting down on the number of stocks and matching production more to demand. Repeatedly, improved forecasting and stricter supervision of stocks can assist in liberating cash confined in stocks.</w:t>
      </w:r>
    </w:p>
    <w:p w:rsidR="00000000" w:rsidDel="00000000" w:rsidP="00000000" w:rsidRDefault="00000000" w:rsidRPr="00000000" w14:paraId="000000D8">
      <w:pPr>
        <w:rPr/>
      </w:pPr>
      <w:r w:rsidDel="00000000" w:rsidR="00000000" w:rsidRPr="00000000">
        <w:rPr>
          <w:rtl w:val="0"/>
        </w:rPr>
        <w:t xml:space="preserve">It should also enhance the management of receivables. The company should conduct improved credit checks, establish strict credit limits and push customers to pay within a shorter time (Scott, 2015). Follow-up of outstanding accounts would be done regularly to enhance the collection of cash.</w:t>
      </w:r>
    </w:p>
    <w:p w:rsidR="00000000" w:rsidDel="00000000" w:rsidP="00000000" w:rsidRDefault="00000000" w:rsidRPr="00000000" w14:paraId="000000D9">
      <w:pPr>
        <w:rPr/>
      </w:pPr>
      <w:r w:rsidDel="00000000" w:rsidR="00000000" w:rsidRPr="00000000">
        <w:rPr>
          <w:rtl w:val="0"/>
        </w:rPr>
        <w:t xml:space="preserve">There must be a balanced approach in payables management. The firm should negotiate with suppliers on better payment terms, and at the same time, keep the relationship good as opposed to merely delaying payments. The measures would assist in reducing the cash operating cycle and enhancing liquidity.</w:t>
      </w:r>
    </w:p>
    <w:p w:rsidR="00000000" w:rsidDel="00000000" w:rsidP="00000000" w:rsidRDefault="00000000" w:rsidRPr="00000000" w14:paraId="000000DA">
      <w:pPr>
        <w:pStyle w:val="Heading2"/>
        <w:rPr/>
      </w:pPr>
      <w:bookmarkStart w:colFirst="0" w:colLast="0" w:name="_heading=h.p308dau8teot" w:id="28"/>
      <w:bookmarkEnd w:id="28"/>
      <w:r w:rsidDel="00000000" w:rsidR="00000000" w:rsidRPr="00000000">
        <w:rPr>
          <w:rtl w:val="0"/>
        </w:rPr>
        <w:t xml:space="preserve">Short-Term Financing Options</w:t>
      </w:r>
    </w:p>
    <w:p w:rsidR="00000000" w:rsidDel="00000000" w:rsidP="00000000" w:rsidRDefault="00000000" w:rsidRPr="00000000" w14:paraId="000000DB">
      <w:pPr>
        <w:rPr/>
      </w:pPr>
      <w:r w:rsidDel="00000000" w:rsidR="00000000" w:rsidRPr="00000000">
        <w:rPr>
          <w:rtl w:val="0"/>
        </w:rPr>
        <w:t xml:space="preserve">Working capital requirements are usually financed on a short-term basis. These are bank overdrafts, short-term loans and trade credit. Flexibility is the key benefit of short-term finance since it may easily be adapted to suit fluctuating cash requirements (Baresa, Bogdan and Ivanovic, 2017). It is also normally less expensive and quicker to secure than long-term finance.</w:t>
      </w:r>
    </w:p>
    <w:p w:rsidR="00000000" w:rsidDel="00000000" w:rsidP="00000000" w:rsidRDefault="00000000" w:rsidRPr="00000000" w14:paraId="000000DC">
      <w:pPr>
        <w:rPr/>
      </w:pPr>
      <w:r w:rsidDel="00000000" w:rsidR="00000000" w:rsidRPr="00000000">
        <w:rPr>
          <w:rtl w:val="0"/>
        </w:rPr>
        <w:t xml:space="preserve">Short-term finance is riskier. The rates can fluctuate, and the banks can pull out the facility in case the financial status of the firm deteriorates. With low liquidity and a high default risk, the high dependency on short-term borrowing might lead to greater financial instability with General Electronics.</w:t>
      </w:r>
    </w:p>
    <w:p w:rsidR="00000000" w:rsidDel="00000000" w:rsidP="00000000" w:rsidRDefault="00000000" w:rsidRPr="00000000" w14:paraId="000000DD">
      <w:pPr>
        <w:pStyle w:val="Heading2"/>
        <w:rPr/>
      </w:pPr>
      <w:bookmarkStart w:colFirst="0" w:colLast="0" w:name="_heading=h.hz7yt4c7vl8k" w:id="29"/>
      <w:bookmarkEnd w:id="29"/>
      <w:r w:rsidDel="00000000" w:rsidR="00000000" w:rsidRPr="00000000">
        <w:rPr>
          <w:rtl w:val="0"/>
        </w:rPr>
        <w:t xml:space="preserve">Long-Term Financing Options</w:t>
      </w:r>
    </w:p>
    <w:p w:rsidR="00000000" w:rsidDel="00000000" w:rsidP="00000000" w:rsidRDefault="00000000" w:rsidRPr="00000000" w14:paraId="000000DE">
      <w:pPr>
        <w:rPr/>
      </w:pPr>
      <w:r w:rsidDel="00000000" w:rsidR="00000000" w:rsidRPr="00000000">
        <w:rPr>
          <w:rtl w:val="0"/>
        </w:rPr>
        <w:t xml:space="preserve">Long-term financing facilities are long-term loans and bonds, as well as equity funds. These sources offer more stable financing and eliminate the necessity to finance it frequently. Long-term finance would be more appropriate for funding long-term investments and offloading short-term cash flow.</w:t>
      </w:r>
    </w:p>
    <w:p w:rsidR="00000000" w:rsidDel="00000000" w:rsidP="00000000" w:rsidRDefault="00000000" w:rsidRPr="00000000" w14:paraId="000000DF">
      <w:pPr>
        <w:rPr/>
      </w:pPr>
      <w:r w:rsidDel="00000000" w:rsidR="00000000" w:rsidRPr="00000000">
        <w:rPr>
          <w:rtl w:val="0"/>
        </w:rPr>
        <w:t xml:space="preserve">The drawback is that long-term finance can be very costly and difficult to acquire, particularly in cases where a company has had poor performance in the recent past. Equity finance can also weaken the ownership of existing shareholders (Mustafina </w:t>
      </w:r>
      <w:r w:rsidDel="00000000" w:rsidR="00000000" w:rsidRPr="00000000">
        <w:rPr>
          <w:i w:val="1"/>
          <w:iCs w:val="1"/>
          <w:rtl w:val="0"/>
        </w:rPr>
        <w:t xml:space="preserve">et al.,</w:t>
      </w:r>
      <w:r w:rsidDel="00000000" w:rsidR="00000000" w:rsidRPr="00000000">
        <w:rPr>
          <w:rtl w:val="0"/>
        </w:rPr>
        <w:t xml:space="preserve"> 2020). Nevertheless, the liquidity issues of the firm will necessitate a change towards more long-term financing, which will minimise financial risk and facilitate recovery.</w:t>
      </w:r>
    </w:p>
    <w:p w:rsidR="00000000" w:rsidDel="00000000" w:rsidP="00000000" w:rsidRDefault="00000000" w:rsidRPr="00000000" w14:paraId="000000E0">
      <w:pPr>
        <w:pStyle w:val="Heading1"/>
        <w:rPr>
          <w:color w:val="000000"/>
        </w:rPr>
      </w:pPr>
      <w:bookmarkStart w:colFirst="0" w:colLast="0" w:name="_heading=h.gctnr04kc6sy" w:id="30"/>
      <w:bookmarkEnd w:id="30"/>
      <w:r w:rsidDel="00000000" w:rsidR="00000000" w:rsidRPr="00000000">
        <w:rPr>
          <w:color w:val="000000"/>
          <w:rtl w:val="0"/>
        </w:rPr>
        <w:t xml:space="preserve">Strategic Financial Restructuring Plan</w:t>
      </w:r>
    </w:p>
    <w:p w:rsidR="00000000" w:rsidDel="00000000" w:rsidP="00000000" w:rsidRDefault="00000000" w:rsidRPr="00000000" w14:paraId="000000E1">
      <w:pPr>
        <w:pStyle w:val="Heading2"/>
        <w:rPr/>
      </w:pPr>
      <w:bookmarkStart w:colFirst="0" w:colLast="0" w:name="_heading=h.xqruhzaultaw" w:id="31"/>
      <w:bookmarkEnd w:id="31"/>
      <w:r w:rsidDel="00000000" w:rsidR="00000000" w:rsidRPr="00000000">
        <w:rPr>
          <w:rtl w:val="0"/>
        </w:rPr>
        <w:t xml:space="preserve">Need for Financial Restructuring</w:t>
      </w:r>
    </w:p>
    <w:p w:rsidR="00000000" w:rsidDel="00000000" w:rsidP="00000000" w:rsidRDefault="00000000" w:rsidRPr="00000000" w14:paraId="000000E2">
      <w:pPr>
        <w:rPr/>
      </w:pPr>
      <w:r w:rsidDel="00000000" w:rsidR="00000000" w:rsidRPr="00000000">
        <w:rPr>
          <w:rtl w:val="0"/>
        </w:rPr>
        <w:t xml:space="preserve">General Electronics is under a lot of pressure in terms of financial performance, as indicated by dwindling sales, recurring losses, low liquidity level, and high default risk, as seen in the financial health analysis. The present financial set-up of the company cannot support its lower business activity anymore (Zaramella, 2023). The firm has been unable to invest, compete, and respond to changes in the market due to high operating costs, poor cash generation, and pressure caused by debt obligations. In the absence of a proper restructuring plan, the company will continue to destroy its value and even go into insolvency. </w:t>
      </w:r>
    </w:p>
    <w:p w:rsidR="00000000" w:rsidDel="00000000" w:rsidP="00000000" w:rsidRDefault="00000000" w:rsidRPr="00000000" w14:paraId="000000E3">
      <w:pPr>
        <w:pStyle w:val="Heading2"/>
        <w:rPr/>
      </w:pPr>
      <w:bookmarkStart w:colFirst="0" w:colLast="0" w:name="_heading=h.so8pj81gunt2" w:id="32"/>
      <w:bookmarkEnd w:id="32"/>
      <w:r w:rsidDel="00000000" w:rsidR="00000000" w:rsidRPr="00000000">
        <w:rPr>
          <w:rtl w:val="0"/>
        </w:rPr>
        <w:t xml:space="preserve">Overview of Restructuring Objectives</w:t>
      </w:r>
    </w:p>
    <w:p w:rsidR="00000000" w:rsidDel="00000000" w:rsidP="00000000" w:rsidRDefault="00000000" w:rsidRPr="00000000" w14:paraId="000000E4">
      <w:pPr>
        <w:rPr/>
      </w:pPr>
      <w:r w:rsidDel="00000000" w:rsidR="00000000" w:rsidRPr="00000000">
        <w:rPr>
          <w:rtl w:val="0"/>
        </w:rPr>
        <w:t xml:space="preserve">The primary goals of financial restructuring include better liquidity, less financial risk and future growth. In the case of General Electronics, the restructuring should be directed to strengthen the balance sheet, reduce the debt pressure, and provide flexibility to improve operations (Koh </w:t>
      </w:r>
      <w:r w:rsidDel="00000000" w:rsidR="00000000" w:rsidRPr="00000000">
        <w:rPr>
          <w:i w:val="1"/>
          <w:iCs w:val="1"/>
          <w:rtl w:val="0"/>
        </w:rPr>
        <w:t xml:space="preserve">et al.,</w:t>
      </w:r>
      <w:r w:rsidDel="00000000" w:rsidR="00000000" w:rsidRPr="00000000">
        <w:rPr>
          <w:rtl w:val="0"/>
        </w:rPr>
        <w:t xml:space="preserve"> 2015). The strategy also has to safeguard shareholder value to the maximum and, at the same time, make sure that the firm can pay its financial commitments. An effective restructuring process cannot be limited to short-term survival and long-term competitiveness and must take into consideration business operations globally and ethical obligations of the firm.</w:t>
      </w:r>
    </w:p>
    <w:p w:rsidR="00000000" w:rsidDel="00000000" w:rsidP="00000000" w:rsidRDefault="00000000" w:rsidRPr="00000000" w14:paraId="000000E5">
      <w:pPr>
        <w:pStyle w:val="Heading2"/>
        <w:rPr/>
      </w:pPr>
      <w:bookmarkStart w:colFirst="0" w:colLast="0" w:name="_heading=h.45uc4ztkc5rp" w:id="33"/>
      <w:bookmarkEnd w:id="33"/>
      <w:r w:rsidDel="00000000" w:rsidR="00000000" w:rsidRPr="00000000">
        <w:rPr>
          <w:rtl w:val="0"/>
        </w:rPr>
        <w:t xml:space="preserve">Asset Divestiture Strategy</w:t>
      </w:r>
    </w:p>
    <w:p w:rsidR="00000000" w:rsidDel="00000000" w:rsidP="00000000" w:rsidRDefault="00000000" w:rsidRPr="00000000" w14:paraId="000000E6">
      <w:pPr>
        <w:rPr/>
      </w:pPr>
      <w:r w:rsidDel="00000000" w:rsidR="00000000" w:rsidRPr="00000000">
        <w:rPr>
          <w:rtl w:val="0"/>
        </w:rPr>
        <w:t xml:space="preserve">Asset divestiture is one of the valuable restructuring options. General Electronics possesses a high asset base in the form of property, equipment and intangible assets. Not all of these assets might be central to the operations of the firm, or might not be performing well (Feldman, 2021). The sale of non-core or poorly performing assets may create immediate cash inflows, which may be utilised to enhance liquidity or reduce debt.</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E7">
            <w:pPr>
              <w:rPr/>
            </w:pPr>
            <w:bookmarkStart w:colFirst="0" w:colLast="0" w:name="_heading=h.atow7ts266cb" w:id="34"/>
            <w:bookmarkEnd w:id="34"/>
            <w:r w:rsidDel="00000000" w:rsidR="00000000" w:rsidRPr="00000000">
              <w:rPr>
                <w:rtl w:val="0"/>
              </w:rPr>
              <w:t xml:space="preserve">Asset Category</w:t>
            </w:r>
          </w:p>
        </w:tc>
        <w:tc>
          <w:tcPr/>
          <w:p w:rsidR="00000000" w:rsidDel="00000000" w:rsidP="00000000" w:rsidRDefault="00000000" w:rsidRPr="00000000" w14:paraId="000000E8">
            <w:pPr>
              <w:rPr/>
            </w:pPr>
            <w:r w:rsidDel="00000000" w:rsidR="00000000" w:rsidRPr="00000000">
              <w:rPr>
                <w:rtl w:val="0"/>
              </w:rPr>
              <w:t xml:space="preserve">Estimated Proceeds (£m)</w:t>
            </w:r>
          </w:p>
        </w:tc>
        <w:tc>
          <w:tcPr/>
          <w:p w:rsidR="00000000" w:rsidDel="00000000" w:rsidP="00000000" w:rsidRDefault="00000000" w:rsidRPr="00000000" w14:paraId="000000E9">
            <w:pPr>
              <w:rPr/>
            </w:pPr>
            <w:r w:rsidDel="00000000" w:rsidR="00000000" w:rsidRPr="00000000">
              <w:rPr>
                <w:rtl w:val="0"/>
              </w:rPr>
              <w:t xml:space="preserve">Debt Reduction (£m)</w:t>
            </w:r>
          </w:p>
        </w:tc>
        <w:tc>
          <w:tcPr/>
          <w:p w:rsidR="00000000" w:rsidDel="00000000" w:rsidP="00000000" w:rsidRDefault="00000000" w:rsidRPr="00000000" w14:paraId="000000EA">
            <w:pPr>
              <w:rPr/>
            </w:pPr>
            <w:r w:rsidDel="00000000" w:rsidR="00000000" w:rsidRPr="00000000">
              <w:rPr>
                <w:rtl w:val="0"/>
              </w:rPr>
              <w:t xml:space="preserve">Liquidity Improvement (£m)</w:t>
            </w:r>
          </w:p>
        </w:tc>
      </w:tr>
      <w:tr>
        <w:trPr>
          <w:cantSplit w:val="0"/>
          <w:tblHeader w:val="0"/>
        </w:trPr>
        <w:tc>
          <w:tcPr/>
          <w:p w:rsidR="00000000" w:rsidDel="00000000" w:rsidP="00000000" w:rsidRDefault="00000000" w:rsidRPr="00000000" w14:paraId="000000EB">
            <w:pPr>
              <w:rPr/>
            </w:pPr>
            <w:r w:rsidDel="00000000" w:rsidR="00000000" w:rsidRPr="00000000">
              <w:rPr>
                <w:rtl w:val="0"/>
              </w:rPr>
              <w:t xml:space="preserve">Non-core Property</w:t>
            </w:r>
          </w:p>
        </w:tc>
        <w:tc>
          <w:tcPr/>
          <w:p w:rsidR="00000000" w:rsidDel="00000000" w:rsidP="00000000" w:rsidRDefault="00000000" w:rsidRPr="00000000" w14:paraId="000000EC">
            <w:pPr>
              <w:rPr/>
            </w:pPr>
            <w:r w:rsidDel="00000000" w:rsidR="00000000" w:rsidRPr="00000000">
              <w:rPr>
                <w:rtl w:val="0"/>
              </w:rPr>
              <w:t xml:space="preserve">8,000</w:t>
            </w:r>
          </w:p>
        </w:tc>
        <w:tc>
          <w:tcPr/>
          <w:p w:rsidR="00000000" w:rsidDel="00000000" w:rsidP="00000000" w:rsidRDefault="00000000" w:rsidRPr="00000000" w14:paraId="000000ED">
            <w:pPr>
              <w:rPr/>
            </w:pPr>
            <w:r w:rsidDel="00000000" w:rsidR="00000000" w:rsidRPr="00000000">
              <w:rPr>
                <w:rtl w:val="0"/>
              </w:rPr>
              <w:t xml:space="preserve">5,000</w:t>
            </w:r>
          </w:p>
        </w:tc>
        <w:tc>
          <w:tcPr/>
          <w:p w:rsidR="00000000" w:rsidDel="00000000" w:rsidP="00000000" w:rsidRDefault="00000000" w:rsidRPr="00000000" w14:paraId="000000EE">
            <w:pP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0EF">
            <w:pPr>
              <w:rPr/>
            </w:pPr>
            <w:r w:rsidDel="00000000" w:rsidR="00000000" w:rsidRPr="00000000">
              <w:rPr>
                <w:rtl w:val="0"/>
              </w:rPr>
              <w:t xml:space="preserve">Underperforming Subsidiary</w:t>
            </w:r>
          </w:p>
        </w:tc>
        <w:tc>
          <w:tcPr/>
          <w:p w:rsidR="00000000" w:rsidDel="00000000" w:rsidP="00000000" w:rsidRDefault="00000000" w:rsidRPr="00000000" w14:paraId="000000F0">
            <w:pPr>
              <w:rPr/>
            </w:pPr>
            <w:r w:rsidDel="00000000" w:rsidR="00000000" w:rsidRPr="00000000">
              <w:rPr>
                <w:rtl w:val="0"/>
              </w:rPr>
              <w:t xml:space="preserve">12,000</w:t>
            </w:r>
          </w:p>
        </w:tc>
        <w:tc>
          <w:tcPr/>
          <w:p w:rsidR="00000000" w:rsidDel="00000000" w:rsidP="00000000" w:rsidRDefault="00000000" w:rsidRPr="00000000" w14:paraId="000000F1">
            <w:pPr>
              <w:rPr/>
            </w:pPr>
            <w:r w:rsidDel="00000000" w:rsidR="00000000" w:rsidRPr="00000000">
              <w:rPr>
                <w:rtl w:val="0"/>
              </w:rPr>
              <w:t xml:space="preserve">8,000</w:t>
            </w:r>
          </w:p>
        </w:tc>
        <w:tc>
          <w:tcPr/>
          <w:p w:rsidR="00000000" w:rsidDel="00000000" w:rsidP="00000000" w:rsidRDefault="00000000" w:rsidRPr="00000000" w14:paraId="000000F2">
            <w:pPr>
              <w:rPr/>
            </w:pPr>
            <w:r w:rsidDel="00000000" w:rsidR="00000000" w:rsidRPr="00000000">
              <w:rPr>
                <w:rtl w:val="0"/>
              </w:rPr>
              <w:t xml:space="preserve">4,000</w:t>
            </w:r>
          </w:p>
        </w:tc>
      </w:tr>
      <w:tr>
        <w:trPr>
          <w:cantSplit w:val="0"/>
          <w:tblHeader w:val="0"/>
        </w:trPr>
        <w:tc>
          <w:tcPr/>
          <w:p w:rsidR="00000000" w:rsidDel="00000000" w:rsidP="00000000" w:rsidRDefault="00000000" w:rsidRPr="00000000" w14:paraId="000000F3">
            <w:pPr>
              <w:rPr/>
            </w:pPr>
            <w:r w:rsidDel="00000000" w:rsidR="00000000" w:rsidRPr="00000000">
              <w:rPr>
                <w:rtl w:val="0"/>
              </w:rPr>
              <w:t xml:space="preserve">Non-core Intangible Assets</w:t>
              <w:tab/>
            </w:r>
          </w:p>
        </w:tc>
        <w:tc>
          <w:tcPr/>
          <w:p w:rsidR="00000000" w:rsidDel="00000000" w:rsidP="00000000" w:rsidRDefault="00000000" w:rsidRPr="00000000" w14:paraId="000000F4">
            <w:pPr>
              <w:rPr/>
            </w:pPr>
            <w:r w:rsidDel="00000000" w:rsidR="00000000" w:rsidRPr="00000000">
              <w:rPr>
                <w:rtl w:val="0"/>
              </w:rPr>
              <w:t xml:space="preserve">5,000</w:t>
            </w:r>
          </w:p>
        </w:tc>
        <w:tc>
          <w:tcPr/>
          <w:p w:rsidR="00000000" w:rsidDel="00000000" w:rsidP="00000000" w:rsidRDefault="00000000" w:rsidRPr="00000000" w14:paraId="000000F5">
            <w:pPr>
              <w:rPr/>
            </w:pPr>
            <w:r w:rsidDel="00000000" w:rsidR="00000000" w:rsidRPr="00000000">
              <w:rPr>
                <w:rtl w:val="0"/>
              </w:rPr>
              <w:t xml:space="preserve">3,000</w:t>
            </w:r>
          </w:p>
        </w:tc>
        <w:tc>
          <w:tcPr/>
          <w:p w:rsidR="00000000" w:rsidDel="00000000" w:rsidP="00000000" w:rsidRDefault="00000000" w:rsidRPr="00000000" w14:paraId="000000F6">
            <w:pPr>
              <w:rPr/>
            </w:pPr>
            <w:r w:rsidDel="00000000" w:rsidR="00000000" w:rsidRPr="00000000">
              <w:rPr>
                <w:rtl w:val="0"/>
              </w:rPr>
              <w:t xml:space="preserve">2,000</w:t>
            </w:r>
          </w:p>
        </w:tc>
      </w:tr>
      <w:tr>
        <w:trPr>
          <w:cantSplit w:val="0"/>
          <w:tblHeader w:val="0"/>
        </w:trPr>
        <w:tc>
          <w:tcPr/>
          <w:p w:rsidR="00000000" w:rsidDel="00000000" w:rsidP="00000000" w:rsidRDefault="00000000" w:rsidRPr="00000000" w14:paraId="000000F7">
            <w:pPr>
              <w:rPr/>
            </w:pPr>
            <w:r w:rsidDel="00000000" w:rsidR="00000000" w:rsidRPr="00000000">
              <w:rPr>
                <w:rtl w:val="0"/>
              </w:rPr>
              <w:t xml:space="preserve">Total</w:t>
            </w:r>
          </w:p>
        </w:tc>
        <w:tc>
          <w:tcPr/>
          <w:p w:rsidR="00000000" w:rsidDel="00000000" w:rsidP="00000000" w:rsidRDefault="00000000" w:rsidRPr="00000000" w14:paraId="000000F8">
            <w:pPr>
              <w:rPr/>
            </w:pPr>
            <w:r w:rsidDel="00000000" w:rsidR="00000000" w:rsidRPr="00000000">
              <w:rPr>
                <w:rtl w:val="0"/>
              </w:rPr>
              <w:t xml:space="preserve">25,000</w:t>
            </w:r>
          </w:p>
        </w:tc>
        <w:tc>
          <w:tcPr/>
          <w:p w:rsidR="00000000" w:rsidDel="00000000" w:rsidP="00000000" w:rsidRDefault="00000000" w:rsidRPr="00000000" w14:paraId="000000F9">
            <w:pPr>
              <w:rPr/>
            </w:pPr>
            <w:r w:rsidDel="00000000" w:rsidR="00000000" w:rsidRPr="00000000">
              <w:rPr>
                <w:rtl w:val="0"/>
              </w:rPr>
              <w:t xml:space="preserve">16,000</w:t>
            </w:r>
          </w:p>
        </w:tc>
        <w:tc>
          <w:tcPr/>
          <w:p w:rsidR="00000000" w:rsidDel="00000000" w:rsidP="00000000" w:rsidRDefault="00000000" w:rsidRPr="00000000" w14:paraId="000000FA">
            <w:pPr>
              <w:rPr/>
            </w:pPr>
            <w:r w:rsidDel="00000000" w:rsidR="00000000" w:rsidRPr="00000000">
              <w:rPr>
                <w:rtl w:val="0"/>
              </w:rPr>
              <w:t xml:space="preserve">9,000</w:t>
            </w:r>
          </w:p>
        </w:tc>
      </w:tr>
    </w:tbl>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6a12k4bvqvxf" w:id="35"/>
      <w:bookmarkEnd w:id="35"/>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3: Potential Asset Divestiture and Expected Impact. Source:</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Estimates are based on General Electronics asset structure</w:t>
      </w:r>
    </w:p>
    <w:p w:rsidR="00000000" w:rsidDel="00000000" w:rsidP="00000000" w:rsidRDefault="00000000" w:rsidRPr="00000000" w14:paraId="000000FD">
      <w:pPr>
        <w:jc w:val="center"/>
        <w:rPr/>
      </w:pPr>
      <w:r w:rsidDel="00000000" w:rsidR="00000000" w:rsidRPr="00000000">
        <w:rPr/>
        <w:drawing>
          <wp:inline distB="0" distT="0" distL="0" distR="0">
            <wp:extent cx="4572000" cy="2743200"/>
            <wp:docPr id="1922037532" name=""/>
            <a:graphic>
              <a:graphicData uri="http://schemas.openxmlformats.org/drawingml/2006/chart">
                <c:chart r:id="rId16"/>
              </a:graphicData>
            </a:graphic>
          </wp:inline>
        </w:drawing>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b3osnip8gr8o" w:id="36"/>
      <w:bookmarkEnd w:id="36"/>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9: Potential Asset Divestiture and Expected Impact</w:t>
      </w:r>
    </w:p>
    <w:p w:rsidR="00000000" w:rsidDel="00000000" w:rsidP="00000000" w:rsidRDefault="00000000" w:rsidRPr="00000000" w14:paraId="000000FF">
      <w:pPr>
        <w:rPr/>
      </w:pPr>
      <w:r w:rsidDel="00000000" w:rsidR="00000000" w:rsidRPr="00000000">
        <w:rPr>
          <w:rtl w:val="0"/>
        </w:rPr>
        <w:t xml:space="preserve">The sale of assets may help increase shareholder value when the assets being sold do not make a significant contribution towards profits. With the emphasis on the core and profitable activities, the firm will be able to enhance efficiency and cut down operating costs. In terms of debt, proceeds of divestment that are used to settle borrowings would reduce the gearing and interest (Weygandt, Kimmel and Kieso, 2018). </w:t>
      </w:r>
    </w:p>
    <w:p w:rsidR="00000000" w:rsidDel="00000000" w:rsidP="00000000" w:rsidRDefault="00000000" w:rsidRPr="00000000" w14:paraId="00000100">
      <w:pPr>
        <w:pStyle w:val="Heading2"/>
        <w:rPr/>
      </w:pPr>
      <w:bookmarkStart w:colFirst="0" w:colLast="0" w:name="_heading=h.ifkuutqtsoyw" w:id="37"/>
      <w:bookmarkEnd w:id="37"/>
      <w:r w:rsidDel="00000000" w:rsidR="00000000" w:rsidRPr="00000000">
        <w:rPr>
          <w:rtl w:val="0"/>
        </w:rPr>
        <w:t xml:space="preserve">Equity Injection Strategy</w:t>
      </w:r>
    </w:p>
    <w:p w:rsidR="00000000" w:rsidDel="00000000" w:rsidP="00000000" w:rsidRDefault="00000000" w:rsidRPr="00000000" w14:paraId="00000101">
      <w:pPr>
        <w:rPr/>
      </w:pPr>
      <w:r w:rsidDel="00000000" w:rsidR="00000000" w:rsidRPr="00000000">
        <w:rPr>
          <w:rtl w:val="0"/>
        </w:rPr>
        <w:t xml:space="preserve">Equity injection is the other major restructuring option. This would be through the issuance of new shares to the current shareholders or new investors. Equity injection enhances the capital base of the firm without the augmentation of the debt level (Black, 2023). Considering that the company has a poor interest cover and high risk of default, equity financing will be more secure compared to further borrowing.</w:t>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102">
            <w:pPr>
              <w:rPr/>
            </w:pPr>
            <w:bookmarkStart w:colFirst="0" w:colLast="0" w:name="_heading=h.cpn2tuwtca9l" w:id="38"/>
            <w:bookmarkEnd w:id="38"/>
            <w:r w:rsidDel="00000000" w:rsidR="00000000" w:rsidRPr="00000000">
              <w:rPr>
                <w:rtl w:val="0"/>
              </w:rPr>
              <w:t xml:space="preserve">Capital Type</w:t>
            </w:r>
          </w:p>
        </w:tc>
        <w:tc>
          <w:tcPr/>
          <w:p w:rsidR="00000000" w:rsidDel="00000000" w:rsidP="00000000" w:rsidRDefault="00000000" w:rsidRPr="00000000" w14:paraId="00000103">
            <w:pPr>
              <w:rPr/>
            </w:pPr>
            <w:r w:rsidDel="00000000" w:rsidR="00000000" w:rsidRPr="00000000">
              <w:rPr>
                <w:rtl w:val="0"/>
              </w:rPr>
              <w:t xml:space="preserve">Before Equity Injection (£m)</w:t>
            </w:r>
          </w:p>
        </w:tc>
        <w:tc>
          <w:tcPr/>
          <w:p w:rsidR="00000000" w:rsidDel="00000000" w:rsidP="00000000" w:rsidRDefault="00000000" w:rsidRPr="00000000" w14:paraId="00000104">
            <w:pPr>
              <w:rPr/>
            </w:pPr>
            <w:r w:rsidDel="00000000" w:rsidR="00000000" w:rsidRPr="00000000">
              <w:rPr>
                <w:rtl w:val="0"/>
              </w:rPr>
              <w:t xml:space="preserve">After Equity Injection (£m)</w:t>
            </w:r>
          </w:p>
        </w:tc>
      </w:tr>
      <w:tr>
        <w:trPr>
          <w:cantSplit w:val="0"/>
          <w:tblHeader w:val="0"/>
        </w:trPr>
        <w:tc>
          <w:tcPr/>
          <w:p w:rsidR="00000000" w:rsidDel="00000000" w:rsidP="00000000" w:rsidRDefault="00000000" w:rsidRPr="00000000" w14:paraId="00000105">
            <w:pPr>
              <w:rPr/>
            </w:pPr>
            <w:r w:rsidDel="00000000" w:rsidR="00000000" w:rsidRPr="00000000">
              <w:rPr>
                <w:rtl w:val="0"/>
              </w:rPr>
              <w:t xml:space="preserve">Debt</w:t>
            </w:r>
          </w:p>
        </w:tc>
        <w:tc>
          <w:tcPr/>
          <w:p w:rsidR="00000000" w:rsidDel="00000000" w:rsidP="00000000" w:rsidRDefault="00000000" w:rsidRPr="00000000" w14:paraId="00000106">
            <w:pPr>
              <w:rPr/>
            </w:pPr>
            <w:r w:rsidDel="00000000" w:rsidR="00000000" w:rsidRPr="00000000">
              <w:rPr>
                <w:rtl w:val="0"/>
              </w:rPr>
              <w:t xml:space="preserve">170,249</w:t>
            </w:r>
          </w:p>
        </w:tc>
        <w:tc>
          <w:tcPr/>
          <w:p w:rsidR="00000000" w:rsidDel="00000000" w:rsidP="00000000" w:rsidRDefault="00000000" w:rsidRPr="00000000" w14:paraId="00000107">
            <w:pPr>
              <w:rPr/>
            </w:pPr>
            <w:r w:rsidDel="00000000" w:rsidR="00000000" w:rsidRPr="00000000">
              <w:rPr>
                <w:rtl w:val="0"/>
              </w:rPr>
              <w:t xml:space="preserve">150,249</w:t>
            </w:r>
          </w:p>
        </w:tc>
      </w:tr>
      <w:tr>
        <w:trPr>
          <w:cantSplit w:val="0"/>
          <w:tblHeader w:val="0"/>
        </w:trPr>
        <w:tc>
          <w:tcPr/>
          <w:p w:rsidR="00000000" w:rsidDel="00000000" w:rsidP="00000000" w:rsidRDefault="00000000" w:rsidRPr="00000000" w14:paraId="00000108">
            <w:pPr>
              <w:rPr/>
            </w:pPr>
            <w:r w:rsidDel="00000000" w:rsidR="00000000" w:rsidRPr="00000000">
              <w:rPr>
                <w:rtl w:val="0"/>
              </w:rPr>
              <w:t xml:space="preserve">Equity</w:t>
            </w:r>
          </w:p>
        </w:tc>
        <w:tc>
          <w:tcPr/>
          <w:p w:rsidR="00000000" w:rsidDel="00000000" w:rsidP="00000000" w:rsidRDefault="00000000" w:rsidRPr="00000000" w14:paraId="00000109">
            <w:pPr>
              <w:rPr/>
            </w:pPr>
            <w:r w:rsidDel="00000000" w:rsidR="00000000" w:rsidRPr="00000000">
              <w:rPr>
                <w:rtl w:val="0"/>
              </w:rPr>
              <w:t xml:space="preserve">153,105</w:t>
            </w:r>
          </w:p>
        </w:tc>
        <w:tc>
          <w:tcPr/>
          <w:p w:rsidR="00000000" w:rsidDel="00000000" w:rsidP="00000000" w:rsidRDefault="00000000" w:rsidRPr="00000000" w14:paraId="0000010A">
            <w:pPr>
              <w:rPr/>
            </w:pPr>
            <w:r w:rsidDel="00000000" w:rsidR="00000000" w:rsidRPr="00000000">
              <w:rPr>
                <w:rtl w:val="0"/>
              </w:rPr>
              <w:t xml:space="preserve">173,105</w:t>
            </w:r>
          </w:p>
        </w:tc>
      </w:tr>
    </w:tbl>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fobd9nlgt2id" w:id="39"/>
      <w:bookmarkEnd w:id="39"/>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4: Capital Structure Before and After Equity Injection. Source:</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Excel analysis based on restructuring assumptions</w:t>
      </w:r>
    </w:p>
    <w:p w:rsidR="00000000" w:rsidDel="00000000" w:rsidP="00000000" w:rsidRDefault="00000000" w:rsidRPr="00000000" w14:paraId="0000010D">
      <w:pPr>
        <w:jc w:val="center"/>
        <w:rPr/>
      </w:pPr>
      <w:r w:rsidDel="00000000" w:rsidR="00000000" w:rsidRPr="00000000">
        <w:rPr/>
        <w:drawing>
          <wp:inline distB="0" distT="0" distL="0" distR="0">
            <wp:extent cx="4572000" cy="2743200"/>
            <wp:docPr id="1922037530" name=""/>
            <a:graphic>
              <a:graphicData uri="http://schemas.openxmlformats.org/drawingml/2006/chart">
                <c:chart r:id="rId17"/>
              </a:graphicData>
            </a:graphic>
          </wp:inline>
        </w:drawing>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x0lnl6jtuf4" w:id="40"/>
      <w:bookmarkEnd w:id="4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10: Capital Structure Before and After Equity Injection</w:t>
      </w:r>
    </w:p>
    <w:p w:rsidR="00000000" w:rsidDel="00000000" w:rsidP="00000000" w:rsidRDefault="00000000" w:rsidRPr="00000000" w14:paraId="0000010F">
      <w:pPr>
        <w:rPr/>
      </w:pPr>
      <w:r w:rsidDel="00000000" w:rsidR="00000000" w:rsidRPr="00000000">
        <w:rPr>
          <w:rtl w:val="0"/>
        </w:rPr>
        <w:t xml:space="preserve">The primary benefit of equity injection will be to enhance liquidity and decrease financial risk. The larger equity base will reduce gearing ratios and enhance the credit profile of the firm, which will rebuild trust among the lenders and suppliers. Although this is a disadvantage, insolvency insurance and recovery of stability can provide more value to shareholders in the long term (Nielsen, Mitchell and Nørreklit, 2015). Also, equity injection enhances flexibility in the operations because management is not limited in terms of debt financing there are fewer restrictions when equity is injected.</w:t>
      </w:r>
    </w:p>
    <w:p w:rsidR="00000000" w:rsidDel="00000000" w:rsidP="00000000" w:rsidRDefault="00000000" w:rsidRPr="00000000" w14:paraId="00000110">
      <w:pPr>
        <w:pStyle w:val="Heading2"/>
        <w:rPr/>
      </w:pPr>
      <w:bookmarkStart w:colFirst="0" w:colLast="0" w:name="_heading=h.nhejev28k0zv" w:id="41"/>
      <w:bookmarkEnd w:id="41"/>
      <w:r w:rsidDel="00000000" w:rsidR="00000000" w:rsidRPr="00000000">
        <w:rPr>
          <w:rtl w:val="0"/>
        </w:rPr>
        <w:t xml:space="preserve">Merger or Strategic Partnership Option</w:t>
      </w:r>
    </w:p>
    <w:p w:rsidR="00000000" w:rsidDel="00000000" w:rsidP="00000000" w:rsidRDefault="00000000" w:rsidRPr="00000000" w14:paraId="00000111">
      <w:pPr>
        <w:rPr/>
      </w:pPr>
      <w:r w:rsidDel="00000000" w:rsidR="00000000" w:rsidRPr="00000000">
        <w:rPr>
          <w:rtl w:val="0"/>
        </w:rPr>
        <w:t xml:space="preserve">Another available restructuring path is a merger or strategic partnership. General electronics might have access to new technology, markets and financial resources by merging with or entering into a stronger firm (Babar </w:t>
      </w:r>
      <w:r w:rsidDel="00000000" w:rsidR="00000000" w:rsidRPr="00000000">
        <w:rPr>
          <w:i w:val="1"/>
          <w:iCs w:val="1"/>
          <w:rtl w:val="0"/>
        </w:rPr>
        <w:t xml:space="preserve">et al.,</w:t>
      </w:r>
      <w:r w:rsidDel="00000000" w:rsidR="00000000" w:rsidRPr="00000000">
        <w:rPr>
          <w:rtl w:val="0"/>
        </w:rPr>
        <w:t xml:space="preserve"> 2022). This may enhance economies of scale, cost reduction and revenue opportunities.</w:t>
      </w:r>
    </w:p>
    <w:p w:rsidR="00000000" w:rsidDel="00000000" w:rsidP="00000000" w:rsidRDefault="00000000" w:rsidRPr="00000000" w14:paraId="00000112">
      <w:pPr>
        <w:rPr/>
      </w:pPr>
      <w:r w:rsidDel="00000000" w:rsidR="00000000" w:rsidRPr="00000000">
        <w:rPr>
          <w:rtl w:val="0"/>
        </w:rPr>
        <w:t xml:space="preserve">Shareholders will find a merger to be potentially value-creating in cases where the merger causes cost savings or an increase in revenues. Value may be killed by a lack of integration or overpayment. Regarding the debt structure, the merger with a more financially robust partner might enhance the size of the borrowings and decrease the default risk. </w:t>
      </w:r>
    </w:p>
    <w:p w:rsidR="00000000" w:rsidDel="00000000" w:rsidP="00000000" w:rsidRDefault="00000000" w:rsidRPr="00000000" w14:paraId="00000113">
      <w:pPr>
        <w:pStyle w:val="Heading2"/>
        <w:rPr/>
      </w:pPr>
      <w:bookmarkStart w:colFirst="0" w:colLast="0" w:name="_heading=h.j07fhatw3fod" w:id="42"/>
      <w:bookmarkEnd w:id="42"/>
      <w:r w:rsidDel="00000000" w:rsidR="00000000" w:rsidRPr="00000000">
        <w:rPr>
          <w:rtl w:val="0"/>
        </w:rPr>
        <w:t xml:space="preserve">Impact on Shareholder Value</w:t>
      </w:r>
    </w:p>
    <w:p w:rsidR="00000000" w:rsidDel="00000000" w:rsidP="00000000" w:rsidRDefault="00000000" w:rsidRPr="00000000" w14:paraId="00000114">
      <w:pPr>
        <w:rPr/>
      </w:pPr>
      <w:r w:rsidDel="00000000" w:rsidR="00000000" w:rsidRPr="00000000">
        <w:rPr>
          <w:rtl w:val="0"/>
        </w:rPr>
        <w:t xml:space="preserve">The impact of each of the restructuring options on shareholder value is different. Selling assets can enhance the short-term value through the release of cash and paid-down debt, but too many sales will negatively affect future earnings (Petty </w:t>
      </w:r>
      <w:r w:rsidDel="00000000" w:rsidR="00000000" w:rsidRPr="00000000">
        <w:rPr>
          <w:i w:val="1"/>
          <w:iCs w:val="1"/>
          <w:rtl w:val="0"/>
        </w:rPr>
        <w:t xml:space="preserve">et al.,</w:t>
      </w:r>
      <w:r w:rsidDel="00000000" w:rsidR="00000000" w:rsidRPr="00000000">
        <w:rPr>
          <w:rtl w:val="0"/>
        </w:rPr>
        <w:t xml:space="preserve"> 2015). The long-term recovery would be supported as the firm is not put at the risk of failure, whereas the actual ownership may be diluted through the injection of equity. </w:t>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115">
            <w:pPr>
              <w:rPr/>
            </w:pPr>
            <w:bookmarkStart w:colFirst="0" w:colLast="0" w:name="_heading=h.4pvbzlj4dl7d" w:id="43"/>
            <w:bookmarkEnd w:id="43"/>
            <w:r w:rsidDel="00000000" w:rsidR="00000000" w:rsidRPr="00000000">
              <w:rPr>
                <w:rtl w:val="0"/>
              </w:rPr>
              <w:t xml:space="preserve">Criteria</w:t>
            </w:r>
          </w:p>
        </w:tc>
        <w:tc>
          <w:tcPr/>
          <w:p w:rsidR="00000000" w:rsidDel="00000000" w:rsidP="00000000" w:rsidRDefault="00000000" w:rsidRPr="00000000" w14:paraId="00000116">
            <w:pPr>
              <w:rPr/>
            </w:pPr>
            <w:r w:rsidDel="00000000" w:rsidR="00000000" w:rsidRPr="00000000">
              <w:rPr>
                <w:rtl w:val="0"/>
              </w:rPr>
              <w:t xml:space="preserve">Asset Divestiture</w:t>
            </w:r>
          </w:p>
        </w:tc>
        <w:tc>
          <w:tcPr/>
          <w:p w:rsidR="00000000" w:rsidDel="00000000" w:rsidP="00000000" w:rsidRDefault="00000000" w:rsidRPr="00000000" w14:paraId="00000117">
            <w:pPr>
              <w:rPr/>
            </w:pPr>
            <w:r w:rsidDel="00000000" w:rsidR="00000000" w:rsidRPr="00000000">
              <w:rPr>
                <w:rtl w:val="0"/>
              </w:rPr>
              <w:t xml:space="preserve">Equity Injection</w:t>
            </w:r>
          </w:p>
        </w:tc>
        <w:tc>
          <w:tcPr/>
          <w:p w:rsidR="00000000" w:rsidDel="00000000" w:rsidP="00000000" w:rsidRDefault="00000000" w:rsidRPr="00000000" w14:paraId="00000118">
            <w:pPr>
              <w:rPr/>
            </w:pPr>
            <w:r w:rsidDel="00000000" w:rsidR="00000000" w:rsidRPr="00000000">
              <w:rPr>
                <w:rtl w:val="0"/>
              </w:rPr>
              <w:t xml:space="preserve">Merger / Partnership</w:t>
            </w:r>
          </w:p>
        </w:tc>
      </w:tr>
      <w:tr>
        <w:trPr>
          <w:cantSplit w:val="0"/>
          <w:tblHeader w:val="0"/>
        </w:trPr>
        <w:tc>
          <w:tcPr/>
          <w:p w:rsidR="00000000" w:rsidDel="00000000" w:rsidP="00000000" w:rsidRDefault="00000000" w:rsidRPr="00000000" w14:paraId="00000119">
            <w:pPr>
              <w:rPr/>
            </w:pPr>
            <w:r w:rsidDel="00000000" w:rsidR="00000000" w:rsidRPr="00000000">
              <w:rPr>
                <w:rtl w:val="0"/>
              </w:rPr>
              <w:t xml:space="preserve">Short-term shareholder value</w:t>
            </w:r>
          </w:p>
        </w:tc>
        <w:tc>
          <w:tcPr/>
          <w:p w:rsidR="00000000" w:rsidDel="00000000" w:rsidP="00000000" w:rsidRDefault="00000000" w:rsidRPr="00000000" w14:paraId="0000011A">
            <w:pPr>
              <w:rPr/>
            </w:pPr>
            <w:r w:rsidDel="00000000" w:rsidR="00000000" w:rsidRPr="00000000">
              <w:rPr>
                <w:rtl w:val="0"/>
              </w:rPr>
              <w:t xml:space="preserve">Medium</w:t>
            </w:r>
          </w:p>
        </w:tc>
        <w:tc>
          <w:tcPr/>
          <w:p w:rsidR="00000000" w:rsidDel="00000000" w:rsidP="00000000" w:rsidRDefault="00000000" w:rsidRPr="00000000" w14:paraId="0000011B">
            <w:pPr>
              <w:rPr/>
            </w:pPr>
            <w:r w:rsidDel="00000000" w:rsidR="00000000" w:rsidRPr="00000000">
              <w:rPr>
                <w:rtl w:val="0"/>
              </w:rPr>
              <w:t xml:space="preserve">Low</w:t>
            </w:r>
          </w:p>
        </w:tc>
        <w:tc>
          <w:tcPr/>
          <w:p w:rsidR="00000000" w:rsidDel="00000000" w:rsidP="00000000" w:rsidRDefault="00000000" w:rsidRPr="00000000" w14:paraId="0000011C">
            <w:pPr>
              <w:rPr/>
            </w:pPr>
            <w:r w:rsidDel="00000000" w:rsidR="00000000" w:rsidRPr="00000000">
              <w:rPr>
                <w:rtl w:val="0"/>
              </w:rPr>
              <w:t xml:space="preserve">Uncertain</w:t>
            </w:r>
          </w:p>
        </w:tc>
      </w:tr>
      <w:tr>
        <w:trPr>
          <w:cantSplit w:val="0"/>
          <w:tblHeader w:val="0"/>
        </w:trPr>
        <w:tc>
          <w:tcPr/>
          <w:p w:rsidR="00000000" w:rsidDel="00000000" w:rsidP="00000000" w:rsidRDefault="00000000" w:rsidRPr="00000000" w14:paraId="0000011D">
            <w:pPr>
              <w:rPr/>
            </w:pPr>
            <w:r w:rsidDel="00000000" w:rsidR="00000000" w:rsidRPr="00000000">
              <w:rPr>
                <w:rtl w:val="0"/>
              </w:rPr>
              <w:t xml:space="preserve">Long-term shareholder value</w:t>
            </w:r>
          </w:p>
        </w:tc>
        <w:tc>
          <w:tcPr/>
          <w:p w:rsidR="00000000" w:rsidDel="00000000" w:rsidP="00000000" w:rsidRDefault="00000000" w:rsidRPr="00000000" w14:paraId="0000011E">
            <w:pPr>
              <w:rPr/>
            </w:pPr>
            <w:r w:rsidDel="00000000" w:rsidR="00000000" w:rsidRPr="00000000">
              <w:rPr>
                <w:rtl w:val="0"/>
              </w:rPr>
              <w:t xml:space="preserve">High</w:t>
            </w:r>
          </w:p>
        </w:tc>
        <w:tc>
          <w:tcPr/>
          <w:p w:rsidR="00000000" w:rsidDel="00000000" w:rsidP="00000000" w:rsidRDefault="00000000" w:rsidRPr="00000000" w14:paraId="0000011F">
            <w:pPr>
              <w:rPr/>
            </w:pPr>
            <w:r w:rsidDel="00000000" w:rsidR="00000000" w:rsidRPr="00000000">
              <w:rPr>
                <w:rtl w:val="0"/>
              </w:rPr>
              <w:t xml:space="preserve">High</w:t>
            </w:r>
          </w:p>
        </w:tc>
        <w:tc>
          <w:tcPr/>
          <w:p w:rsidR="00000000" w:rsidDel="00000000" w:rsidP="00000000" w:rsidRDefault="00000000" w:rsidRPr="00000000" w14:paraId="00000120">
            <w:pPr>
              <w:rPr/>
            </w:pPr>
            <w:r w:rsidDel="00000000" w:rsidR="00000000" w:rsidRPr="00000000">
              <w:rPr>
                <w:rtl w:val="0"/>
              </w:rPr>
              <w:t xml:space="preserve">Medium</w:t>
            </w:r>
          </w:p>
        </w:tc>
      </w:tr>
      <w:tr>
        <w:trPr>
          <w:cantSplit w:val="0"/>
          <w:tblHeader w:val="0"/>
        </w:trPr>
        <w:tc>
          <w:tcPr/>
          <w:p w:rsidR="00000000" w:rsidDel="00000000" w:rsidP="00000000" w:rsidRDefault="00000000" w:rsidRPr="00000000" w14:paraId="00000121">
            <w:pPr>
              <w:rPr/>
            </w:pPr>
            <w:r w:rsidDel="00000000" w:rsidR="00000000" w:rsidRPr="00000000">
              <w:rPr>
                <w:rtl w:val="0"/>
              </w:rPr>
              <w:t xml:space="preserve">Risk level</w:t>
            </w:r>
          </w:p>
        </w:tc>
        <w:tc>
          <w:tcPr/>
          <w:p w:rsidR="00000000" w:rsidDel="00000000" w:rsidP="00000000" w:rsidRDefault="00000000" w:rsidRPr="00000000" w14:paraId="00000122">
            <w:pPr>
              <w:rPr/>
            </w:pPr>
            <w:r w:rsidDel="00000000" w:rsidR="00000000" w:rsidRPr="00000000">
              <w:rPr>
                <w:rtl w:val="0"/>
              </w:rPr>
              <w:t xml:space="preserve">Low</w:t>
            </w:r>
          </w:p>
        </w:tc>
        <w:tc>
          <w:tcPr/>
          <w:p w:rsidR="00000000" w:rsidDel="00000000" w:rsidP="00000000" w:rsidRDefault="00000000" w:rsidRPr="00000000" w14:paraId="00000123">
            <w:pPr>
              <w:rPr/>
            </w:pPr>
            <w:r w:rsidDel="00000000" w:rsidR="00000000" w:rsidRPr="00000000">
              <w:rPr>
                <w:rtl w:val="0"/>
              </w:rPr>
              <w:t xml:space="preserve">Low</w:t>
            </w:r>
          </w:p>
        </w:tc>
        <w:tc>
          <w:tcPr/>
          <w:p w:rsidR="00000000" w:rsidDel="00000000" w:rsidP="00000000" w:rsidRDefault="00000000" w:rsidRPr="00000000" w14:paraId="00000124">
            <w:pPr>
              <w:rPr/>
            </w:pPr>
            <w:r w:rsidDel="00000000" w:rsidR="00000000" w:rsidRPr="00000000">
              <w:rPr>
                <w:rtl w:val="0"/>
              </w:rPr>
              <w:t xml:space="preserve">High</w:t>
            </w:r>
          </w:p>
        </w:tc>
      </w:tr>
      <w:tr>
        <w:trPr>
          <w:cantSplit w:val="0"/>
          <w:tblHeader w:val="0"/>
        </w:trPr>
        <w:tc>
          <w:tcPr/>
          <w:p w:rsidR="00000000" w:rsidDel="00000000" w:rsidP="00000000" w:rsidRDefault="00000000" w:rsidRPr="00000000" w14:paraId="00000125">
            <w:pPr>
              <w:rPr/>
            </w:pPr>
            <w:r w:rsidDel="00000000" w:rsidR="00000000" w:rsidRPr="00000000">
              <w:rPr>
                <w:rtl w:val="0"/>
              </w:rPr>
              <w:t xml:space="preserve">Ownership dilution</w:t>
            </w:r>
          </w:p>
        </w:tc>
        <w:tc>
          <w:tcPr/>
          <w:p w:rsidR="00000000" w:rsidDel="00000000" w:rsidP="00000000" w:rsidRDefault="00000000" w:rsidRPr="00000000" w14:paraId="00000126">
            <w:pPr>
              <w:rPr/>
            </w:pPr>
            <w:r w:rsidDel="00000000" w:rsidR="00000000" w:rsidRPr="00000000">
              <w:rPr>
                <w:rtl w:val="0"/>
              </w:rPr>
              <w:t xml:space="preserve">None</w:t>
            </w:r>
          </w:p>
        </w:tc>
        <w:tc>
          <w:tcPr/>
          <w:p w:rsidR="00000000" w:rsidDel="00000000" w:rsidP="00000000" w:rsidRDefault="00000000" w:rsidRPr="00000000" w14:paraId="00000127">
            <w:pPr>
              <w:rPr/>
            </w:pPr>
            <w:r w:rsidDel="00000000" w:rsidR="00000000" w:rsidRPr="00000000">
              <w:rPr>
                <w:rtl w:val="0"/>
              </w:rPr>
              <w:t xml:space="preserve">High</w:t>
            </w:r>
          </w:p>
        </w:tc>
        <w:tc>
          <w:tcPr/>
          <w:p w:rsidR="00000000" w:rsidDel="00000000" w:rsidP="00000000" w:rsidRDefault="00000000" w:rsidRPr="00000000" w14:paraId="00000128">
            <w:pPr>
              <w:rPr/>
            </w:pPr>
            <w:r w:rsidDel="00000000" w:rsidR="00000000" w:rsidRPr="00000000">
              <w:rPr>
                <w:rtl w:val="0"/>
              </w:rPr>
              <w:t xml:space="preserve">Medium</w:t>
            </w:r>
          </w:p>
        </w:tc>
      </w:tr>
      <w:tr>
        <w:trPr>
          <w:cantSplit w:val="0"/>
          <w:tblHeader w:val="0"/>
        </w:trPr>
        <w:tc>
          <w:tcPr/>
          <w:p w:rsidR="00000000" w:rsidDel="00000000" w:rsidP="00000000" w:rsidRDefault="00000000" w:rsidRPr="00000000" w14:paraId="00000129">
            <w:pPr>
              <w:rPr/>
            </w:pPr>
            <w:r w:rsidDel="00000000" w:rsidR="00000000" w:rsidRPr="00000000">
              <w:rPr>
                <w:rtl w:val="0"/>
              </w:rPr>
              <w:t xml:space="preserve">Operational synergy</w:t>
            </w:r>
          </w:p>
        </w:tc>
        <w:tc>
          <w:tcPr/>
          <w:p w:rsidR="00000000" w:rsidDel="00000000" w:rsidP="00000000" w:rsidRDefault="00000000" w:rsidRPr="00000000" w14:paraId="0000012A">
            <w:pPr>
              <w:rPr/>
            </w:pPr>
            <w:r w:rsidDel="00000000" w:rsidR="00000000" w:rsidRPr="00000000">
              <w:rPr>
                <w:rtl w:val="0"/>
              </w:rPr>
              <w:t xml:space="preserve">Low</w:t>
            </w:r>
          </w:p>
        </w:tc>
        <w:tc>
          <w:tcPr/>
          <w:p w:rsidR="00000000" w:rsidDel="00000000" w:rsidP="00000000" w:rsidRDefault="00000000" w:rsidRPr="00000000" w14:paraId="0000012B">
            <w:pPr>
              <w:rPr/>
            </w:pPr>
            <w:r w:rsidDel="00000000" w:rsidR="00000000" w:rsidRPr="00000000">
              <w:rPr>
                <w:rtl w:val="0"/>
              </w:rPr>
              <w:t xml:space="preserve">Medium</w:t>
            </w:r>
          </w:p>
        </w:tc>
        <w:tc>
          <w:tcPr/>
          <w:p w:rsidR="00000000" w:rsidDel="00000000" w:rsidP="00000000" w:rsidRDefault="00000000" w:rsidRPr="00000000" w14:paraId="0000012C">
            <w:pPr>
              <w:rPr/>
            </w:pPr>
            <w:r w:rsidDel="00000000" w:rsidR="00000000" w:rsidRPr="00000000">
              <w:rPr>
                <w:rtl w:val="0"/>
              </w:rPr>
              <w:t xml:space="preserve">High</w:t>
            </w:r>
          </w:p>
        </w:tc>
      </w:tr>
    </w:tbl>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c11k1k6f3v43" w:id="44"/>
      <w:bookmarkEnd w:id="44"/>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5: Impact of Restructuring Options on Shareholder Value. Source: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Based on the Financial Management module materials</w:t>
      </w:r>
    </w:p>
    <w:p w:rsidR="00000000" w:rsidDel="00000000" w:rsidP="00000000" w:rsidRDefault="00000000" w:rsidRPr="00000000" w14:paraId="0000012F">
      <w:pPr>
        <w:rPr/>
      </w:pPr>
      <w:r w:rsidDel="00000000" w:rsidR="00000000" w:rsidRPr="00000000">
        <w:rPr>
          <w:rtl w:val="0"/>
        </w:rPr>
        <w:t xml:space="preserve">A moderate strategy that incorporates selective disposition of assets and equity infusion would be a more effective measure to protect and increase shareholder value than the employment of a single measure (Hasanaj and Kuqi, 2019). The strategy minimises risk and has the potential to grow.</w:t>
      </w:r>
    </w:p>
    <w:p w:rsidR="00000000" w:rsidDel="00000000" w:rsidP="00000000" w:rsidRDefault="00000000" w:rsidRPr="00000000" w14:paraId="00000130">
      <w:pPr>
        <w:pStyle w:val="Heading2"/>
        <w:rPr/>
      </w:pPr>
      <w:bookmarkStart w:colFirst="0" w:colLast="0" w:name="_heading=h.n1yxgcn2v039" w:id="45"/>
      <w:bookmarkEnd w:id="45"/>
      <w:r w:rsidDel="00000000" w:rsidR="00000000" w:rsidRPr="00000000">
        <w:rPr>
          <w:rtl w:val="0"/>
        </w:rPr>
        <w:t xml:space="preserve">Impact on Debt Structure and Financial Risk</w:t>
      </w:r>
    </w:p>
    <w:p w:rsidR="00000000" w:rsidDel="00000000" w:rsidP="00000000" w:rsidRDefault="00000000" w:rsidRPr="00000000" w14:paraId="00000131">
      <w:pPr>
        <w:rPr/>
      </w:pPr>
      <w:r w:rsidDel="00000000" w:rsidR="00000000" w:rsidRPr="00000000">
        <w:rPr>
          <w:rtl w:val="0"/>
        </w:rPr>
        <w:t xml:space="preserve">The impact of financial restructuring on the debt structure of the company is direct. Selling out debt or reinforcing equity by new share issues reduces gearing and interest, and lowers the cost of equity (Pelekh, Khocha and Holovchak, 2020). This enhances the interest coverage and minimises the default risk. A better debt structure also enhances the association with the lenders and could enable better refinancing.</w:t>
      </w:r>
    </w:p>
    <w:p w:rsidR="00000000" w:rsidDel="00000000" w:rsidP="00000000" w:rsidRDefault="00000000" w:rsidRPr="00000000" w14:paraId="00000132">
      <w:pPr>
        <w:rPr/>
      </w:pPr>
      <w:r w:rsidDel="00000000" w:rsidR="00000000" w:rsidRPr="00000000">
        <w:rPr>
          <w:rtl w:val="0"/>
        </w:rPr>
        <w:t xml:space="preserve">Reduced debt enhances financial security and also lowers the sensitivity of the firm to fluctuations in interest rates. The reorganisation that will lead to a decrease in debt dependence will enhance the financial stability of the firm over the long run.</w:t>
      </w:r>
    </w:p>
    <w:p w:rsidR="00000000" w:rsidDel="00000000" w:rsidP="00000000" w:rsidRDefault="00000000" w:rsidRPr="00000000" w14:paraId="00000133">
      <w:pPr>
        <w:pStyle w:val="Heading2"/>
        <w:rPr/>
      </w:pPr>
      <w:bookmarkStart w:colFirst="0" w:colLast="0" w:name="_heading=h.gl5gzuiv71mh" w:id="46"/>
      <w:bookmarkEnd w:id="46"/>
      <w:r w:rsidDel="00000000" w:rsidR="00000000" w:rsidRPr="00000000">
        <w:rPr>
          <w:rtl w:val="0"/>
        </w:rPr>
        <w:t xml:space="preserve">Impact on Operational Flexibility</w:t>
      </w:r>
    </w:p>
    <w:p w:rsidR="00000000" w:rsidDel="00000000" w:rsidP="00000000" w:rsidRDefault="00000000" w:rsidRPr="00000000" w14:paraId="00000134">
      <w:pPr>
        <w:rPr/>
      </w:pPr>
      <w:r w:rsidDel="00000000" w:rsidR="00000000" w:rsidRPr="00000000">
        <w:rPr>
          <w:rtl w:val="0"/>
        </w:rPr>
        <w:t xml:space="preserve">The term operational flexibility is the capacity of the firm to react to fluctuations in demand, technology, and competition. The high levels of debt limit flexibility since the management is bound to pay the fixed interest and the repayment of debt. Restructuring allows the management to have more freedom in investing in innovation, enhancing efficiency, and adjusting to market changes because it would reduce debt and increase liquidity.</w:t>
      </w:r>
    </w:p>
    <w:p w:rsidR="00000000" w:rsidDel="00000000" w:rsidP="00000000" w:rsidRDefault="00000000" w:rsidRPr="00000000" w14:paraId="00000135">
      <w:pPr>
        <w:rPr/>
      </w:pPr>
      <w:r w:rsidDel="00000000" w:rsidR="00000000" w:rsidRPr="00000000">
        <w:rPr>
          <w:rtl w:val="0"/>
        </w:rPr>
        <w:t xml:space="preserve">Flexibility can also be enhanced through the sale of assets, as it enables the management to concentrate on what is important (Quesada, 2019). Equity financing leads to flexibility because it takes the pressure off financing and makes it possible to plan over the long run. </w:t>
      </w:r>
    </w:p>
    <w:p w:rsidR="00000000" w:rsidDel="00000000" w:rsidP="00000000" w:rsidRDefault="00000000" w:rsidRPr="00000000" w14:paraId="00000136">
      <w:pPr>
        <w:pStyle w:val="Heading2"/>
        <w:rPr/>
      </w:pPr>
      <w:bookmarkStart w:colFirst="0" w:colLast="0" w:name="_heading=h.hdsugtmh6op6" w:id="47"/>
      <w:bookmarkEnd w:id="47"/>
      <w:r w:rsidDel="00000000" w:rsidR="00000000" w:rsidRPr="00000000">
        <w:rPr>
          <w:rtl w:val="0"/>
        </w:rPr>
        <w:t xml:space="preserve">International and Ethical Considerations</w:t>
      </w:r>
    </w:p>
    <w:p w:rsidR="00000000" w:rsidDel="00000000" w:rsidP="00000000" w:rsidRDefault="00000000" w:rsidRPr="00000000" w14:paraId="00000137">
      <w:pPr>
        <w:rPr/>
      </w:pPr>
      <w:r w:rsidDel="00000000" w:rsidR="00000000" w:rsidRPr="00000000">
        <w:rPr>
          <w:rtl w:val="0"/>
        </w:rPr>
        <w:t xml:space="preserve">General Electronics is a global firm, and in the process of restructuring, the company should address international and ethical concerns. The tax regulations in various countries vary, and therefore, the sales of assets or mergers must be done with a lot of planning to ensure that they are not liable to incur additional expenses (Robert, Jennifer and Todd, 2023). Currency risk can influence the cash flow and asset values, whereas inflation can raise the operating costs and decrease profits. Another concern is ethical and CSR, since restructuring can have an impact on employees and communities. The reputation and long-term sustainability are supported by fair treatment, transparency, and responsible decisions.</w:t>
      </w:r>
    </w:p>
    <w:p w:rsidR="00000000" w:rsidDel="00000000" w:rsidP="00000000" w:rsidRDefault="00000000" w:rsidRPr="00000000" w14:paraId="00000138">
      <w:pPr>
        <w:pStyle w:val="Heading1"/>
        <w:rPr>
          <w:color w:val="000000"/>
        </w:rPr>
      </w:pPr>
      <w:bookmarkStart w:colFirst="0" w:colLast="0" w:name="_heading=h.4448rtb4ucye" w:id="48"/>
      <w:bookmarkEnd w:id="48"/>
      <w:r w:rsidDel="00000000" w:rsidR="00000000" w:rsidRPr="00000000">
        <w:rPr>
          <w:color w:val="000000"/>
          <w:rtl w:val="0"/>
        </w:rPr>
        <w:t xml:space="preserve">Investment Appraisal and Capital Budgeting</w:t>
      </w:r>
    </w:p>
    <w:p w:rsidR="00000000" w:rsidDel="00000000" w:rsidP="00000000" w:rsidRDefault="00000000" w:rsidRPr="00000000" w14:paraId="00000139">
      <w:pPr>
        <w:pStyle w:val="Heading2"/>
        <w:rPr/>
      </w:pPr>
      <w:bookmarkStart w:colFirst="0" w:colLast="0" w:name="_heading=h.xdde2xfyqf40" w:id="49"/>
      <w:bookmarkEnd w:id="49"/>
      <w:r w:rsidDel="00000000" w:rsidR="00000000" w:rsidRPr="00000000">
        <w:rPr>
          <w:rtl w:val="0"/>
        </w:rPr>
        <w:t xml:space="preserve">Introduction to Investment Appraisal</w:t>
      </w:r>
    </w:p>
    <w:p w:rsidR="00000000" w:rsidDel="00000000" w:rsidP="00000000" w:rsidRDefault="00000000" w:rsidRPr="00000000" w14:paraId="0000013A">
      <w:pPr>
        <w:rPr/>
      </w:pPr>
      <w:r w:rsidDel="00000000" w:rsidR="00000000" w:rsidRPr="00000000">
        <w:rPr>
          <w:rtl w:val="0"/>
        </w:rPr>
        <w:t xml:space="preserve">The most significant financial decision to make in relation to General Electronics is investment appraisal, as of late, it has not been performing very well. As demonstrated in previous sections, the company has been reporting a decline in profitability, poor liquidity, and financial risk. Any new investment, therefore, has to be weighed to ascertain that it will add value, enhance long-term performance and not add additional burden to cash flow. In this section, three hypothetical investment projects (A, B and C) have been evaluated using common capital budgeting methods discussed in the module. These methods are Payback Period (PBP), Accounting rate of return (ARR), Net Present Value (NPV), Profitability Index (PI) and Internal rate of return (IRR). The discount rate is considered to be 10 per cent., and the depreciation to zero in straight lines is used. </w:t>
      </w:r>
    </w:p>
    <w:p w:rsidR="00000000" w:rsidDel="00000000" w:rsidP="00000000" w:rsidRDefault="00000000" w:rsidRPr="00000000" w14:paraId="0000013B">
      <w:pPr>
        <w:pStyle w:val="Heading2"/>
        <w:rPr/>
      </w:pPr>
      <w:bookmarkStart w:colFirst="0" w:colLast="0" w:name="_heading=h.wnrbehp6s1fm" w:id="50"/>
      <w:bookmarkEnd w:id="50"/>
      <w:r w:rsidDel="00000000" w:rsidR="00000000" w:rsidRPr="00000000">
        <w:rPr>
          <w:rtl w:val="0"/>
        </w:rPr>
        <w:t xml:space="preserve">Project Details</w:t>
      </w:r>
    </w:p>
    <w:p w:rsidR="00000000" w:rsidDel="00000000" w:rsidP="00000000" w:rsidRDefault="00000000" w:rsidRPr="00000000" w14:paraId="0000013C">
      <w:pPr>
        <w:rPr/>
      </w:pPr>
      <w:r w:rsidDel="00000000" w:rsidR="00000000" w:rsidRPr="00000000">
        <w:rPr>
          <w:rtl w:val="0"/>
        </w:rPr>
        <w:t xml:space="preserve">In this investment appraisal, three suggested projects are taken: A, B, and C. Each of the projects demands an initial capital investment and gives a cash inflow of cash over a period of 5 years. Project A needs a starting investment of £40 million that gives rise to rising but moderate cash flows through time. In Project B, the liquid cash outflow is 30M, and the annual cash flows are stable at 6M. Project C is the biggest project, which needs 50 million pounds and yields greater but disproportionate cash flows as the years progress. Any inflows of cash are assumed to be made at the end of every year. The discount rate applied is 10% to indicate the cost of capital that the company has. The straight-line method of calculating depreciation is over a period of five years zero and the residual value is assumed to be zero. Simplistically, no taxation and inflation effects are taken into consideration, and all projects are supposed to have the same project life and risk basis to compare.</w:t>
      </w:r>
    </w:p>
    <w:tbl>
      <w:tblPr>
        <w:tblStyle w:val="Table6"/>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0"/>
        <w:gridCol w:w="1390"/>
        <w:gridCol w:w="1326"/>
        <w:gridCol w:w="1326"/>
        <w:gridCol w:w="1326"/>
        <w:gridCol w:w="1326"/>
        <w:gridCol w:w="1326"/>
        <w:tblGridChange w:id="0">
          <w:tblGrid>
            <w:gridCol w:w="1330"/>
            <w:gridCol w:w="1390"/>
            <w:gridCol w:w="1326"/>
            <w:gridCol w:w="1326"/>
            <w:gridCol w:w="1326"/>
            <w:gridCol w:w="1326"/>
            <w:gridCol w:w="1326"/>
          </w:tblGrid>
        </w:tblGridChange>
      </w:tblGrid>
      <w:tr>
        <w:trPr>
          <w:cantSplit w:val="0"/>
          <w:tblHeader w:val="0"/>
        </w:trPr>
        <w:tc>
          <w:tcPr/>
          <w:p w:rsidR="00000000" w:rsidDel="00000000" w:rsidP="00000000" w:rsidRDefault="00000000" w:rsidRPr="00000000" w14:paraId="0000013D">
            <w:pPr>
              <w:rPr/>
            </w:pPr>
            <w:bookmarkStart w:colFirst="0" w:colLast="0" w:name="_heading=h.ubtk4gnjxz84" w:id="51"/>
            <w:bookmarkEnd w:id="51"/>
            <w:r w:rsidDel="00000000" w:rsidR="00000000" w:rsidRPr="00000000">
              <w:rPr>
                <w:rtl w:val="0"/>
              </w:rPr>
              <w:t xml:space="preserve">Project</w:t>
            </w:r>
          </w:p>
        </w:tc>
        <w:tc>
          <w:tcPr/>
          <w:p w:rsidR="00000000" w:rsidDel="00000000" w:rsidP="00000000" w:rsidRDefault="00000000" w:rsidRPr="00000000" w14:paraId="0000013E">
            <w:pPr>
              <w:rPr/>
            </w:pPr>
            <w:r w:rsidDel="00000000" w:rsidR="00000000" w:rsidRPr="00000000">
              <w:rPr>
                <w:rtl w:val="0"/>
              </w:rPr>
              <w:t xml:space="preserve">Initial Investment (£m)</w:t>
            </w:r>
          </w:p>
        </w:tc>
        <w:tc>
          <w:tcPr/>
          <w:p w:rsidR="00000000" w:rsidDel="00000000" w:rsidP="00000000" w:rsidRDefault="00000000" w:rsidRPr="00000000" w14:paraId="0000013F">
            <w:pPr>
              <w:rPr/>
            </w:pPr>
            <w:r w:rsidDel="00000000" w:rsidR="00000000" w:rsidRPr="00000000">
              <w:rPr>
                <w:rtl w:val="0"/>
              </w:rPr>
              <w:t xml:space="preserve">Year 1</w:t>
            </w:r>
          </w:p>
        </w:tc>
        <w:tc>
          <w:tcPr/>
          <w:p w:rsidR="00000000" w:rsidDel="00000000" w:rsidP="00000000" w:rsidRDefault="00000000" w:rsidRPr="00000000" w14:paraId="00000140">
            <w:pPr>
              <w:rPr/>
            </w:pPr>
            <w:r w:rsidDel="00000000" w:rsidR="00000000" w:rsidRPr="00000000">
              <w:rPr>
                <w:rtl w:val="0"/>
              </w:rPr>
              <w:t xml:space="preserve">Year 2</w:t>
            </w:r>
          </w:p>
        </w:tc>
        <w:tc>
          <w:tcPr/>
          <w:p w:rsidR="00000000" w:rsidDel="00000000" w:rsidP="00000000" w:rsidRDefault="00000000" w:rsidRPr="00000000" w14:paraId="00000141">
            <w:pPr>
              <w:rPr/>
            </w:pPr>
            <w:r w:rsidDel="00000000" w:rsidR="00000000" w:rsidRPr="00000000">
              <w:rPr>
                <w:rtl w:val="0"/>
              </w:rPr>
              <w:t xml:space="preserve">Year 3</w:t>
            </w:r>
          </w:p>
        </w:tc>
        <w:tc>
          <w:tcPr/>
          <w:p w:rsidR="00000000" w:rsidDel="00000000" w:rsidP="00000000" w:rsidRDefault="00000000" w:rsidRPr="00000000" w14:paraId="00000142">
            <w:pPr>
              <w:rPr/>
            </w:pPr>
            <w:r w:rsidDel="00000000" w:rsidR="00000000" w:rsidRPr="00000000">
              <w:rPr>
                <w:rtl w:val="0"/>
              </w:rPr>
              <w:t xml:space="preserve">Year 4</w:t>
            </w:r>
          </w:p>
        </w:tc>
        <w:tc>
          <w:tcPr/>
          <w:p w:rsidR="00000000" w:rsidDel="00000000" w:rsidP="00000000" w:rsidRDefault="00000000" w:rsidRPr="00000000" w14:paraId="00000143">
            <w:pPr>
              <w:rPr/>
            </w:pPr>
            <w:r w:rsidDel="00000000" w:rsidR="00000000" w:rsidRPr="00000000">
              <w:rPr>
                <w:rtl w:val="0"/>
              </w:rPr>
              <w:t xml:space="preserve">Year 5</w:t>
            </w:r>
          </w:p>
        </w:tc>
      </w:tr>
      <w:tr>
        <w:trPr>
          <w:cantSplit w:val="0"/>
          <w:tblHeader w:val="0"/>
        </w:trPr>
        <w:tc>
          <w:tcPr/>
          <w:p w:rsidR="00000000" w:rsidDel="00000000" w:rsidP="00000000" w:rsidRDefault="00000000" w:rsidRPr="00000000" w14:paraId="00000144">
            <w:pPr>
              <w:rPr/>
            </w:pPr>
            <w:r w:rsidDel="00000000" w:rsidR="00000000" w:rsidRPr="00000000">
              <w:rPr>
                <w:rtl w:val="0"/>
              </w:rPr>
              <w:t xml:space="preserve">A</w:t>
            </w:r>
          </w:p>
        </w:tc>
        <w:tc>
          <w:tcPr/>
          <w:p w:rsidR="00000000" w:rsidDel="00000000" w:rsidP="00000000" w:rsidRDefault="00000000" w:rsidRPr="00000000" w14:paraId="00000145">
            <w:pPr>
              <w:rPr/>
            </w:pPr>
            <w:r w:rsidDel="00000000" w:rsidR="00000000" w:rsidRPr="00000000">
              <w:rPr>
                <w:rtl w:val="0"/>
              </w:rPr>
              <w:t xml:space="preserve">40</w:t>
            </w:r>
          </w:p>
        </w:tc>
        <w:tc>
          <w:tcPr/>
          <w:p w:rsidR="00000000" w:rsidDel="00000000" w:rsidP="00000000" w:rsidRDefault="00000000" w:rsidRPr="00000000" w14:paraId="00000146">
            <w:pPr>
              <w:rPr/>
            </w:pPr>
            <w:r w:rsidDel="00000000" w:rsidR="00000000" w:rsidRPr="00000000">
              <w:rPr>
                <w:rtl w:val="0"/>
              </w:rPr>
              <w:t xml:space="preserve">10</w:t>
            </w:r>
          </w:p>
        </w:tc>
        <w:tc>
          <w:tcPr/>
          <w:p w:rsidR="00000000" w:rsidDel="00000000" w:rsidP="00000000" w:rsidRDefault="00000000" w:rsidRPr="00000000" w14:paraId="00000147">
            <w:pPr>
              <w:rPr/>
            </w:pPr>
            <w:r w:rsidDel="00000000" w:rsidR="00000000" w:rsidRPr="00000000">
              <w:rPr>
                <w:rtl w:val="0"/>
              </w:rPr>
              <w:t xml:space="preserve">12</w:t>
            </w:r>
          </w:p>
        </w:tc>
        <w:tc>
          <w:tcPr/>
          <w:p w:rsidR="00000000" w:rsidDel="00000000" w:rsidP="00000000" w:rsidRDefault="00000000" w:rsidRPr="00000000" w14:paraId="00000148">
            <w:pPr>
              <w:rPr/>
            </w:pPr>
            <w:r w:rsidDel="00000000" w:rsidR="00000000" w:rsidRPr="00000000">
              <w:rPr>
                <w:rtl w:val="0"/>
              </w:rPr>
              <w:t xml:space="preserve">14</w:t>
            </w:r>
          </w:p>
        </w:tc>
        <w:tc>
          <w:tcPr/>
          <w:p w:rsidR="00000000" w:rsidDel="00000000" w:rsidP="00000000" w:rsidRDefault="00000000" w:rsidRPr="00000000" w14:paraId="00000149">
            <w:pPr>
              <w:rPr/>
            </w:pPr>
            <w:r w:rsidDel="00000000" w:rsidR="00000000" w:rsidRPr="00000000">
              <w:rPr>
                <w:rtl w:val="0"/>
              </w:rPr>
              <w:t xml:space="preserve">10</w:t>
            </w:r>
          </w:p>
        </w:tc>
        <w:tc>
          <w:tcPr/>
          <w:p w:rsidR="00000000" w:rsidDel="00000000" w:rsidP="00000000" w:rsidRDefault="00000000" w:rsidRPr="00000000" w14:paraId="0000014A">
            <w:pP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14B">
            <w:pPr>
              <w:rPr/>
            </w:pPr>
            <w:r w:rsidDel="00000000" w:rsidR="00000000" w:rsidRPr="00000000">
              <w:rPr>
                <w:rtl w:val="0"/>
              </w:rPr>
              <w:t xml:space="preserve">B</w:t>
            </w:r>
          </w:p>
        </w:tc>
        <w:tc>
          <w:tcPr/>
          <w:p w:rsidR="00000000" w:rsidDel="00000000" w:rsidP="00000000" w:rsidRDefault="00000000" w:rsidRPr="00000000" w14:paraId="0000014C">
            <w:pPr>
              <w:rPr/>
            </w:pPr>
            <w:r w:rsidDel="00000000" w:rsidR="00000000" w:rsidRPr="00000000">
              <w:rPr>
                <w:rtl w:val="0"/>
              </w:rPr>
              <w:t xml:space="preserve">30</w:t>
            </w:r>
          </w:p>
        </w:tc>
        <w:tc>
          <w:tcPr/>
          <w:p w:rsidR="00000000" w:rsidDel="00000000" w:rsidP="00000000" w:rsidRDefault="00000000" w:rsidRPr="00000000" w14:paraId="0000014D">
            <w:pPr>
              <w:rPr/>
            </w:pPr>
            <w:r w:rsidDel="00000000" w:rsidR="00000000" w:rsidRPr="00000000">
              <w:rPr>
                <w:rtl w:val="0"/>
              </w:rPr>
              <w:t xml:space="preserve">6</w:t>
            </w:r>
          </w:p>
        </w:tc>
        <w:tc>
          <w:tcPr/>
          <w:p w:rsidR="00000000" w:rsidDel="00000000" w:rsidP="00000000" w:rsidRDefault="00000000" w:rsidRPr="00000000" w14:paraId="0000014E">
            <w:pPr>
              <w:rPr/>
            </w:pPr>
            <w:r w:rsidDel="00000000" w:rsidR="00000000" w:rsidRPr="00000000">
              <w:rPr>
                <w:rtl w:val="0"/>
              </w:rPr>
              <w:t xml:space="preserve">6</w:t>
            </w:r>
          </w:p>
        </w:tc>
        <w:tc>
          <w:tcPr/>
          <w:p w:rsidR="00000000" w:rsidDel="00000000" w:rsidP="00000000" w:rsidRDefault="00000000" w:rsidRPr="00000000" w14:paraId="0000014F">
            <w:pPr>
              <w:rPr/>
            </w:pPr>
            <w:r w:rsidDel="00000000" w:rsidR="00000000" w:rsidRPr="00000000">
              <w:rPr>
                <w:rtl w:val="0"/>
              </w:rPr>
              <w:t xml:space="preserve">6</w:t>
            </w:r>
          </w:p>
        </w:tc>
        <w:tc>
          <w:tcPr/>
          <w:p w:rsidR="00000000" w:rsidDel="00000000" w:rsidP="00000000" w:rsidRDefault="00000000" w:rsidRPr="00000000" w14:paraId="00000150">
            <w:pPr>
              <w:rPr/>
            </w:pPr>
            <w:r w:rsidDel="00000000" w:rsidR="00000000" w:rsidRPr="00000000">
              <w:rPr>
                <w:rtl w:val="0"/>
              </w:rPr>
              <w:t xml:space="preserve">6</w:t>
            </w:r>
          </w:p>
        </w:tc>
        <w:tc>
          <w:tcPr/>
          <w:p w:rsidR="00000000" w:rsidDel="00000000" w:rsidP="00000000" w:rsidRDefault="00000000" w:rsidRPr="00000000" w14:paraId="00000151">
            <w:pP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152">
            <w:pPr>
              <w:rPr/>
            </w:pPr>
            <w:r w:rsidDel="00000000" w:rsidR="00000000" w:rsidRPr="00000000">
              <w:rPr>
                <w:rtl w:val="0"/>
              </w:rPr>
              <w:t xml:space="preserve">C</w:t>
            </w:r>
          </w:p>
        </w:tc>
        <w:tc>
          <w:tcPr/>
          <w:p w:rsidR="00000000" w:rsidDel="00000000" w:rsidP="00000000" w:rsidRDefault="00000000" w:rsidRPr="00000000" w14:paraId="00000153">
            <w:pPr>
              <w:rPr/>
            </w:pPr>
            <w:r w:rsidDel="00000000" w:rsidR="00000000" w:rsidRPr="00000000">
              <w:rPr>
                <w:rtl w:val="0"/>
              </w:rPr>
              <w:t xml:space="preserve">50</w:t>
            </w:r>
          </w:p>
        </w:tc>
        <w:tc>
          <w:tcPr/>
          <w:p w:rsidR="00000000" w:rsidDel="00000000" w:rsidP="00000000" w:rsidRDefault="00000000" w:rsidRPr="00000000" w14:paraId="00000154">
            <w:pPr>
              <w:rPr/>
            </w:pPr>
            <w:r w:rsidDel="00000000" w:rsidR="00000000" w:rsidRPr="00000000">
              <w:rPr>
                <w:rtl w:val="0"/>
              </w:rPr>
              <w:t xml:space="preserve">5</w:t>
            </w:r>
          </w:p>
        </w:tc>
        <w:tc>
          <w:tcPr/>
          <w:p w:rsidR="00000000" w:rsidDel="00000000" w:rsidP="00000000" w:rsidRDefault="00000000" w:rsidRPr="00000000" w14:paraId="00000155">
            <w:pPr>
              <w:rPr/>
            </w:pPr>
            <w:r w:rsidDel="00000000" w:rsidR="00000000" w:rsidRPr="00000000">
              <w:rPr>
                <w:rtl w:val="0"/>
              </w:rPr>
              <w:t xml:space="preserve">10</w:t>
            </w:r>
          </w:p>
        </w:tc>
        <w:tc>
          <w:tcPr/>
          <w:p w:rsidR="00000000" w:rsidDel="00000000" w:rsidP="00000000" w:rsidRDefault="00000000" w:rsidRPr="00000000" w14:paraId="00000156">
            <w:pPr>
              <w:rPr/>
            </w:pPr>
            <w:r w:rsidDel="00000000" w:rsidR="00000000" w:rsidRPr="00000000">
              <w:rPr>
                <w:rtl w:val="0"/>
              </w:rPr>
              <w:t xml:space="preserve">20</w:t>
            </w:r>
          </w:p>
        </w:tc>
        <w:tc>
          <w:tcPr/>
          <w:p w:rsidR="00000000" w:rsidDel="00000000" w:rsidP="00000000" w:rsidRDefault="00000000" w:rsidRPr="00000000" w14:paraId="00000157">
            <w:pPr>
              <w:rPr/>
            </w:pPr>
            <w:r w:rsidDel="00000000" w:rsidR="00000000" w:rsidRPr="00000000">
              <w:rPr>
                <w:rtl w:val="0"/>
              </w:rPr>
              <w:t xml:space="preserve">25</w:t>
            </w:r>
          </w:p>
        </w:tc>
        <w:tc>
          <w:tcPr/>
          <w:p w:rsidR="00000000" w:rsidDel="00000000" w:rsidP="00000000" w:rsidRDefault="00000000" w:rsidRPr="00000000" w14:paraId="00000158">
            <w:pPr>
              <w:rPr/>
            </w:pPr>
            <w:r w:rsidDel="00000000" w:rsidR="00000000" w:rsidRPr="00000000">
              <w:rPr>
                <w:rtl w:val="0"/>
              </w:rPr>
              <w:t xml:space="preserve">15</w:t>
            </w:r>
          </w:p>
        </w:tc>
      </w:tr>
    </w:tbl>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ndjnwpcgx05e" w:id="52"/>
      <w:bookmarkEnd w:id="52"/>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6: Project Cash Flow Details. Source: Assessment brief data</w:t>
      </w:r>
    </w:p>
    <w:p w:rsidR="00000000" w:rsidDel="00000000" w:rsidP="00000000" w:rsidRDefault="00000000" w:rsidRPr="00000000" w14:paraId="0000015A">
      <w:pPr>
        <w:jc w:val="center"/>
        <w:rPr/>
      </w:pPr>
      <w:r w:rsidDel="00000000" w:rsidR="00000000" w:rsidRPr="00000000">
        <w:rPr/>
        <w:drawing>
          <wp:inline distB="0" distT="0" distL="0" distR="0">
            <wp:extent cx="4572000" cy="2743200"/>
            <wp:docPr id="1922037531" name=""/>
            <a:graphic>
              <a:graphicData uri="http://schemas.openxmlformats.org/drawingml/2006/chart">
                <c:chart r:id="rId18"/>
              </a:graphicData>
            </a:graphic>
          </wp:inline>
        </w:drawing>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jq57rr738msw" w:id="53"/>
      <w:bookmarkEnd w:id="53"/>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11: Project Cash Flow Information</w:t>
      </w:r>
    </w:p>
    <w:p w:rsidR="00000000" w:rsidDel="00000000" w:rsidP="00000000" w:rsidRDefault="00000000" w:rsidRPr="00000000" w14:paraId="0000015C">
      <w:pPr>
        <w:pStyle w:val="Heading2"/>
        <w:rPr/>
      </w:pPr>
      <w:bookmarkStart w:colFirst="0" w:colLast="0" w:name="_heading=h.9ebyvcx4ch2l" w:id="54"/>
      <w:bookmarkEnd w:id="54"/>
      <w:r w:rsidDel="00000000" w:rsidR="00000000" w:rsidRPr="00000000">
        <w:rPr>
          <w:rtl w:val="0"/>
        </w:rPr>
        <w:t xml:space="preserve">Payback Period (PBP)</w:t>
      </w:r>
    </w:p>
    <w:p w:rsidR="00000000" w:rsidDel="00000000" w:rsidP="00000000" w:rsidRDefault="00000000" w:rsidRPr="00000000" w14:paraId="0000015D">
      <w:pPr>
        <w:rPr/>
      </w:pPr>
      <w:r w:rsidDel="00000000" w:rsidR="00000000" w:rsidRPr="00000000">
        <w:rPr>
          <w:rtl w:val="0"/>
        </w:rPr>
        <w:t xml:space="preserve">The payback period is a measure of the duration of time in which a project can recover its initial investment using net cash inflows. This would be a very appropriate technique to use in the case of General Electronics since the company is under liquidity pressure at the moment. The projects that have shorter payback periods would be mostly preferred, and this will minimise the chances of a shortage of cash.</w:t>
      </w:r>
    </w:p>
    <w:p w:rsidR="00000000" w:rsidDel="00000000" w:rsidP="00000000" w:rsidRDefault="00000000" w:rsidRPr="00000000" w14:paraId="0000015E">
      <w:pPr>
        <w:rPr/>
      </w:pPr>
      <w:r w:rsidDel="00000000" w:rsidR="00000000" w:rsidRPr="00000000">
        <w:rPr>
          <w:rtl w:val="0"/>
        </w:rPr>
        <w:t xml:space="preserve">Project A – Payback Calculation</w:t>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15F">
            <w:pPr>
              <w:rPr/>
            </w:pPr>
            <w:r w:rsidDel="00000000" w:rsidR="00000000" w:rsidRPr="00000000">
              <w:rPr>
                <w:rtl w:val="0"/>
              </w:rPr>
              <w:t xml:space="preserve">Year</w:t>
            </w:r>
          </w:p>
        </w:tc>
        <w:tc>
          <w:tcPr/>
          <w:p w:rsidR="00000000" w:rsidDel="00000000" w:rsidP="00000000" w:rsidRDefault="00000000" w:rsidRPr="00000000" w14:paraId="00000160">
            <w:pPr>
              <w:rPr>
                <w:b w:val="1"/>
                <w:bCs w:val="1"/>
              </w:rPr>
            </w:pPr>
            <w:r w:rsidDel="00000000" w:rsidR="00000000" w:rsidRPr="00000000">
              <w:rPr>
                <w:rtl w:val="0"/>
              </w:rPr>
              <w:t xml:space="preserve">Cash Inflow (£m)</w:t>
            </w:r>
            <w:r w:rsidDel="00000000" w:rsidR="00000000" w:rsidRPr="00000000">
              <w:rPr>
                <w:rtl w:val="0"/>
              </w:rPr>
            </w:r>
          </w:p>
        </w:tc>
        <w:tc>
          <w:tcPr/>
          <w:p w:rsidR="00000000" w:rsidDel="00000000" w:rsidP="00000000" w:rsidRDefault="00000000" w:rsidRPr="00000000" w14:paraId="00000161">
            <w:pPr>
              <w:rPr>
                <w:b w:val="1"/>
                <w:bCs w:val="1"/>
              </w:rPr>
            </w:pPr>
            <w:r w:rsidDel="00000000" w:rsidR="00000000" w:rsidRPr="00000000">
              <w:rPr>
                <w:rtl w:val="0"/>
              </w:rPr>
              <w:t xml:space="preserve">Cumulative Cash Flow (£m)</w:t>
            </w:r>
            <w:r w:rsidDel="00000000" w:rsidR="00000000" w:rsidRPr="00000000">
              <w:rPr>
                <w:rtl w:val="0"/>
              </w:rPr>
            </w:r>
          </w:p>
        </w:tc>
      </w:tr>
      <w:tr>
        <w:trPr>
          <w:cantSplit w:val="0"/>
          <w:tblHeader w:val="0"/>
        </w:trPr>
        <w:tc>
          <w:tcPr/>
          <w:p w:rsidR="00000000" w:rsidDel="00000000" w:rsidP="00000000" w:rsidRDefault="00000000" w:rsidRPr="00000000" w14:paraId="00000162">
            <w:pPr>
              <w:rPr/>
            </w:pPr>
            <w:r w:rsidDel="00000000" w:rsidR="00000000" w:rsidRPr="00000000">
              <w:rPr>
                <w:rtl w:val="0"/>
              </w:rPr>
              <w:t xml:space="preserve">0</w:t>
            </w:r>
          </w:p>
        </w:tc>
        <w:tc>
          <w:tcPr/>
          <w:p w:rsidR="00000000" w:rsidDel="00000000" w:rsidP="00000000" w:rsidRDefault="00000000" w:rsidRPr="00000000" w14:paraId="00000163">
            <w:pPr>
              <w:rPr/>
            </w:pPr>
            <w:r w:rsidDel="00000000" w:rsidR="00000000" w:rsidRPr="00000000">
              <w:rPr>
                <w:rtl w:val="0"/>
              </w:rPr>
              <w:t xml:space="preserve">- 40</w:t>
            </w:r>
          </w:p>
        </w:tc>
        <w:tc>
          <w:tcPr/>
          <w:p w:rsidR="00000000" w:rsidDel="00000000" w:rsidP="00000000" w:rsidRDefault="00000000" w:rsidRPr="00000000" w14:paraId="00000164">
            <w:pPr>
              <w:rPr/>
            </w:pPr>
            <w:r w:rsidDel="00000000" w:rsidR="00000000" w:rsidRPr="00000000">
              <w:rPr>
                <w:rtl w:val="0"/>
              </w:rPr>
              <w:t xml:space="preserve">- 40</w:t>
            </w:r>
          </w:p>
        </w:tc>
      </w:tr>
      <w:tr>
        <w:trPr>
          <w:cantSplit w:val="0"/>
          <w:tblHeader w:val="0"/>
        </w:trPr>
        <w:tc>
          <w:tcPr/>
          <w:p w:rsidR="00000000" w:rsidDel="00000000" w:rsidP="00000000" w:rsidRDefault="00000000" w:rsidRPr="00000000" w14:paraId="00000165">
            <w:pPr>
              <w:rPr/>
            </w:pPr>
            <w:r w:rsidDel="00000000" w:rsidR="00000000" w:rsidRPr="00000000">
              <w:rPr>
                <w:rtl w:val="0"/>
              </w:rPr>
              <w:t xml:space="preserve">1</w:t>
            </w:r>
          </w:p>
        </w:tc>
        <w:tc>
          <w:tcPr/>
          <w:p w:rsidR="00000000" w:rsidDel="00000000" w:rsidP="00000000" w:rsidRDefault="00000000" w:rsidRPr="00000000" w14:paraId="00000166">
            <w:pPr>
              <w:rPr/>
            </w:pPr>
            <w:r w:rsidDel="00000000" w:rsidR="00000000" w:rsidRPr="00000000">
              <w:rPr>
                <w:rtl w:val="0"/>
              </w:rPr>
              <w:t xml:space="preserve">10</w:t>
            </w:r>
          </w:p>
        </w:tc>
        <w:tc>
          <w:tcPr/>
          <w:p w:rsidR="00000000" w:rsidDel="00000000" w:rsidP="00000000" w:rsidRDefault="00000000" w:rsidRPr="00000000" w14:paraId="00000167">
            <w:pPr>
              <w:rPr/>
            </w:pPr>
            <w:r w:rsidDel="00000000" w:rsidR="00000000" w:rsidRPr="00000000">
              <w:rPr>
                <w:rtl w:val="0"/>
              </w:rPr>
              <w:t xml:space="preserve">- 30</w:t>
            </w:r>
          </w:p>
        </w:tc>
      </w:tr>
      <w:tr>
        <w:trPr>
          <w:cantSplit w:val="0"/>
          <w:tblHeader w:val="0"/>
        </w:trPr>
        <w:tc>
          <w:tcPr/>
          <w:p w:rsidR="00000000" w:rsidDel="00000000" w:rsidP="00000000" w:rsidRDefault="00000000" w:rsidRPr="00000000" w14:paraId="00000168">
            <w:pPr>
              <w:rPr/>
            </w:pPr>
            <w:r w:rsidDel="00000000" w:rsidR="00000000" w:rsidRPr="00000000">
              <w:rPr>
                <w:rtl w:val="0"/>
              </w:rPr>
              <w:t xml:space="preserve">2</w:t>
            </w:r>
          </w:p>
        </w:tc>
        <w:tc>
          <w:tcPr/>
          <w:p w:rsidR="00000000" w:rsidDel="00000000" w:rsidP="00000000" w:rsidRDefault="00000000" w:rsidRPr="00000000" w14:paraId="00000169">
            <w:pPr>
              <w:rPr/>
            </w:pPr>
            <w:r w:rsidDel="00000000" w:rsidR="00000000" w:rsidRPr="00000000">
              <w:rPr>
                <w:rtl w:val="0"/>
              </w:rPr>
              <w:t xml:space="preserve">12</w:t>
            </w:r>
          </w:p>
        </w:tc>
        <w:tc>
          <w:tcPr/>
          <w:p w:rsidR="00000000" w:rsidDel="00000000" w:rsidP="00000000" w:rsidRDefault="00000000" w:rsidRPr="00000000" w14:paraId="0000016A">
            <w:pPr>
              <w:rPr/>
            </w:pPr>
            <w:r w:rsidDel="00000000" w:rsidR="00000000" w:rsidRPr="00000000">
              <w:rPr>
                <w:rtl w:val="0"/>
              </w:rPr>
              <w:t xml:space="preserve">- 18</w:t>
            </w:r>
          </w:p>
        </w:tc>
      </w:tr>
      <w:tr>
        <w:trPr>
          <w:cantSplit w:val="0"/>
          <w:tblHeader w:val="0"/>
        </w:trPr>
        <w:tc>
          <w:tcPr/>
          <w:p w:rsidR="00000000" w:rsidDel="00000000" w:rsidP="00000000" w:rsidRDefault="00000000" w:rsidRPr="00000000" w14:paraId="0000016B">
            <w:pPr>
              <w:rPr/>
            </w:pPr>
            <w:r w:rsidDel="00000000" w:rsidR="00000000" w:rsidRPr="00000000">
              <w:rPr>
                <w:rtl w:val="0"/>
              </w:rPr>
              <w:t xml:space="preserve">3</w:t>
            </w:r>
          </w:p>
        </w:tc>
        <w:tc>
          <w:tcPr/>
          <w:p w:rsidR="00000000" w:rsidDel="00000000" w:rsidP="00000000" w:rsidRDefault="00000000" w:rsidRPr="00000000" w14:paraId="0000016C">
            <w:pPr>
              <w:rPr/>
            </w:pPr>
            <w:r w:rsidDel="00000000" w:rsidR="00000000" w:rsidRPr="00000000">
              <w:rPr>
                <w:rtl w:val="0"/>
              </w:rPr>
              <w:t xml:space="preserve">14</w:t>
            </w:r>
          </w:p>
        </w:tc>
        <w:tc>
          <w:tcPr/>
          <w:p w:rsidR="00000000" w:rsidDel="00000000" w:rsidP="00000000" w:rsidRDefault="00000000" w:rsidRPr="00000000" w14:paraId="0000016D">
            <w:pPr>
              <w:rPr/>
            </w:pPr>
            <w:r w:rsidDel="00000000" w:rsidR="00000000" w:rsidRPr="00000000">
              <w:rPr>
                <w:rtl w:val="0"/>
              </w:rPr>
              <w:t xml:space="preserve">- 4 </w:t>
            </w:r>
          </w:p>
        </w:tc>
      </w:tr>
      <w:tr>
        <w:trPr>
          <w:cantSplit w:val="0"/>
          <w:tblHeader w:val="0"/>
        </w:trPr>
        <w:tc>
          <w:tcPr/>
          <w:p w:rsidR="00000000" w:rsidDel="00000000" w:rsidP="00000000" w:rsidRDefault="00000000" w:rsidRPr="00000000" w14:paraId="0000016E">
            <w:pPr>
              <w:rPr/>
            </w:pPr>
            <w:r w:rsidDel="00000000" w:rsidR="00000000" w:rsidRPr="00000000">
              <w:rPr>
                <w:rtl w:val="0"/>
              </w:rPr>
              <w:t xml:space="preserve">4</w:t>
            </w:r>
          </w:p>
        </w:tc>
        <w:tc>
          <w:tcPr/>
          <w:p w:rsidR="00000000" w:rsidDel="00000000" w:rsidP="00000000" w:rsidRDefault="00000000" w:rsidRPr="00000000" w14:paraId="0000016F">
            <w:pPr>
              <w:rPr/>
            </w:pPr>
            <w:r w:rsidDel="00000000" w:rsidR="00000000" w:rsidRPr="00000000">
              <w:rPr>
                <w:rtl w:val="0"/>
              </w:rPr>
              <w:t xml:space="preserve">10</w:t>
            </w:r>
          </w:p>
        </w:tc>
        <w:tc>
          <w:tcPr/>
          <w:p w:rsidR="00000000" w:rsidDel="00000000" w:rsidP="00000000" w:rsidRDefault="00000000" w:rsidRPr="00000000" w14:paraId="00000170">
            <w:pPr>
              <w:rPr/>
            </w:pPr>
            <w:r w:rsidDel="00000000" w:rsidR="00000000" w:rsidRPr="00000000">
              <w:rPr>
                <w:rtl w:val="0"/>
              </w:rPr>
              <w:t xml:space="preserve">6</w:t>
            </w:r>
          </w:p>
        </w:tc>
      </w:tr>
    </w:tbl>
    <w:p w:rsidR="00000000" w:rsidDel="00000000" w:rsidP="00000000" w:rsidRDefault="00000000" w:rsidRPr="00000000" w14:paraId="00000171">
      <w:pPr>
        <w:rPr/>
      </w:pPr>
      <w:r w:rsidDel="00000000" w:rsidR="00000000" w:rsidRPr="00000000">
        <w:rPr>
          <w:rtl w:val="0"/>
        </w:rPr>
        <w:t xml:space="preserve">By the end of Year 3, the project has not completely recovered since it is yet to finish with the remaining amount of £4m pending. In Year 4, the cash inflow is £10m.</w:t>
      </w:r>
    </w:p>
    <w:p w:rsidR="00000000" w:rsidDel="00000000" w:rsidP="00000000" w:rsidRDefault="00000000" w:rsidRPr="00000000" w14:paraId="00000172">
      <w:pPr>
        <w:rPr/>
      </w:pPr>
      <w:r w:rsidDel="00000000" w:rsidR="00000000" w:rsidRPr="00000000">
        <w:rPr>
          <w:rtl w:val="0"/>
        </w:rPr>
        <w:t xml:space="preserve">Fraction of Year 4 required = 4 / 10 = 0.4</w:t>
      </w:r>
    </w:p>
    <w:p w:rsidR="00000000" w:rsidDel="00000000" w:rsidP="00000000" w:rsidRDefault="00000000" w:rsidRPr="00000000" w14:paraId="00000173">
      <w:pPr>
        <w:rPr/>
      </w:pPr>
      <w:r w:rsidDel="00000000" w:rsidR="00000000" w:rsidRPr="00000000">
        <w:rPr>
          <w:rtl w:val="0"/>
        </w:rPr>
        <w:t xml:space="preserve">Payback Period (Project A) = 3.4 years</w:t>
      </w:r>
    </w:p>
    <w:p w:rsidR="00000000" w:rsidDel="00000000" w:rsidP="00000000" w:rsidRDefault="00000000" w:rsidRPr="00000000" w14:paraId="00000174">
      <w:pPr>
        <w:rPr/>
      </w:pPr>
      <w:r w:rsidDel="00000000" w:rsidR="00000000" w:rsidRPr="00000000">
        <w:rPr>
          <w:rtl w:val="0"/>
        </w:rPr>
        <w:t xml:space="preserve">Project B – Payback Calculation</w:t>
      </w:r>
    </w:p>
    <w:tbl>
      <w:tblPr>
        <w:tblStyle w:val="Table8"/>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175">
            <w:pPr>
              <w:rPr/>
            </w:pPr>
            <w:r w:rsidDel="00000000" w:rsidR="00000000" w:rsidRPr="00000000">
              <w:rPr>
                <w:rtl w:val="0"/>
              </w:rPr>
              <w:t xml:space="preserve">Year</w:t>
            </w:r>
          </w:p>
        </w:tc>
        <w:tc>
          <w:tcPr/>
          <w:p w:rsidR="00000000" w:rsidDel="00000000" w:rsidP="00000000" w:rsidRDefault="00000000" w:rsidRPr="00000000" w14:paraId="00000176">
            <w:pPr>
              <w:rPr/>
            </w:pPr>
            <w:r w:rsidDel="00000000" w:rsidR="00000000" w:rsidRPr="00000000">
              <w:rPr>
                <w:rtl w:val="0"/>
              </w:rPr>
              <w:t xml:space="preserve">Cash Inflow (£m)</w:t>
            </w:r>
          </w:p>
        </w:tc>
        <w:tc>
          <w:tcPr/>
          <w:p w:rsidR="00000000" w:rsidDel="00000000" w:rsidP="00000000" w:rsidRDefault="00000000" w:rsidRPr="00000000" w14:paraId="00000177">
            <w:pPr>
              <w:rPr/>
            </w:pPr>
            <w:r w:rsidDel="00000000" w:rsidR="00000000" w:rsidRPr="00000000">
              <w:rPr>
                <w:rtl w:val="0"/>
              </w:rPr>
              <w:t xml:space="preserve">Cumulative Cash Flow (£m)</w:t>
            </w:r>
          </w:p>
        </w:tc>
      </w:tr>
      <w:tr>
        <w:trPr>
          <w:cantSplit w:val="0"/>
          <w:tblHeader w:val="0"/>
        </w:trPr>
        <w:tc>
          <w:tcPr/>
          <w:p w:rsidR="00000000" w:rsidDel="00000000" w:rsidP="00000000" w:rsidRDefault="00000000" w:rsidRPr="00000000" w14:paraId="00000178">
            <w:pPr>
              <w:rPr/>
            </w:pPr>
            <w:r w:rsidDel="00000000" w:rsidR="00000000" w:rsidRPr="00000000">
              <w:rPr>
                <w:rtl w:val="0"/>
              </w:rPr>
              <w:t xml:space="preserve">0</w:t>
            </w:r>
          </w:p>
        </w:tc>
        <w:tc>
          <w:tcPr/>
          <w:p w:rsidR="00000000" w:rsidDel="00000000" w:rsidP="00000000" w:rsidRDefault="00000000" w:rsidRPr="00000000" w14:paraId="00000179">
            <w:pPr>
              <w:rPr/>
            </w:pPr>
            <w:r w:rsidDel="00000000" w:rsidR="00000000" w:rsidRPr="00000000">
              <w:rPr>
                <w:rtl w:val="0"/>
              </w:rPr>
              <w:t xml:space="preserve">- 30</w:t>
            </w:r>
          </w:p>
        </w:tc>
        <w:tc>
          <w:tcPr/>
          <w:p w:rsidR="00000000" w:rsidDel="00000000" w:rsidP="00000000" w:rsidRDefault="00000000" w:rsidRPr="00000000" w14:paraId="0000017A">
            <w:pPr>
              <w:rPr/>
            </w:pPr>
            <w:r w:rsidDel="00000000" w:rsidR="00000000" w:rsidRPr="00000000">
              <w:rPr>
                <w:rtl w:val="0"/>
              </w:rPr>
              <w:t xml:space="preserve">- 30</w:t>
            </w:r>
          </w:p>
        </w:tc>
      </w:tr>
      <w:tr>
        <w:trPr>
          <w:cantSplit w:val="0"/>
          <w:tblHeader w:val="0"/>
        </w:trPr>
        <w:tc>
          <w:tcPr/>
          <w:p w:rsidR="00000000" w:rsidDel="00000000" w:rsidP="00000000" w:rsidRDefault="00000000" w:rsidRPr="00000000" w14:paraId="0000017B">
            <w:pPr>
              <w:rPr/>
            </w:pPr>
            <w:r w:rsidDel="00000000" w:rsidR="00000000" w:rsidRPr="00000000">
              <w:rPr>
                <w:rtl w:val="0"/>
              </w:rPr>
              <w:t xml:space="preserve">1</w:t>
            </w:r>
          </w:p>
        </w:tc>
        <w:tc>
          <w:tcPr/>
          <w:p w:rsidR="00000000" w:rsidDel="00000000" w:rsidP="00000000" w:rsidRDefault="00000000" w:rsidRPr="00000000" w14:paraId="0000017C">
            <w:pPr>
              <w:rPr/>
            </w:pPr>
            <w:r w:rsidDel="00000000" w:rsidR="00000000" w:rsidRPr="00000000">
              <w:rPr>
                <w:rtl w:val="0"/>
              </w:rPr>
              <w:t xml:space="preserve">6</w:t>
            </w:r>
          </w:p>
        </w:tc>
        <w:tc>
          <w:tcPr/>
          <w:p w:rsidR="00000000" w:rsidDel="00000000" w:rsidP="00000000" w:rsidRDefault="00000000" w:rsidRPr="00000000" w14:paraId="0000017D">
            <w:pPr>
              <w:rPr/>
            </w:pPr>
            <w:r w:rsidDel="00000000" w:rsidR="00000000" w:rsidRPr="00000000">
              <w:rPr>
                <w:rtl w:val="0"/>
              </w:rPr>
              <w:t xml:space="preserve">- 24</w:t>
            </w:r>
          </w:p>
        </w:tc>
      </w:tr>
      <w:tr>
        <w:trPr>
          <w:cantSplit w:val="0"/>
          <w:tblHeader w:val="0"/>
        </w:trPr>
        <w:tc>
          <w:tcPr/>
          <w:p w:rsidR="00000000" w:rsidDel="00000000" w:rsidP="00000000" w:rsidRDefault="00000000" w:rsidRPr="00000000" w14:paraId="0000017E">
            <w:pPr>
              <w:rPr/>
            </w:pPr>
            <w:r w:rsidDel="00000000" w:rsidR="00000000" w:rsidRPr="00000000">
              <w:rPr>
                <w:rtl w:val="0"/>
              </w:rPr>
              <w:t xml:space="preserve">2</w:t>
            </w:r>
          </w:p>
        </w:tc>
        <w:tc>
          <w:tcPr/>
          <w:p w:rsidR="00000000" w:rsidDel="00000000" w:rsidP="00000000" w:rsidRDefault="00000000" w:rsidRPr="00000000" w14:paraId="0000017F">
            <w:pPr>
              <w:rPr/>
            </w:pPr>
            <w:r w:rsidDel="00000000" w:rsidR="00000000" w:rsidRPr="00000000">
              <w:rPr>
                <w:rtl w:val="0"/>
              </w:rPr>
              <w:t xml:space="preserve">6</w:t>
            </w:r>
          </w:p>
        </w:tc>
        <w:tc>
          <w:tcPr/>
          <w:p w:rsidR="00000000" w:rsidDel="00000000" w:rsidP="00000000" w:rsidRDefault="00000000" w:rsidRPr="00000000" w14:paraId="00000180">
            <w:pPr>
              <w:rPr/>
            </w:pPr>
            <w:r w:rsidDel="00000000" w:rsidR="00000000" w:rsidRPr="00000000">
              <w:rPr>
                <w:rtl w:val="0"/>
              </w:rPr>
              <w:t xml:space="preserve">- 18</w:t>
            </w:r>
          </w:p>
        </w:tc>
      </w:tr>
      <w:tr>
        <w:trPr>
          <w:cantSplit w:val="0"/>
          <w:tblHeader w:val="0"/>
        </w:trPr>
        <w:tc>
          <w:tcPr/>
          <w:p w:rsidR="00000000" w:rsidDel="00000000" w:rsidP="00000000" w:rsidRDefault="00000000" w:rsidRPr="00000000" w14:paraId="00000181">
            <w:pPr>
              <w:rPr/>
            </w:pPr>
            <w:r w:rsidDel="00000000" w:rsidR="00000000" w:rsidRPr="00000000">
              <w:rPr>
                <w:rtl w:val="0"/>
              </w:rPr>
              <w:t xml:space="preserve">3</w:t>
            </w:r>
          </w:p>
        </w:tc>
        <w:tc>
          <w:tcPr/>
          <w:p w:rsidR="00000000" w:rsidDel="00000000" w:rsidP="00000000" w:rsidRDefault="00000000" w:rsidRPr="00000000" w14:paraId="00000182">
            <w:pPr>
              <w:rPr/>
            </w:pPr>
            <w:r w:rsidDel="00000000" w:rsidR="00000000" w:rsidRPr="00000000">
              <w:rPr>
                <w:rtl w:val="0"/>
              </w:rPr>
              <w:t xml:space="preserve">6</w:t>
            </w:r>
          </w:p>
        </w:tc>
        <w:tc>
          <w:tcPr/>
          <w:p w:rsidR="00000000" w:rsidDel="00000000" w:rsidP="00000000" w:rsidRDefault="00000000" w:rsidRPr="00000000" w14:paraId="00000183">
            <w:pPr>
              <w:rPr/>
            </w:pPr>
            <w:r w:rsidDel="00000000" w:rsidR="00000000" w:rsidRPr="00000000">
              <w:rPr>
                <w:rtl w:val="0"/>
              </w:rPr>
              <w:t xml:space="preserve">- 12</w:t>
            </w:r>
          </w:p>
        </w:tc>
      </w:tr>
      <w:tr>
        <w:trPr>
          <w:cantSplit w:val="0"/>
          <w:tblHeader w:val="0"/>
        </w:trPr>
        <w:tc>
          <w:tcPr/>
          <w:p w:rsidR="00000000" w:rsidDel="00000000" w:rsidP="00000000" w:rsidRDefault="00000000" w:rsidRPr="00000000" w14:paraId="00000184">
            <w:pPr>
              <w:rPr/>
            </w:pPr>
            <w:r w:rsidDel="00000000" w:rsidR="00000000" w:rsidRPr="00000000">
              <w:rPr>
                <w:rtl w:val="0"/>
              </w:rPr>
              <w:t xml:space="preserve">4</w:t>
            </w:r>
          </w:p>
        </w:tc>
        <w:tc>
          <w:tcPr/>
          <w:p w:rsidR="00000000" w:rsidDel="00000000" w:rsidP="00000000" w:rsidRDefault="00000000" w:rsidRPr="00000000" w14:paraId="00000185">
            <w:pPr>
              <w:rPr/>
            </w:pPr>
            <w:r w:rsidDel="00000000" w:rsidR="00000000" w:rsidRPr="00000000">
              <w:rPr>
                <w:rtl w:val="0"/>
              </w:rPr>
              <w:t xml:space="preserve">6</w:t>
            </w:r>
          </w:p>
        </w:tc>
        <w:tc>
          <w:tcPr/>
          <w:p w:rsidR="00000000" w:rsidDel="00000000" w:rsidP="00000000" w:rsidRDefault="00000000" w:rsidRPr="00000000" w14:paraId="00000186">
            <w:pPr>
              <w:rPr/>
            </w:pPr>
            <w:r w:rsidDel="00000000" w:rsidR="00000000" w:rsidRPr="00000000">
              <w:rPr>
                <w:rtl w:val="0"/>
              </w:rPr>
              <w:t xml:space="preserve">- 6</w:t>
            </w:r>
          </w:p>
        </w:tc>
      </w:tr>
      <w:tr>
        <w:trPr>
          <w:cantSplit w:val="0"/>
          <w:tblHeader w:val="0"/>
        </w:trPr>
        <w:tc>
          <w:tcPr/>
          <w:p w:rsidR="00000000" w:rsidDel="00000000" w:rsidP="00000000" w:rsidRDefault="00000000" w:rsidRPr="00000000" w14:paraId="00000187">
            <w:pPr>
              <w:rPr/>
            </w:pPr>
            <w:r w:rsidDel="00000000" w:rsidR="00000000" w:rsidRPr="00000000">
              <w:rPr>
                <w:rtl w:val="0"/>
              </w:rPr>
              <w:t xml:space="preserve">5</w:t>
            </w:r>
          </w:p>
        </w:tc>
        <w:tc>
          <w:tcPr/>
          <w:p w:rsidR="00000000" w:rsidDel="00000000" w:rsidP="00000000" w:rsidRDefault="00000000" w:rsidRPr="00000000" w14:paraId="00000188">
            <w:pPr>
              <w:rPr/>
            </w:pPr>
            <w:r w:rsidDel="00000000" w:rsidR="00000000" w:rsidRPr="00000000">
              <w:rPr>
                <w:rtl w:val="0"/>
              </w:rPr>
              <w:t xml:space="preserve">6</w:t>
            </w:r>
          </w:p>
        </w:tc>
        <w:tc>
          <w:tcPr/>
          <w:p w:rsidR="00000000" w:rsidDel="00000000" w:rsidP="00000000" w:rsidRDefault="00000000" w:rsidRPr="00000000" w14:paraId="00000189">
            <w:pPr>
              <w:rPr/>
            </w:pPr>
            <w:r w:rsidDel="00000000" w:rsidR="00000000" w:rsidRPr="00000000">
              <w:rPr>
                <w:rtl w:val="0"/>
              </w:rPr>
              <w:t xml:space="preserve">0</w:t>
            </w:r>
          </w:p>
        </w:tc>
      </w:tr>
    </w:tbl>
    <w:p w:rsidR="00000000" w:rsidDel="00000000" w:rsidP="00000000" w:rsidRDefault="00000000" w:rsidRPr="00000000" w14:paraId="0000018A">
      <w:pPr>
        <w:rPr/>
      </w:pPr>
      <w:r w:rsidDel="00000000" w:rsidR="00000000" w:rsidRPr="00000000">
        <w:rPr>
          <w:rtl w:val="0"/>
        </w:rPr>
        <w:t xml:space="preserve">Payback Period (Project B) = 5 years</w:t>
      </w:r>
    </w:p>
    <w:p w:rsidR="00000000" w:rsidDel="00000000" w:rsidP="00000000" w:rsidRDefault="00000000" w:rsidRPr="00000000" w14:paraId="0000018B">
      <w:pPr>
        <w:rPr/>
      </w:pPr>
      <w:r w:rsidDel="00000000" w:rsidR="00000000" w:rsidRPr="00000000">
        <w:rPr>
          <w:rtl w:val="0"/>
        </w:rPr>
        <w:t xml:space="preserve">Project C – Payback Calculation</w:t>
      </w:r>
    </w:p>
    <w:tbl>
      <w:tblPr>
        <w:tblStyle w:val="Table9"/>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18C">
            <w:pPr>
              <w:rPr/>
            </w:pPr>
            <w:r w:rsidDel="00000000" w:rsidR="00000000" w:rsidRPr="00000000">
              <w:rPr>
                <w:rtl w:val="0"/>
              </w:rPr>
              <w:t xml:space="preserve">Year</w:t>
            </w:r>
          </w:p>
        </w:tc>
        <w:tc>
          <w:tcPr/>
          <w:p w:rsidR="00000000" w:rsidDel="00000000" w:rsidP="00000000" w:rsidRDefault="00000000" w:rsidRPr="00000000" w14:paraId="0000018D">
            <w:pPr>
              <w:rPr/>
            </w:pPr>
            <w:r w:rsidDel="00000000" w:rsidR="00000000" w:rsidRPr="00000000">
              <w:rPr>
                <w:rtl w:val="0"/>
              </w:rPr>
              <w:t xml:space="preserve">Cash Inflow (£m)</w:t>
            </w:r>
          </w:p>
        </w:tc>
        <w:tc>
          <w:tcPr/>
          <w:p w:rsidR="00000000" w:rsidDel="00000000" w:rsidP="00000000" w:rsidRDefault="00000000" w:rsidRPr="00000000" w14:paraId="0000018E">
            <w:pPr>
              <w:rPr/>
            </w:pPr>
            <w:r w:rsidDel="00000000" w:rsidR="00000000" w:rsidRPr="00000000">
              <w:rPr>
                <w:rtl w:val="0"/>
              </w:rPr>
              <w:t xml:space="preserve">Cumulative Cash Flow (£m)</w:t>
            </w:r>
          </w:p>
        </w:tc>
      </w:tr>
      <w:tr>
        <w:trPr>
          <w:cantSplit w:val="0"/>
          <w:tblHeader w:val="0"/>
        </w:trPr>
        <w:tc>
          <w:tcPr/>
          <w:p w:rsidR="00000000" w:rsidDel="00000000" w:rsidP="00000000" w:rsidRDefault="00000000" w:rsidRPr="00000000" w14:paraId="0000018F">
            <w:pPr>
              <w:rPr/>
            </w:pPr>
            <w:r w:rsidDel="00000000" w:rsidR="00000000" w:rsidRPr="00000000">
              <w:rPr>
                <w:rtl w:val="0"/>
              </w:rPr>
              <w:t xml:space="preserve">0</w:t>
            </w:r>
          </w:p>
        </w:tc>
        <w:tc>
          <w:tcPr/>
          <w:p w:rsidR="00000000" w:rsidDel="00000000" w:rsidP="00000000" w:rsidRDefault="00000000" w:rsidRPr="00000000" w14:paraId="00000190">
            <w:pPr>
              <w:rPr/>
            </w:pPr>
            <w:r w:rsidDel="00000000" w:rsidR="00000000" w:rsidRPr="00000000">
              <w:rPr>
                <w:rtl w:val="0"/>
              </w:rPr>
              <w:t xml:space="preserve">- 50</w:t>
            </w:r>
          </w:p>
        </w:tc>
        <w:tc>
          <w:tcPr/>
          <w:p w:rsidR="00000000" w:rsidDel="00000000" w:rsidP="00000000" w:rsidRDefault="00000000" w:rsidRPr="00000000" w14:paraId="00000191">
            <w:pPr>
              <w:rPr/>
            </w:pPr>
            <w:r w:rsidDel="00000000" w:rsidR="00000000" w:rsidRPr="00000000">
              <w:rPr>
                <w:rtl w:val="0"/>
              </w:rPr>
              <w:t xml:space="preserve">- 50</w:t>
            </w:r>
          </w:p>
        </w:tc>
      </w:tr>
      <w:tr>
        <w:trPr>
          <w:cantSplit w:val="0"/>
          <w:tblHeader w:val="0"/>
        </w:trPr>
        <w:tc>
          <w:tcPr/>
          <w:p w:rsidR="00000000" w:rsidDel="00000000" w:rsidP="00000000" w:rsidRDefault="00000000" w:rsidRPr="00000000" w14:paraId="00000192">
            <w:pPr>
              <w:rPr/>
            </w:pPr>
            <w:r w:rsidDel="00000000" w:rsidR="00000000" w:rsidRPr="00000000">
              <w:rPr>
                <w:rtl w:val="0"/>
              </w:rPr>
              <w:t xml:space="preserve">1</w:t>
            </w:r>
          </w:p>
        </w:tc>
        <w:tc>
          <w:tcPr/>
          <w:p w:rsidR="00000000" w:rsidDel="00000000" w:rsidP="00000000" w:rsidRDefault="00000000" w:rsidRPr="00000000" w14:paraId="00000193">
            <w:pPr>
              <w:rPr/>
            </w:pPr>
            <w:r w:rsidDel="00000000" w:rsidR="00000000" w:rsidRPr="00000000">
              <w:rPr>
                <w:rtl w:val="0"/>
              </w:rPr>
              <w:t xml:space="preserve">5</w:t>
            </w:r>
          </w:p>
        </w:tc>
        <w:tc>
          <w:tcPr/>
          <w:p w:rsidR="00000000" w:rsidDel="00000000" w:rsidP="00000000" w:rsidRDefault="00000000" w:rsidRPr="00000000" w14:paraId="00000194">
            <w:pPr>
              <w:rPr/>
            </w:pPr>
            <w:r w:rsidDel="00000000" w:rsidR="00000000" w:rsidRPr="00000000">
              <w:rPr>
                <w:rtl w:val="0"/>
              </w:rPr>
              <w:t xml:space="preserve">- 45</w:t>
            </w:r>
          </w:p>
        </w:tc>
      </w:tr>
      <w:tr>
        <w:trPr>
          <w:cantSplit w:val="0"/>
          <w:tblHeader w:val="0"/>
        </w:trPr>
        <w:tc>
          <w:tcPr/>
          <w:p w:rsidR="00000000" w:rsidDel="00000000" w:rsidP="00000000" w:rsidRDefault="00000000" w:rsidRPr="00000000" w14:paraId="00000195">
            <w:pPr>
              <w:rPr/>
            </w:pPr>
            <w:r w:rsidDel="00000000" w:rsidR="00000000" w:rsidRPr="00000000">
              <w:rPr>
                <w:rtl w:val="0"/>
              </w:rPr>
              <w:t xml:space="preserve">2</w:t>
            </w:r>
          </w:p>
        </w:tc>
        <w:tc>
          <w:tcPr/>
          <w:p w:rsidR="00000000" w:rsidDel="00000000" w:rsidP="00000000" w:rsidRDefault="00000000" w:rsidRPr="00000000" w14:paraId="00000196">
            <w:pPr>
              <w:rPr/>
            </w:pPr>
            <w:r w:rsidDel="00000000" w:rsidR="00000000" w:rsidRPr="00000000">
              <w:rPr>
                <w:rtl w:val="0"/>
              </w:rPr>
              <w:t xml:space="preserve">10</w:t>
            </w:r>
          </w:p>
        </w:tc>
        <w:tc>
          <w:tcPr/>
          <w:p w:rsidR="00000000" w:rsidDel="00000000" w:rsidP="00000000" w:rsidRDefault="00000000" w:rsidRPr="00000000" w14:paraId="00000197">
            <w:pPr>
              <w:rPr/>
            </w:pPr>
            <w:r w:rsidDel="00000000" w:rsidR="00000000" w:rsidRPr="00000000">
              <w:rPr>
                <w:rtl w:val="0"/>
              </w:rPr>
              <w:t xml:space="preserve">- 35</w:t>
            </w:r>
          </w:p>
        </w:tc>
      </w:tr>
      <w:tr>
        <w:trPr>
          <w:cantSplit w:val="0"/>
          <w:tblHeader w:val="0"/>
        </w:trPr>
        <w:tc>
          <w:tcPr/>
          <w:p w:rsidR="00000000" w:rsidDel="00000000" w:rsidP="00000000" w:rsidRDefault="00000000" w:rsidRPr="00000000" w14:paraId="00000198">
            <w:pPr>
              <w:rPr/>
            </w:pPr>
            <w:r w:rsidDel="00000000" w:rsidR="00000000" w:rsidRPr="00000000">
              <w:rPr>
                <w:rtl w:val="0"/>
              </w:rPr>
              <w:t xml:space="preserve">3</w:t>
            </w:r>
          </w:p>
        </w:tc>
        <w:tc>
          <w:tcPr/>
          <w:p w:rsidR="00000000" w:rsidDel="00000000" w:rsidP="00000000" w:rsidRDefault="00000000" w:rsidRPr="00000000" w14:paraId="00000199">
            <w:pPr>
              <w:rPr/>
            </w:pPr>
            <w:r w:rsidDel="00000000" w:rsidR="00000000" w:rsidRPr="00000000">
              <w:rPr>
                <w:rtl w:val="0"/>
              </w:rPr>
              <w:t xml:space="preserve">20</w:t>
            </w:r>
          </w:p>
        </w:tc>
        <w:tc>
          <w:tcPr/>
          <w:p w:rsidR="00000000" w:rsidDel="00000000" w:rsidP="00000000" w:rsidRDefault="00000000" w:rsidRPr="00000000" w14:paraId="0000019A">
            <w:pPr>
              <w:rPr/>
            </w:pPr>
            <w:r w:rsidDel="00000000" w:rsidR="00000000" w:rsidRPr="00000000">
              <w:rPr>
                <w:rtl w:val="0"/>
              </w:rPr>
              <w:t xml:space="preserve">- 15</w:t>
            </w:r>
          </w:p>
        </w:tc>
      </w:tr>
      <w:tr>
        <w:trPr>
          <w:cantSplit w:val="0"/>
          <w:tblHeader w:val="0"/>
        </w:trPr>
        <w:tc>
          <w:tcPr/>
          <w:p w:rsidR="00000000" w:rsidDel="00000000" w:rsidP="00000000" w:rsidRDefault="00000000" w:rsidRPr="00000000" w14:paraId="0000019B">
            <w:pPr>
              <w:rPr/>
            </w:pPr>
            <w:r w:rsidDel="00000000" w:rsidR="00000000" w:rsidRPr="00000000">
              <w:rPr>
                <w:rtl w:val="0"/>
              </w:rPr>
              <w:t xml:space="preserve">4</w:t>
            </w:r>
          </w:p>
        </w:tc>
        <w:tc>
          <w:tcPr/>
          <w:p w:rsidR="00000000" w:rsidDel="00000000" w:rsidP="00000000" w:rsidRDefault="00000000" w:rsidRPr="00000000" w14:paraId="0000019C">
            <w:pPr>
              <w:rPr/>
            </w:pPr>
            <w:r w:rsidDel="00000000" w:rsidR="00000000" w:rsidRPr="00000000">
              <w:rPr>
                <w:rtl w:val="0"/>
              </w:rPr>
              <w:t xml:space="preserve">25</w:t>
            </w:r>
          </w:p>
        </w:tc>
        <w:tc>
          <w:tcPr/>
          <w:p w:rsidR="00000000" w:rsidDel="00000000" w:rsidP="00000000" w:rsidRDefault="00000000" w:rsidRPr="00000000" w14:paraId="0000019D">
            <w:pPr>
              <w:rPr/>
            </w:pPr>
            <w:r w:rsidDel="00000000" w:rsidR="00000000" w:rsidRPr="00000000">
              <w:rPr>
                <w:rtl w:val="0"/>
              </w:rPr>
              <w:t xml:space="preserve">10</w:t>
            </w:r>
          </w:p>
        </w:tc>
      </w:tr>
    </w:tbl>
    <w:p w:rsidR="00000000" w:rsidDel="00000000" w:rsidP="00000000" w:rsidRDefault="00000000" w:rsidRPr="00000000" w14:paraId="0000019E">
      <w:pPr>
        <w:rPr/>
      </w:pPr>
      <w:r w:rsidDel="00000000" w:rsidR="00000000" w:rsidRPr="00000000">
        <w:rPr>
          <w:rtl w:val="0"/>
        </w:rPr>
        <w:t xml:space="preserve">Remaining amount after Year 3 = £15m</w:t>
      </w:r>
    </w:p>
    <w:p w:rsidR="00000000" w:rsidDel="00000000" w:rsidP="00000000" w:rsidRDefault="00000000" w:rsidRPr="00000000" w14:paraId="0000019F">
      <w:pPr>
        <w:rPr/>
      </w:pPr>
      <w:r w:rsidDel="00000000" w:rsidR="00000000" w:rsidRPr="00000000">
        <w:rPr>
          <w:rtl w:val="0"/>
        </w:rPr>
        <w:t xml:space="preserve">Fraction of Year 4 = 15 / 25 = 0.6</w:t>
      </w:r>
    </w:p>
    <w:p w:rsidR="00000000" w:rsidDel="00000000" w:rsidP="00000000" w:rsidRDefault="00000000" w:rsidRPr="00000000" w14:paraId="000001A0">
      <w:pPr>
        <w:rPr>
          <w:b w:val="0"/>
          <w:bCs w:val="0"/>
        </w:rPr>
      </w:pPr>
      <w:r w:rsidDel="00000000" w:rsidR="00000000" w:rsidRPr="00000000">
        <w:rPr>
          <w:b w:val="0"/>
          <w:bCs w:val="0"/>
          <w:rtl w:val="0"/>
        </w:rPr>
        <w:t xml:space="preserve">Payback Period (Project C) = 3.6 years</w:t>
      </w:r>
    </w:p>
    <w:p w:rsidR="00000000" w:rsidDel="00000000" w:rsidP="00000000" w:rsidRDefault="00000000" w:rsidRPr="00000000" w14:paraId="000001A1">
      <w:pPr>
        <w:jc w:val="center"/>
        <w:rPr/>
      </w:pPr>
      <w:r w:rsidDel="00000000" w:rsidR="00000000" w:rsidRPr="00000000">
        <w:rPr/>
        <w:drawing>
          <wp:inline distB="0" distT="0" distL="0" distR="0">
            <wp:extent cx="4572000" cy="2743200"/>
            <wp:docPr id="1922037533" name=""/>
            <a:graphic>
              <a:graphicData uri="http://schemas.openxmlformats.org/drawingml/2006/chart">
                <c:chart r:id="rId19"/>
              </a:graphicData>
            </a:graphic>
          </wp:inline>
        </w:drawing>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36"/>
          <w:szCs w:val="36"/>
          <w:u w:val="none"/>
          <w:shd w:fill="auto" w:val="clear"/>
          <w:vertAlign w:val="baseline"/>
        </w:rPr>
      </w:pPr>
      <w:bookmarkStart w:colFirst="0" w:colLast="0" w:name="_heading=h.9v58pgdoa7zq" w:id="55"/>
      <w:bookmarkEnd w:id="55"/>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12: Payback Period (PBP)</w:t>
      </w: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The payback period of Project A is shorter than that of Project C, which leads to Project B taking the entire lifespan of five years to recover its capital, hence the least appealing in terms of liquidity. Considering the poor cash position of General Electronics, it is better to have a shorter payback.</w:t>
      </w:r>
    </w:p>
    <w:p w:rsidR="00000000" w:rsidDel="00000000" w:rsidP="00000000" w:rsidRDefault="00000000" w:rsidRPr="00000000" w14:paraId="000001A4">
      <w:pPr>
        <w:pStyle w:val="Heading2"/>
        <w:rPr/>
      </w:pPr>
      <w:bookmarkStart w:colFirst="0" w:colLast="0" w:name="_heading=h.9mt6joaa5wvs" w:id="56"/>
      <w:bookmarkEnd w:id="56"/>
      <w:r w:rsidDel="00000000" w:rsidR="00000000" w:rsidRPr="00000000">
        <w:rPr>
          <w:rtl w:val="0"/>
        </w:rPr>
        <w:t xml:space="preserve">Accounting Rate of Return (ARR)</w:t>
      </w:r>
    </w:p>
    <w:p w:rsidR="00000000" w:rsidDel="00000000" w:rsidP="00000000" w:rsidRDefault="00000000" w:rsidRPr="00000000" w14:paraId="000001A5">
      <w:pPr>
        <w:rPr/>
      </w:pPr>
      <w:r w:rsidDel="00000000" w:rsidR="00000000" w:rsidRPr="00000000">
        <w:rPr>
          <w:rtl w:val="0"/>
        </w:rPr>
        <w:t xml:space="preserve">ARR is a percentage of average accounting profit against average investment. ARR, unlike the payback, takes into account profitability, whereas it does not take into account the time value of money.</w:t>
      </w:r>
    </w:p>
    <w:p w:rsidR="00000000" w:rsidDel="00000000" w:rsidP="00000000" w:rsidRDefault="00000000" w:rsidRPr="00000000" w14:paraId="000001A6">
      <w:pPr>
        <w:rPr/>
      </w:pPr>
      <w:r w:rsidDel="00000000" w:rsidR="00000000" w:rsidRPr="00000000">
        <w:rPr>
          <w:rtl w:val="0"/>
        </w:rPr>
        <w:t xml:space="preserve">Step 1: Depreciation</w:t>
      </w:r>
    </w:p>
    <w:p w:rsidR="00000000" w:rsidDel="00000000" w:rsidP="00000000" w:rsidRDefault="00000000" w:rsidRPr="00000000" w14:paraId="000001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A: £40m / 5 = £8m per year</w:t>
      </w:r>
    </w:p>
    <w:p w:rsidR="00000000" w:rsidDel="00000000" w:rsidP="00000000" w:rsidRDefault="00000000" w:rsidRPr="00000000" w14:paraId="000001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B: £30m / 5 = £6m per year</w:t>
      </w:r>
    </w:p>
    <w:p w:rsidR="00000000" w:rsidDel="00000000" w:rsidP="00000000" w:rsidRDefault="00000000" w:rsidRPr="00000000" w14:paraId="000001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C: £50m / 5 = £10m per year</w:t>
      </w:r>
    </w:p>
    <w:p w:rsidR="00000000" w:rsidDel="00000000" w:rsidP="00000000" w:rsidRDefault="00000000" w:rsidRPr="00000000" w14:paraId="000001AA">
      <w:pPr>
        <w:rPr/>
      </w:pPr>
      <w:r w:rsidDel="00000000" w:rsidR="00000000" w:rsidRPr="00000000">
        <w:rPr>
          <w:rtl w:val="0"/>
        </w:rPr>
        <w:t xml:space="preserve">Step 2: Average Profit and ARR</w:t>
      </w:r>
    </w:p>
    <w:p w:rsidR="00000000" w:rsidDel="00000000" w:rsidP="00000000" w:rsidRDefault="00000000" w:rsidRPr="00000000" w14:paraId="000001AB">
      <w:pPr>
        <w:rPr/>
      </w:pPr>
      <w:r w:rsidDel="00000000" w:rsidR="00000000" w:rsidRPr="00000000">
        <w:rPr>
          <w:rtl w:val="0"/>
        </w:rPr>
        <w:t xml:space="preserve">Project A</w:t>
      </w:r>
    </w:p>
    <w:p w:rsidR="00000000" w:rsidDel="00000000" w:rsidP="00000000" w:rsidRDefault="00000000" w:rsidRPr="00000000" w14:paraId="000001AC">
      <w:pPr>
        <w:rPr/>
      </w:pPr>
      <w:r w:rsidDel="00000000" w:rsidR="00000000" w:rsidRPr="00000000">
        <w:rPr>
          <w:rtl w:val="0"/>
        </w:rPr>
        <w:t xml:space="preserve">Total inflows = £54m</w:t>
      </w:r>
    </w:p>
    <w:p w:rsidR="00000000" w:rsidDel="00000000" w:rsidP="00000000" w:rsidRDefault="00000000" w:rsidRPr="00000000" w14:paraId="000001AD">
      <w:pPr>
        <w:rPr/>
      </w:pPr>
      <w:r w:rsidDel="00000000" w:rsidR="00000000" w:rsidRPr="00000000">
        <w:rPr>
          <w:rtl w:val="0"/>
        </w:rPr>
        <w:t xml:space="preserve">Average inflow = 54 / 5 = £10.8m</w:t>
      </w:r>
    </w:p>
    <w:p w:rsidR="00000000" w:rsidDel="00000000" w:rsidP="00000000" w:rsidRDefault="00000000" w:rsidRPr="00000000" w14:paraId="000001AE">
      <w:pPr>
        <w:rPr/>
      </w:pPr>
      <w:sdt>
        <w:sdtPr>
          <w:id w:val="-1459462205"/>
          <w:tag w:val="goog_rdk_0"/>
        </w:sdtPr>
        <w:sdtContent>
          <w:r w:rsidDel="00000000" w:rsidR="00000000" w:rsidRPr="00000000">
            <w:rPr>
              <w:rFonts w:ascii="Arial Unicode MS" w:cs="Arial Unicode MS" w:eastAsia="Arial Unicode MS" w:hAnsi="Arial Unicode MS"/>
              <w:rtl w:val="0"/>
            </w:rPr>
            <w:t xml:space="preserve">Average profit = 10.8 − 8 = £2.8m</w:t>
          </w:r>
        </w:sdtContent>
      </w:sdt>
    </w:p>
    <w:p w:rsidR="00000000" w:rsidDel="00000000" w:rsidP="00000000" w:rsidRDefault="00000000" w:rsidRPr="00000000" w14:paraId="000001AF">
      <w:pPr>
        <w:rPr/>
      </w:pPr>
      <w:r w:rsidDel="00000000" w:rsidR="00000000" w:rsidRPr="00000000">
        <w:rPr>
          <w:rtl w:val="0"/>
        </w:rPr>
        <w:t xml:space="preserve">Average investment = 40 / 2 = £20m</w:t>
      </w:r>
    </w:p>
    <w:p w:rsidR="00000000" w:rsidDel="00000000" w:rsidP="00000000" w:rsidRDefault="00000000" w:rsidRPr="00000000" w14:paraId="000001B0">
      <w:pPr>
        <w:rPr/>
      </w:pPr>
      <w:r w:rsidDel="00000000" w:rsidR="00000000" w:rsidRPr="00000000">
        <w:rPr>
          <w:rtl w:val="0"/>
        </w:rPr>
        <w:t xml:space="preserve">ARR = (2.8 / 20) × 100 = 14%</w:t>
      </w:r>
    </w:p>
    <w:p w:rsidR="00000000" w:rsidDel="00000000" w:rsidP="00000000" w:rsidRDefault="00000000" w:rsidRPr="00000000" w14:paraId="000001B1">
      <w:pPr>
        <w:rPr/>
      </w:pPr>
      <w:r w:rsidDel="00000000" w:rsidR="00000000" w:rsidRPr="00000000">
        <w:rPr>
          <w:rtl w:val="0"/>
        </w:rPr>
        <w:t xml:space="preserve">Project B</w:t>
      </w:r>
    </w:p>
    <w:p w:rsidR="00000000" w:rsidDel="00000000" w:rsidP="00000000" w:rsidRDefault="00000000" w:rsidRPr="00000000" w14:paraId="000001B2">
      <w:pPr>
        <w:rPr/>
      </w:pPr>
      <w:r w:rsidDel="00000000" w:rsidR="00000000" w:rsidRPr="00000000">
        <w:rPr>
          <w:rtl w:val="0"/>
        </w:rPr>
        <w:t xml:space="preserve">Average inflow = £6m</w:t>
      </w:r>
    </w:p>
    <w:p w:rsidR="00000000" w:rsidDel="00000000" w:rsidP="00000000" w:rsidRDefault="00000000" w:rsidRPr="00000000" w14:paraId="000001B3">
      <w:pPr>
        <w:rPr/>
      </w:pPr>
      <w:sdt>
        <w:sdtPr>
          <w:id w:val="-1584175404"/>
          <w:tag w:val="goog_rdk_1"/>
        </w:sdtPr>
        <w:sdtContent>
          <w:r w:rsidDel="00000000" w:rsidR="00000000" w:rsidRPr="00000000">
            <w:rPr>
              <w:rFonts w:ascii="Arial Unicode MS" w:cs="Arial Unicode MS" w:eastAsia="Arial Unicode MS" w:hAnsi="Arial Unicode MS"/>
              <w:rtl w:val="0"/>
            </w:rPr>
            <w:t xml:space="preserve">Average profit = 6 − 6 = £0m</w:t>
          </w:r>
        </w:sdtContent>
      </w:sdt>
    </w:p>
    <w:p w:rsidR="00000000" w:rsidDel="00000000" w:rsidP="00000000" w:rsidRDefault="00000000" w:rsidRPr="00000000" w14:paraId="000001B4">
      <w:pPr>
        <w:rPr/>
      </w:pPr>
      <w:r w:rsidDel="00000000" w:rsidR="00000000" w:rsidRPr="00000000">
        <w:rPr>
          <w:rtl w:val="0"/>
        </w:rPr>
        <w:t xml:space="preserve">Average investment = 30 / 2 = £15m</w:t>
      </w:r>
    </w:p>
    <w:p w:rsidR="00000000" w:rsidDel="00000000" w:rsidP="00000000" w:rsidRDefault="00000000" w:rsidRPr="00000000" w14:paraId="000001B5">
      <w:pPr>
        <w:rPr/>
      </w:pPr>
      <w:r w:rsidDel="00000000" w:rsidR="00000000" w:rsidRPr="00000000">
        <w:rPr>
          <w:rtl w:val="0"/>
        </w:rPr>
        <w:t xml:space="preserve">ARR = 0%</w:t>
      </w:r>
    </w:p>
    <w:p w:rsidR="00000000" w:rsidDel="00000000" w:rsidP="00000000" w:rsidRDefault="00000000" w:rsidRPr="00000000" w14:paraId="000001B6">
      <w:pPr>
        <w:rPr/>
      </w:pPr>
      <w:r w:rsidDel="00000000" w:rsidR="00000000" w:rsidRPr="00000000">
        <w:rPr>
          <w:rtl w:val="0"/>
        </w:rPr>
        <w:t xml:space="preserve">Project C</w:t>
      </w:r>
    </w:p>
    <w:p w:rsidR="00000000" w:rsidDel="00000000" w:rsidP="00000000" w:rsidRDefault="00000000" w:rsidRPr="00000000" w14:paraId="000001B7">
      <w:pPr>
        <w:rPr/>
      </w:pPr>
      <w:r w:rsidDel="00000000" w:rsidR="00000000" w:rsidRPr="00000000">
        <w:rPr>
          <w:rtl w:val="0"/>
        </w:rPr>
        <w:t xml:space="preserve">Total inflows = £75m</w:t>
      </w:r>
    </w:p>
    <w:p w:rsidR="00000000" w:rsidDel="00000000" w:rsidP="00000000" w:rsidRDefault="00000000" w:rsidRPr="00000000" w14:paraId="000001B8">
      <w:pPr>
        <w:rPr/>
      </w:pPr>
      <w:r w:rsidDel="00000000" w:rsidR="00000000" w:rsidRPr="00000000">
        <w:rPr>
          <w:rtl w:val="0"/>
        </w:rPr>
        <w:t xml:space="preserve">Average inflow = 15m</w:t>
      </w:r>
    </w:p>
    <w:p w:rsidR="00000000" w:rsidDel="00000000" w:rsidP="00000000" w:rsidRDefault="00000000" w:rsidRPr="00000000" w14:paraId="000001B9">
      <w:pPr>
        <w:rPr/>
      </w:pPr>
      <w:sdt>
        <w:sdtPr>
          <w:id w:val="1906698179"/>
          <w:tag w:val="goog_rdk_2"/>
        </w:sdtPr>
        <w:sdtContent>
          <w:r w:rsidDel="00000000" w:rsidR="00000000" w:rsidRPr="00000000">
            <w:rPr>
              <w:rFonts w:ascii="Arial Unicode MS" w:cs="Arial Unicode MS" w:eastAsia="Arial Unicode MS" w:hAnsi="Arial Unicode MS"/>
              <w:rtl w:val="0"/>
            </w:rPr>
            <w:t xml:space="preserve">Average profit = 15 − 10 = £5m</w:t>
          </w:r>
        </w:sdtContent>
      </w:sdt>
    </w:p>
    <w:p w:rsidR="00000000" w:rsidDel="00000000" w:rsidP="00000000" w:rsidRDefault="00000000" w:rsidRPr="00000000" w14:paraId="000001BA">
      <w:pPr>
        <w:rPr/>
      </w:pPr>
      <w:r w:rsidDel="00000000" w:rsidR="00000000" w:rsidRPr="00000000">
        <w:rPr>
          <w:rtl w:val="0"/>
        </w:rPr>
        <w:t xml:space="preserve">Average investment = 50 / 2 = £25m</w:t>
      </w:r>
    </w:p>
    <w:p w:rsidR="00000000" w:rsidDel="00000000" w:rsidP="00000000" w:rsidRDefault="00000000" w:rsidRPr="00000000" w14:paraId="000001BB">
      <w:pPr>
        <w:rPr/>
      </w:pPr>
      <w:r w:rsidDel="00000000" w:rsidR="00000000" w:rsidRPr="00000000">
        <w:rPr>
          <w:rtl w:val="0"/>
        </w:rPr>
        <w:t xml:space="preserve">ARR = (5 / 25) × 100 = 20%</w:t>
      </w:r>
    </w:p>
    <w:p w:rsidR="00000000" w:rsidDel="00000000" w:rsidP="00000000" w:rsidRDefault="00000000" w:rsidRPr="00000000" w14:paraId="000001BC">
      <w:pPr>
        <w:jc w:val="center"/>
        <w:rPr/>
      </w:pPr>
      <w:r w:rsidDel="00000000" w:rsidR="00000000" w:rsidRPr="00000000">
        <w:rPr/>
        <w:drawing>
          <wp:inline distB="0" distT="0" distL="0" distR="0">
            <wp:extent cx="4572000" cy="2743200"/>
            <wp:docPr id="1922037534" name=""/>
            <a:graphic>
              <a:graphicData uri="http://schemas.openxmlformats.org/drawingml/2006/chart">
                <c:chart r:id="rId20"/>
              </a:graphicData>
            </a:graphic>
          </wp:inline>
        </w:drawing>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1g9452jmugge" w:id="57"/>
      <w:bookmarkEnd w:id="57"/>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13: ARR</w:t>
      </w:r>
    </w:p>
    <w:p w:rsidR="00000000" w:rsidDel="00000000" w:rsidP="00000000" w:rsidRDefault="00000000" w:rsidRPr="00000000" w14:paraId="000001BE">
      <w:pPr>
        <w:rPr/>
      </w:pPr>
      <w:r w:rsidDel="00000000" w:rsidR="00000000" w:rsidRPr="00000000">
        <w:rPr>
          <w:rtl w:val="0"/>
        </w:rPr>
        <w:t xml:space="preserve">Project C has the best ARR, followed by Project A. Project B is not acceptable as it does not generate any accounting profit.</w:t>
      </w:r>
    </w:p>
    <w:p w:rsidR="00000000" w:rsidDel="00000000" w:rsidP="00000000" w:rsidRDefault="00000000" w:rsidRPr="00000000" w14:paraId="000001BF">
      <w:pPr>
        <w:pStyle w:val="Heading2"/>
        <w:rPr/>
      </w:pPr>
      <w:bookmarkStart w:colFirst="0" w:colLast="0" w:name="_heading=h.a6b8gifgvrsc" w:id="58"/>
      <w:bookmarkEnd w:id="58"/>
      <w:r w:rsidDel="00000000" w:rsidR="00000000" w:rsidRPr="00000000">
        <w:rPr>
          <w:rtl w:val="0"/>
        </w:rPr>
        <w:t xml:space="preserve">Net Present Value (NPV)</w:t>
      </w:r>
    </w:p>
    <w:p w:rsidR="00000000" w:rsidDel="00000000" w:rsidP="00000000" w:rsidRDefault="00000000" w:rsidRPr="00000000" w14:paraId="000001C0">
      <w:pPr>
        <w:rPr/>
      </w:pPr>
      <w:r w:rsidDel="00000000" w:rsidR="00000000" w:rsidRPr="00000000">
        <w:rPr>
          <w:rtl w:val="0"/>
        </w:rPr>
        <w:t xml:space="preserve">The most valuable approach to investment appraisal is NPV because it estimates the growth of shareholder value. A discount rate of 10% is used.</w:t>
      </w:r>
    </w:p>
    <w:tbl>
      <w:tblPr>
        <w:tblStyle w:val="Table1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p w:rsidR="00000000" w:rsidDel="00000000" w:rsidP="00000000" w:rsidRDefault="00000000" w:rsidRPr="00000000" w14:paraId="000001C1">
            <w:pPr>
              <w:rPr/>
            </w:pPr>
            <w:bookmarkStart w:colFirst="0" w:colLast="0" w:name="_heading=h.bezqwq5rtivl" w:id="59"/>
            <w:bookmarkEnd w:id="59"/>
            <w:r w:rsidDel="00000000" w:rsidR="00000000" w:rsidRPr="00000000">
              <w:rPr>
                <w:rtl w:val="0"/>
              </w:rPr>
              <w:t xml:space="preserve">Year</w:t>
            </w:r>
          </w:p>
        </w:tc>
        <w:tc>
          <w:tcPr/>
          <w:p w:rsidR="00000000" w:rsidDel="00000000" w:rsidP="00000000" w:rsidRDefault="00000000" w:rsidRPr="00000000" w14:paraId="000001C2">
            <w:pPr>
              <w:rPr/>
            </w:pPr>
            <w:r w:rsidDel="00000000" w:rsidR="00000000" w:rsidRPr="00000000">
              <w:rPr>
                <w:rtl w:val="0"/>
              </w:rPr>
              <w:t xml:space="preserve">Discount Factor</w:t>
            </w:r>
          </w:p>
        </w:tc>
      </w:tr>
      <w:tr>
        <w:trPr>
          <w:cantSplit w:val="0"/>
          <w:tblHeader w:val="0"/>
        </w:trPr>
        <w:tc>
          <w:tcPr/>
          <w:p w:rsidR="00000000" w:rsidDel="00000000" w:rsidP="00000000" w:rsidRDefault="00000000" w:rsidRPr="00000000" w14:paraId="000001C3">
            <w:pPr>
              <w:rPr/>
            </w:pPr>
            <w:r w:rsidDel="00000000" w:rsidR="00000000" w:rsidRPr="00000000">
              <w:rPr>
                <w:rtl w:val="0"/>
              </w:rPr>
              <w:t xml:space="preserve">1</w:t>
            </w:r>
          </w:p>
        </w:tc>
        <w:tc>
          <w:tcPr/>
          <w:p w:rsidR="00000000" w:rsidDel="00000000" w:rsidP="00000000" w:rsidRDefault="00000000" w:rsidRPr="00000000" w14:paraId="000001C4">
            <w:pPr>
              <w:rPr/>
            </w:pPr>
            <w:r w:rsidDel="00000000" w:rsidR="00000000" w:rsidRPr="00000000">
              <w:rPr>
                <w:rtl w:val="0"/>
              </w:rPr>
              <w:t xml:space="preserve">0.909</w:t>
            </w:r>
          </w:p>
        </w:tc>
      </w:tr>
      <w:tr>
        <w:trPr>
          <w:cantSplit w:val="0"/>
          <w:tblHeader w:val="0"/>
        </w:trPr>
        <w:tc>
          <w:tcPr/>
          <w:p w:rsidR="00000000" w:rsidDel="00000000" w:rsidP="00000000" w:rsidRDefault="00000000" w:rsidRPr="00000000" w14:paraId="000001C5">
            <w:pPr>
              <w:rPr/>
            </w:pPr>
            <w:r w:rsidDel="00000000" w:rsidR="00000000" w:rsidRPr="00000000">
              <w:rPr>
                <w:rtl w:val="0"/>
              </w:rPr>
              <w:t xml:space="preserve">2</w:t>
            </w:r>
          </w:p>
        </w:tc>
        <w:tc>
          <w:tcPr/>
          <w:p w:rsidR="00000000" w:rsidDel="00000000" w:rsidP="00000000" w:rsidRDefault="00000000" w:rsidRPr="00000000" w14:paraId="000001C6">
            <w:pPr>
              <w:rPr/>
            </w:pPr>
            <w:r w:rsidDel="00000000" w:rsidR="00000000" w:rsidRPr="00000000">
              <w:rPr>
                <w:rtl w:val="0"/>
              </w:rPr>
              <w:t xml:space="preserve">0.826</w:t>
            </w:r>
          </w:p>
        </w:tc>
      </w:tr>
      <w:tr>
        <w:trPr>
          <w:cantSplit w:val="0"/>
          <w:tblHeader w:val="0"/>
        </w:trPr>
        <w:tc>
          <w:tcPr/>
          <w:p w:rsidR="00000000" w:rsidDel="00000000" w:rsidP="00000000" w:rsidRDefault="00000000" w:rsidRPr="00000000" w14:paraId="000001C7">
            <w:pPr>
              <w:rPr/>
            </w:pPr>
            <w:r w:rsidDel="00000000" w:rsidR="00000000" w:rsidRPr="00000000">
              <w:rPr>
                <w:rtl w:val="0"/>
              </w:rPr>
              <w:t xml:space="preserve">3</w:t>
            </w:r>
          </w:p>
        </w:tc>
        <w:tc>
          <w:tcPr/>
          <w:p w:rsidR="00000000" w:rsidDel="00000000" w:rsidP="00000000" w:rsidRDefault="00000000" w:rsidRPr="00000000" w14:paraId="000001C8">
            <w:pPr>
              <w:rPr/>
            </w:pPr>
            <w:r w:rsidDel="00000000" w:rsidR="00000000" w:rsidRPr="00000000">
              <w:rPr>
                <w:rtl w:val="0"/>
              </w:rPr>
              <w:t xml:space="preserve">0.751</w:t>
            </w:r>
          </w:p>
        </w:tc>
      </w:tr>
      <w:tr>
        <w:trPr>
          <w:cantSplit w:val="0"/>
          <w:tblHeader w:val="0"/>
        </w:trPr>
        <w:tc>
          <w:tcPr/>
          <w:p w:rsidR="00000000" w:rsidDel="00000000" w:rsidP="00000000" w:rsidRDefault="00000000" w:rsidRPr="00000000" w14:paraId="000001C9">
            <w:pPr>
              <w:rPr/>
            </w:pPr>
            <w:r w:rsidDel="00000000" w:rsidR="00000000" w:rsidRPr="00000000">
              <w:rPr>
                <w:rtl w:val="0"/>
              </w:rPr>
              <w:t xml:space="preserve">4</w:t>
            </w:r>
          </w:p>
        </w:tc>
        <w:tc>
          <w:tcPr/>
          <w:p w:rsidR="00000000" w:rsidDel="00000000" w:rsidP="00000000" w:rsidRDefault="00000000" w:rsidRPr="00000000" w14:paraId="000001CA">
            <w:pPr>
              <w:rPr/>
            </w:pPr>
            <w:r w:rsidDel="00000000" w:rsidR="00000000" w:rsidRPr="00000000">
              <w:rPr>
                <w:rtl w:val="0"/>
              </w:rPr>
              <w:t xml:space="preserve">0.683</w:t>
            </w:r>
          </w:p>
        </w:tc>
      </w:tr>
      <w:tr>
        <w:trPr>
          <w:cantSplit w:val="0"/>
          <w:tblHeader w:val="0"/>
        </w:trPr>
        <w:tc>
          <w:tcPr/>
          <w:p w:rsidR="00000000" w:rsidDel="00000000" w:rsidP="00000000" w:rsidRDefault="00000000" w:rsidRPr="00000000" w14:paraId="000001CB">
            <w:pPr>
              <w:rPr/>
            </w:pPr>
            <w:r w:rsidDel="00000000" w:rsidR="00000000" w:rsidRPr="00000000">
              <w:rPr>
                <w:rtl w:val="0"/>
              </w:rPr>
              <w:t xml:space="preserve">5</w:t>
            </w:r>
          </w:p>
        </w:tc>
        <w:tc>
          <w:tcPr/>
          <w:p w:rsidR="00000000" w:rsidDel="00000000" w:rsidP="00000000" w:rsidRDefault="00000000" w:rsidRPr="00000000" w14:paraId="000001CC">
            <w:pPr>
              <w:rPr/>
            </w:pPr>
            <w:r w:rsidDel="00000000" w:rsidR="00000000" w:rsidRPr="00000000">
              <w:rPr>
                <w:rtl w:val="0"/>
              </w:rPr>
              <w:t xml:space="preserve">0.621</w:t>
            </w:r>
          </w:p>
        </w:tc>
      </w:tr>
    </w:tbl>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tfe14irjixk5" w:id="60"/>
      <w:bookmarkEnd w:id="60"/>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7: Discount Factors at 10%. Source: Assessment brief data</w:t>
      </w:r>
    </w:p>
    <w:p w:rsidR="00000000" w:rsidDel="00000000" w:rsidP="00000000" w:rsidRDefault="00000000" w:rsidRPr="00000000" w14:paraId="000001CE">
      <w:pPr>
        <w:rPr/>
      </w:pPr>
      <w:r w:rsidDel="00000000" w:rsidR="00000000" w:rsidRPr="00000000">
        <w:rPr>
          <w:rtl w:val="0"/>
        </w:rPr>
        <w:t xml:space="preserve">Project A – NPV Calculation</w:t>
      </w:r>
    </w:p>
    <w:tbl>
      <w:tblPr>
        <w:tblStyle w:val="Table1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1CF">
            <w:pPr>
              <w:rPr/>
            </w:pPr>
            <w:r w:rsidDel="00000000" w:rsidR="00000000" w:rsidRPr="00000000">
              <w:rPr>
                <w:rtl w:val="0"/>
              </w:rPr>
              <w:t xml:space="preserve">Year</w:t>
            </w:r>
          </w:p>
        </w:tc>
        <w:tc>
          <w:tcPr/>
          <w:p w:rsidR="00000000" w:rsidDel="00000000" w:rsidP="00000000" w:rsidRDefault="00000000" w:rsidRPr="00000000" w14:paraId="000001D0">
            <w:pPr>
              <w:rPr/>
            </w:pPr>
            <w:r w:rsidDel="00000000" w:rsidR="00000000" w:rsidRPr="00000000">
              <w:rPr>
                <w:rtl w:val="0"/>
              </w:rPr>
              <w:t xml:space="preserve">Cash Flow (£m)</w:t>
            </w:r>
          </w:p>
        </w:tc>
        <w:tc>
          <w:tcPr/>
          <w:p w:rsidR="00000000" w:rsidDel="00000000" w:rsidP="00000000" w:rsidRDefault="00000000" w:rsidRPr="00000000" w14:paraId="000001D1">
            <w:pPr>
              <w:rPr/>
            </w:pPr>
            <w:r w:rsidDel="00000000" w:rsidR="00000000" w:rsidRPr="00000000">
              <w:rPr>
                <w:rtl w:val="0"/>
              </w:rPr>
              <w:t xml:space="preserve">Discount Factor</w:t>
            </w:r>
          </w:p>
        </w:tc>
        <w:tc>
          <w:tcPr/>
          <w:p w:rsidR="00000000" w:rsidDel="00000000" w:rsidP="00000000" w:rsidRDefault="00000000" w:rsidRPr="00000000" w14:paraId="000001D2">
            <w:pPr>
              <w:rPr/>
            </w:pPr>
            <w:r w:rsidDel="00000000" w:rsidR="00000000" w:rsidRPr="00000000">
              <w:rPr>
                <w:rtl w:val="0"/>
              </w:rPr>
              <w:t xml:space="preserve">Present Value (£m)</w:t>
            </w:r>
          </w:p>
        </w:tc>
      </w:tr>
      <w:tr>
        <w:trPr>
          <w:cantSplit w:val="0"/>
          <w:tblHeader w:val="0"/>
        </w:trPr>
        <w:tc>
          <w:tcPr/>
          <w:p w:rsidR="00000000" w:rsidDel="00000000" w:rsidP="00000000" w:rsidRDefault="00000000" w:rsidRPr="00000000" w14:paraId="000001D3">
            <w:pPr>
              <w:rPr/>
            </w:pPr>
            <w:r w:rsidDel="00000000" w:rsidR="00000000" w:rsidRPr="00000000">
              <w:rPr>
                <w:rtl w:val="0"/>
              </w:rPr>
              <w:t xml:space="preserve">1</w:t>
            </w:r>
          </w:p>
        </w:tc>
        <w:tc>
          <w:tcPr/>
          <w:p w:rsidR="00000000" w:rsidDel="00000000" w:rsidP="00000000" w:rsidRDefault="00000000" w:rsidRPr="00000000" w14:paraId="000001D4">
            <w:pPr>
              <w:rPr/>
            </w:pPr>
            <w:r w:rsidDel="00000000" w:rsidR="00000000" w:rsidRPr="00000000">
              <w:rPr>
                <w:rtl w:val="0"/>
              </w:rPr>
              <w:t xml:space="preserve">10</w:t>
            </w:r>
          </w:p>
        </w:tc>
        <w:tc>
          <w:tcPr/>
          <w:p w:rsidR="00000000" w:rsidDel="00000000" w:rsidP="00000000" w:rsidRDefault="00000000" w:rsidRPr="00000000" w14:paraId="000001D5">
            <w:pPr>
              <w:rPr/>
            </w:pPr>
            <w:r w:rsidDel="00000000" w:rsidR="00000000" w:rsidRPr="00000000">
              <w:rPr>
                <w:rtl w:val="0"/>
              </w:rPr>
              <w:t xml:space="preserve">0.909</w:t>
            </w:r>
          </w:p>
        </w:tc>
        <w:tc>
          <w:tcPr/>
          <w:p w:rsidR="00000000" w:rsidDel="00000000" w:rsidP="00000000" w:rsidRDefault="00000000" w:rsidRPr="00000000" w14:paraId="000001D6">
            <w:pPr>
              <w:rPr/>
            </w:pPr>
            <w:r w:rsidDel="00000000" w:rsidR="00000000" w:rsidRPr="00000000">
              <w:rPr>
                <w:rtl w:val="0"/>
              </w:rPr>
              <w:t xml:space="preserve">9.09</w:t>
            </w:r>
          </w:p>
        </w:tc>
      </w:tr>
      <w:tr>
        <w:trPr>
          <w:cantSplit w:val="0"/>
          <w:tblHeader w:val="0"/>
        </w:trPr>
        <w:tc>
          <w:tcPr/>
          <w:p w:rsidR="00000000" w:rsidDel="00000000" w:rsidP="00000000" w:rsidRDefault="00000000" w:rsidRPr="00000000" w14:paraId="000001D7">
            <w:pPr>
              <w:rPr/>
            </w:pPr>
            <w:r w:rsidDel="00000000" w:rsidR="00000000" w:rsidRPr="00000000">
              <w:rPr>
                <w:rtl w:val="0"/>
              </w:rPr>
              <w:t xml:space="preserve">2</w:t>
            </w:r>
          </w:p>
        </w:tc>
        <w:tc>
          <w:tcPr/>
          <w:p w:rsidR="00000000" w:rsidDel="00000000" w:rsidP="00000000" w:rsidRDefault="00000000" w:rsidRPr="00000000" w14:paraId="000001D8">
            <w:pPr>
              <w:rPr/>
            </w:pPr>
            <w:r w:rsidDel="00000000" w:rsidR="00000000" w:rsidRPr="00000000">
              <w:rPr>
                <w:rtl w:val="0"/>
              </w:rPr>
              <w:t xml:space="preserve">12</w:t>
            </w:r>
          </w:p>
        </w:tc>
        <w:tc>
          <w:tcPr/>
          <w:p w:rsidR="00000000" w:rsidDel="00000000" w:rsidP="00000000" w:rsidRDefault="00000000" w:rsidRPr="00000000" w14:paraId="000001D9">
            <w:pPr>
              <w:rPr/>
            </w:pPr>
            <w:r w:rsidDel="00000000" w:rsidR="00000000" w:rsidRPr="00000000">
              <w:rPr>
                <w:rtl w:val="0"/>
              </w:rPr>
              <w:t xml:space="preserve">0.826</w:t>
            </w:r>
          </w:p>
        </w:tc>
        <w:tc>
          <w:tcPr/>
          <w:p w:rsidR="00000000" w:rsidDel="00000000" w:rsidP="00000000" w:rsidRDefault="00000000" w:rsidRPr="00000000" w14:paraId="000001DA">
            <w:pPr>
              <w:rPr/>
            </w:pPr>
            <w:r w:rsidDel="00000000" w:rsidR="00000000" w:rsidRPr="00000000">
              <w:rPr>
                <w:rtl w:val="0"/>
              </w:rPr>
              <w:t xml:space="preserve">9.91</w:t>
            </w:r>
          </w:p>
        </w:tc>
      </w:tr>
      <w:tr>
        <w:trPr>
          <w:cantSplit w:val="0"/>
          <w:tblHeader w:val="0"/>
        </w:trPr>
        <w:tc>
          <w:tcPr/>
          <w:p w:rsidR="00000000" w:rsidDel="00000000" w:rsidP="00000000" w:rsidRDefault="00000000" w:rsidRPr="00000000" w14:paraId="000001DB">
            <w:pPr>
              <w:rPr/>
            </w:pPr>
            <w:r w:rsidDel="00000000" w:rsidR="00000000" w:rsidRPr="00000000">
              <w:rPr>
                <w:rtl w:val="0"/>
              </w:rPr>
              <w:t xml:space="preserve">3</w:t>
            </w:r>
          </w:p>
        </w:tc>
        <w:tc>
          <w:tcPr/>
          <w:p w:rsidR="00000000" w:rsidDel="00000000" w:rsidP="00000000" w:rsidRDefault="00000000" w:rsidRPr="00000000" w14:paraId="000001DC">
            <w:pPr>
              <w:rPr/>
            </w:pPr>
            <w:r w:rsidDel="00000000" w:rsidR="00000000" w:rsidRPr="00000000">
              <w:rPr>
                <w:rtl w:val="0"/>
              </w:rPr>
              <w:t xml:space="preserve">14</w:t>
            </w:r>
          </w:p>
        </w:tc>
        <w:tc>
          <w:tcPr/>
          <w:p w:rsidR="00000000" w:rsidDel="00000000" w:rsidP="00000000" w:rsidRDefault="00000000" w:rsidRPr="00000000" w14:paraId="000001DD">
            <w:pPr>
              <w:rPr/>
            </w:pPr>
            <w:r w:rsidDel="00000000" w:rsidR="00000000" w:rsidRPr="00000000">
              <w:rPr>
                <w:rtl w:val="0"/>
              </w:rPr>
              <w:t xml:space="preserve">0.751</w:t>
            </w:r>
          </w:p>
        </w:tc>
        <w:tc>
          <w:tcPr/>
          <w:p w:rsidR="00000000" w:rsidDel="00000000" w:rsidP="00000000" w:rsidRDefault="00000000" w:rsidRPr="00000000" w14:paraId="000001DE">
            <w:pPr>
              <w:rPr/>
            </w:pPr>
            <w:r w:rsidDel="00000000" w:rsidR="00000000" w:rsidRPr="00000000">
              <w:rPr>
                <w:rtl w:val="0"/>
              </w:rPr>
              <w:t xml:space="preserve">10.51</w:t>
            </w:r>
          </w:p>
        </w:tc>
      </w:tr>
      <w:tr>
        <w:trPr>
          <w:cantSplit w:val="0"/>
          <w:tblHeader w:val="0"/>
        </w:trPr>
        <w:tc>
          <w:tcPr/>
          <w:p w:rsidR="00000000" w:rsidDel="00000000" w:rsidP="00000000" w:rsidRDefault="00000000" w:rsidRPr="00000000" w14:paraId="000001DF">
            <w:pPr>
              <w:rPr/>
            </w:pPr>
            <w:r w:rsidDel="00000000" w:rsidR="00000000" w:rsidRPr="00000000">
              <w:rPr>
                <w:rtl w:val="0"/>
              </w:rPr>
              <w:t xml:space="preserve">4</w:t>
            </w:r>
          </w:p>
        </w:tc>
        <w:tc>
          <w:tcPr/>
          <w:p w:rsidR="00000000" w:rsidDel="00000000" w:rsidP="00000000" w:rsidRDefault="00000000" w:rsidRPr="00000000" w14:paraId="000001E0">
            <w:pPr>
              <w:rPr/>
            </w:pPr>
            <w:r w:rsidDel="00000000" w:rsidR="00000000" w:rsidRPr="00000000">
              <w:rPr>
                <w:rtl w:val="0"/>
              </w:rPr>
              <w:t xml:space="preserve">10</w:t>
            </w:r>
          </w:p>
        </w:tc>
        <w:tc>
          <w:tcPr/>
          <w:p w:rsidR="00000000" w:rsidDel="00000000" w:rsidP="00000000" w:rsidRDefault="00000000" w:rsidRPr="00000000" w14:paraId="000001E1">
            <w:pPr>
              <w:rPr/>
            </w:pPr>
            <w:r w:rsidDel="00000000" w:rsidR="00000000" w:rsidRPr="00000000">
              <w:rPr>
                <w:rtl w:val="0"/>
              </w:rPr>
              <w:t xml:space="preserve">0.683</w:t>
            </w:r>
          </w:p>
        </w:tc>
        <w:tc>
          <w:tcPr/>
          <w:p w:rsidR="00000000" w:rsidDel="00000000" w:rsidP="00000000" w:rsidRDefault="00000000" w:rsidRPr="00000000" w14:paraId="000001E2">
            <w:pPr>
              <w:rPr/>
            </w:pPr>
            <w:r w:rsidDel="00000000" w:rsidR="00000000" w:rsidRPr="00000000">
              <w:rPr>
                <w:rtl w:val="0"/>
              </w:rPr>
              <w:t xml:space="preserve">6.83</w:t>
            </w:r>
          </w:p>
        </w:tc>
      </w:tr>
      <w:tr>
        <w:trPr>
          <w:cantSplit w:val="0"/>
          <w:tblHeader w:val="0"/>
        </w:trPr>
        <w:tc>
          <w:tcPr/>
          <w:p w:rsidR="00000000" w:rsidDel="00000000" w:rsidP="00000000" w:rsidRDefault="00000000" w:rsidRPr="00000000" w14:paraId="000001E3">
            <w:pPr>
              <w:rPr/>
            </w:pPr>
            <w:r w:rsidDel="00000000" w:rsidR="00000000" w:rsidRPr="00000000">
              <w:rPr>
                <w:rtl w:val="0"/>
              </w:rPr>
              <w:t xml:space="preserve">5</w:t>
            </w:r>
          </w:p>
        </w:tc>
        <w:tc>
          <w:tcPr/>
          <w:p w:rsidR="00000000" w:rsidDel="00000000" w:rsidP="00000000" w:rsidRDefault="00000000" w:rsidRPr="00000000" w14:paraId="000001E4">
            <w:pPr>
              <w:rPr/>
            </w:pPr>
            <w:r w:rsidDel="00000000" w:rsidR="00000000" w:rsidRPr="00000000">
              <w:rPr>
                <w:rtl w:val="0"/>
              </w:rPr>
              <w:t xml:space="preserve">8</w:t>
            </w:r>
          </w:p>
        </w:tc>
        <w:tc>
          <w:tcPr/>
          <w:p w:rsidR="00000000" w:rsidDel="00000000" w:rsidP="00000000" w:rsidRDefault="00000000" w:rsidRPr="00000000" w14:paraId="000001E5">
            <w:pPr>
              <w:rPr/>
            </w:pPr>
            <w:r w:rsidDel="00000000" w:rsidR="00000000" w:rsidRPr="00000000">
              <w:rPr>
                <w:rtl w:val="0"/>
              </w:rPr>
              <w:t xml:space="preserve">0.621</w:t>
            </w:r>
          </w:p>
        </w:tc>
        <w:tc>
          <w:tcPr/>
          <w:p w:rsidR="00000000" w:rsidDel="00000000" w:rsidP="00000000" w:rsidRDefault="00000000" w:rsidRPr="00000000" w14:paraId="000001E6">
            <w:pPr>
              <w:rPr/>
            </w:pPr>
            <w:r w:rsidDel="00000000" w:rsidR="00000000" w:rsidRPr="00000000">
              <w:rPr>
                <w:rtl w:val="0"/>
              </w:rPr>
              <w:t xml:space="preserve">4.97</w:t>
            </w:r>
          </w:p>
        </w:tc>
      </w:tr>
    </w:tbl>
    <w:p w:rsidR="00000000" w:rsidDel="00000000" w:rsidP="00000000" w:rsidRDefault="00000000" w:rsidRPr="00000000" w14:paraId="000001E7">
      <w:pPr>
        <w:rPr/>
      </w:pPr>
      <w:r w:rsidDel="00000000" w:rsidR="00000000" w:rsidRPr="00000000">
        <w:rPr>
          <w:rtl w:val="0"/>
        </w:rPr>
        <w:t xml:space="preserve">Total PV = 41.31</w:t>
      </w:r>
    </w:p>
    <w:p w:rsidR="00000000" w:rsidDel="00000000" w:rsidP="00000000" w:rsidRDefault="00000000" w:rsidRPr="00000000" w14:paraId="000001E8">
      <w:pPr>
        <w:rPr/>
      </w:pPr>
      <w:sdt>
        <w:sdtPr>
          <w:id w:val="1795907323"/>
          <w:tag w:val="goog_rdk_3"/>
        </w:sdtPr>
        <w:sdtContent>
          <w:r w:rsidDel="00000000" w:rsidR="00000000" w:rsidRPr="00000000">
            <w:rPr>
              <w:rFonts w:ascii="Arial Unicode MS" w:cs="Arial Unicode MS" w:eastAsia="Arial Unicode MS" w:hAnsi="Arial Unicode MS"/>
              <w:rtl w:val="0"/>
            </w:rPr>
            <w:t xml:space="preserve">NPV = 41.31 − 40 = £1.31m</w:t>
          </w:r>
        </w:sdtContent>
      </w:sdt>
    </w:p>
    <w:p w:rsidR="00000000" w:rsidDel="00000000" w:rsidP="00000000" w:rsidRDefault="00000000" w:rsidRPr="00000000" w14:paraId="000001E9">
      <w:pPr>
        <w:rPr/>
      </w:pPr>
      <w:r w:rsidDel="00000000" w:rsidR="00000000" w:rsidRPr="00000000">
        <w:rPr>
          <w:rtl w:val="0"/>
        </w:rPr>
        <w:t xml:space="preserve">Project B – NPV Calculation</w:t>
      </w:r>
    </w:p>
    <w:p w:rsidR="00000000" w:rsidDel="00000000" w:rsidP="00000000" w:rsidRDefault="00000000" w:rsidRPr="00000000" w14:paraId="000001EA">
      <w:pPr>
        <w:rPr/>
      </w:pPr>
      <w:r w:rsidDel="00000000" w:rsidR="00000000" w:rsidRPr="00000000">
        <w:rPr>
          <w:rtl w:val="0"/>
        </w:rPr>
        <w:t xml:space="preserve">Total PV of inflows = 22.74</w:t>
      </w:r>
    </w:p>
    <w:p w:rsidR="00000000" w:rsidDel="00000000" w:rsidP="00000000" w:rsidRDefault="00000000" w:rsidRPr="00000000" w14:paraId="000001EB">
      <w:pPr>
        <w:rPr/>
      </w:pPr>
      <w:sdt>
        <w:sdtPr>
          <w:id w:val="1039510304"/>
          <w:tag w:val="goog_rdk_4"/>
        </w:sdtPr>
        <w:sdtContent>
          <w:r w:rsidDel="00000000" w:rsidR="00000000" w:rsidRPr="00000000">
            <w:rPr>
              <w:rFonts w:ascii="Arial Unicode MS" w:cs="Arial Unicode MS" w:eastAsia="Arial Unicode MS" w:hAnsi="Arial Unicode MS"/>
              <w:rtl w:val="0"/>
            </w:rPr>
            <w:t xml:space="preserve">NPV = 22.74 − 30 = −£7.26m</w:t>
          </w:r>
        </w:sdtContent>
      </w:sdt>
    </w:p>
    <w:p w:rsidR="00000000" w:rsidDel="00000000" w:rsidP="00000000" w:rsidRDefault="00000000" w:rsidRPr="00000000" w14:paraId="000001EC">
      <w:pPr>
        <w:rPr/>
      </w:pPr>
      <w:r w:rsidDel="00000000" w:rsidR="00000000" w:rsidRPr="00000000">
        <w:rPr>
          <w:rtl w:val="0"/>
        </w:rPr>
        <w:t xml:space="preserve">Project C – NPV Calculation</w:t>
      </w:r>
    </w:p>
    <w:p w:rsidR="00000000" w:rsidDel="00000000" w:rsidP="00000000" w:rsidRDefault="00000000" w:rsidRPr="00000000" w14:paraId="000001ED">
      <w:pPr>
        <w:rPr/>
      </w:pPr>
      <w:r w:rsidDel="00000000" w:rsidR="00000000" w:rsidRPr="00000000">
        <w:rPr>
          <w:rtl w:val="0"/>
        </w:rPr>
        <w:t xml:space="preserve">Total PV of inflows = 53.57</w:t>
      </w:r>
    </w:p>
    <w:p w:rsidR="00000000" w:rsidDel="00000000" w:rsidP="00000000" w:rsidRDefault="00000000" w:rsidRPr="00000000" w14:paraId="000001EE">
      <w:pPr>
        <w:rPr/>
      </w:pPr>
      <w:sdt>
        <w:sdtPr>
          <w:id w:val="-777975605"/>
          <w:tag w:val="goog_rdk_5"/>
        </w:sdtPr>
        <w:sdtContent>
          <w:r w:rsidDel="00000000" w:rsidR="00000000" w:rsidRPr="00000000">
            <w:rPr>
              <w:rFonts w:ascii="Arial Unicode MS" w:cs="Arial Unicode MS" w:eastAsia="Arial Unicode MS" w:hAnsi="Arial Unicode MS"/>
              <w:rtl w:val="0"/>
            </w:rPr>
            <w:t xml:space="preserve">NPV = 53.57 − 50 = £3.57m</w:t>
          </w:r>
        </w:sdtContent>
      </w:sdt>
    </w:p>
    <w:p w:rsidR="00000000" w:rsidDel="00000000" w:rsidP="00000000" w:rsidRDefault="00000000" w:rsidRPr="00000000" w14:paraId="000001EF">
      <w:pPr>
        <w:jc w:val="center"/>
        <w:rPr/>
      </w:pPr>
      <w:r w:rsidDel="00000000" w:rsidR="00000000" w:rsidRPr="00000000">
        <w:rPr/>
        <w:drawing>
          <wp:inline distB="0" distT="0" distL="0" distR="0">
            <wp:extent cx="4572000" cy="2743200"/>
            <wp:docPr id="1922037535" name=""/>
            <a:graphic>
              <a:graphicData uri="http://schemas.openxmlformats.org/drawingml/2006/chart">
                <c:chart r:id="rId21"/>
              </a:graphicData>
            </a:graphic>
          </wp:inline>
        </w:drawing>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4o3arwdn08ow" w:id="61"/>
      <w:bookmarkEnd w:id="61"/>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Figure 14: NPV</w:t>
      </w:r>
    </w:p>
    <w:p w:rsidR="00000000" w:rsidDel="00000000" w:rsidP="00000000" w:rsidRDefault="00000000" w:rsidRPr="00000000" w14:paraId="000001F1">
      <w:pPr>
        <w:rPr/>
      </w:pPr>
      <w:r w:rsidDel="00000000" w:rsidR="00000000" w:rsidRPr="00000000">
        <w:rPr>
          <w:rtl w:val="0"/>
        </w:rPr>
        <w:t xml:space="preserve">A and C projects have positive NPV and value to the shareholders. Project B will not be accepted as it has a negative NPV.</w:t>
      </w:r>
    </w:p>
    <w:p w:rsidR="00000000" w:rsidDel="00000000" w:rsidP="00000000" w:rsidRDefault="00000000" w:rsidRPr="00000000" w14:paraId="000001F2">
      <w:pPr>
        <w:pStyle w:val="Heading2"/>
        <w:rPr/>
      </w:pPr>
      <w:bookmarkStart w:colFirst="0" w:colLast="0" w:name="_heading=h.ujiu5qccl797" w:id="62"/>
      <w:bookmarkEnd w:id="62"/>
      <w:r w:rsidDel="00000000" w:rsidR="00000000" w:rsidRPr="00000000">
        <w:rPr>
          <w:rtl w:val="0"/>
        </w:rPr>
        <w:t xml:space="preserve">Profitability Index (PI)</w:t>
      </w:r>
    </w:p>
    <w:p w:rsidR="00000000" w:rsidDel="00000000" w:rsidP="00000000" w:rsidRDefault="00000000" w:rsidRPr="00000000" w14:paraId="000001F3">
      <w:pPr>
        <w:rPr/>
      </w:pPr>
      <w:r w:rsidDel="00000000" w:rsidR="00000000" w:rsidRPr="00000000">
        <w:rPr>
          <w:rtl w:val="0"/>
        </w:rPr>
        <w:t xml:space="preserve">PI measures value created per pound invested.</w:t>
      </w:r>
    </w:p>
    <w:p w:rsidR="00000000" w:rsidDel="00000000" w:rsidP="00000000" w:rsidRDefault="00000000" w:rsidRPr="00000000" w14:paraId="000001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A: 41.31 / 40 = 1.03</w:t>
      </w:r>
    </w:p>
    <w:p w:rsidR="00000000" w:rsidDel="00000000" w:rsidP="00000000" w:rsidRDefault="00000000" w:rsidRPr="00000000" w14:paraId="000001F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B: 22.74 / 30 = 0.76</w:t>
      </w:r>
    </w:p>
    <w:p w:rsidR="00000000" w:rsidDel="00000000" w:rsidP="00000000" w:rsidRDefault="00000000" w:rsidRPr="00000000" w14:paraId="000001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C: 53.57 / 50 = 1.07</w:t>
      </w:r>
    </w:p>
    <w:p w:rsidR="00000000" w:rsidDel="00000000" w:rsidP="00000000" w:rsidRDefault="00000000" w:rsidRPr="00000000" w14:paraId="000001F7">
      <w:pPr>
        <w:rPr/>
      </w:pPr>
      <w:r w:rsidDel="00000000" w:rsidR="00000000" w:rsidRPr="00000000">
        <w:rPr>
          <w:rtl w:val="0"/>
        </w:rPr>
        <w:t xml:space="preserve">Project C has the highest PI and is the most efficient user of capital.</w:t>
      </w:r>
    </w:p>
    <w:p w:rsidR="00000000" w:rsidDel="00000000" w:rsidP="00000000" w:rsidRDefault="00000000" w:rsidRPr="00000000" w14:paraId="000001F8">
      <w:pPr>
        <w:pStyle w:val="Heading2"/>
        <w:rPr/>
      </w:pPr>
      <w:bookmarkStart w:colFirst="0" w:colLast="0" w:name="_heading=h.5ajb2yhsu726" w:id="63"/>
      <w:bookmarkEnd w:id="63"/>
      <w:r w:rsidDel="00000000" w:rsidR="00000000" w:rsidRPr="00000000">
        <w:rPr>
          <w:rtl w:val="0"/>
        </w:rPr>
        <w:t xml:space="preserve">Internal Rate of Return (IRR)</w:t>
      </w:r>
    </w:p>
    <w:p w:rsidR="00000000" w:rsidDel="00000000" w:rsidP="00000000" w:rsidRDefault="00000000" w:rsidRPr="00000000" w14:paraId="000001F9">
      <w:pPr>
        <w:rPr/>
      </w:pPr>
      <w:r w:rsidDel="00000000" w:rsidR="00000000" w:rsidRPr="00000000">
        <w:rPr>
          <w:rtl w:val="0"/>
        </w:rPr>
        <w:t xml:space="preserve">IRR is the discount rate at which NPV equals zero.</w:t>
      </w:r>
    </w:p>
    <w:p w:rsidR="00000000" w:rsidDel="00000000" w:rsidP="00000000" w:rsidRDefault="00000000" w:rsidRPr="00000000" w14:paraId="000001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sdt>
        <w:sdtPr>
          <w:id w:val="510170441"/>
          <w:tag w:val="goog_rdk_6"/>
        </w:sdtPr>
        <w:sdtContent>
          <w:r w:rsidDel="00000000" w:rsidR="00000000" w:rsidRPr="00000000">
            <w:rPr>
              <w:rFonts w:ascii="Arial Unicode MS" w:cs="Arial Unicode MS" w:eastAsia="Arial Unicode MS" w:hAnsi="Arial Unicode MS"/>
              <w:b w:val="0"/>
              <w:bCs w:val="0"/>
              <w:i w:val="0"/>
              <w:iCs w:val="0"/>
              <w:smallCaps w:val="0"/>
              <w:strike w:val="0"/>
              <w:sz w:val="24"/>
              <w:szCs w:val="24"/>
              <w:u w:val="none"/>
              <w:shd w:fill="auto" w:val="clear"/>
              <w:vertAlign w:val="baseline"/>
              <w:rtl w:val="0"/>
            </w:rPr>
            <w:t xml:space="preserve">Project A: IRR ≈ 11.8%</w:t>
          </w:r>
        </w:sdtContent>
      </w:sdt>
    </w:p>
    <w:p w:rsidR="00000000" w:rsidDel="00000000" w:rsidP="00000000" w:rsidRDefault="00000000" w:rsidRPr="00000000" w14:paraId="000001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Project B: IRR &lt; 10%</w:t>
      </w:r>
    </w:p>
    <w:p w:rsidR="00000000" w:rsidDel="00000000" w:rsidP="00000000" w:rsidRDefault="00000000" w:rsidRPr="00000000" w14:paraId="000001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sdt>
        <w:sdtPr>
          <w:id w:val="-581842656"/>
          <w:tag w:val="goog_rdk_7"/>
        </w:sdtPr>
        <w:sdtContent>
          <w:r w:rsidDel="00000000" w:rsidR="00000000" w:rsidRPr="00000000">
            <w:rPr>
              <w:rFonts w:ascii="Arial Unicode MS" w:cs="Arial Unicode MS" w:eastAsia="Arial Unicode MS" w:hAnsi="Arial Unicode MS"/>
              <w:b w:val="0"/>
              <w:bCs w:val="0"/>
              <w:i w:val="0"/>
              <w:iCs w:val="0"/>
              <w:smallCaps w:val="0"/>
              <w:strike w:val="0"/>
              <w:sz w:val="24"/>
              <w:szCs w:val="24"/>
              <w:u w:val="none"/>
              <w:shd w:fill="auto" w:val="clear"/>
              <w:vertAlign w:val="baseline"/>
              <w:rtl w:val="0"/>
            </w:rPr>
            <w:t xml:space="preserve">Project C: IRR ≈ 12.9%</w:t>
          </w:r>
        </w:sdtContent>
      </w:sdt>
    </w:p>
    <w:p w:rsidR="00000000" w:rsidDel="00000000" w:rsidP="00000000" w:rsidRDefault="00000000" w:rsidRPr="00000000" w14:paraId="000001FD">
      <w:pPr>
        <w:rPr/>
      </w:pPr>
      <w:r w:rsidDel="00000000" w:rsidR="00000000" w:rsidRPr="00000000">
        <w:rPr>
          <w:rtl w:val="0"/>
        </w:rPr>
        <w:t xml:space="preserve">Projects A and C exceed the required rate of return. Project C performs best.</w:t>
      </w:r>
    </w:p>
    <w:p w:rsidR="00000000" w:rsidDel="00000000" w:rsidP="00000000" w:rsidRDefault="00000000" w:rsidRPr="00000000" w14:paraId="000001FE">
      <w:pPr>
        <w:pStyle w:val="Heading2"/>
        <w:rPr/>
      </w:pPr>
      <w:bookmarkStart w:colFirst="0" w:colLast="0" w:name="_heading=h.nl04xte3ojja" w:id="64"/>
      <w:bookmarkEnd w:id="64"/>
      <w:r w:rsidDel="00000000" w:rsidR="00000000" w:rsidRPr="00000000">
        <w:rPr>
          <w:rtl w:val="0"/>
        </w:rPr>
        <w:t xml:space="preserve">Risk Characteristics and Cash Flow Patterns</w:t>
      </w:r>
    </w:p>
    <w:p w:rsidR="00000000" w:rsidDel="00000000" w:rsidP="00000000" w:rsidRDefault="00000000" w:rsidRPr="00000000" w14:paraId="000001FF">
      <w:pPr>
        <w:rPr/>
      </w:pPr>
      <w:r w:rsidDel="00000000" w:rsidR="00000000" w:rsidRPr="00000000">
        <w:rPr>
          <w:rtl w:val="0"/>
        </w:rPr>
        <w:t xml:space="preserve">The three projects have varying levels of risk since they do not have similar patterns of cash flow. The cash inflows of project B are very stable, which is 6 million per annum. This predictability minimises uncertainty and time risk, which will be desirable to a firm with liquidity issues. The cash inflows are, however, low and do not increase over time. Consequently, Project B would not add much value nor would it enhance profitability, and this would reduce its practicality to General Electronics.</w:t>
      </w:r>
    </w:p>
    <w:p w:rsidR="00000000" w:rsidDel="00000000" w:rsidP="00000000" w:rsidRDefault="00000000" w:rsidRPr="00000000" w14:paraId="00000200">
      <w:pPr>
        <w:rPr/>
      </w:pPr>
      <w:r w:rsidDel="00000000" w:rsidR="00000000" w:rsidRPr="00000000">
        <w:rPr>
          <w:rtl w:val="0"/>
        </w:rPr>
        <w:t xml:space="preserve">Project A has medium and more equal cash inflows within the five years. The cash flows increase in the initial years, and thereafter, they decrease slightly, hence minimising extreme volatility. This equal trend reduces riskiness as compared to Project C and facilitates gradual cash recovery. </w:t>
      </w:r>
    </w:p>
    <w:p w:rsidR="00000000" w:rsidDel="00000000" w:rsidP="00000000" w:rsidRDefault="00000000" w:rsidRPr="00000000" w14:paraId="00000201">
      <w:pPr>
        <w:rPr/>
      </w:pPr>
      <w:r w:rsidDel="00000000" w:rsidR="00000000" w:rsidRPr="00000000">
        <w:rPr>
          <w:rtl w:val="0"/>
        </w:rPr>
        <w:t xml:space="preserve">Project C presents the highest uneven rate of cash flow. The initial years show low cash inflows, and this means that there is a timing risk and that the initial investment will not be recovered quickly. Inflows during later years are much higher, which has a great impact on increasing the overall returns. Despite the increased risk of Project C, the high value creation makes it better aligned towards recovery, profitability enhancement and better financial performance in the long term.</w:t>
      </w:r>
    </w:p>
    <w:p w:rsidR="00000000" w:rsidDel="00000000" w:rsidP="00000000" w:rsidRDefault="00000000" w:rsidRPr="00000000" w14:paraId="00000202">
      <w:pPr>
        <w:pStyle w:val="Heading2"/>
        <w:rPr/>
      </w:pPr>
      <w:bookmarkStart w:colFirst="0" w:colLast="0" w:name="_heading=h.cseniiup7vvv" w:id="65"/>
      <w:bookmarkEnd w:id="65"/>
      <w:r w:rsidDel="00000000" w:rsidR="00000000" w:rsidRPr="00000000">
        <w:rPr>
          <w:rtl w:val="0"/>
        </w:rPr>
        <w:t xml:space="preserve">Capital Rationing Decision (£60m Limit)</w:t>
      </w:r>
    </w:p>
    <w:p w:rsidR="00000000" w:rsidDel="00000000" w:rsidP="00000000" w:rsidRDefault="00000000" w:rsidRPr="00000000" w14:paraId="00000203">
      <w:pPr>
        <w:rPr/>
      </w:pPr>
      <w:r w:rsidDel="00000000" w:rsidR="00000000" w:rsidRPr="00000000">
        <w:rPr>
          <w:rtl w:val="0"/>
        </w:rPr>
        <w:t xml:space="preserve">Under capital rationing, only £60m can be invested.</w:t>
      </w:r>
    </w:p>
    <w:p w:rsidR="00000000" w:rsidDel="00000000" w:rsidP="00000000" w:rsidRDefault="00000000" w:rsidRPr="00000000" w14:paraId="00000204">
      <w:pPr>
        <w:rPr/>
      </w:pPr>
      <w:r w:rsidDel="00000000" w:rsidR="00000000" w:rsidRPr="00000000">
        <w:rPr>
          <w:rtl w:val="0"/>
        </w:rPr>
        <w:t xml:space="preserve">Possible combinations:</w:t>
      </w:r>
    </w:p>
    <w:p w:rsidR="00000000" w:rsidDel="00000000" w:rsidP="00000000" w:rsidRDefault="00000000" w:rsidRPr="00000000" w14:paraId="000002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 + B = £70m (not allowed)</w:t>
      </w:r>
    </w:p>
    <w:p w:rsidR="00000000" w:rsidDel="00000000" w:rsidP="00000000" w:rsidRDefault="00000000" w:rsidRPr="00000000" w14:paraId="0000020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B + C = £80m (not allowed)</w:t>
      </w:r>
    </w:p>
    <w:p w:rsidR="00000000" w:rsidDel="00000000" w:rsidP="00000000" w:rsidRDefault="00000000" w:rsidRPr="00000000" w14:paraId="00000207">
      <w:pPr>
        <w:rPr/>
      </w:pPr>
      <w:r w:rsidDel="00000000" w:rsidR="00000000" w:rsidRPr="00000000">
        <w:rPr>
          <w:rtl w:val="0"/>
        </w:rPr>
        <w:t xml:space="preserve">Only single projects can be chosen.</w:t>
      </w:r>
    </w:p>
    <w:tbl>
      <w:tblPr>
        <w:tblStyle w:val="Table1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208">
            <w:pPr>
              <w:rPr/>
            </w:pPr>
            <w:bookmarkStart w:colFirst="0" w:colLast="0" w:name="_heading=h.a3cdam9c42a" w:id="66"/>
            <w:bookmarkEnd w:id="66"/>
            <w:r w:rsidDel="00000000" w:rsidR="00000000" w:rsidRPr="00000000">
              <w:rPr>
                <w:rtl w:val="0"/>
              </w:rPr>
              <w:t xml:space="preserve">Project</w:t>
            </w:r>
          </w:p>
        </w:tc>
        <w:tc>
          <w:tcPr/>
          <w:p w:rsidR="00000000" w:rsidDel="00000000" w:rsidP="00000000" w:rsidRDefault="00000000" w:rsidRPr="00000000" w14:paraId="00000209">
            <w:pPr>
              <w:rPr/>
            </w:pPr>
            <w:r w:rsidDel="00000000" w:rsidR="00000000" w:rsidRPr="00000000">
              <w:rPr>
                <w:rtl w:val="0"/>
              </w:rPr>
              <w:t xml:space="preserve">Investment (£m)</w:t>
            </w:r>
          </w:p>
        </w:tc>
        <w:tc>
          <w:tcPr/>
          <w:p w:rsidR="00000000" w:rsidDel="00000000" w:rsidP="00000000" w:rsidRDefault="00000000" w:rsidRPr="00000000" w14:paraId="0000020A">
            <w:pPr>
              <w:rPr/>
            </w:pPr>
            <w:r w:rsidDel="00000000" w:rsidR="00000000" w:rsidRPr="00000000">
              <w:rPr>
                <w:rtl w:val="0"/>
              </w:rPr>
              <w:t xml:space="preserve">NPV (£m)</w:t>
            </w:r>
          </w:p>
        </w:tc>
        <w:tc>
          <w:tcPr/>
          <w:p w:rsidR="00000000" w:rsidDel="00000000" w:rsidP="00000000" w:rsidRDefault="00000000" w:rsidRPr="00000000" w14:paraId="0000020B">
            <w:pPr>
              <w:rPr/>
            </w:pPr>
            <w:r w:rsidDel="00000000" w:rsidR="00000000" w:rsidRPr="00000000">
              <w:rPr>
                <w:rtl w:val="0"/>
              </w:rPr>
              <w:t xml:space="preserve">PI</w:t>
            </w:r>
          </w:p>
        </w:tc>
      </w:tr>
      <w:tr>
        <w:trPr>
          <w:cantSplit w:val="0"/>
          <w:tblHeader w:val="0"/>
        </w:trPr>
        <w:tc>
          <w:tcPr/>
          <w:p w:rsidR="00000000" w:rsidDel="00000000" w:rsidP="00000000" w:rsidRDefault="00000000" w:rsidRPr="00000000" w14:paraId="0000020C">
            <w:pPr>
              <w:rPr/>
            </w:pPr>
            <w:r w:rsidDel="00000000" w:rsidR="00000000" w:rsidRPr="00000000">
              <w:rPr>
                <w:rtl w:val="0"/>
              </w:rPr>
              <w:t xml:space="preserve">A</w:t>
            </w:r>
          </w:p>
        </w:tc>
        <w:tc>
          <w:tcPr/>
          <w:p w:rsidR="00000000" w:rsidDel="00000000" w:rsidP="00000000" w:rsidRDefault="00000000" w:rsidRPr="00000000" w14:paraId="0000020D">
            <w:pPr>
              <w:rPr/>
            </w:pPr>
            <w:r w:rsidDel="00000000" w:rsidR="00000000" w:rsidRPr="00000000">
              <w:rPr>
                <w:rtl w:val="0"/>
              </w:rPr>
              <w:t xml:space="preserve">40</w:t>
            </w:r>
          </w:p>
        </w:tc>
        <w:tc>
          <w:tcPr/>
          <w:p w:rsidR="00000000" w:rsidDel="00000000" w:rsidP="00000000" w:rsidRDefault="00000000" w:rsidRPr="00000000" w14:paraId="0000020E">
            <w:pPr>
              <w:rPr/>
            </w:pPr>
            <w:r w:rsidDel="00000000" w:rsidR="00000000" w:rsidRPr="00000000">
              <w:rPr>
                <w:rtl w:val="0"/>
              </w:rPr>
              <w:t xml:space="preserve">1.31</w:t>
            </w:r>
          </w:p>
        </w:tc>
        <w:tc>
          <w:tcPr/>
          <w:p w:rsidR="00000000" w:rsidDel="00000000" w:rsidP="00000000" w:rsidRDefault="00000000" w:rsidRPr="00000000" w14:paraId="0000020F">
            <w:pPr>
              <w:rPr/>
            </w:pPr>
            <w:r w:rsidDel="00000000" w:rsidR="00000000" w:rsidRPr="00000000">
              <w:rPr>
                <w:rtl w:val="0"/>
              </w:rPr>
              <w:t xml:space="preserve">1.03</w:t>
            </w:r>
          </w:p>
        </w:tc>
      </w:tr>
      <w:tr>
        <w:trPr>
          <w:cantSplit w:val="0"/>
          <w:tblHeader w:val="0"/>
        </w:trPr>
        <w:tc>
          <w:tcPr/>
          <w:p w:rsidR="00000000" w:rsidDel="00000000" w:rsidP="00000000" w:rsidRDefault="00000000" w:rsidRPr="00000000" w14:paraId="00000210">
            <w:pPr>
              <w:rPr/>
            </w:pPr>
            <w:r w:rsidDel="00000000" w:rsidR="00000000" w:rsidRPr="00000000">
              <w:rPr>
                <w:rtl w:val="0"/>
              </w:rPr>
              <w:t xml:space="preserve">C</w:t>
            </w:r>
          </w:p>
        </w:tc>
        <w:tc>
          <w:tcPr/>
          <w:p w:rsidR="00000000" w:rsidDel="00000000" w:rsidP="00000000" w:rsidRDefault="00000000" w:rsidRPr="00000000" w14:paraId="00000211">
            <w:pPr>
              <w:rPr/>
            </w:pPr>
            <w:r w:rsidDel="00000000" w:rsidR="00000000" w:rsidRPr="00000000">
              <w:rPr>
                <w:rtl w:val="0"/>
              </w:rPr>
              <w:t xml:space="preserve">50</w:t>
            </w:r>
          </w:p>
        </w:tc>
        <w:tc>
          <w:tcPr/>
          <w:p w:rsidR="00000000" w:rsidDel="00000000" w:rsidP="00000000" w:rsidRDefault="00000000" w:rsidRPr="00000000" w14:paraId="00000212">
            <w:pPr>
              <w:rPr/>
            </w:pPr>
            <w:r w:rsidDel="00000000" w:rsidR="00000000" w:rsidRPr="00000000">
              <w:rPr>
                <w:rtl w:val="0"/>
              </w:rPr>
              <w:t xml:space="preserve">3.57</w:t>
            </w:r>
          </w:p>
        </w:tc>
        <w:tc>
          <w:tcPr/>
          <w:p w:rsidR="00000000" w:rsidDel="00000000" w:rsidP="00000000" w:rsidRDefault="00000000" w:rsidRPr="00000000" w14:paraId="00000213">
            <w:pPr>
              <w:rPr/>
            </w:pPr>
            <w:r w:rsidDel="00000000" w:rsidR="00000000" w:rsidRPr="00000000">
              <w:rPr>
                <w:rtl w:val="0"/>
              </w:rPr>
              <w:t xml:space="preserve">1.07</w:t>
            </w:r>
          </w:p>
        </w:tc>
      </w:tr>
    </w:tbl>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bookmarkStart w:colFirst="0" w:colLast="0" w:name="_heading=h.9dpi30824oea" w:id="67"/>
      <w:bookmarkEnd w:id="67"/>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8: Capital Rationing Comparison. Source: Assessment brief data</w:t>
      </w:r>
    </w:p>
    <w:p w:rsidR="00000000" w:rsidDel="00000000" w:rsidP="00000000" w:rsidRDefault="00000000" w:rsidRPr="00000000" w14:paraId="00000215">
      <w:pPr>
        <w:rPr/>
      </w:pPr>
      <w:r w:rsidDel="00000000" w:rsidR="00000000" w:rsidRPr="00000000">
        <w:rPr>
          <w:rtl w:val="0"/>
        </w:rPr>
        <w:t xml:space="preserve">Project C provides the higher NPV and PI within the budget limit.</w:t>
      </w:r>
    </w:p>
    <w:p w:rsidR="00000000" w:rsidDel="00000000" w:rsidP="00000000" w:rsidRDefault="00000000" w:rsidRPr="00000000" w14:paraId="00000216">
      <w:pPr>
        <w:pStyle w:val="Heading2"/>
        <w:rPr/>
      </w:pPr>
      <w:bookmarkStart w:colFirst="0" w:colLast="0" w:name="_heading=h.ljgp5qn8eq0b" w:id="68"/>
      <w:bookmarkEnd w:id="68"/>
      <w:r w:rsidDel="00000000" w:rsidR="00000000" w:rsidRPr="00000000">
        <w:rPr>
          <w:rtl w:val="0"/>
        </w:rPr>
        <w:t xml:space="preserve">Final Investment Recommendation</w:t>
      </w:r>
    </w:p>
    <w:p w:rsidR="00000000" w:rsidDel="00000000" w:rsidP="00000000" w:rsidRDefault="00000000" w:rsidRPr="00000000" w14:paraId="00000217">
      <w:pPr>
        <w:rPr/>
      </w:pPr>
      <w:r w:rsidDel="00000000" w:rsidR="00000000" w:rsidRPr="00000000">
        <w:rPr>
          <w:rtl w:val="0"/>
        </w:rPr>
        <w:t xml:space="preserve">According to all the appraisal techniques, Project C is suggested. It gives the best NPV, ARR, PI and IRR and achieves the best shareholder value within the capital limitation of less than 60m. Its cash flows are more volatile, but the investment is justified by the creation of long-term value. In a company that is experiencing a decrease in profitability and poor liquidity, it is necessary to choose a project which has the highest potential for financial recovery. Project C is the one that will assist General Electronics in its long-term turnaround strategy.</w:t>
      </w:r>
    </w:p>
    <w:p w:rsidR="00000000" w:rsidDel="00000000" w:rsidP="00000000" w:rsidRDefault="00000000" w:rsidRPr="00000000" w14:paraId="00000218">
      <w:pPr>
        <w:rPr/>
      </w:pPr>
      <w:r w:rsidDel="00000000" w:rsidR="00000000" w:rsidRPr="00000000">
        <w:br w:type="page"/>
      </w:r>
      <w:r w:rsidDel="00000000" w:rsidR="00000000" w:rsidRPr="00000000">
        <w:rPr>
          <w:rtl w:val="0"/>
        </w:rPr>
      </w:r>
    </w:p>
    <w:p w:rsidR="00000000" w:rsidDel="00000000" w:rsidP="00000000" w:rsidRDefault="00000000" w:rsidRPr="00000000" w14:paraId="00000219">
      <w:pPr>
        <w:pStyle w:val="Heading1"/>
        <w:rPr>
          <w:color w:val="000000"/>
        </w:rPr>
      </w:pPr>
      <w:bookmarkStart w:colFirst="0" w:colLast="0" w:name="_heading=h.2kkik8mn2kpo" w:id="69"/>
      <w:bookmarkEnd w:id="69"/>
      <w:r w:rsidDel="00000000" w:rsidR="00000000" w:rsidRPr="00000000">
        <w:rPr>
          <w:color w:val="000000"/>
          <w:rtl w:val="0"/>
        </w:rPr>
        <w:t xml:space="preserve">Conclusion</w:t>
      </w:r>
    </w:p>
    <w:p w:rsidR="00000000" w:rsidDel="00000000" w:rsidP="00000000" w:rsidRDefault="00000000" w:rsidRPr="00000000" w14:paraId="0000021A">
      <w:pPr>
        <w:rPr>
          <w:sz w:val="32"/>
          <w:szCs w:val="32"/>
        </w:rPr>
      </w:pPr>
      <w:r w:rsidDel="00000000" w:rsidR="00000000" w:rsidRPr="00000000">
        <w:rPr>
          <w:rtl w:val="0"/>
        </w:rPr>
        <w:t xml:space="preserve">This report has been able to analyse the financial status of General Electronics through the use of ratio analysis, the working capital analysis, the prediction of failure models, the conception of the strategies of restructuring and the assessment of investments. The results indicate a decreasing profitability, poor liquidity, and probability of financial distress. In order to respond to these problems, the working capital management and a balanced financial restructuring plan should be improved. According to the capital budgeting analysis in the capital rationing, Project C should be selected because this project would have maximum value creation and help the firm to recover in the long term and become financially sustainable.</w:t>
      </w:r>
      <w:r w:rsidDel="00000000" w:rsidR="00000000" w:rsidRPr="00000000">
        <w:br w:type="page"/>
      </w:r>
      <w:r w:rsidDel="00000000" w:rsidR="00000000" w:rsidRPr="00000000">
        <w:rPr>
          <w:rtl w:val="0"/>
        </w:rPr>
      </w:r>
    </w:p>
    <w:p w:rsidR="00000000" w:rsidDel="00000000" w:rsidP="00000000" w:rsidRDefault="00000000" w:rsidRPr="00000000" w14:paraId="0000021B">
      <w:pPr>
        <w:pStyle w:val="Heading1"/>
        <w:rPr>
          <w:color w:val="000000"/>
        </w:rPr>
      </w:pPr>
      <w:bookmarkStart w:colFirst="0" w:colLast="0" w:name="_heading=h.ay688rvjmow" w:id="70"/>
      <w:bookmarkEnd w:id="70"/>
      <w:r w:rsidDel="00000000" w:rsidR="00000000" w:rsidRPr="00000000">
        <w:rPr>
          <w:color w:val="000000"/>
          <w:rtl w:val="0"/>
        </w:rPr>
        <w:t xml:space="preserve">References</w:t>
      </w:r>
    </w:p>
    <w:p w:rsidR="00000000" w:rsidDel="00000000" w:rsidP="00000000" w:rsidRDefault="00000000" w:rsidRPr="00000000" w14:paraId="0000021C">
      <w:pPr>
        <w:rPr>
          <w:highlight w:val="white"/>
        </w:rPr>
      </w:pPr>
      <w:r w:rsidDel="00000000" w:rsidR="00000000" w:rsidRPr="00000000">
        <w:rPr>
          <w:highlight w:val="white"/>
          <w:rtl w:val="0"/>
        </w:rPr>
        <w:t xml:space="preserve">Al Refiay, H. A. N., Abdulhussein, A. S., and Al Shaikh, S. S. K. (2022). The impact of financial accounting on decision-making processes in business. </w:t>
      </w:r>
      <w:r w:rsidDel="00000000" w:rsidR="00000000" w:rsidRPr="00000000">
        <w:rPr>
          <w:i w:val="1"/>
          <w:iCs w:val="1"/>
          <w:highlight w:val="white"/>
          <w:rtl w:val="0"/>
        </w:rPr>
        <w:t xml:space="preserve">International Journal of Professional Business Review: Int. J. Prof. Bus. Rev.</w:t>
      </w:r>
      <w:r w:rsidDel="00000000" w:rsidR="00000000" w:rsidRPr="00000000">
        <w:rPr>
          <w:highlight w:val="white"/>
          <w:rtl w:val="0"/>
        </w:rPr>
        <w:t xml:space="preserve">, </w:t>
      </w:r>
      <w:r w:rsidDel="00000000" w:rsidR="00000000" w:rsidRPr="00000000">
        <w:rPr>
          <w:i w:val="1"/>
          <w:iCs w:val="1"/>
          <w:highlight w:val="white"/>
          <w:rtl w:val="0"/>
        </w:rPr>
        <w:t xml:space="preserve">7</w:t>
      </w:r>
      <w:r w:rsidDel="00000000" w:rsidR="00000000" w:rsidRPr="00000000">
        <w:rPr>
          <w:highlight w:val="white"/>
          <w:rtl w:val="0"/>
        </w:rPr>
        <w:t xml:space="preserve">(4), 7. </w:t>
      </w:r>
      <w:hyperlink r:id="rId22">
        <w:r w:rsidDel="00000000" w:rsidR="00000000" w:rsidRPr="00000000">
          <w:rPr>
            <w:highlight w:val="white"/>
            <w:u w:val="single"/>
            <w:rtl w:val="0"/>
          </w:rPr>
          <w:t xml:space="preserve">https://dialnet.unirioja.es/servlet/articulo?codigo=8955753</w:t>
        </w:r>
      </w:hyperlink>
      <w:r w:rsidDel="00000000" w:rsidR="00000000" w:rsidRPr="00000000">
        <w:rPr>
          <w:rtl w:val="0"/>
        </w:rPr>
      </w:r>
    </w:p>
    <w:p w:rsidR="00000000" w:rsidDel="00000000" w:rsidP="00000000" w:rsidRDefault="00000000" w:rsidRPr="00000000" w14:paraId="0000021D">
      <w:pPr>
        <w:rPr>
          <w:highlight w:val="white"/>
        </w:rPr>
      </w:pPr>
      <w:r w:rsidDel="00000000" w:rsidR="00000000" w:rsidRPr="00000000">
        <w:rPr>
          <w:highlight w:val="white"/>
          <w:rtl w:val="0"/>
        </w:rPr>
        <w:t xml:space="preserve">Altman, E. I., Hotchkiss, E., and Wang, W. (2019). Corporate financial distress, restructuring, and bankruptcy: analyse leveraged finance, distressed debt, and bankruptcy. John Wiley &amp; Sons. </w:t>
      </w:r>
      <w:hyperlink r:id="rId23">
        <w:r w:rsidDel="00000000" w:rsidR="00000000" w:rsidRPr="00000000">
          <w:rPr>
            <w:highlight w:val="white"/>
            <w:u w:val="single"/>
            <w:rtl w:val="0"/>
          </w:rPr>
          <w:t xml:space="preserve">https://books.google.com/books?hl=en&amp;lr=&amp;id=V1-HDwAAQBAJ&amp;oi=fnd&amp;pg=PR11&amp;dq=Corporate+financial+distress,+restructuring,+and+bankruptcy&amp;ots=Lqnq5YriWB&amp;sig=4naBIZF2_cr66unrmiEnkKmg7vY&amp;redir_esc=y#v=onepage&amp;q=Corporate%20financial%20distress%2C%20restructuring%2C%20and%20bankruptcy&amp;f=false</w:t>
        </w:r>
      </w:hyperlink>
      <w:r w:rsidDel="00000000" w:rsidR="00000000" w:rsidRPr="00000000">
        <w:rPr>
          <w:rtl w:val="0"/>
        </w:rPr>
      </w:r>
    </w:p>
    <w:p w:rsidR="00000000" w:rsidDel="00000000" w:rsidP="00000000" w:rsidRDefault="00000000" w:rsidRPr="00000000" w14:paraId="0000021E">
      <w:pPr>
        <w:rPr>
          <w:highlight w:val="white"/>
        </w:rPr>
      </w:pPr>
      <w:r w:rsidDel="00000000" w:rsidR="00000000" w:rsidRPr="00000000">
        <w:rPr>
          <w:highlight w:val="white"/>
          <w:rtl w:val="0"/>
        </w:rPr>
        <w:t xml:space="preserve">Altman, E. I., Iwanicz</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Drozdowska, M., Laitinen, E. K., and Suvas, A. (2017). Financial distress prediction in an international context: A review and empirical analysis of Altman's Z</w:t>
      </w:r>
      <w:r w:rsidDel="00000000" w:rsidR="00000000" w:rsidRPr="00000000">
        <w:rPr>
          <w:rFonts w:ascii="Cambria Math" w:cs="Cambria Math" w:eastAsia="Cambria Math" w:hAnsi="Cambria Math"/>
          <w:highlight w:val="white"/>
          <w:rtl w:val="0"/>
        </w:rPr>
        <w:t xml:space="preserve">‐</w:t>
      </w:r>
      <w:r w:rsidDel="00000000" w:rsidR="00000000" w:rsidRPr="00000000">
        <w:rPr>
          <w:highlight w:val="white"/>
          <w:rtl w:val="0"/>
        </w:rPr>
        <w:t xml:space="preserve">score model. </w:t>
      </w:r>
      <w:r w:rsidDel="00000000" w:rsidR="00000000" w:rsidRPr="00000000">
        <w:rPr>
          <w:i w:val="1"/>
          <w:iCs w:val="1"/>
          <w:highlight w:val="white"/>
          <w:rtl w:val="0"/>
        </w:rPr>
        <w:t xml:space="preserve">Journal of international financial management &amp; accounting</w:t>
      </w:r>
      <w:r w:rsidDel="00000000" w:rsidR="00000000" w:rsidRPr="00000000">
        <w:rPr>
          <w:highlight w:val="white"/>
          <w:rtl w:val="0"/>
        </w:rPr>
        <w:t xml:space="preserve">, </w:t>
      </w:r>
      <w:r w:rsidDel="00000000" w:rsidR="00000000" w:rsidRPr="00000000">
        <w:rPr>
          <w:i w:val="1"/>
          <w:iCs w:val="1"/>
          <w:highlight w:val="white"/>
          <w:rtl w:val="0"/>
        </w:rPr>
        <w:t xml:space="preserve">28</w:t>
      </w:r>
      <w:r w:rsidDel="00000000" w:rsidR="00000000" w:rsidRPr="00000000">
        <w:rPr>
          <w:highlight w:val="white"/>
          <w:rtl w:val="0"/>
        </w:rPr>
        <w:t xml:space="preserve">(2), 131-171. </w:t>
      </w:r>
      <w:hyperlink r:id="rId24">
        <w:r w:rsidDel="00000000" w:rsidR="00000000" w:rsidRPr="00000000">
          <w:rPr>
            <w:highlight w:val="white"/>
            <w:u w:val="single"/>
            <w:rtl w:val="0"/>
          </w:rPr>
          <w:t xml:space="preserve">https://onlinelibrary.wiley.com/doi/abs/10.1111/jifm.12053</w:t>
        </w:r>
      </w:hyperlink>
      <w:r w:rsidDel="00000000" w:rsidR="00000000" w:rsidRPr="00000000">
        <w:rPr>
          <w:rtl w:val="0"/>
        </w:rPr>
      </w:r>
    </w:p>
    <w:p w:rsidR="00000000" w:rsidDel="00000000" w:rsidP="00000000" w:rsidRDefault="00000000" w:rsidRPr="00000000" w14:paraId="0000021F">
      <w:pPr>
        <w:rPr>
          <w:highlight w:val="white"/>
        </w:rPr>
      </w:pPr>
      <w:r w:rsidDel="00000000" w:rsidR="00000000" w:rsidRPr="00000000">
        <w:rPr>
          <w:highlight w:val="white"/>
          <w:rtl w:val="0"/>
        </w:rPr>
        <w:t xml:space="preserve">Babar, S. B. A. D. S., Arif, K. A. K., Galani, S. Q. G. S. Q., Khan, Z. S. K. Z. S., and Mubeen, M. M. M. (2022). A Review of Valuation And Corporate Finance. </w:t>
      </w:r>
      <w:r w:rsidDel="00000000" w:rsidR="00000000" w:rsidRPr="00000000">
        <w:rPr>
          <w:i w:val="1"/>
          <w:iCs w:val="1"/>
          <w:highlight w:val="white"/>
          <w:rtl w:val="0"/>
        </w:rPr>
        <w:t xml:space="preserve">Psychological Sciences</w:t>
      </w:r>
      <w:r w:rsidDel="00000000" w:rsidR="00000000" w:rsidRPr="00000000">
        <w:rPr>
          <w:highlight w:val="white"/>
          <w:rtl w:val="0"/>
        </w:rPr>
        <w:t xml:space="preserve">, </w:t>
      </w:r>
      <w:r w:rsidDel="00000000" w:rsidR="00000000" w:rsidRPr="00000000">
        <w:rPr>
          <w:i w:val="1"/>
          <w:iCs w:val="1"/>
          <w:highlight w:val="white"/>
          <w:rtl w:val="0"/>
        </w:rPr>
        <w:t xml:space="preserve">2</w:t>
      </w:r>
      <w:r w:rsidDel="00000000" w:rsidR="00000000" w:rsidRPr="00000000">
        <w:rPr>
          <w:highlight w:val="white"/>
          <w:rtl w:val="0"/>
        </w:rPr>
        <w:t xml:space="preserve">(2), 264-274. </w:t>
      </w:r>
      <w:hyperlink r:id="rId25">
        <w:r w:rsidDel="00000000" w:rsidR="00000000" w:rsidRPr="00000000">
          <w:rPr>
            <w:highlight w:val="white"/>
            <w:u w:val="single"/>
            <w:rtl w:val="0"/>
          </w:rPr>
          <w:t xml:space="preserve">https://psocialsciences.com/poss/index.php/poss/article/view/37</w:t>
        </w:r>
      </w:hyperlink>
      <w:r w:rsidDel="00000000" w:rsidR="00000000" w:rsidRPr="00000000">
        <w:rPr>
          <w:rtl w:val="0"/>
        </w:rPr>
      </w:r>
    </w:p>
    <w:p w:rsidR="00000000" w:rsidDel="00000000" w:rsidP="00000000" w:rsidRDefault="00000000" w:rsidRPr="00000000" w14:paraId="00000220">
      <w:pPr>
        <w:rPr>
          <w:highlight w:val="white"/>
        </w:rPr>
      </w:pPr>
      <w:r w:rsidDel="00000000" w:rsidR="00000000" w:rsidRPr="00000000">
        <w:rPr>
          <w:highlight w:val="white"/>
          <w:rtl w:val="0"/>
        </w:rPr>
        <w:t xml:space="preserve">Baresa, S., Bogdan, S., and Ivanovic, Z. (2017). Specific form of short-term financing. </w:t>
      </w:r>
      <w:r w:rsidDel="00000000" w:rsidR="00000000" w:rsidRPr="00000000">
        <w:rPr>
          <w:i w:val="1"/>
          <w:iCs w:val="1"/>
          <w:highlight w:val="white"/>
          <w:rtl w:val="0"/>
        </w:rPr>
        <w:t xml:space="preserve">UTMS Journal of Economics</w:t>
      </w:r>
      <w:r w:rsidDel="00000000" w:rsidR="00000000" w:rsidRPr="00000000">
        <w:rPr>
          <w:highlight w:val="white"/>
          <w:rtl w:val="0"/>
        </w:rPr>
        <w:t xml:space="preserve">, </w:t>
      </w:r>
      <w:r w:rsidDel="00000000" w:rsidR="00000000" w:rsidRPr="00000000">
        <w:rPr>
          <w:i w:val="1"/>
          <w:iCs w:val="1"/>
          <w:highlight w:val="white"/>
          <w:rtl w:val="0"/>
        </w:rPr>
        <w:t xml:space="preserve">8</w:t>
      </w:r>
      <w:r w:rsidDel="00000000" w:rsidR="00000000" w:rsidRPr="00000000">
        <w:rPr>
          <w:highlight w:val="white"/>
          <w:rtl w:val="0"/>
        </w:rPr>
        <w:t xml:space="preserve">(2), 119-129. </w:t>
      </w:r>
      <w:hyperlink r:id="rId26">
        <w:r w:rsidDel="00000000" w:rsidR="00000000" w:rsidRPr="00000000">
          <w:rPr>
            <w:highlight w:val="white"/>
            <w:u w:val="single"/>
            <w:rtl w:val="0"/>
          </w:rPr>
          <w:t xml:space="preserve">https://www.econstor.eu/handle/10419/195300</w:t>
        </w:r>
      </w:hyperlink>
      <w:r w:rsidDel="00000000" w:rsidR="00000000" w:rsidRPr="00000000">
        <w:rPr>
          <w:rtl w:val="0"/>
        </w:rPr>
      </w:r>
    </w:p>
    <w:p w:rsidR="00000000" w:rsidDel="00000000" w:rsidP="00000000" w:rsidRDefault="00000000" w:rsidRPr="00000000" w14:paraId="00000221">
      <w:pPr>
        <w:rPr>
          <w:highlight w:val="white"/>
        </w:rPr>
      </w:pPr>
      <w:r w:rsidDel="00000000" w:rsidR="00000000" w:rsidRPr="00000000">
        <w:rPr>
          <w:highlight w:val="white"/>
          <w:rtl w:val="0"/>
        </w:rPr>
        <w:t xml:space="preserve">Black, K. (2023). Business statistics: for contemporary decision making. John Wiley &amp; Sons. </w:t>
      </w:r>
      <w:hyperlink r:id="rId27">
        <w:r w:rsidDel="00000000" w:rsidR="00000000" w:rsidRPr="00000000">
          <w:rPr>
            <w:highlight w:val="white"/>
            <w:u w:val="single"/>
            <w:rtl w:val="0"/>
          </w:rPr>
          <w:t xml:space="preserve">https://books.google.com/books?hl=en&amp;lr=&amp;id=4Iy1EAAAQBAJ&amp;oi=fnd&amp;pg=PR3&amp;dq=Financial+accounting+for+decision+makers&amp;ots=B81cxVkXNR&amp;sig=0_dK4zUSVa5Mk9Os3239868hWPQ&amp;redir_esc=y#v=onepage&amp;q=Financial%20accounting%20for%20decision%20makers&amp;f=false</w:t>
        </w:r>
      </w:hyperlink>
      <w:r w:rsidDel="00000000" w:rsidR="00000000" w:rsidRPr="00000000">
        <w:rPr>
          <w:rtl w:val="0"/>
        </w:rPr>
      </w:r>
    </w:p>
    <w:p w:rsidR="00000000" w:rsidDel="00000000" w:rsidP="00000000" w:rsidRDefault="00000000" w:rsidRPr="00000000" w14:paraId="00000222">
      <w:pPr>
        <w:rPr/>
      </w:pPr>
      <w:r w:rsidDel="00000000" w:rsidR="00000000" w:rsidRPr="00000000">
        <w:rPr>
          <w:highlight w:val="white"/>
          <w:rtl w:val="0"/>
        </w:rPr>
        <w:t xml:space="preserve">Brigham, E. F. (2016). </w:t>
      </w:r>
      <w:r w:rsidDel="00000000" w:rsidR="00000000" w:rsidRPr="00000000">
        <w:rPr>
          <w:i w:val="1"/>
          <w:iCs w:val="1"/>
          <w:highlight w:val="white"/>
          <w:rtl w:val="0"/>
        </w:rPr>
        <w:t xml:space="preserve">Financial management: Theory and practice</w:t>
      </w:r>
      <w:r w:rsidDel="00000000" w:rsidR="00000000" w:rsidRPr="00000000">
        <w:rPr>
          <w:highlight w:val="white"/>
          <w:rtl w:val="0"/>
        </w:rPr>
        <w:t xml:space="preserve">. Cengage Learning Canada Inc. </w:t>
      </w:r>
      <w:hyperlink r:id="rId28">
        <w:r w:rsidDel="00000000" w:rsidR="00000000" w:rsidRPr="00000000">
          <w:rPr>
            <w:u w:val="single"/>
            <w:rtl w:val="0"/>
          </w:rPr>
          <w:t xml:space="preserve">https://books.google.com.bd/books?hl=en&amp;lr=&amp;id=wLix9OceP3MC&amp;oi=fnd&amp;pg=PA1&amp;dq=Brigham,+E.+F.+(2016).+Financial+management:+Theory+and+practice.+Cengage+Learning+Canada+Inc.&amp;ots=v3TUhtocgJ&amp;sig=QyEzNuZWwLufqI1QwP6HRMAhLC0&amp;redir_esc=y#v=onepage&amp;q&amp;f=false</w:t>
        </w:r>
      </w:hyperlink>
      <w:r w:rsidDel="00000000" w:rsidR="00000000" w:rsidRPr="00000000">
        <w:rPr>
          <w:rtl w:val="0"/>
        </w:rPr>
      </w:r>
    </w:p>
    <w:p w:rsidR="00000000" w:rsidDel="00000000" w:rsidP="00000000" w:rsidRDefault="00000000" w:rsidRPr="00000000" w14:paraId="00000223">
      <w:pPr>
        <w:rPr/>
      </w:pPr>
      <w:r w:rsidDel="00000000" w:rsidR="00000000" w:rsidRPr="00000000">
        <w:rPr>
          <w:highlight w:val="white"/>
          <w:rtl w:val="0"/>
        </w:rPr>
        <w:t xml:space="preserve">Dehghanfard, K., and Moslemi, A. (2017). Inflation, Operating Cycle, Cash Holding. </w:t>
      </w:r>
      <w:r w:rsidDel="00000000" w:rsidR="00000000" w:rsidRPr="00000000">
        <w:rPr>
          <w:i w:val="1"/>
          <w:iCs w:val="1"/>
          <w:highlight w:val="white"/>
          <w:rtl w:val="0"/>
        </w:rPr>
        <w:t xml:space="preserve">Advances in Mathematical Finance and Applications</w:t>
      </w:r>
      <w:r w:rsidDel="00000000" w:rsidR="00000000" w:rsidRPr="00000000">
        <w:rPr>
          <w:highlight w:val="white"/>
          <w:rtl w:val="0"/>
        </w:rPr>
        <w:t xml:space="preserve">, </w:t>
      </w:r>
      <w:r w:rsidDel="00000000" w:rsidR="00000000" w:rsidRPr="00000000">
        <w:rPr>
          <w:i w:val="1"/>
          <w:iCs w:val="1"/>
          <w:highlight w:val="white"/>
          <w:rtl w:val="0"/>
        </w:rPr>
        <w:t xml:space="preserve">2</w:t>
      </w:r>
      <w:r w:rsidDel="00000000" w:rsidR="00000000" w:rsidRPr="00000000">
        <w:rPr>
          <w:highlight w:val="white"/>
          <w:rtl w:val="0"/>
        </w:rPr>
        <w:t xml:space="preserve">(3), 79-90. </w:t>
      </w:r>
      <w:hyperlink r:id="rId29">
        <w:r w:rsidDel="00000000" w:rsidR="00000000" w:rsidRPr="00000000">
          <w:rPr>
            <w:u w:val="single"/>
            <w:rtl w:val="0"/>
          </w:rPr>
          <w:t xml:space="preserve">https://www.researchgate.net/publication/260008652_Inflation_operating_cycle_and_cash_holdings</w:t>
        </w:r>
      </w:hyperlink>
      <w:r w:rsidDel="00000000" w:rsidR="00000000" w:rsidRPr="00000000">
        <w:rPr>
          <w:rtl w:val="0"/>
        </w:rPr>
      </w:r>
    </w:p>
    <w:p w:rsidR="00000000" w:rsidDel="00000000" w:rsidP="00000000" w:rsidRDefault="00000000" w:rsidRPr="00000000" w14:paraId="00000224">
      <w:pPr>
        <w:rPr>
          <w:highlight w:val="white"/>
        </w:rPr>
      </w:pPr>
      <w:r w:rsidDel="00000000" w:rsidR="00000000" w:rsidRPr="00000000">
        <w:rPr>
          <w:highlight w:val="white"/>
          <w:rtl w:val="0"/>
        </w:rPr>
        <w:t xml:space="preserve">Easton, P. D., McAnally, M. L., Sommers, G. A., and Zhang, X. J. (2018). </w:t>
      </w:r>
      <w:r w:rsidDel="00000000" w:rsidR="00000000" w:rsidRPr="00000000">
        <w:rPr>
          <w:i w:val="1"/>
          <w:iCs w:val="1"/>
          <w:highlight w:val="white"/>
          <w:rtl w:val="0"/>
        </w:rPr>
        <w:t xml:space="preserve">Financial statement analysis &amp; valuation</w:t>
      </w:r>
      <w:r w:rsidDel="00000000" w:rsidR="00000000" w:rsidRPr="00000000">
        <w:rPr>
          <w:highlight w:val="white"/>
          <w:rtl w:val="0"/>
        </w:rPr>
        <w:t xml:space="preserve">. Boston, MA: Cambridge Business Publishers. </w:t>
      </w:r>
      <w:hyperlink r:id="rId30">
        <w:r w:rsidDel="00000000" w:rsidR="00000000" w:rsidRPr="00000000">
          <w:rPr>
            <w:highlight w:val="white"/>
            <w:u w:val="single"/>
            <w:rtl w:val="0"/>
          </w:rPr>
          <w:t xml:space="preserve">https://www.fau.edu/graduate/documents/graduate/faculty-and-staff/graduate-council/docs/03212019/ncp-acg5176.pdf</w:t>
        </w:r>
      </w:hyperlink>
      <w:r w:rsidDel="00000000" w:rsidR="00000000" w:rsidRPr="00000000">
        <w:rPr>
          <w:rtl w:val="0"/>
        </w:rPr>
      </w:r>
    </w:p>
    <w:p w:rsidR="00000000" w:rsidDel="00000000" w:rsidP="00000000" w:rsidRDefault="00000000" w:rsidRPr="00000000" w14:paraId="00000225">
      <w:pPr>
        <w:rPr>
          <w:highlight w:val="white"/>
        </w:rPr>
      </w:pPr>
      <w:r w:rsidDel="00000000" w:rsidR="00000000" w:rsidRPr="00000000">
        <w:rPr>
          <w:highlight w:val="white"/>
          <w:rtl w:val="0"/>
        </w:rPr>
        <w:t xml:space="preserve">Feldman, E. R. (2021). </w:t>
      </w:r>
      <w:r w:rsidDel="00000000" w:rsidR="00000000" w:rsidRPr="00000000">
        <w:rPr>
          <w:i w:val="1"/>
          <w:iCs w:val="1"/>
          <w:highlight w:val="white"/>
          <w:rtl w:val="0"/>
        </w:rPr>
        <w:t xml:space="preserve">Restructuring and divestitures</w:t>
      </w:r>
      <w:r w:rsidDel="00000000" w:rsidR="00000000" w:rsidRPr="00000000">
        <w:rPr>
          <w:highlight w:val="white"/>
          <w:rtl w:val="0"/>
        </w:rPr>
        <w:t xml:space="preserve"> (pp. 153-166). New York, NY: Oxford University Press. </w:t>
      </w:r>
      <w:hyperlink r:id="rId31">
        <w:r w:rsidDel="00000000" w:rsidR="00000000" w:rsidRPr="00000000">
          <w:rPr>
            <w:highlight w:val="white"/>
            <w:u w:val="single"/>
            <w:rtl w:val="0"/>
          </w:rPr>
          <w:t xml:space="preserve">https://books.google.com/books?hl=en&amp;lr=&amp;id=VX0_EAAAQBAJ&amp;oi=fnd&amp;pg=PA153&amp;dq=Asset+Divestiture+Strategy&amp;ots=TFm0gF4GeN&amp;sig=87Z48YsxRoegmzBj0a2j81Zj94A&amp;redir_esc=y#v=onepage&amp;q=Asset%20Divestiture%20Strategy&amp;f=false</w:t>
        </w:r>
      </w:hyperlink>
      <w:r w:rsidDel="00000000" w:rsidR="00000000" w:rsidRPr="00000000">
        <w:rPr>
          <w:rtl w:val="0"/>
        </w:rPr>
      </w:r>
    </w:p>
    <w:p w:rsidR="00000000" w:rsidDel="00000000" w:rsidP="00000000" w:rsidRDefault="00000000" w:rsidRPr="00000000" w14:paraId="00000226">
      <w:pPr>
        <w:rPr/>
      </w:pPr>
      <w:r w:rsidDel="00000000" w:rsidR="00000000" w:rsidRPr="00000000">
        <w:rPr>
          <w:highlight w:val="white"/>
          <w:rtl w:val="0"/>
        </w:rPr>
        <w:t xml:space="preserve">Fridson, M. S., and Alvarez, F. (2022). </w:t>
      </w:r>
      <w:r w:rsidDel="00000000" w:rsidR="00000000" w:rsidRPr="00000000">
        <w:rPr>
          <w:i w:val="1"/>
          <w:iCs w:val="1"/>
          <w:highlight w:val="white"/>
          <w:rtl w:val="0"/>
        </w:rPr>
        <w:t xml:space="preserve">Financial statement analysis: a practitioner's guide</w:t>
      </w:r>
      <w:r w:rsidDel="00000000" w:rsidR="00000000" w:rsidRPr="00000000">
        <w:rPr>
          <w:highlight w:val="white"/>
          <w:rtl w:val="0"/>
        </w:rPr>
        <w:t xml:space="preserve">. John Wiley &amp; Sons. </w:t>
      </w:r>
      <w:hyperlink r:id="rId32">
        <w:r w:rsidDel="00000000" w:rsidR="00000000" w:rsidRPr="00000000">
          <w:rPr>
            <w:u w:val="single"/>
            <w:rtl w:val="0"/>
          </w:rPr>
          <w:t xml:space="preserve">https://www.researchgate.net/publication/361155471_Financial_Statement_Analysis_A_Practitioner's_Guide_Fifth_Edition</w:t>
        </w:r>
      </w:hyperlink>
      <w:r w:rsidDel="00000000" w:rsidR="00000000" w:rsidRPr="00000000">
        <w:rPr>
          <w:rtl w:val="0"/>
        </w:rPr>
      </w:r>
    </w:p>
    <w:p w:rsidR="00000000" w:rsidDel="00000000" w:rsidP="00000000" w:rsidRDefault="00000000" w:rsidRPr="00000000" w14:paraId="00000227">
      <w:pPr>
        <w:rPr>
          <w:highlight w:val="white"/>
        </w:rPr>
      </w:pPr>
      <w:r w:rsidDel="00000000" w:rsidR="00000000" w:rsidRPr="00000000">
        <w:rPr>
          <w:highlight w:val="white"/>
          <w:rtl w:val="0"/>
        </w:rPr>
        <w:t xml:space="preserve">Hasanaj, P., and Kuqi, B. (2019). Analysis of financial statements. </w:t>
      </w:r>
      <w:r w:rsidDel="00000000" w:rsidR="00000000" w:rsidRPr="00000000">
        <w:rPr>
          <w:i w:val="1"/>
          <w:iCs w:val="1"/>
          <w:highlight w:val="white"/>
          <w:rtl w:val="0"/>
        </w:rPr>
        <w:t xml:space="preserve">Humanities and Social Science Research</w:t>
      </w:r>
      <w:r w:rsidDel="00000000" w:rsidR="00000000" w:rsidRPr="00000000">
        <w:rPr>
          <w:highlight w:val="white"/>
          <w:rtl w:val="0"/>
        </w:rPr>
        <w:t xml:space="preserve">, </w:t>
      </w:r>
      <w:r w:rsidDel="00000000" w:rsidR="00000000" w:rsidRPr="00000000">
        <w:rPr>
          <w:i w:val="1"/>
          <w:iCs w:val="1"/>
          <w:highlight w:val="white"/>
          <w:rtl w:val="0"/>
        </w:rPr>
        <w:t xml:space="preserve">2</w:t>
      </w:r>
      <w:r w:rsidDel="00000000" w:rsidR="00000000" w:rsidRPr="00000000">
        <w:rPr>
          <w:highlight w:val="white"/>
          <w:rtl w:val="0"/>
        </w:rPr>
        <w:t xml:space="preserve">(2), p17-p17. </w:t>
      </w:r>
      <w:hyperlink r:id="rId33">
        <w:r w:rsidDel="00000000" w:rsidR="00000000" w:rsidRPr="00000000">
          <w:rPr>
            <w:highlight w:val="white"/>
            <w:u w:val="single"/>
            <w:rtl w:val="0"/>
          </w:rPr>
          <w:t xml:space="preserve">https://j.ideasspread.org/index.php/hssr/article/view/305</w:t>
        </w:r>
      </w:hyperlink>
      <w:r w:rsidDel="00000000" w:rsidR="00000000" w:rsidRPr="00000000">
        <w:rPr>
          <w:rtl w:val="0"/>
        </w:rPr>
      </w:r>
    </w:p>
    <w:p w:rsidR="00000000" w:rsidDel="00000000" w:rsidP="00000000" w:rsidRDefault="00000000" w:rsidRPr="00000000" w14:paraId="00000228">
      <w:pPr>
        <w:rPr>
          <w:highlight w:val="white"/>
        </w:rPr>
      </w:pPr>
      <w:r w:rsidDel="00000000" w:rsidR="00000000" w:rsidRPr="00000000">
        <w:rPr>
          <w:highlight w:val="white"/>
          <w:rtl w:val="0"/>
        </w:rPr>
        <w:t xml:space="preserve">Kimmel, P. D., Weygandt, J. J., and Kieso, D. E. (2020). </w:t>
      </w:r>
      <w:r w:rsidDel="00000000" w:rsidR="00000000" w:rsidRPr="00000000">
        <w:rPr>
          <w:i w:val="1"/>
          <w:iCs w:val="1"/>
          <w:highlight w:val="white"/>
          <w:rtl w:val="0"/>
        </w:rPr>
        <w:t xml:space="preserve">Financial accounting: tools for business decision making</w:t>
      </w:r>
      <w:r w:rsidDel="00000000" w:rsidR="00000000" w:rsidRPr="00000000">
        <w:rPr>
          <w:highlight w:val="white"/>
          <w:rtl w:val="0"/>
        </w:rPr>
        <w:t xml:space="preserve">. John Wiley &amp; Sons. </w:t>
      </w:r>
      <w:hyperlink r:id="rId34">
        <w:r w:rsidDel="00000000" w:rsidR="00000000" w:rsidRPr="00000000">
          <w:rPr>
            <w:highlight w:val="white"/>
            <w:u w:val="single"/>
            <w:rtl w:val="0"/>
          </w:rPr>
          <w:t xml:space="preserve">https://books.google.com/books?hl=en&amp;lr=&amp;id=oPdPEAAAQBAJ&amp;oi=fnd&amp;pg=PA1&amp;dq=Financial+accounting+for+decision+makers.&amp;ots=246yjtpqUn&amp;sig=WypOabd1ruOGvgGK6gr5902xYXc&amp;redir_esc=y#v=onepage&amp;q=Financial%20accounting%20for%20decision%20makers.&amp;f=false</w:t>
        </w:r>
      </w:hyperlink>
      <w:r w:rsidDel="00000000" w:rsidR="00000000" w:rsidRPr="00000000">
        <w:rPr>
          <w:rtl w:val="0"/>
        </w:rPr>
      </w:r>
    </w:p>
    <w:p w:rsidR="00000000" w:rsidDel="00000000" w:rsidP="00000000" w:rsidRDefault="00000000" w:rsidRPr="00000000" w14:paraId="00000229">
      <w:pPr>
        <w:rPr>
          <w:highlight w:val="white"/>
        </w:rPr>
      </w:pPr>
      <w:r w:rsidDel="00000000" w:rsidR="00000000" w:rsidRPr="00000000">
        <w:rPr>
          <w:highlight w:val="white"/>
          <w:rtl w:val="0"/>
        </w:rPr>
        <w:t xml:space="preserve">Koh, S., Durand, R. B., Dai, L., and Chang, M. (2015). Financial distress: Lifecycle and corporate restructuring. </w:t>
      </w:r>
      <w:r w:rsidDel="00000000" w:rsidR="00000000" w:rsidRPr="00000000">
        <w:rPr>
          <w:i w:val="1"/>
          <w:iCs w:val="1"/>
          <w:highlight w:val="white"/>
          <w:rtl w:val="0"/>
        </w:rPr>
        <w:t xml:space="preserve">Journal of Corporate Finance</w:t>
      </w:r>
      <w:r w:rsidDel="00000000" w:rsidR="00000000" w:rsidRPr="00000000">
        <w:rPr>
          <w:highlight w:val="white"/>
          <w:rtl w:val="0"/>
        </w:rPr>
        <w:t xml:space="preserve">, </w:t>
      </w:r>
      <w:r w:rsidDel="00000000" w:rsidR="00000000" w:rsidRPr="00000000">
        <w:rPr>
          <w:i w:val="1"/>
          <w:iCs w:val="1"/>
          <w:highlight w:val="white"/>
          <w:rtl w:val="0"/>
        </w:rPr>
        <w:t xml:space="preserve">33</w:t>
      </w:r>
      <w:r w:rsidDel="00000000" w:rsidR="00000000" w:rsidRPr="00000000">
        <w:rPr>
          <w:highlight w:val="white"/>
          <w:rtl w:val="0"/>
        </w:rPr>
        <w:t xml:space="preserve">, 19-33. </w:t>
      </w:r>
      <w:hyperlink r:id="rId35">
        <w:r w:rsidDel="00000000" w:rsidR="00000000" w:rsidRPr="00000000">
          <w:rPr>
            <w:highlight w:val="white"/>
            <w:u w:val="single"/>
            <w:rtl w:val="0"/>
          </w:rPr>
          <w:t xml:space="preserve">https://www.sciencedirect.com/science/article/abs/pii/S0929119915000498</w:t>
        </w:r>
      </w:hyperlink>
      <w:r w:rsidDel="00000000" w:rsidR="00000000" w:rsidRPr="00000000">
        <w:rPr>
          <w:rtl w:val="0"/>
        </w:rPr>
      </w:r>
    </w:p>
    <w:p w:rsidR="00000000" w:rsidDel="00000000" w:rsidP="00000000" w:rsidRDefault="00000000" w:rsidRPr="00000000" w14:paraId="0000022A">
      <w:pPr>
        <w:rPr>
          <w:highlight w:val="white"/>
        </w:rPr>
      </w:pPr>
      <w:r w:rsidDel="00000000" w:rsidR="00000000" w:rsidRPr="00000000">
        <w:rPr>
          <w:highlight w:val="white"/>
          <w:rtl w:val="0"/>
        </w:rPr>
        <w:t xml:space="preserve">Mustafina, A. A., Kaigorodova, G. N., Pyrkova, G. K., Alyakina, D. P., and Kamalova, A. A. (2020). Management of long-term financing in a company. </w:t>
      </w:r>
      <w:r w:rsidDel="00000000" w:rsidR="00000000" w:rsidRPr="00000000">
        <w:rPr>
          <w:i w:val="1"/>
          <w:iCs w:val="1"/>
          <w:highlight w:val="white"/>
          <w:rtl w:val="0"/>
        </w:rPr>
        <w:t xml:space="preserve">Revista Turismo Estudos e Práticas-RTEP/GEPLAT/UERN</w:t>
      </w:r>
      <w:r w:rsidDel="00000000" w:rsidR="00000000" w:rsidRPr="00000000">
        <w:rPr>
          <w:highlight w:val="white"/>
          <w:rtl w:val="0"/>
        </w:rPr>
        <w:t xml:space="preserve">, (5), 1-8. </w:t>
      </w:r>
      <w:hyperlink r:id="rId36">
        <w:r w:rsidDel="00000000" w:rsidR="00000000" w:rsidRPr="00000000">
          <w:rPr>
            <w:highlight w:val="white"/>
            <w:u w:val="single"/>
            <w:rtl w:val="0"/>
          </w:rPr>
          <w:t xml:space="preserve">https://geplat.com/rtep/index.php/tourism/article/view/790</w:t>
        </w:r>
      </w:hyperlink>
      <w:r w:rsidDel="00000000" w:rsidR="00000000" w:rsidRPr="00000000">
        <w:rPr>
          <w:rtl w:val="0"/>
        </w:rPr>
      </w:r>
    </w:p>
    <w:p w:rsidR="00000000" w:rsidDel="00000000" w:rsidP="00000000" w:rsidRDefault="00000000" w:rsidRPr="00000000" w14:paraId="0000022B">
      <w:pPr>
        <w:rPr>
          <w:highlight w:val="white"/>
        </w:rPr>
      </w:pPr>
      <w:r w:rsidDel="00000000" w:rsidR="00000000" w:rsidRPr="00000000">
        <w:rPr>
          <w:highlight w:val="white"/>
          <w:rtl w:val="0"/>
        </w:rPr>
        <w:t xml:space="preserve">Nielsen, L. B., Mitchell, F., and Nørreklit, H. (2015, March). Management accounting and decision making: Two case studies of outsourcing. In </w:t>
      </w:r>
      <w:r w:rsidDel="00000000" w:rsidR="00000000" w:rsidRPr="00000000">
        <w:rPr>
          <w:i w:val="1"/>
          <w:iCs w:val="1"/>
          <w:highlight w:val="white"/>
          <w:rtl w:val="0"/>
        </w:rPr>
        <w:t xml:space="preserve">Accounting Forum</w:t>
      </w:r>
      <w:r w:rsidDel="00000000" w:rsidR="00000000" w:rsidRPr="00000000">
        <w:rPr>
          <w:highlight w:val="white"/>
          <w:rtl w:val="0"/>
        </w:rPr>
        <w:t xml:space="preserve"> (Vol. 39, No. 1, pp. 64-82). No longer published by Elsevier. </w:t>
      </w:r>
      <w:hyperlink r:id="rId37">
        <w:r w:rsidDel="00000000" w:rsidR="00000000" w:rsidRPr="00000000">
          <w:rPr>
            <w:highlight w:val="white"/>
            <w:u w:val="single"/>
            <w:rtl w:val="0"/>
          </w:rPr>
          <w:t xml:space="preserve">https://www.sciencedirect.com/science/article/abs/pii/S0155998214000453</w:t>
        </w:r>
      </w:hyperlink>
      <w:r w:rsidDel="00000000" w:rsidR="00000000" w:rsidRPr="00000000">
        <w:rPr>
          <w:rtl w:val="0"/>
        </w:rPr>
      </w:r>
    </w:p>
    <w:p w:rsidR="00000000" w:rsidDel="00000000" w:rsidP="00000000" w:rsidRDefault="00000000" w:rsidRPr="00000000" w14:paraId="0000022C">
      <w:pPr>
        <w:rPr>
          <w:highlight w:val="white"/>
        </w:rPr>
      </w:pPr>
      <w:r w:rsidDel="00000000" w:rsidR="00000000" w:rsidRPr="00000000">
        <w:rPr>
          <w:highlight w:val="white"/>
          <w:rtl w:val="0"/>
        </w:rPr>
        <w:t xml:space="preserve">Palepu, K. G., Healy, P. M., Wright, S., Bradbury, M., and Coulton, J. (2020). </w:t>
      </w:r>
      <w:r w:rsidDel="00000000" w:rsidR="00000000" w:rsidRPr="00000000">
        <w:rPr>
          <w:i w:val="1"/>
          <w:iCs w:val="1"/>
          <w:highlight w:val="white"/>
          <w:rtl w:val="0"/>
        </w:rPr>
        <w:t xml:space="preserve">Business analysis and valuation: Using financial statements</w:t>
      </w:r>
      <w:r w:rsidDel="00000000" w:rsidR="00000000" w:rsidRPr="00000000">
        <w:rPr>
          <w:highlight w:val="white"/>
          <w:rtl w:val="0"/>
        </w:rPr>
        <w:t xml:space="preserve">. Cengage AU. </w:t>
      </w:r>
      <w:hyperlink r:id="rId38">
        <w:r w:rsidDel="00000000" w:rsidR="00000000" w:rsidRPr="00000000">
          <w:rPr>
            <w:highlight w:val="white"/>
            <w:u w:val="single"/>
            <w:rtl w:val="0"/>
          </w:rPr>
          <w:t xml:space="preserve">https://books.google.com/books?hl=en&amp;lr=&amp;id=IDT6DwAAQBAJ&amp;oi=fnd&amp;pg=PR13&amp;dq=Business+analysis+and+valuation:+Using+financial+statements.&amp;ots=uKgnb_va8U&amp;sig=7N-EEIMTYKp6PfJQHCgy2hyn60A&amp;redir_esc=y#v=onepage&amp;q=Business%20analysis%20and%20valuation%3A%20Using%20financial%20statements.&amp;f=false</w:t>
        </w:r>
      </w:hyperlink>
      <w:r w:rsidDel="00000000" w:rsidR="00000000" w:rsidRPr="00000000">
        <w:rPr>
          <w:rtl w:val="0"/>
        </w:rPr>
      </w:r>
    </w:p>
    <w:p w:rsidR="00000000" w:rsidDel="00000000" w:rsidP="00000000" w:rsidRDefault="00000000" w:rsidRPr="00000000" w14:paraId="0000022D">
      <w:pPr>
        <w:rPr>
          <w:highlight w:val="white"/>
        </w:rPr>
      </w:pPr>
      <w:r w:rsidDel="00000000" w:rsidR="00000000" w:rsidRPr="00000000">
        <w:rPr>
          <w:highlight w:val="white"/>
          <w:rtl w:val="0"/>
        </w:rPr>
        <w:t xml:space="preserve">Pelekh, U., Khocha, N., and Holovchak, H. (2020). Financial statements as a management tool. </w:t>
      </w:r>
      <w:r w:rsidDel="00000000" w:rsidR="00000000" w:rsidRPr="00000000">
        <w:rPr>
          <w:i w:val="1"/>
          <w:iCs w:val="1"/>
          <w:highlight w:val="white"/>
          <w:rtl w:val="0"/>
        </w:rPr>
        <w:t xml:space="preserve">Management Science Letters</w:t>
      </w:r>
      <w:r w:rsidDel="00000000" w:rsidR="00000000" w:rsidRPr="00000000">
        <w:rPr>
          <w:highlight w:val="white"/>
          <w:rtl w:val="0"/>
        </w:rPr>
        <w:t xml:space="preserve">, </w:t>
      </w:r>
      <w:r w:rsidDel="00000000" w:rsidR="00000000" w:rsidRPr="00000000">
        <w:rPr>
          <w:i w:val="1"/>
          <w:iCs w:val="1"/>
          <w:highlight w:val="white"/>
          <w:rtl w:val="0"/>
        </w:rPr>
        <w:t xml:space="preserve">10</w:t>
      </w:r>
      <w:r w:rsidDel="00000000" w:rsidR="00000000" w:rsidRPr="00000000">
        <w:rPr>
          <w:highlight w:val="white"/>
          <w:rtl w:val="0"/>
        </w:rPr>
        <w:t xml:space="preserve">(1), 197-208. </w:t>
      </w:r>
      <w:hyperlink r:id="rId39">
        <w:r w:rsidDel="00000000" w:rsidR="00000000" w:rsidRPr="00000000">
          <w:rPr>
            <w:highlight w:val="white"/>
            <w:u w:val="single"/>
            <w:rtl w:val="0"/>
          </w:rPr>
          <w:t xml:space="preserve">https://pdfs.semanticscholar.org/0c86/f39ad9fe29715c518eef4378269303361fef.pdf</w:t>
        </w:r>
      </w:hyperlink>
      <w:r w:rsidDel="00000000" w:rsidR="00000000" w:rsidRPr="00000000">
        <w:rPr>
          <w:rtl w:val="0"/>
        </w:rPr>
      </w:r>
    </w:p>
    <w:p w:rsidR="00000000" w:rsidDel="00000000" w:rsidP="00000000" w:rsidRDefault="00000000" w:rsidRPr="00000000" w14:paraId="0000022E">
      <w:pPr>
        <w:rPr>
          <w:highlight w:val="white"/>
        </w:rPr>
      </w:pPr>
      <w:r w:rsidDel="00000000" w:rsidR="00000000" w:rsidRPr="00000000">
        <w:rPr>
          <w:highlight w:val="white"/>
          <w:rtl w:val="0"/>
        </w:rPr>
        <w:t xml:space="preserve">Petty, J. W., Titman, S., Keown, A. J., Martin, P., Martin, J. D., and Burrow, M. (2015). </w:t>
      </w:r>
      <w:r w:rsidDel="00000000" w:rsidR="00000000" w:rsidRPr="00000000">
        <w:rPr>
          <w:i w:val="1"/>
          <w:iCs w:val="1"/>
          <w:highlight w:val="white"/>
          <w:rtl w:val="0"/>
        </w:rPr>
        <w:t xml:space="preserve">Financial management: Principles and applications</w:t>
      </w:r>
      <w:r w:rsidDel="00000000" w:rsidR="00000000" w:rsidRPr="00000000">
        <w:rPr>
          <w:highlight w:val="white"/>
          <w:rtl w:val="0"/>
        </w:rPr>
        <w:t xml:space="preserve">. Pearson Higher Education AU. </w:t>
      </w:r>
      <w:hyperlink r:id="rId40">
        <w:r w:rsidDel="00000000" w:rsidR="00000000" w:rsidRPr="00000000">
          <w:rPr>
            <w:highlight w:val="white"/>
            <w:u w:val="single"/>
            <w:rtl w:val="0"/>
          </w:rPr>
          <w:t xml:space="preserve">https://books.google.com/books?hl=en&amp;lr=&amp;id=WyviBAAAQBAJ&amp;oi=fnd&amp;pg=PP1&amp;dq=Financial+management:+Principles+and+applications.&amp;ots=qsVg5OzwPy&amp;sig=F-EEmNiASW0wBod48rRvHPe6riw&amp;redir_esc=y#v=onepage&amp;q=Financial%20management%3A%20Principles%20and%20applications.&amp;f=false</w:t>
        </w:r>
      </w:hyperlink>
      <w:r w:rsidDel="00000000" w:rsidR="00000000" w:rsidRPr="00000000">
        <w:rPr>
          <w:rtl w:val="0"/>
        </w:rPr>
      </w:r>
    </w:p>
    <w:p w:rsidR="00000000" w:rsidDel="00000000" w:rsidP="00000000" w:rsidRDefault="00000000" w:rsidRPr="00000000" w14:paraId="0000022F">
      <w:pPr>
        <w:rPr>
          <w:highlight w:val="white"/>
        </w:rPr>
      </w:pPr>
      <w:r w:rsidDel="00000000" w:rsidR="00000000" w:rsidRPr="00000000">
        <w:rPr>
          <w:highlight w:val="white"/>
          <w:rtl w:val="0"/>
        </w:rPr>
        <w:t xml:space="preserve">Quesada, H. J. (2019). Analysis of financial statements using ratios. </w:t>
      </w:r>
      <w:hyperlink r:id="rId41">
        <w:r w:rsidDel="00000000" w:rsidR="00000000" w:rsidRPr="00000000">
          <w:rPr>
            <w:highlight w:val="white"/>
            <w:u w:val="single"/>
            <w:rtl w:val="0"/>
          </w:rPr>
          <w:t xml:space="preserve">https://vtechworks.lib.vt.edu/server/api/core/bitstreams/38060405-eb5a-4ac5-a6c6-18448619730b/content</w:t>
        </w:r>
      </w:hyperlink>
      <w:r w:rsidDel="00000000" w:rsidR="00000000" w:rsidRPr="00000000">
        <w:rPr>
          <w:rtl w:val="0"/>
        </w:rPr>
      </w:r>
    </w:p>
    <w:p w:rsidR="00000000" w:rsidDel="00000000" w:rsidP="00000000" w:rsidRDefault="00000000" w:rsidRPr="00000000" w14:paraId="00000230">
      <w:pPr>
        <w:rPr/>
      </w:pPr>
      <w:r w:rsidDel="00000000" w:rsidR="00000000" w:rsidRPr="00000000">
        <w:rPr>
          <w:highlight w:val="white"/>
          <w:rtl w:val="0"/>
        </w:rPr>
        <w:t xml:space="preserve">Robert, C. H., Jennifer, L. K., and Todd, M. (2023). </w:t>
      </w:r>
      <w:r w:rsidDel="00000000" w:rsidR="00000000" w:rsidRPr="00000000">
        <w:rPr>
          <w:i w:val="1"/>
          <w:iCs w:val="1"/>
          <w:highlight w:val="white"/>
          <w:rtl w:val="0"/>
        </w:rPr>
        <w:t xml:space="preserve">Analysis for financial management</w:t>
      </w:r>
      <w:r w:rsidDel="00000000" w:rsidR="00000000" w:rsidRPr="00000000">
        <w:rPr>
          <w:highlight w:val="white"/>
          <w:rtl w:val="0"/>
        </w:rPr>
        <w:t xml:space="preserve">. McGraw-Hill Education. </w:t>
      </w:r>
      <w:hyperlink r:id="rId42">
        <w:r w:rsidDel="00000000" w:rsidR="00000000" w:rsidRPr="00000000">
          <w:rPr>
            <w:u w:val="single"/>
            <w:rtl w:val="0"/>
          </w:rPr>
          <w:t xml:space="preserve">https://www.mheducation.com/highered/product/analysis-for-financial-management-higgins.html?viewOption=student</w:t>
        </w:r>
      </w:hyperlink>
      <w:r w:rsidDel="00000000" w:rsidR="00000000" w:rsidRPr="00000000">
        <w:rPr>
          <w:rtl w:val="0"/>
        </w:rPr>
      </w:r>
    </w:p>
    <w:p w:rsidR="00000000" w:rsidDel="00000000" w:rsidP="00000000" w:rsidRDefault="00000000" w:rsidRPr="00000000" w14:paraId="00000231">
      <w:pPr>
        <w:rPr>
          <w:highlight w:val="white"/>
        </w:rPr>
      </w:pPr>
      <w:r w:rsidDel="00000000" w:rsidR="00000000" w:rsidRPr="00000000">
        <w:rPr>
          <w:highlight w:val="white"/>
          <w:rtl w:val="0"/>
        </w:rPr>
        <w:t xml:space="preserve">Ross, S. (2015). Ebook: Fundamentals of Corporate Finance. McGraw-Hill. </w:t>
      </w:r>
      <w:hyperlink r:id="rId43">
        <w:r w:rsidDel="00000000" w:rsidR="00000000" w:rsidRPr="00000000">
          <w:rPr>
            <w:highlight w:val="white"/>
            <w:u w:val="single"/>
            <w:rtl w:val="0"/>
          </w:rPr>
          <w:t xml:space="preserve">https://books.google.com/books?hl=en&amp;lr=&amp;id=AxUsEAAAQBAJ&amp;oi=fnd&amp;pg=PR1&amp;dq=Applied+corporate+finance.&amp;ots=OHwzF1APgX&amp;sig=bJaDO8dCy44svp0aRlWoz2VMUys&amp;redir_esc=y#v=onepage&amp;q=Applied%20corporate%20finance.&amp;f=false</w:t>
        </w:r>
      </w:hyperlink>
      <w:r w:rsidDel="00000000" w:rsidR="00000000" w:rsidRPr="00000000">
        <w:rPr>
          <w:rtl w:val="0"/>
        </w:rPr>
      </w:r>
    </w:p>
    <w:p w:rsidR="00000000" w:rsidDel="00000000" w:rsidP="00000000" w:rsidRDefault="00000000" w:rsidRPr="00000000" w14:paraId="00000232">
      <w:pPr>
        <w:rPr>
          <w:highlight w:val="white"/>
        </w:rPr>
      </w:pPr>
      <w:r w:rsidDel="00000000" w:rsidR="00000000" w:rsidRPr="00000000">
        <w:rPr>
          <w:highlight w:val="white"/>
          <w:rtl w:val="0"/>
        </w:rPr>
        <w:t xml:space="preserve">Schroeder, R. G., Clark, M. W., and Cathey, J. M. (2022). </w:t>
      </w:r>
      <w:r w:rsidDel="00000000" w:rsidR="00000000" w:rsidRPr="00000000">
        <w:rPr>
          <w:i w:val="1"/>
          <w:iCs w:val="1"/>
          <w:highlight w:val="white"/>
          <w:rtl w:val="0"/>
        </w:rPr>
        <w:t xml:space="preserve">Financial accounting theory and analysis: text and cases</w:t>
      </w:r>
      <w:r w:rsidDel="00000000" w:rsidR="00000000" w:rsidRPr="00000000">
        <w:rPr>
          <w:highlight w:val="white"/>
          <w:rtl w:val="0"/>
        </w:rPr>
        <w:t xml:space="preserve">. John Wiley &amp; Sons. </w:t>
      </w:r>
      <w:hyperlink r:id="rId44">
        <w:r w:rsidDel="00000000" w:rsidR="00000000" w:rsidRPr="00000000">
          <w:rPr>
            <w:highlight w:val="white"/>
            <w:u w:val="single"/>
            <w:rtl w:val="0"/>
          </w:rPr>
          <w:t xml:space="preserve">https://books.google.com/books?hl=en&amp;lr=&amp;id=8F6LEAAAQBAJ&amp;oi=fnd&amp;pg=PR5&amp;dq=Financial+accounting+for+decision+makers.&amp;ots=DxSIGB8QDS&amp;sig=yCP6SCSogJbL3vJHcyARFmxvIaU&amp;redir_esc=y#v=onepage&amp;q=Financial%20accounting%20for%20decision%20makers.&amp;f=false</w:t>
        </w:r>
      </w:hyperlink>
      <w:r w:rsidDel="00000000" w:rsidR="00000000" w:rsidRPr="00000000">
        <w:rPr>
          <w:rtl w:val="0"/>
        </w:rPr>
      </w:r>
    </w:p>
    <w:p w:rsidR="00000000" w:rsidDel="00000000" w:rsidP="00000000" w:rsidRDefault="00000000" w:rsidRPr="00000000" w14:paraId="00000233">
      <w:pPr>
        <w:rPr>
          <w:highlight w:val="white"/>
        </w:rPr>
      </w:pPr>
      <w:r w:rsidDel="00000000" w:rsidR="00000000" w:rsidRPr="00000000">
        <w:rPr>
          <w:highlight w:val="white"/>
          <w:rtl w:val="0"/>
        </w:rPr>
        <w:t xml:space="preserve">Scott, W. R. (2015). </w:t>
      </w:r>
      <w:r w:rsidDel="00000000" w:rsidR="00000000" w:rsidRPr="00000000">
        <w:rPr>
          <w:i w:val="1"/>
          <w:iCs w:val="1"/>
          <w:highlight w:val="white"/>
          <w:rtl w:val="0"/>
        </w:rPr>
        <w:t xml:space="preserve">Financial Accounting Theory, 7th</w:t>
      </w:r>
      <w:r w:rsidDel="00000000" w:rsidR="00000000" w:rsidRPr="00000000">
        <w:rPr>
          <w:highlight w:val="white"/>
          <w:rtl w:val="0"/>
        </w:rPr>
        <w:t xml:space="preserve">. Pearson Canada. </w:t>
      </w:r>
      <w:hyperlink r:id="rId45">
        <w:r w:rsidDel="00000000" w:rsidR="00000000" w:rsidRPr="00000000">
          <w:rPr>
            <w:highlight w:val="white"/>
            <w:u w:val="single"/>
            <w:rtl w:val="0"/>
          </w:rPr>
          <w:t xml:space="preserve">http://196.188.236.12:8080/jspui/bitstream/123456789/4579/1/Financial%20Accounting%20Theory%20%287th%20Edition%29%20%28%20PDFDrive%20%29.pdf</w:t>
        </w:r>
      </w:hyperlink>
      <w:r w:rsidDel="00000000" w:rsidR="00000000" w:rsidRPr="00000000">
        <w:rPr>
          <w:rtl w:val="0"/>
        </w:rPr>
      </w:r>
    </w:p>
    <w:p w:rsidR="00000000" w:rsidDel="00000000" w:rsidP="00000000" w:rsidRDefault="00000000" w:rsidRPr="00000000" w14:paraId="00000234">
      <w:pPr>
        <w:rPr>
          <w:highlight w:val="white"/>
        </w:rPr>
      </w:pPr>
      <w:r w:rsidDel="00000000" w:rsidR="00000000" w:rsidRPr="00000000">
        <w:rPr>
          <w:highlight w:val="white"/>
          <w:rtl w:val="0"/>
        </w:rPr>
        <w:t xml:space="preserve">Turner, J. A. (2016). Net operating working capital, capital budgeting, and cash budgets: A teaching example. </w:t>
      </w:r>
      <w:r w:rsidDel="00000000" w:rsidR="00000000" w:rsidRPr="00000000">
        <w:rPr>
          <w:i w:val="1"/>
          <w:iCs w:val="1"/>
          <w:highlight w:val="white"/>
          <w:rtl w:val="0"/>
        </w:rPr>
        <w:t xml:space="preserve">American Journal of Business Education (Online)</w:t>
      </w:r>
      <w:r w:rsidDel="00000000" w:rsidR="00000000" w:rsidRPr="00000000">
        <w:rPr>
          <w:highlight w:val="white"/>
          <w:rtl w:val="0"/>
        </w:rPr>
        <w:t xml:space="preserve">, </w:t>
      </w:r>
      <w:r w:rsidDel="00000000" w:rsidR="00000000" w:rsidRPr="00000000">
        <w:rPr>
          <w:i w:val="1"/>
          <w:iCs w:val="1"/>
          <w:highlight w:val="white"/>
          <w:rtl w:val="0"/>
        </w:rPr>
        <w:t xml:space="preserve">9</w:t>
      </w:r>
      <w:r w:rsidDel="00000000" w:rsidR="00000000" w:rsidRPr="00000000">
        <w:rPr>
          <w:highlight w:val="white"/>
          <w:rtl w:val="0"/>
        </w:rPr>
        <w:t xml:space="preserve">(1), 31. </w:t>
      </w:r>
      <w:hyperlink r:id="rId46">
        <w:r w:rsidDel="00000000" w:rsidR="00000000" w:rsidRPr="00000000">
          <w:rPr>
            <w:highlight w:val="white"/>
            <w:u w:val="single"/>
            <w:rtl w:val="0"/>
          </w:rPr>
          <w:t xml:space="preserve">https://www.researchgate.net/profile/James-Turner-3/publication/292077776_Net_Operating_Working_Capital_Capital_Budgeting_And_Cash_Budgets_A_Teaching_Example/links/56f3726f08ae7c1fda2852f4/Net-Operating-Working-Capital-Capital-Budgeting-And-Cash-Budgets-A-Teaching-Example.pdf</w:t>
        </w:r>
      </w:hyperlink>
      <w:r w:rsidDel="00000000" w:rsidR="00000000" w:rsidRPr="00000000">
        <w:rPr>
          <w:rtl w:val="0"/>
        </w:rPr>
      </w:r>
    </w:p>
    <w:p w:rsidR="00000000" w:rsidDel="00000000" w:rsidP="00000000" w:rsidRDefault="00000000" w:rsidRPr="00000000" w14:paraId="00000235">
      <w:pPr>
        <w:rPr>
          <w:highlight w:val="white"/>
        </w:rPr>
      </w:pPr>
      <w:r w:rsidDel="00000000" w:rsidR="00000000" w:rsidRPr="00000000">
        <w:rPr>
          <w:highlight w:val="white"/>
          <w:rtl w:val="0"/>
        </w:rPr>
        <w:t xml:space="preserve">Vernimmen, P., Quiry, P., and Le Fur, Y. (2022). </w:t>
      </w:r>
      <w:r w:rsidDel="00000000" w:rsidR="00000000" w:rsidRPr="00000000">
        <w:rPr>
          <w:i w:val="1"/>
          <w:iCs w:val="1"/>
          <w:highlight w:val="white"/>
          <w:rtl w:val="0"/>
        </w:rPr>
        <w:t xml:space="preserve">Corporate finance: theory and practice</w:t>
      </w:r>
      <w:r w:rsidDel="00000000" w:rsidR="00000000" w:rsidRPr="00000000">
        <w:rPr>
          <w:highlight w:val="white"/>
          <w:rtl w:val="0"/>
        </w:rPr>
        <w:t xml:space="preserve">. John Wiley &amp; Sons. </w:t>
      </w:r>
      <w:hyperlink r:id="rId47">
        <w:r w:rsidDel="00000000" w:rsidR="00000000" w:rsidRPr="00000000">
          <w:rPr>
            <w:highlight w:val="white"/>
            <w:u w:val="single"/>
            <w:rtl w:val="0"/>
          </w:rPr>
          <w:t xml:space="preserve">https://books.google.com/books?hl=en&amp;lr=&amp;id=45VWEAAAQBAJ&amp;oi=fnd&amp;pg=PR12&amp;dq=corporate+finance+theory&amp;ots=pv7T9FM-0j&amp;sig=iKLtiNyu7_b2bA94TNBJNRStBQ4&amp;redir_esc=y#v=onepage&amp;q=corporate%20finance%20theory&amp;f=false</w:t>
        </w:r>
      </w:hyperlink>
      <w:r w:rsidDel="00000000" w:rsidR="00000000" w:rsidRPr="00000000">
        <w:rPr>
          <w:rtl w:val="0"/>
        </w:rPr>
      </w:r>
    </w:p>
    <w:p w:rsidR="00000000" w:rsidDel="00000000" w:rsidP="00000000" w:rsidRDefault="00000000" w:rsidRPr="00000000" w14:paraId="00000236">
      <w:pPr>
        <w:rPr>
          <w:highlight w:val="white"/>
        </w:rPr>
      </w:pPr>
      <w:r w:rsidDel="00000000" w:rsidR="00000000" w:rsidRPr="00000000">
        <w:rPr>
          <w:highlight w:val="white"/>
          <w:rtl w:val="0"/>
        </w:rPr>
        <w:t xml:space="preserve">Villalba, C. I. C., Sánchez, M. J. H., Soto-Soto, L., Gamarra-Moreno, J., Cervantes, L. T. y Núñez, D. T. (2021). Accounting Management for Decision Making. </w:t>
      </w:r>
      <w:r w:rsidDel="00000000" w:rsidR="00000000" w:rsidRPr="00000000">
        <w:rPr>
          <w:i w:val="1"/>
          <w:iCs w:val="1"/>
          <w:highlight w:val="white"/>
          <w:rtl w:val="0"/>
        </w:rPr>
        <w:t xml:space="preserve">Journal of Positive Psychology and Wellbeing</w:t>
      </w:r>
      <w:r w:rsidDel="00000000" w:rsidR="00000000" w:rsidRPr="00000000">
        <w:rPr>
          <w:highlight w:val="white"/>
          <w:rtl w:val="0"/>
        </w:rPr>
        <w:t xml:space="preserve">, </w:t>
      </w:r>
      <w:r w:rsidDel="00000000" w:rsidR="00000000" w:rsidRPr="00000000">
        <w:rPr>
          <w:i w:val="1"/>
          <w:iCs w:val="1"/>
          <w:highlight w:val="white"/>
          <w:rtl w:val="0"/>
        </w:rPr>
        <w:t xml:space="preserve">5</w:t>
      </w:r>
      <w:r w:rsidDel="00000000" w:rsidR="00000000" w:rsidRPr="00000000">
        <w:rPr>
          <w:highlight w:val="white"/>
          <w:rtl w:val="0"/>
        </w:rPr>
        <w:t xml:space="preserve">(4), 74-86. </w:t>
      </w:r>
      <w:hyperlink r:id="rId48">
        <w:r w:rsidDel="00000000" w:rsidR="00000000" w:rsidRPr="00000000">
          <w:rPr>
            <w:highlight w:val="white"/>
            <w:u w:val="single"/>
            <w:rtl w:val="0"/>
          </w:rPr>
          <w:t xml:space="preserve">https://sga.unemi.edu.ec/media/evidenciasiv/2022/03/08/articulo_202238142032.pdf</w:t>
        </w:r>
      </w:hyperlink>
      <w:r w:rsidDel="00000000" w:rsidR="00000000" w:rsidRPr="00000000">
        <w:rPr>
          <w:rtl w:val="0"/>
        </w:rPr>
      </w:r>
    </w:p>
    <w:p w:rsidR="00000000" w:rsidDel="00000000" w:rsidP="00000000" w:rsidRDefault="00000000" w:rsidRPr="00000000" w14:paraId="00000237">
      <w:pPr>
        <w:rPr>
          <w:highlight w:val="white"/>
        </w:rPr>
      </w:pPr>
      <w:r w:rsidDel="00000000" w:rsidR="00000000" w:rsidRPr="00000000">
        <w:rPr>
          <w:highlight w:val="white"/>
          <w:rtl w:val="0"/>
        </w:rPr>
        <w:t xml:space="preserve">Weygandt, J. J., Kimmel, P. D., and Kieso, D. E. (2018). </w:t>
      </w:r>
      <w:r w:rsidDel="00000000" w:rsidR="00000000" w:rsidRPr="00000000">
        <w:rPr>
          <w:i w:val="1"/>
          <w:iCs w:val="1"/>
          <w:highlight w:val="white"/>
          <w:rtl w:val="0"/>
        </w:rPr>
        <w:t xml:space="preserve">Financial accounting with international financial reporting standards</w:t>
      </w:r>
      <w:r w:rsidDel="00000000" w:rsidR="00000000" w:rsidRPr="00000000">
        <w:rPr>
          <w:highlight w:val="white"/>
          <w:rtl w:val="0"/>
        </w:rPr>
        <w:t xml:space="preserve">. John Wiley &amp; Sons. </w:t>
      </w:r>
      <w:hyperlink r:id="rId49">
        <w:r w:rsidDel="00000000" w:rsidR="00000000" w:rsidRPr="00000000">
          <w:rPr>
            <w:highlight w:val="white"/>
            <w:u w:val="single"/>
            <w:rtl w:val="0"/>
          </w:rPr>
          <w:t xml:space="preserve">https://books.google.com/books?hl=en&amp;lr=&amp;id=aCDHDwAAQBAJ&amp;oi=fnd&amp;pg=PR13&amp;dq=Financial+accounting+for+decision+makers&amp;ots=EuJGq7k-tX&amp;sig=NXj9islRLGQdc3lJZMVGU7Q5PC8&amp;redir_esc=y#v=onepage&amp;q=Financial%20accounting%20for%20decision%20makers&amp;f=false</w:t>
        </w:r>
      </w:hyperlink>
      <w:r w:rsidDel="00000000" w:rsidR="00000000" w:rsidRPr="00000000">
        <w:rPr>
          <w:rtl w:val="0"/>
        </w:rPr>
      </w:r>
    </w:p>
    <w:p w:rsidR="00000000" w:rsidDel="00000000" w:rsidP="00000000" w:rsidRDefault="00000000" w:rsidRPr="00000000" w14:paraId="00000238">
      <w:pPr>
        <w:rPr>
          <w:highlight w:val="white"/>
        </w:rPr>
      </w:pPr>
      <w:r w:rsidDel="00000000" w:rsidR="00000000" w:rsidRPr="00000000">
        <w:rPr>
          <w:highlight w:val="white"/>
          <w:rtl w:val="0"/>
        </w:rPr>
        <w:t xml:space="preserve">Yeo, J. (2015). Financial statement analysis. </w:t>
      </w:r>
      <w:hyperlink r:id="rId50">
        <w:r w:rsidDel="00000000" w:rsidR="00000000" w:rsidRPr="00000000">
          <w:rPr>
            <w:highlight w:val="white"/>
            <w:u w:val="single"/>
            <w:rtl w:val="0"/>
          </w:rPr>
          <w:t xml:space="preserve">https://www.stern.nyu.edu/sites/default/files/assets/documents/con_046793.pdf</w:t>
        </w:r>
      </w:hyperlink>
      <w:r w:rsidDel="00000000" w:rsidR="00000000" w:rsidRPr="00000000">
        <w:rPr>
          <w:rtl w:val="0"/>
        </w:rPr>
      </w:r>
    </w:p>
    <w:p w:rsidR="00000000" w:rsidDel="00000000" w:rsidP="00000000" w:rsidRDefault="00000000" w:rsidRPr="00000000" w14:paraId="00000239">
      <w:pPr>
        <w:rPr>
          <w:highlight w:val="white"/>
        </w:rPr>
      </w:pPr>
      <w:r w:rsidDel="00000000" w:rsidR="00000000" w:rsidRPr="00000000">
        <w:rPr>
          <w:highlight w:val="white"/>
          <w:rtl w:val="0"/>
        </w:rPr>
        <w:t xml:space="preserve">Zaramella, G. (2023). Financial Restructuring: analysis and applications. </w:t>
      </w:r>
      <w:hyperlink r:id="rId51">
        <w:r w:rsidDel="00000000" w:rsidR="00000000" w:rsidRPr="00000000">
          <w:rPr>
            <w:highlight w:val="white"/>
            <w:u w:val="single"/>
            <w:rtl w:val="0"/>
          </w:rPr>
          <w:t xml:space="preserve">https://unitesi.unive.it/bitstream/20.500.14247/4284/1/872666-1280209.pdf</w:t>
        </w:r>
      </w:hyperlink>
      <w:r w:rsidDel="00000000" w:rsidR="00000000" w:rsidRPr="00000000">
        <w:rPr>
          <w:rtl w:val="0"/>
        </w:rPr>
      </w:r>
    </w:p>
    <w:p w:rsidR="00000000" w:rsidDel="00000000" w:rsidP="00000000" w:rsidRDefault="00000000" w:rsidRPr="00000000" w14:paraId="0000023A">
      <w:pPr>
        <w:spacing w:before="0" w:line="259" w:lineRule="auto"/>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23B">
      <w:pPr>
        <w:pStyle w:val="Heading1"/>
        <w:rPr>
          <w:color w:val="000000"/>
        </w:rPr>
      </w:pPr>
      <w:bookmarkStart w:colFirst="0" w:colLast="0" w:name="_heading=h.h8nfukuvud8" w:id="71"/>
      <w:bookmarkEnd w:id="71"/>
      <w:r w:rsidDel="00000000" w:rsidR="00000000" w:rsidRPr="00000000">
        <w:rPr>
          <w:color w:val="000000"/>
          <w:rtl w:val="0"/>
        </w:rPr>
        <w:t xml:space="preserve">Appendix</w:t>
      </w:r>
    </w:p>
    <w:tbl>
      <w:tblPr>
        <w:tblStyle w:val="Table1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23C">
            <w:pPr>
              <w:rPr/>
            </w:pPr>
            <w:r w:rsidDel="00000000" w:rsidR="00000000" w:rsidRPr="00000000">
              <w:rPr>
                <w:rtl w:val="0"/>
              </w:rPr>
              <w:t xml:space="preserve">Year</w:t>
            </w:r>
          </w:p>
        </w:tc>
        <w:tc>
          <w:tcPr/>
          <w:p w:rsidR="00000000" w:rsidDel="00000000" w:rsidP="00000000" w:rsidRDefault="00000000" w:rsidRPr="00000000" w14:paraId="0000023D">
            <w:pPr>
              <w:rPr/>
            </w:pPr>
            <w:r w:rsidDel="00000000" w:rsidR="00000000" w:rsidRPr="00000000">
              <w:rPr>
                <w:rtl w:val="0"/>
              </w:rPr>
              <w:t xml:space="preserve">Inventory Days</w:t>
            </w:r>
          </w:p>
        </w:tc>
        <w:tc>
          <w:tcPr/>
          <w:p w:rsidR="00000000" w:rsidDel="00000000" w:rsidP="00000000" w:rsidRDefault="00000000" w:rsidRPr="00000000" w14:paraId="0000023E">
            <w:pPr>
              <w:rPr/>
            </w:pPr>
            <w:r w:rsidDel="00000000" w:rsidR="00000000" w:rsidRPr="00000000">
              <w:rPr>
                <w:rtl w:val="0"/>
              </w:rPr>
              <w:t xml:space="preserve">Receivables Days</w:t>
            </w:r>
          </w:p>
        </w:tc>
        <w:tc>
          <w:tcPr/>
          <w:p w:rsidR="00000000" w:rsidDel="00000000" w:rsidP="00000000" w:rsidRDefault="00000000" w:rsidRPr="00000000" w14:paraId="0000023F">
            <w:pPr>
              <w:rPr/>
            </w:pPr>
            <w:r w:rsidDel="00000000" w:rsidR="00000000" w:rsidRPr="00000000">
              <w:rPr>
                <w:rtl w:val="0"/>
              </w:rPr>
              <w:t xml:space="preserve">Payables Days</w:t>
            </w:r>
          </w:p>
        </w:tc>
        <w:tc>
          <w:tcPr/>
          <w:p w:rsidR="00000000" w:rsidDel="00000000" w:rsidP="00000000" w:rsidRDefault="00000000" w:rsidRPr="00000000" w14:paraId="00000240">
            <w:pPr>
              <w:rPr/>
            </w:pPr>
            <w:r w:rsidDel="00000000" w:rsidR="00000000" w:rsidRPr="00000000">
              <w:rPr>
                <w:rtl w:val="0"/>
              </w:rPr>
              <w:t xml:space="preserve">Cash Conversion Cycle</w:t>
            </w:r>
          </w:p>
        </w:tc>
      </w:tr>
      <w:tr>
        <w:trPr>
          <w:cantSplit w:val="0"/>
          <w:tblHeader w:val="0"/>
        </w:trPr>
        <w:tc>
          <w:tcPr/>
          <w:p w:rsidR="00000000" w:rsidDel="00000000" w:rsidP="00000000" w:rsidRDefault="00000000" w:rsidRPr="00000000" w14:paraId="00000241">
            <w:pPr>
              <w:rPr/>
            </w:pPr>
            <w:r w:rsidDel="00000000" w:rsidR="00000000" w:rsidRPr="00000000">
              <w:rPr>
                <w:rtl w:val="0"/>
              </w:rPr>
              <w:t xml:space="preserve">2020</w:t>
            </w:r>
          </w:p>
        </w:tc>
        <w:tc>
          <w:tcPr/>
          <w:p w:rsidR="00000000" w:rsidDel="00000000" w:rsidP="00000000" w:rsidRDefault="00000000" w:rsidRPr="00000000" w14:paraId="00000242">
            <w:pPr>
              <w:rPr/>
            </w:pPr>
            <w:r w:rsidDel="00000000" w:rsidR="00000000" w:rsidRPr="00000000">
              <w:rPr>
                <w:rtl w:val="0"/>
              </w:rPr>
              <w:t xml:space="preserve">100.3</w:t>
            </w:r>
          </w:p>
        </w:tc>
        <w:tc>
          <w:tcPr/>
          <w:p w:rsidR="00000000" w:rsidDel="00000000" w:rsidP="00000000" w:rsidRDefault="00000000" w:rsidRPr="00000000" w14:paraId="00000243">
            <w:pPr>
              <w:rPr/>
            </w:pPr>
            <w:r w:rsidDel="00000000" w:rsidR="00000000" w:rsidRPr="00000000">
              <w:rPr>
                <w:rtl w:val="0"/>
              </w:rPr>
              <w:t xml:space="preserve">76.8</w:t>
            </w:r>
          </w:p>
        </w:tc>
        <w:tc>
          <w:tcPr/>
          <w:p w:rsidR="00000000" w:rsidDel="00000000" w:rsidP="00000000" w:rsidRDefault="00000000" w:rsidRPr="00000000" w14:paraId="00000244">
            <w:pPr>
              <w:rPr/>
            </w:pPr>
            <w:r w:rsidDel="00000000" w:rsidR="00000000" w:rsidRPr="00000000">
              <w:rPr>
                <w:rtl w:val="0"/>
              </w:rPr>
              <w:t xml:space="preserve">69.3</w:t>
            </w:r>
          </w:p>
        </w:tc>
        <w:tc>
          <w:tcPr/>
          <w:p w:rsidR="00000000" w:rsidDel="00000000" w:rsidP="00000000" w:rsidRDefault="00000000" w:rsidRPr="00000000" w14:paraId="00000245">
            <w:pPr>
              <w:rPr/>
            </w:pPr>
            <w:r w:rsidDel="00000000" w:rsidR="00000000" w:rsidRPr="00000000">
              <w:rPr>
                <w:rtl w:val="0"/>
              </w:rPr>
              <w:t xml:space="preserve">107.8</w:t>
            </w:r>
          </w:p>
        </w:tc>
      </w:tr>
      <w:tr>
        <w:trPr>
          <w:cantSplit w:val="0"/>
          <w:tblHeader w:val="0"/>
        </w:trPr>
        <w:tc>
          <w:tcPr/>
          <w:p w:rsidR="00000000" w:rsidDel="00000000" w:rsidP="00000000" w:rsidRDefault="00000000" w:rsidRPr="00000000" w14:paraId="00000246">
            <w:pPr>
              <w:rPr/>
            </w:pPr>
            <w:r w:rsidDel="00000000" w:rsidR="00000000" w:rsidRPr="00000000">
              <w:rPr>
                <w:rtl w:val="0"/>
              </w:rPr>
              <w:t xml:space="preserve">2021</w:t>
            </w:r>
          </w:p>
        </w:tc>
        <w:tc>
          <w:tcPr/>
          <w:p w:rsidR="00000000" w:rsidDel="00000000" w:rsidP="00000000" w:rsidRDefault="00000000" w:rsidRPr="00000000" w14:paraId="00000247">
            <w:pPr>
              <w:rPr/>
            </w:pPr>
            <w:r w:rsidDel="00000000" w:rsidR="00000000" w:rsidRPr="00000000">
              <w:rPr>
                <w:rtl w:val="0"/>
              </w:rPr>
              <w:t xml:space="preserve">114.6</w:t>
            </w:r>
          </w:p>
        </w:tc>
        <w:tc>
          <w:tcPr/>
          <w:p w:rsidR="00000000" w:rsidDel="00000000" w:rsidP="00000000" w:rsidRDefault="00000000" w:rsidRPr="00000000" w14:paraId="00000248">
            <w:pPr>
              <w:rPr/>
            </w:pPr>
            <w:r w:rsidDel="00000000" w:rsidR="00000000" w:rsidRPr="00000000">
              <w:rPr>
                <w:rtl w:val="0"/>
              </w:rPr>
              <w:t xml:space="preserve">78.4</w:t>
            </w:r>
          </w:p>
        </w:tc>
        <w:tc>
          <w:tcPr/>
          <w:p w:rsidR="00000000" w:rsidDel="00000000" w:rsidP="00000000" w:rsidRDefault="00000000" w:rsidRPr="00000000" w14:paraId="00000249">
            <w:pPr>
              <w:rPr/>
            </w:pPr>
            <w:r w:rsidDel="00000000" w:rsidR="00000000" w:rsidRPr="00000000">
              <w:rPr>
                <w:rtl w:val="0"/>
              </w:rPr>
              <w:t xml:space="preserve">79.1</w:t>
            </w:r>
          </w:p>
        </w:tc>
        <w:tc>
          <w:tcPr/>
          <w:p w:rsidR="00000000" w:rsidDel="00000000" w:rsidP="00000000" w:rsidRDefault="00000000" w:rsidRPr="00000000" w14:paraId="0000024A">
            <w:pPr>
              <w:rPr/>
            </w:pPr>
            <w:r w:rsidDel="00000000" w:rsidR="00000000" w:rsidRPr="00000000">
              <w:rPr>
                <w:rtl w:val="0"/>
              </w:rPr>
              <w:t xml:space="preserve">113.9</w:t>
            </w:r>
          </w:p>
        </w:tc>
      </w:tr>
      <w:tr>
        <w:trPr>
          <w:cantSplit w:val="0"/>
          <w:tblHeader w:val="0"/>
        </w:trPr>
        <w:tc>
          <w:tcPr/>
          <w:p w:rsidR="00000000" w:rsidDel="00000000" w:rsidP="00000000" w:rsidRDefault="00000000" w:rsidRPr="00000000" w14:paraId="0000024B">
            <w:pPr>
              <w:rPr/>
            </w:pPr>
            <w:r w:rsidDel="00000000" w:rsidR="00000000" w:rsidRPr="00000000">
              <w:rPr>
                <w:rtl w:val="0"/>
              </w:rPr>
              <w:t xml:space="preserve">2022</w:t>
            </w:r>
          </w:p>
        </w:tc>
        <w:tc>
          <w:tcPr/>
          <w:p w:rsidR="00000000" w:rsidDel="00000000" w:rsidP="00000000" w:rsidRDefault="00000000" w:rsidRPr="00000000" w14:paraId="0000024C">
            <w:pPr>
              <w:rPr/>
            </w:pPr>
            <w:r w:rsidDel="00000000" w:rsidR="00000000" w:rsidRPr="00000000">
              <w:rPr>
                <w:rtl w:val="0"/>
              </w:rPr>
              <w:t xml:space="preserve">131.1</w:t>
            </w:r>
          </w:p>
        </w:tc>
        <w:tc>
          <w:tcPr/>
          <w:p w:rsidR="00000000" w:rsidDel="00000000" w:rsidP="00000000" w:rsidRDefault="00000000" w:rsidRPr="00000000" w14:paraId="0000024D">
            <w:pPr>
              <w:rPr/>
            </w:pPr>
            <w:r w:rsidDel="00000000" w:rsidR="00000000" w:rsidRPr="00000000">
              <w:rPr>
                <w:rtl w:val="0"/>
              </w:rPr>
              <w:t xml:space="preserve">75.6</w:t>
            </w:r>
          </w:p>
        </w:tc>
        <w:tc>
          <w:tcPr/>
          <w:p w:rsidR="00000000" w:rsidDel="00000000" w:rsidP="00000000" w:rsidRDefault="00000000" w:rsidRPr="00000000" w14:paraId="0000024E">
            <w:pPr>
              <w:rPr/>
            </w:pPr>
            <w:r w:rsidDel="00000000" w:rsidR="00000000" w:rsidRPr="00000000">
              <w:rPr>
                <w:rtl w:val="0"/>
              </w:rPr>
              <w:t xml:space="preserve">66.7</w:t>
            </w:r>
          </w:p>
        </w:tc>
        <w:tc>
          <w:tcPr/>
          <w:p w:rsidR="00000000" w:rsidDel="00000000" w:rsidP="00000000" w:rsidRDefault="00000000" w:rsidRPr="00000000" w14:paraId="0000024F">
            <w:pPr>
              <w:rPr/>
            </w:pPr>
            <w:r w:rsidDel="00000000" w:rsidR="00000000" w:rsidRPr="00000000">
              <w:rPr>
                <w:rtl w:val="0"/>
              </w:rPr>
              <w:t xml:space="preserve">140.0</w:t>
            </w:r>
          </w:p>
        </w:tc>
      </w:tr>
      <w:tr>
        <w:trPr>
          <w:cantSplit w:val="0"/>
          <w:tblHeader w:val="0"/>
        </w:trPr>
        <w:tc>
          <w:tcPr/>
          <w:p w:rsidR="00000000" w:rsidDel="00000000" w:rsidP="00000000" w:rsidRDefault="00000000" w:rsidRPr="00000000" w14:paraId="00000250">
            <w:pPr>
              <w:rPr/>
            </w:pPr>
            <w:r w:rsidDel="00000000" w:rsidR="00000000" w:rsidRPr="00000000">
              <w:rPr>
                <w:rtl w:val="0"/>
              </w:rPr>
              <w:t xml:space="preserve">2023</w:t>
            </w:r>
          </w:p>
        </w:tc>
        <w:tc>
          <w:tcPr/>
          <w:p w:rsidR="00000000" w:rsidDel="00000000" w:rsidP="00000000" w:rsidRDefault="00000000" w:rsidRPr="00000000" w14:paraId="00000251">
            <w:pPr>
              <w:rPr/>
            </w:pPr>
            <w:r w:rsidDel="00000000" w:rsidR="00000000" w:rsidRPr="00000000">
              <w:rPr>
                <w:rtl w:val="0"/>
              </w:rPr>
              <w:t xml:space="preserve">99.7</w:t>
            </w:r>
          </w:p>
        </w:tc>
        <w:tc>
          <w:tcPr/>
          <w:p w:rsidR="00000000" w:rsidDel="00000000" w:rsidP="00000000" w:rsidRDefault="00000000" w:rsidRPr="00000000" w14:paraId="00000252">
            <w:pPr>
              <w:rPr/>
            </w:pPr>
            <w:r w:rsidDel="00000000" w:rsidR="00000000" w:rsidRPr="00000000">
              <w:rPr>
                <w:rtl w:val="0"/>
              </w:rPr>
              <w:t xml:space="preserve">97.7</w:t>
            </w:r>
          </w:p>
        </w:tc>
        <w:tc>
          <w:tcPr/>
          <w:p w:rsidR="00000000" w:rsidDel="00000000" w:rsidP="00000000" w:rsidRDefault="00000000" w:rsidRPr="00000000" w14:paraId="00000253">
            <w:pPr>
              <w:rPr/>
            </w:pPr>
            <w:r w:rsidDel="00000000" w:rsidR="00000000" w:rsidRPr="00000000">
              <w:rPr>
                <w:rtl w:val="0"/>
              </w:rPr>
              <w:t xml:space="preserve">64.3</w:t>
            </w:r>
          </w:p>
        </w:tc>
        <w:tc>
          <w:tcPr/>
          <w:p w:rsidR="00000000" w:rsidDel="00000000" w:rsidP="00000000" w:rsidRDefault="00000000" w:rsidRPr="00000000" w14:paraId="00000254">
            <w:pPr>
              <w:rPr/>
            </w:pPr>
            <w:r w:rsidDel="00000000" w:rsidR="00000000" w:rsidRPr="00000000">
              <w:rPr>
                <w:rtl w:val="0"/>
              </w:rPr>
              <w:t xml:space="preserve">133.1</w:t>
            </w:r>
          </w:p>
        </w:tc>
      </w:tr>
      <w:tr>
        <w:trPr>
          <w:cantSplit w:val="0"/>
          <w:tblHeader w:val="0"/>
        </w:trPr>
        <w:tc>
          <w:tcPr/>
          <w:p w:rsidR="00000000" w:rsidDel="00000000" w:rsidP="00000000" w:rsidRDefault="00000000" w:rsidRPr="00000000" w14:paraId="00000255">
            <w:pPr>
              <w:rPr/>
            </w:pPr>
            <w:r w:rsidDel="00000000" w:rsidR="00000000" w:rsidRPr="00000000">
              <w:rPr>
                <w:rtl w:val="0"/>
              </w:rPr>
              <w:t xml:space="preserve">2024</w:t>
            </w:r>
          </w:p>
        </w:tc>
        <w:tc>
          <w:tcPr/>
          <w:p w:rsidR="00000000" w:rsidDel="00000000" w:rsidP="00000000" w:rsidRDefault="00000000" w:rsidRPr="00000000" w14:paraId="00000256">
            <w:pPr>
              <w:rPr/>
            </w:pPr>
            <w:r w:rsidDel="00000000" w:rsidR="00000000" w:rsidRPr="00000000">
              <w:rPr>
                <w:rtl w:val="0"/>
              </w:rPr>
              <w:t xml:space="preserve">103.1</w:t>
            </w:r>
          </w:p>
        </w:tc>
        <w:tc>
          <w:tcPr/>
          <w:p w:rsidR="00000000" w:rsidDel="00000000" w:rsidP="00000000" w:rsidRDefault="00000000" w:rsidRPr="00000000" w14:paraId="00000257">
            <w:pPr>
              <w:rPr/>
            </w:pPr>
            <w:r w:rsidDel="00000000" w:rsidR="00000000" w:rsidRPr="00000000">
              <w:rPr>
                <w:rtl w:val="0"/>
              </w:rPr>
              <w:t xml:space="preserve">105.4</w:t>
            </w:r>
          </w:p>
        </w:tc>
        <w:tc>
          <w:tcPr/>
          <w:p w:rsidR="00000000" w:rsidDel="00000000" w:rsidP="00000000" w:rsidRDefault="00000000" w:rsidRPr="00000000" w14:paraId="00000258">
            <w:pPr>
              <w:rPr/>
            </w:pPr>
            <w:r w:rsidDel="00000000" w:rsidR="00000000" w:rsidRPr="00000000">
              <w:rPr>
                <w:rtl w:val="0"/>
              </w:rPr>
              <w:t xml:space="preserve">93.6</w:t>
            </w:r>
          </w:p>
        </w:tc>
        <w:tc>
          <w:tcPr/>
          <w:p w:rsidR="00000000" w:rsidDel="00000000" w:rsidP="00000000" w:rsidRDefault="00000000" w:rsidRPr="00000000" w14:paraId="00000259">
            <w:pPr>
              <w:rPr/>
            </w:pPr>
            <w:r w:rsidDel="00000000" w:rsidR="00000000" w:rsidRPr="00000000">
              <w:rPr>
                <w:rtl w:val="0"/>
              </w:rPr>
              <w:t xml:space="preserve">114.9</w:t>
            </w:r>
          </w:p>
        </w:tc>
      </w:tr>
    </w:tbl>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1: Cash Operating (Conversion) Cycle of General Electronics (2020–2024)</w:t>
      </w:r>
    </w:p>
    <w:tbl>
      <w:tblPr>
        <w:tblStyle w:val="Table1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25B">
            <w:pPr>
              <w:rPr/>
            </w:pPr>
            <w:r w:rsidDel="00000000" w:rsidR="00000000" w:rsidRPr="00000000">
              <w:rPr>
                <w:rtl w:val="0"/>
              </w:rPr>
              <w:t xml:space="preserve">Year</w:t>
            </w:r>
          </w:p>
        </w:tc>
        <w:tc>
          <w:tcPr/>
          <w:p w:rsidR="00000000" w:rsidDel="00000000" w:rsidP="00000000" w:rsidRDefault="00000000" w:rsidRPr="00000000" w14:paraId="0000025C">
            <w:pPr>
              <w:rPr/>
            </w:pPr>
            <w:r w:rsidDel="00000000" w:rsidR="00000000" w:rsidRPr="00000000">
              <w:rPr>
                <w:rtl w:val="0"/>
              </w:rPr>
              <w:t xml:space="preserve">Inventory (£m)</w:t>
            </w:r>
          </w:p>
        </w:tc>
        <w:tc>
          <w:tcPr/>
          <w:p w:rsidR="00000000" w:rsidDel="00000000" w:rsidP="00000000" w:rsidRDefault="00000000" w:rsidRPr="00000000" w14:paraId="0000025D">
            <w:pPr>
              <w:rPr/>
            </w:pPr>
            <w:r w:rsidDel="00000000" w:rsidR="00000000" w:rsidRPr="00000000">
              <w:rPr>
                <w:rtl w:val="0"/>
              </w:rPr>
              <w:t xml:space="preserve">Accounts Receivable (£m)</w:t>
            </w:r>
          </w:p>
        </w:tc>
        <w:tc>
          <w:tcPr/>
          <w:p w:rsidR="00000000" w:rsidDel="00000000" w:rsidP="00000000" w:rsidRDefault="00000000" w:rsidRPr="00000000" w14:paraId="0000025E">
            <w:pPr>
              <w:rPr/>
            </w:pPr>
            <w:r w:rsidDel="00000000" w:rsidR="00000000" w:rsidRPr="00000000">
              <w:rPr>
                <w:rtl w:val="0"/>
              </w:rPr>
              <w:t xml:space="preserve">Accounts Payable (£m)</w:t>
            </w:r>
          </w:p>
        </w:tc>
        <w:tc>
          <w:tcPr/>
          <w:p w:rsidR="00000000" w:rsidDel="00000000" w:rsidP="00000000" w:rsidRDefault="00000000" w:rsidRPr="00000000" w14:paraId="0000025F">
            <w:pPr>
              <w:rPr/>
            </w:pPr>
            <w:r w:rsidDel="00000000" w:rsidR="00000000" w:rsidRPr="00000000">
              <w:rPr>
                <w:rtl w:val="0"/>
              </w:rPr>
              <w:t xml:space="preserve">Net Working Capital (£m)</w:t>
            </w:r>
          </w:p>
        </w:tc>
      </w:tr>
      <w:tr>
        <w:trPr>
          <w:cantSplit w:val="0"/>
          <w:tblHeader w:val="0"/>
        </w:trPr>
        <w:tc>
          <w:tcPr/>
          <w:p w:rsidR="00000000" w:rsidDel="00000000" w:rsidP="00000000" w:rsidRDefault="00000000" w:rsidRPr="00000000" w14:paraId="00000260">
            <w:pPr>
              <w:rPr/>
            </w:pPr>
            <w:r w:rsidDel="00000000" w:rsidR="00000000" w:rsidRPr="00000000">
              <w:rPr>
                <w:rtl w:val="0"/>
              </w:rPr>
              <w:t xml:space="preserve">2020</w:t>
            </w:r>
          </w:p>
        </w:tc>
        <w:tc>
          <w:tcPr/>
          <w:p w:rsidR="00000000" w:rsidDel="00000000" w:rsidP="00000000" w:rsidRDefault="00000000" w:rsidRPr="00000000" w14:paraId="00000261">
            <w:pPr>
              <w:rPr/>
            </w:pPr>
            <w:r w:rsidDel="00000000" w:rsidR="00000000" w:rsidRPr="00000000">
              <w:rPr>
                <w:rtl w:val="0"/>
              </w:rPr>
              <w:t xml:space="preserve">120,430</w:t>
            </w:r>
          </w:p>
        </w:tc>
        <w:tc>
          <w:tcPr/>
          <w:p w:rsidR="00000000" w:rsidDel="00000000" w:rsidP="00000000" w:rsidRDefault="00000000" w:rsidRPr="00000000" w14:paraId="00000262">
            <w:pPr>
              <w:rPr/>
            </w:pPr>
            <w:r w:rsidDel="00000000" w:rsidR="00000000" w:rsidRPr="00000000">
              <w:rPr>
                <w:rtl w:val="0"/>
              </w:rPr>
              <w:t xml:space="preserve">129,433</w:t>
            </w:r>
          </w:p>
        </w:tc>
        <w:tc>
          <w:tcPr/>
          <w:p w:rsidR="00000000" w:rsidDel="00000000" w:rsidP="00000000" w:rsidRDefault="00000000" w:rsidRPr="00000000" w14:paraId="00000263">
            <w:pPr>
              <w:rPr/>
            </w:pPr>
            <w:r w:rsidDel="00000000" w:rsidR="00000000" w:rsidRPr="00000000">
              <w:rPr>
                <w:rtl w:val="0"/>
              </w:rPr>
              <w:t xml:space="preserve">83,229</w:t>
            </w:r>
          </w:p>
        </w:tc>
        <w:tc>
          <w:tcPr/>
          <w:p w:rsidR="00000000" w:rsidDel="00000000" w:rsidP="00000000" w:rsidRDefault="00000000" w:rsidRPr="00000000" w14:paraId="00000264">
            <w:pPr>
              <w:rPr/>
            </w:pPr>
            <w:r w:rsidDel="00000000" w:rsidR="00000000" w:rsidRPr="00000000">
              <w:rPr>
                <w:rtl w:val="0"/>
              </w:rPr>
              <w:t xml:space="preserve">166,863</w:t>
            </w:r>
          </w:p>
        </w:tc>
      </w:tr>
      <w:tr>
        <w:trPr>
          <w:cantSplit w:val="0"/>
          <w:tblHeader w:val="0"/>
        </w:trPr>
        <w:tc>
          <w:tcPr/>
          <w:p w:rsidR="00000000" w:rsidDel="00000000" w:rsidP="00000000" w:rsidRDefault="00000000" w:rsidRPr="00000000" w14:paraId="00000265">
            <w:pPr>
              <w:rPr/>
            </w:pPr>
            <w:r w:rsidDel="00000000" w:rsidR="00000000" w:rsidRPr="00000000">
              <w:rPr>
                <w:rtl w:val="0"/>
              </w:rPr>
              <w:t xml:space="preserve">2021</w:t>
            </w:r>
          </w:p>
        </w:tc>
        <w:tc>
          <w:tcPr/>
          <w:p w:rsidR="00000000" w:rsidDel="00000000" w:rsidP="00000000" w:rsidRDefault="00000000" w:rsidRPr="00000000" w14:paraId="00000266">
            <w:pPr>
              <w:rPr/>
            </w:pPr>
            <w:r w:rsidDel="00000000" w:rsidR="00000000" w:rsidRPr="00000000">
              <w:rPr>
                <w:rtl w:val="0"/>
              </w:rPr>
              <w:t xml:space="preserve">134,469</w:t>
            </w:r>
          </w:p>
        </w:tc>
        <w:tc>
          <w:tcPr/>
          <w:p w:rsidR="00000000" w:rsidDel="00000000" w:rsidP="00000000" w:rsidRDefault="00000000" w:rsidRPr="00000000" w14:paraId="00000267">
            <w:pPr>
              <w:rPr/>
            </w:pPr>
            <w:r w:rsidDel="00000000" w:rsidR="00000000" w:rsidRPr="00000000">
              <w:rPr>
                <w:rtl w:val="0"/>
              </w:rPr>
              <w:t xml:space="preserve">129,215</w:t>
            </w:r>
          </w:p>
        </w:tc>
        <w:tc>
          <w:tcPr/>
          <w:p w:rsidR="00000000" w:rsidDel="00000000" w:rsidP="00000000" w:rsidRDefault="00000000" w:rsidRPr="00000000" w14:paraId="00000268">
            <w:pPr>
              <w:rPr/>
            </w:pPr>
            <w:r w:rsidDel="00000000" w:rsidR="00000000" w:rsidRPr="00000000">
              <w:rPr>
                <w:rtl w:val="0"/>
              </w:rPr>
              <w:t xml:space="preserve">92,707</w:t>
            </w:r>
          </w:p>
        </w:tc>
        <w:tc>
          <w:tcPr/>
          <w:p w:rsidR="00000000" w:rsidDel="00000000" w:rsidP="00000000" w:rsidRDefault="00000000" w:rsidRPr="00000000" w14:paraId="00000269">
            <w:pPr>
              <w:rPr/>
            </w:pPr>
            <w:r w:rsidDel="00000000" w:rsidR="00000000" w:rsidRPr="00000000">
              <w:rPr>
                <w:rtl w:val="0"/>
              </w:rPr>
              <w:t xml:space="preserve">170,977</w:t>
            </w:r>
          </w:p>
        </w:tc>
      </w:tr>
      <w:tr>
        <w:trPr>
          <w:cantSplit w:val="0"/>
          <w:tblHeader w:val="0"/>
        </w:trPr>
        <w:tc>
          <w:tcPr/>
          <w:p w:rsidR="00000000" w:rsidDel="00000000" w:rsidP="00000000" w:rsidRDefault="00000000" w:rsidRPr="00000000" w14:paraId="0000026A">
            <w:pPr>
              <w:rPr/>
            </w:pPr>
            <w:r w:rsidDel="00000000" w:rsidR="00000000" w:rsidRPr="00000000">
              <w:rPr>
                <w:rtl w:val="0"/>
              </w:rPr>
              <w:t xml:space="preserve">2022</w:t>
            </w:r>
          </w:p>
        </w:tc>
        <w:tc>
          <w:tcPr/>
          <w:p w:rsidR="00000000" w:rsidDel="00000000" w:rsidP="00000000" w:rsidRDefault="00000000" w:rsidRPr="00000000" w14:paraId="0000026B">
            <w:pPr>
              <w:rPr/>
            </w:pPr>
            <w:r w:rsidDel="00000000" w:rsidR="00000000" w:rsidRPr="00000000">
              <w:rPr>
                <w:rtl w:val="0"/>
              </w:rPr>
              <w:t xml:space="preserve">140,181</w:t>
            </w:r>
          </w:p>
        </w:tc>
        <w:tc>
          <w:tcPr/>
          <w:p w:rsidR="00000000" w:rsidDel="00000000" w:rsidP="00000000" w:rsidRDefault="00000000" w:rsidRPr="00000000" w14:paraId="0000026C">
            <w:pPr>
              <w:rPr/>
            </w:pPr>
            <w:r w:rsidDel="00000000" w:rsidR="00000000" w:rsidRPr="00000000">
              <w:rPr>
                <w:rtl w:val="0"/>
              </w:rPr>
              <w:t xml:space="preserve">112,346</w:t>
            </w:r>
          </w:p>
        </w:tc>
        <w:tc>
          <w:tcPr/>
          <w:p w:rsidR="00000000" w:rsidDel="00000000" w:rsidP="00000000" w:rsidRDefault="00000000" w:rsidRPr="00000000" w14:paraId="0000026D">
            <w:pPr>
              <w:rPr/>
            </w:pPr>
            <w:r w:rsidDel="00000000" w:rsidR="00000000" w:rsidRPr="00000000">
              <w:rPr>
                <w:rtl w:val="0"/>
              </w:rPr>
              <w:t xml:space="preserve">71,373</w:t>
            </w:r>
          </w:p>
        </w:tc>
        <w:tc>
          <w:tcPr/>
          <w:p w:rsidR="00000000" w:rsidDel="00000000" w:rsidP="00000000" w:rsidRDefault="00000000" w:rsidRPr="00000000" w14:paraId="0000026E">
            <w:pPr>
              <w:rPr/>
            </w:pPr>
            <w:r w:rsidDel="00000000" w:rsidR="00000000" w:rsidRPr="00000000">
              <w:rPr>
                <w:rtl w:val="0"/>
              </w:rPr>
              <w:t xml:space="preserve">181,154</w:t>
            </w:r>
          </w:p>
        </w:tc>
      </w:tr>
      <w:tr>
        <w:trPr>
          <w:cantSplit w:val="0"/>
          <w:tblHeader w:val="0"/>
        </w:trPr>
        <w:tc>
          <w:tcPr/>
          <w:p w:rsidR="00000000" w:rsidDel="00000000" w:rsidP="00000000" w:rsidRDefault="00000000" w:rsidRPr="00000000" w14:paraId="0000026F">
            <w:pPr>
              <w:rPr/>
            </w:pPr>
            <w:r w:rsidDel="00000000" w:rsidR="00000000" w:rsidRPr="00000000">
              <w:rPr>
                <w:rtl w:val="0"/>
              </w:rPr>
              <w:t xml:space="preserve">2023</w:t>
            </w:r>
          </w:p>
        </w:tc>
        <w:tc>
          <w:tcPr/>
          <w:p w:rsidR="00000000" w:rsidDel="00000000" w:rsidP="00000000" w:rsidRDefault="00000000" w:rsidRPr="00000000" w14:paraId="00000270">
            <w:pPr>
              <w:rPr/>
            </w:pPr>
            <w:r w:rsidDel="00000000" w:rsidR="00000000" w:rsidRPr="00000000">
              <w:rPr>
                <w:rtl w:val="0"/>
              </w:rPr>
              <w:t xml:space="preserve">88,273</w:t>
            </w:r>
          </w:p>
        </w:tc>
        <w:tc>
          <w:tcPr/>
          <w:p w:rsidR="00000000" w:rsidDel="00000000" w:rsidP="00000000" w:rsidRDefault="00000000" w:rsidRPr="00000000" w14:paraId="00000271">
            <w:pPr>
              <w:rPr/>
            </w:pPr>
            <w:r w:rsidDel="00000000" w:rsidR="00000000" w:rsidRPr="00000000">
              <w:rPr>
                <w:rtl w:val="0"/>
              </w:rPr>
              <w:t xml:space="preserve">112,596</w:t>
            </w:r>
          </w:p>
        </w:tc>
        <w:tc>
          <w:tcPr/>
          <w:p w:rsidR="00000000" w:rsidDel="00000000" w:rsidP="00000000" w:rsidRDefault="00000000" w:rsidRPr="00000000" w14:paraId="00000272">
            <w:pPr>
              <w:rPr/>
            </w:pPr>
            <w:r w:rsidDel="00000000" w:rsidR="00000000" w:rsidRPr="00000000">
              <w:rPr>
                <w:rtl w:val="0"/>
              </w:rPr>
              <w:t xml:space="preserve">57,033</w:t>
            </w:r>
          </w:p>
        </w:tc>
        <w:tc>
          <w:tcPr/>
          <w:p w:rsidR="00000000" w:rsidDel="00000000" w:rsidP="00000000" w:rsidRDefault="00000000" w:rsidRPr="00000000" w14:paraId="00000273">
            <w:pPr>
              <w:rPr/>
            </w:pPr>
            <w:r w:rsidDel="00000000" w:rsidR="00000000" w:rsidRPr="00000000">
              <w:rPr>
                <w:rtl w:val="0"/>
              </w:rPr>
              <w:t xml:space="preserve">143,836</w:t>
            </w:r>
          </w:p>
        </w:tc>
      </w:tr>
      <w:tr>
        <w:trPr>
          <w:cantSplit w:val="0"/>
          <w:tblHeader w:val="0"/>
        </w:trPr>
        <w:tc>
          <w:tcPr/>
          <w:p w:rsidR="00000000" w:rsidDel="00000000" w:rsidP="00000000" w:rsidRDefault="00000000" w:rsidRPr="00000000" w14:paraId="00000274">
            <w:pPr>
              <w:rPr/>
            </w:pPr>
            <w:r w:rsidDel="00000000" w:rsidR="00000000" w:rsidRPr="00000000">
              <w:rPr>
                <w:rtl w:val="0"/>
              </w:rPr>
              <w:t xml:space="preserve">2024</w:t>
            </w:r>
          </w:p>
        </w:tc>
        <w:tc>
          <w:tcPr/>
          <w:p w:rsidR="00000000" w:rsidDel="00000000" w:rsidP="00000000" w:rsidRDefault="00000000" w:rsidRPr="00000000" w14:paraId="00000275">
            <w:pPr>
              <w:rPr/>
            </w:pPr>
            <w:r w:rsidDel="00000000" w:rsidR="00000000" w:rsidRPr="00000000">
              <w:rPr>
                <w:rtl w:val="0"/>
              </w:rPr>
              <w:t xml:space="preserve">79,355</w:t>
            </w:r>
          </w:p>
        </w:tc>
        <w:tc>
          <w:tcPr/>
          <w:p w:rsidR="00000000" w:rsidDel="00000000" w:rsidP="00000000" w:rsidRDefault="00000000" w:rsidRPr="00000000" w14:paraId="00000276">
            <w:pPr>
              <w:rPr/>
            </w:pPr>
            <w:r w:rsidDel="00000000" w:rsidR="00000000" w:rsidRPr="00000000">
              <w:rPr>
                <w:rtl w:val="0"/>
              </w:rPr>
              <w:t xml:space="preserve">114,182</w:t>
            </w:r>
          </w:p>
        </w:tc>
        <w:tc>
          <w:tcPr/>
          <w:p w:rsidR="00000000" w:rsidDel="00000000" w:rsidP="00000000" w:rsidRDefault="00000000" w:rsidRPr="00000000" w14:paraId="00000277">
            <w:pPr>
              <w:rPr/>
            </w:pPr>
            <w:r w:rsidDel="00000000" w:rsidR="00000000" w:rsidRPr="00000000">
              <w:rPr>
                <w:rtl w:val="0"/>
              </w:rPr>
              <w:t xml:space="preserve">72,031</w:t>
            </w:r>
          </w:p>
        </w:tc>
        <w:tc>
          <w:tcPr/>
          <w:p w:rsidR="00000000" w:rsidDel="00000000" w:rsidP="00000000" w:rsidRDefault="00000000" w:rsidRPr="00000000" w14:paraId="00000278">
            <w:pPr>
              <w:rPr/>
            </w:pPr>
            <w:r w:rsidDel="00000000" w:rsidR="00000000" w:rsidRPr="00000000">
              <w:rPr>
                <w:rtl w:val="0"/>
              </w:rPr>
              <w:t xml:space="preserve">121,506</w:t>
            </w:r>
          </w:p>
        </w:tc>
      </w:tr>
    </w:tbl>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2: Working Capital Components</w:t>
      </w:r>
    </w:p>
    <w:tbl>
      <w:tblPr>
        <w:tblStyle w:val="Table1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27A">
            <w:pPr>
              <w:rPr/>
            </w:pPr>
            <w:r w:rsidDel="00000000" w:rsidR="00000000" w:rsidRPr="00000000">
              <w:rPr>
                <w:rtl w:val="0"/>
              </w:rPr>
              <w:t xml:space="preserve">Asset Category</w:t>
            </w:r>
          </w:p>
        </w:tc>
        <w:tc>
          <w:tcPr/>
          <w:p w:rsidR="00000000" w:rsidDel="00000000" w:rsidP="00000000" w:rsidRDefault="00000000" w:rsidRPr="00000000" w14:paraId="0000027B">
            <w:pPr>
              <w:rPr/>
            </w:pPr>
            <w:r w:rsidDel="00000000" w:rsidR="00000000" w:rsidRPr="00000000">
              <w:rPr>
                <w:rtl w:val="0"/>
              </w:rPr>
              <w:t xml:space="preserve">Estimated Proceeds (£m)</w:t>
            </w:r>
          </w:p>
        </w:tc>
        <w:tc>
          <w:tcPr/>
          <w:p w:rsidR="00000000" w:rsidDel="00000000" w:rsidP="00000000" w:rsidRDefault="00000000" w:rsidRPr="00000000" w14:paraId="0000027C">
            <w:pPr>
              <w:rPr/>
            </w:pPr>
            <w:r w:rsidDel="00000000" w:rsidR="00000000" w:rsidRPr="00000000">
              <w:rPr>
                <w:rtl w:val="0"/>
              </w:rPr>
              <w:t xml:space="preserve">Debt Reduction (£m)</w:t>
            </w:r>
          </w:p>
        </w:tc>
        <w:tc>
          <w:tcPr/>
          <w:p w:rsidR="00000000" w:rsidDel="00000000" w:rsidP="00000000" w:rsidRDefault="00000000" w:rsidRPr="00000000" w14:paraId="0000027D">
            <w:pPr>
              <w:rPr/>
            </w:pPr>
            <w:r w:rsidDel="00000000" w:rsidR="00000000" w:rsidRPr="00000000">
              <w:rPr>
                <w:rtl w:val="0"/>
              </w:rPr>
              <w:t xml:space="preserve">Liquidity Improvement (£m)</w:t>
            </w:r>
          </w:p>
        </w:tc>
      </w:tr>
      <w:tr>
        <w:trPr>
          <w:cantSplit w:val="0"/>
          <w:tblHeader w:val="0"/>
        </w:trPr>
        <w:tc>
          <w:tcPr/>
          <w:p w:rsidR="00000000" w:rsidDel="00000000" w:rsidP="00000000" w:rsidRDefault="00000000" w:rsidRPr="00000000" w14:paraId="0000027E">
            <w:pPr>
              <w:rPr/>
            </w:pPr>
            <w:r w:rsidDel="00000000" w:rsidR="00000000" w:rsidRPr="00000000">
              <w:rPr>
                <w:rtl w:val="0"/>
              </w:rPr>
              <w:t xml:space="preserve">Non-core Property</w:t>
            </w:r>
          </w:p>
        </w:tc>
        <w:tc>
          <w:tcPr/>
          <w:p w:rsidR="00000000" w:rsidDel="00000000" w:rsidP="00000000" w:rsidRDefault="00000000" w:rsidRPr="00000000" w14:paraId="0000027F">
            <w:pPr>
              <w:rPr/>
            </w:pPr>
            <w:r w:rsidDel="00000000" w:rsidR="00000000" w:rsidRPr="00000000">
              <w:rPr>
                <w:rtl w:val="0"/>
              </w:rPr>
              <w:t xml:space="preserve">8,000</w:t>
            </w:r>
          </w:p>
        </w:tc>
        <w:tc>
          <w:tcPr/>
          <w:p w:rsidR="00000000" w:rsidDel="00000000" w:rsidP="00000000" w:rsidRDefault="00000000" w:rsidRPr="00000000" w14:paraId="00000280">
            <w:pPr>
              <w:rPr/>
            </w:pPr>
            <w:r w:rsidDel="00000000" w:rsidR="00000000" w:rsidRPr="00000000">
              <w:rPr>
                <w:rtl w:val="0"/>
              </w:rPr>
              <w:t xml:space="preserve">5,000</w:t>
            </w:r>
          </w:p>
        </w:tc>
        <w:tc>
          <w:tcPr/>
          <w:p w:rsidR="00000000" w:rsidDel="00000000" w:rsidP="00000000" w:rsidRDefault="00000000" w:rsidRPr="00000000" w14:paraId="00000281">
            <w:pP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282">
            <w:pPr>
              <w:rPr/>
            </w:pPr>
            <w:r w:rsidDel="00000000" w:rsidR="00000000" w:rsidRPr="00000000">
              <w:rPr>
                <w:rtl w:val="0"/>
              </w:rPr>
              <w:t xml:space="preserve">Underperforming Subsidiary</w:t>
            </w:r>
          </w:p>
        </w:tc>
        <w:tc>
          <w:tcPr/>
          <w:p w:rsidR="00000000" w:rsidDel="00000000" w:rsidP="00000000" w:rsidRDefault="00000000" w:rsidRPr="00000000" w14:paraId="00000283">
            <w:pPr>
              <w:rPr/>
            </w:pPr>
            <w:r w:rsidDel="00000000" w:rsidR="00000000" w:rsidRPr="00000000">
              <w:rPr>
                <w:rtl w:val="0"/>
              </w:rPr>
              <w:t xml:space="preserve">12,000</w:t>
            </w:r>
          </w:p>
        </w:tc>
        <w:tc>
          <w:tcPr/>
          <w:p w:rsidR="00000000" w:rsidDel="00000000" w:rsidP="00000000" w:rsidRDefault="00000000" w:rsidRPr="00000000" w14:paraId="00000284">
            <w:pPr>
              <w:rPr/>
            </w:pPr>
            <w:r w:rsidDel="00000000" w:rsidR="00000000" w:rsidRPr="00000000">
              <w:rPr>
                <w:rtl w:val="0"/>
              </w:rPr>
              <w:t xml:space="preserve">8,000</w:t>
            </w:r>
          </w:p>
        </w:tc>
        <w:tc>
          <w:tcPr/>
          <w:p w:rsidR="00000000" w:rsidDel="00000000" w:rsidP="00000000" w:rsidRDefault="00000000" w:rsidRPr="00000000" w14:paraId="00000285">
            <w:pPr>
              <w:rPr/>
            </w:pPr>
            <w:r w:rsidDel="00000000" w:rsidR="00000000" w:rsidRPr="00000000">
              <w:rPr>
                <w:rtl w:val="0"/>
              </w:rPr>
              <w:t xml:space="preserve">4,000</w:t>
            </w:r>
          </w:p>
        </w:tc>
      </w:tr>
      <w:tr>
        <w:trPr>
          <w:cantSplit w:val="0"/>
          <w:tblHeader w:val="0"/>
        </w:trPr>
        <w:tc>
          <w:tcPr/>
          <w:p w:rsidR="00000000" w:rsidDel="00000000" w:rsidP="00000000" w:rsidRDefault="00000000" w:rsidRPr="00000000" w14:paraId="00000286">
            <w:pPr>
              <w:rPr/>
            </w:pPr>
            <w:r w:rsidDel="00000000" w:rsidR="00000000" w:rsidRPr="00000000">
              <w:rPr>
                <w:rtl w:val="0"/>
              </w:rPr>
              <w:t xml:space="preserve">Non-core Intangible Assets</w:t>
              <w:tab/>
            </w:r>
          </w:p>
        </w:tc>
        <w:tc>
          <w:tcPr/>
          <w:p w:rsidR="00000000" w:rsidDel="00000000" w:rsidP="00000000" w:rsidRDefault="00000000" w:rsidRPr="00000000" w14:paraId="00000287">
            <w:pPr>
              <w:rPr/>
            </w:pPr>
            <w:r w:rsidDel="00000000" w:rsidR="00000000" w:rsidRPr="00000000">
              <w:rPr>
                <w:rtl w:val="0"/>
              </w:rPr>
              <w:t xml:space="preserve">5,000</w:t>
            </w:r>
          </w:p>
        </w:tc>
        <w:tc>
          <w:tcPr/>
          <w:p w:rsidR="00000000" w:rsidDel="00000000" w:rsidP="00000000" w:rsidRDefault="00000000" w:rsidRPr="00000000" w14:paraId="00000288">
            <w:pPr>
              <w:rPr/>
            </w:pPr>
            <w:r w:rsidDel="00000000" w:rsidR="00000000" w:rsidRPr="00000000">
              <w:rPr>
                <w:rtl w:val="0"/>
              </w:rPr>
              <w:t xml:space="preserve">3,000</w:t>
            </w:r>
          </w:p>
        </w:tc>
        <w:tc>
          <w:tcPr/>
          <w:p w:rsidR="00000000" w:rsidDel="00000000" w:rsidP="00000000" w:rsidRDefault="00000000" w:rsidRPr="00000000" w14:paraId="00000289">
            <w:pPr>
              <w:rPr/>
            </w:pPr>
            <w:r w:rsidDel="00000000" w:rsidR="00000000" w:rsidRPr="00000000">
              <w:rPr>
                <w:rtl w:val="0"/>
              </w:rPr>
              <w:t xml:space="preserve">2,000</w:t>
            </w:r>
          </w:p>
        </w:tc>
      </w:tr>
      <w:tr>
        <w:trPr>
          <w:cantSplit w:val="0"/>
          <w:tblHeader w:val="0"/>
        </w:trPr>
        <w:tc>
          <w:tcPr/>
          <w:p w:rsidR="00000000" w:rsidDel="00000000" w:rsidP="00000000" w:rsidRDefault="00000000" w:rsidRPr="00000000" w14:paraId="0000028A">
            <w:pPr>
              <w:rPr/>
            </w:pPr>
            <w:r w:rsidDel="00000000" w:rsidR="00000000" w:rsidRPr="00000000">
              <w:rPr>
                <w:rtl w:val="0"/>
              </w:rPr>
              <w:t xml:space="preserve">Total</w:t>
            </w:r>
          </w:p>
        </w:tc>
        <w:tc>
          <w:tcPr/>
          <w:p w:rsidR="00000000" w:rsidDel="00000000" w:rsidP="00000000" w:rsidRDefault="00000000" w:rsidRPr="00000000" w14:paraId="0000028B">
            <w:pPr>
              <w:rPr/>
            </w:pPr>
            <w:r w:rsidDel="00000000" w:rsidR="00000000" w:rsidRPr="00000000">
              <w:rPr>
                <w:rtl w:val="0"/>
              </w:rPr>
              <w:t xml:space="preserve">25,000</w:t>
            </w:r>
          </w:p>
        </w:tc>
        <w:tc>
          <w:tcPr/>
          <w:p w:rsidR="00000000" w:rsidDel="00000000" w:rsidP="00000000" w:rsidRDefault="00000000" w:rsidRPr="00000000" w14:paraId="0000028C">
            <w:pPr>
              <w:rPr/>
            </w:pPr>
            <w:r w:rsidDel="00000000" w:rsidR="00000000" w:rsidRPr="00000000">
              <w:rPr>
                <w:rtl w:val="0"/>
              </w:rPr>
              <w:t xml:space="preserve">16,000</w:t>
            </w:r>
          </w:p>
        </w:tc>
        <w:tc>
          <w:tcPr/>
          <w:p w:rsidR="00000000" w:rsidDel="00000000" w:rsidP="00000000" w:rsidRDefault="00000000" w:rsidRPr="00000000" w14:paraId="0000028D">
            <w:pPr>
              <w:rPr/>
            </w:pPr>
            <w:r w:rsidDel="00000000" w:rsidR="00000000" w:rsidRPr="00000000">
              <w:rPr>
                <w:rtl w:val="0"/>
              </w:rPr>
              <w:t xml:space="preserve">9,000</w:t>
            </w:r>
          </w:p>
        </w:tc>
      </w:tr>
    </w:tbl>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3: Potential Asset Divestiture and Expected Impact</w:t>
      </w:r>
    </w:p>
    <w:tbl>
      <w:tblPr>
        <w:tblStyle w:val="Table16"/>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28F">
            <w:pPr>
              <w:rPr/>
            </w:pPr>
            <w:r w:rsidDel="00000000" w:rsidR="00000000" w:rsidRPr="00000000">
              <w:rPr>
                <w:rtl w:val="0"/>
              </w:rPr>
              <w:t xml:space="preserve">Capital Type</w:t>
            </w:r>
          </w:p>
        </w:tc>
        <w:tc>
          <w:tcPr/>
          <w:p w:rsidR="00000000" w:rsidDel="00000000" w:rsidP="00000000" w:rsidRDefault="00000000" w:rsidRPr="00000000" w14:paraId="00000290">
            <w:pPr>
              <w:rPr/>
            </w:pPr>
            <w:r w:rsidDel="00000000" w:rsidR="00000000" w:rsidRPr="00000000">
              <w:rPr>
                <w:rtl w:val="0"/>
              </w:rPr>
              <w:t xml:space="preserve">Before Equity Injection (£m)</w:t>
            </w:r>
          </w:p>
        </w:tc>
        <w:tc>
          <w:tcPr/>
          <w:p w:rsidR="00000000" w:rsidDel="00000000" w:rsidP="00000000" w:rsidRDefault="00000000" w:rsidRPr="00000000" w14:paraId="00000291">
            <w:pPr>
              <w:rPr/>
            </w:pPr>
            <w:r w:rsidDel="00000000" w:rsidR="00000000" w:rsidRPr="00000000">
              <w:rPr>
                <w:rtl w:val="0"/>
              </w:rPr>
              <w:t xml:space="preserve">After Equity Injection (£m)</w:t>
            </w:r>
          </w:p>
        </w:tc>
      </w:tr>
      <w:tr>
        <w:trPr>
          <w:cantSplit w:val="0"/>
          <w:tblHeader w:val="0"/>
        </w:trPr>
        <w:tc>
          <w:tcPr/>
          <w:p w:rsidR="00000000" w:rsidDel="00000000" w:rsidP="00000000" w:rsidRDefault="00000000" w:rsidRPr="00000000" w14:paraId="00000292">
            <w:pPr>
              <w:rPr/>
            </w:pPr>
            <w:r w:rsidDel="00000000" w:rsidR="00000000" w:rsidRPr="00000000">
              <w:rPr>
                <w:rtl w:val="0"/>
              </w:rPr>
              <w:t xml:space="preserve">Debt</w:t>
            </w:r>
          </w:p>
        </w:tc>
        <w:tc>
          <w:tcPr/>
          <w:p w:rsidR="00000000" w:rsidDel="00000000" w:rsidP="00000000" w:rsidRDefault="00000000" w:rsidRPr="00000000" w14:paraId="00000293">
            <w:pPr>
              <w:rPr/>
            </w:pPr>
            <w:r w:rsidDel="00000000" w:rsidR="00000000" w:rsidRPr="00000000">
              <w:rPr>
                <w:rtl w:val="0"/>
              </w:rPr>
              <w:t xml:space="preserve">170,249</w:t>
            </w:r>
          </w:p>
        </w:tc>
        <w:tc>
          <w:tcPr/>
          <w:p w:rsidR="00000000" w:rsidDel="00000000" w:rsidP="00000000" w:rsidRDefault="00000000" w:rsidRPr="00000000" w14:paraId="00000294">
            <w:pPr>
              <w:rPr/>
            </w:pPr>
            <w:r w:rsidDel="00000000" w:rsidR="00000000" w:rsidRPr="00000000">
              <w:rPr>
                <w:rtl w:val="0"/>
              </w:rPr>
              <w:t xml:space="preserve">150,249</w:t>
            </w:r>
          </w:p>
        </w:tc>
      </w:tr>
      <w:tr>
        <w:trPr>
          <w:cantSplit w:val="0"/>
          <w:tblHeader w:val="0"/>
        </w:trPr>
        <w:tc>
          <w:tcPr/>
          <w:p w:rsidR="00000000" w:rsidDel="00000000" w:rsidP="00000000" w:rsidRDefault="00000000" w:rsidRPr="00000000" w14:paraId="00000295">
            <w:pPr>
              <w:rPr/>
            </w:pPr>
            <w:r w:rsidDel="00000000" w:rsidR="00000000" w:rsidRPr="00000000">
              <w:rPr>
                <w:rtl w:val="0"/>
              </w:rPr>
              <w:t xml:space="preserve">Equity</w:t>
            </w:r>
          </w:p>
        </w:tc>
        <w:tc>
          <w:tcPr/>
          <w:p w:rsidR="00000000" w:rsidDel="00000000" w:rsidP="00000000" w:rsidRDefault="00000000" w:rsidRPr="00000000" w14:paraId="00000296">
            <w:pPr>
              <w:rPr/>
            </w:pPr>
            <w:r w:rsidDel="00000000" w:rsidR="00000000" w:rsidRPr="00000000">
              <w:rPr>
                <w:rtl w:val="0"/>
              </w:rPr>
              <w:t xml:space="preserve">153,105</w:t>
            </w:r>
          </w:p>
        </w:tc>
        <w:tc>
          <w:tcPr/>
          <w:p w:rsidR="00000000" w:rsidDel="00000000" w:rsidP="00000000" w:rsidRDefault="00000000" w:rsidRPr="00000000" w14:paraId="00000297">
            <w:pPr>
              <w:rPr/>
            </w:pPr>
            <w:r w:rsidDel="00000000" w:rsidR="00000000" w:rsidRPr="00000000">
              <w:rPr>
                <w:rtl w:val="0"/>
              </w:rPr>
              <w:t xml:space="preserve">173,105</w:t>
            </w:r>
          </w:p>
        </w:tc>
      </w:tr>
    </w:tbl>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4: Capital Structure Before and After Equity Injection</w:t>
      </w:r>
    </w:p>
    <w:tbl>
      <w:tblPr>
        <w:tblStyle w:val="Table1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299">
            <w:pPr>
              <w:rPr/>
            </w:pPr>
            <w:r w:rsidDel="00000000" w:rsidR="00000000" w:rsidRPr="00000000">
              <w:rPr>
                <w:rtl w:val="0"/>
              </w:rPr>
              <w:t xml:space="preserve">Criteria</w:t>
            </w:r>
          </w:p>
        </w:tc>
        <w:tc>
          <w:tcPr/>
          <w:p w:rsidR="00000000" w:rsidDel="00000000" w:rsidP="00000000" w:rsidRDefault="00000000" w:rsidRPr="00000000" w14:paraId="0000029A">
            <w:pPr>
              <w:rPr/>
            </w:pPr>
            <w:r w:rsidDel="00000000" w:rsidR="00000000" w:rsidRPr="00000000">
              <w:rPr>
                <w:rtl w:val="0"/>
              </w:rPr>
              <w:t xml:space="preserve">Asset Divestiture</w:t>
            </w:r>
          </w:p>
        </w:tc>
        <w:tc>
          <w:tcPr/>
          <w:p w:rsidR="00000000" w:rsidDel="00000000" w:rsidP="00000000" w:rsidRDefault="00000000" w:rsidRPr="00000000" w14:paraId="0000029B">
            <w:pPr>
              <w:rPr/>
            </w:pPr>
            <w:r w:rsidDel="00000000" w:rsidR="00000000" w:rsidRPr="00000000">
              <w:rPr>
                <w:rtl w:val="0"/>
              </w:rPr>
              <w:t xml:space="preserve">Equity Injection</w:t>
            </w:r>
          </w:p>
        </w:tc>
        <w:tc>
          <w:tcPr/>
          <w:p w:rsidR="00000000" w:rsidDel="00000000" w:rsidP="00000000" w:rsidRDefault="00000000" w:rsidRPr="00000000" w14:paraId="0000029C">
            <w:pPr>
              <w:rPr/>
            </w:pPr>
            <w:r w:rsidDel="00000000" w:rsidR="00000000" w:rsidRPr="00000000">
              <w:rPr>
                <w:rtl w:val="0"/>
              </w:rPr>
              <w:t xml:space="preserve">Merger / Partnership</w:t>
            </w:r>
          </w:p>
        </w:tc>
      </w:tr>
      <w:tr>
        <w:trPr>
          <w:cantSplit w:val="0"/>
          <w:tblHeader w:val="0"/>
        </w:trPr>
        <w:tc>
          <w:tcPr/>
          <w:p w:rsidR="00000000" w:rsidDel="00000000" w:rsidP="00000000" w:rsidRDefault="00000000" w:rsidRPr="00000000" w14:paraId="0000029D">
            <w:pPr>
              <w:rPr/>
            </w:pPr>
            <w:r w:rsidDel="00000000" w:rsidR="00000000" w:rsidRPr="00000000">
              <w:rPr>
                <w:rtl w:val="0"/>
              </w:rPr>
              <w:t xml:space="preserve">Short-term shareholder value</w:t>
            </w:r>
          </w:p>
        </w:tc>
        <w:tc>
          <w:tcPr/>
          <w:p w:rsidR="00000000" w:rsidDel="00000000" w:rsidP="00000000" w:rsidRDefault="00000000" w:rsidRPr="00000000" w14:paraId="0000029E">
            <w:pPr>
              <w:rPr/>
            </w:pPr>
            <w:r w:rsidDel="00000000" w:rsidR="00000000" w:rsidRPr="00000000">
              <w:rPr>
                <w:rtl w:val="0"/>
              </w:rPr>
              <w:t xml:space="preserve">Medium</w:t>
            </w:r>
          </w:p>
        </w:tc>
        <w:tc>
          <w:tcPr/>
          <w:p w:rsidR="00000000" w:rsidDel="00000000" w:rsidP="00000000" w:rsidRDefault="00000000" w:rsidRPr="00000000" w14:paraId="0000029F">
            <w:pPr>
              <w:rPr/>
            </w:pPr>
            <w:r w:rsidDel="00000000" w:rsidR="00000000" w:rsidRPr="00000000">
              <w:rPr>
                <w:rtl w:val="0"/>
              </w:rPr>
              <w:t xml:space="preserve">Low</w:t>
            </w:r>
          </w:p>
        </w:tc>
        <w:tc>
          <w:tcPr/>
          <w:p w:rsidR="00000000" w:rsidDel="00000000" w:rsidP="00000000" w:rsidRDefault="00000000" w:rsidRPr="00000000" w14:paraId="000002A0">
            <w:pPr>
              <w:rPr/>
            </w:pPr>
            <w:r w:rsidDel="00000000" w:rsidR="00000000" w:rsidRPr="00000000">
              <w:rPr>
                <w:rtl w:val="0"/>
              </w:rPr>
              <w:t xml:space="preserve">Uncertain</w:t>
            </w:r>
          </w:p>
        </w:tc>
      </w:tr>
      <w:tr>
        <w:trPr>
          <w:cantSplit w:val="0"/>
          <w:tblHeader w:val="0"/>
        </w:trPr>
        <w:tc>
          <w:tcPr/>
          <w:p w:rsidR="00000000" w:rsidDel="00000000" w:rsidP="00000000" w:rsidRDefault="00000000" w:rsidRPr="00000000" w14:paraId="000002A1">
            <w:pPr>
              <w:rPr/>
            </w:pPr>
            <w:r w:rsidDel="00000000" w:rsidR="00000000" w:rsidRPr="00000000">
              <w:rPr>
                <w:rtl w:val="0"/>
              </w:rPr>
              <w:t xml:space="preserve">Long-term shareholder value</w:t>
            </w:r>
          </w:p>
        </w:tc>
        <w:tc>
          <w:tcPr/>
          <w:p w:rsidR="00000000" w:rsidDel="00000000" w:rsidP="00000000" w:rsidRDefault="00000000" w:rsidRPr="00000000" w14:paraId="000002A2">
            <w:pPr>
              <w:rPr/>
            </w:pPr>
            <w:r w:rsidDel="00000000" w:rsidR="00000000" w:rsidRPr="00000000">
              <w:rPr>
                <w:rtl w:val="0"/>
              </w:rPr>
              <w:t xml:space="preserve">High</w:t>
            </w:r>
          </w:p>
        </w:tc>
        <w:tc>
          <w:tcPr/>
          <w:p w:rsidR="00000000" w:rsidDel="00000000" w:rsidP="00000000" w:rsidRDefault="00000000" w:rsidRPr="00000000" w14:paraId="000002A3">
            <w:pPr>
              <w:rPr/>
            </w:pPr>
            <w:r w:rsidDel="00000000" w:rsidR="00000000" w:rsidRPr="00000000">
              <w:rPr>
                <w:rtl w:val="0"/>
              </w:rPr>
              <w:t xml:space="preserve">High</w:t>
            </w:r>
          </w:p>
        </w:tc>
        <w:tc>
          <w:tcPr/>
          <w:p w:rsidR="00000000" w:rsidDel="00000000" w:rsidP="00000000" w:rsidRDefault="00000000" w:rsidRPr="00000000" w14:paraId="000002A4">
            <w:pPr>
              <w:rPr/>
            </w:pPr>
            <w:r w:rsidDel="00000000" w:rsidR="00000000" w:rsidRPr="00000000">
              <w:rPr>
                <w:rtl w:val="0"/>
              </w:rPr>
              <w:t xml:space="preserve">Medium</w:t>
            </w:r>
          </w:p>
        </w:tc>
      </w:tr>
      <w:tr>
        <w:trPr>
          <w:cantSplit w:val="0"/>
          <w:tblHeader w:val="0"/>
        </w:trPr>
        <w:tc>
          <w:tcPr/>
          <w:p w:rsidR="00000000" w:rsidDel="00000000" w:rsidP="00000000" w:rsidRDefault="00000000" w:rsidRPr="00000000" w14:paraId="000002A5">
            <w:pPr>
              <w:rPr/>
            </w:pPr>
            <w:r w:rsidDel="00000000" w:rsidR="00000000" w:rsidRPr="00000000">
              <w:rPr>
                <w:rtl w:val="0"/>
              </w:rPr>
              <w:t xml:space="preserve">Risk level</w:t>
            </w:r>
          </w:p>
        </w:tc>
        <w:tc>
          <w:tcPr/>
          <w:p w:rsidR="00000000" w:rsidDel="00000000" w:rsidP="00000000" w:rsidRDefault="00000000" w:rsidRPr="00000000" w14:paraId="000002A6">
            <w:pPr>
              <w:rPr/>
            </w:pPr>
            <w:r w:rsidDel="00000000" w:rsidR="00000000" w:rsidRPr="00000000">
              <w:rPr>
                <w:rtl w:val="0"/>
              </w:rPr>
              <w:t xml:space="preserve">Low</w:t>
            </w:r>
          </w:p>
        </w:tc>
        <w:tc>
          <w:tcPr/>
          <w:p w:rsidR="00000000" w:rsidDel="00000000" w:rsidP="00000000" w:rsidRDefault="00000000" w:rsidRPr="00000000" w14:paraId="000002A7">
            <w:pPr>
              <w:rPr/>
            </w:pPr>
            <w:r w:rsidDel="00000000" w:rsidR="00000000" w:rsidRPr="00000000">
              <w:rPr>
                <w:rtl w:val="0"/>
              </w:rPr>
              <w:t xml:space="preserve">Low</w:t>
            </w:r>
          </w:p>
        </w:tc>
        <w:tc>
          <w:tcPr/>
          <w:p w:rsidR="00000000" w:rsidDel="00000000" w:rsidP="00000000" w:rsidRDefault="00000000" w:rsidRPr="00000000" w14:paraId="000002A8">
            <w:pPr>
              <w:rPr/>
            </w:pPr>
            <w:r w:rsidDel="00000000" w:rsidR="00000000" w:rsidRPr="00000000">
              <w:rPr>
                <w:rtl w:val="0"/>
              </w:rPr>
              <w:t xml:space="preserve">High</w:t>
            </w:r>
          </w:p>
        </w:tc>
      </w:tr>
      <w:tr>
        <w:trPr>
          <w:cantSplit w:val="0"/>
          <w:tblHeader w:val="0"/>
        </w:trPr>
        <w:tc>
          <w:tcPr/>
          <w:p w:rsidR="00000000" w:rsidDel="00000000" w:rsidP="00000000" w:rsidRDefault="00000000" w:rsidRPr="00000000" w14:paraId="000002A9">
            <w:pPr>
              <w:rPr/>
            </w:pPr>
            <w:r w:rsidDel="00000000" w:rsidR="00000000" w:rsidRPr="00000000">
              <w:rPr>
                <w:rtl w:val="0"/>
              </w:rPr>
              <w:t xml:space="preserve">Ownership dilution</w:t>
            </w:r>
          </w:p>
        </w:tc>
        <w:tc>
          <w:tcPr/>
          <w:p w:rsidR="00000000" w:rsidDel="00000000" w:rsidP="00000000" w:rsidRDefault="00000000" w:rsidRPr="00000000" w14:paraId="000002AA">
            <w:pPr>
              <w:rPr/>
            </w:pPr>
            <w:r w:rsidDel="00000000" w:rsidR="00000000" w:rsidRPr="00000000">
              <w:rPr>
                <w:rtl w:val="0"/>
              </w:rPr>
              <w:t xml:space="preserve">None</w:t>
            </w:r>
          </w:p>
        </w:tc>
        <w:tc>
          <w:tcPr/>
          <w:p w:rsidR="00000000" w:rsidDel="00000000" w:rsidP="00000000" w:rsidRDefault="00000000" w:rsidRPr="00000000" w14:paraId="000002AB">
            <w:pPr>
              <w:rPr/>
            </w:pPr>
            <w:r w:rsidDel="00000000" w:rsidR="00000000" w:rsidRPr="00000000">
              <w:rPr>
                <w:rtl w:val="0"/>
              </w:rPr>
              <w:t xml:space="preserve">High</w:t>
            </w:r>
          </w:p>
        </w:tc>
        <w:tc>
          <w:tcPr/>
          <w:p w:rsidR="00000000" w:rsidDel="00000000" w:rsidP="00000000" w:rsidRDefault="00000000" w:rsidRPr="00000000" w14:paraId="000002AC">
            <w:pPr>
              <w:rPr/>
            </w:pPr>
            <w:r w:rsidDel="00000000" w:rsidR="00000000" w:rsidRPr="00000000">
              <w:rPr>
                <w:rtl w:val="0"/>
              </w:rPr>
              <w:t xml:space="preserve">Medium</w:t>
            </w:r>
          </w:p>
        </w:tc>
      </w:tr>
      <w:tr>
        <w:trPr>
          <w:cantSplit w:val="0"/>
          <w:tblHeader w:val="0"/>
        </w:trPr>
        <w:tc>
          <w:tcPr/>
          <w:p w:rsidR="00000000" w:rsidDel="00000000" w:rsidP="00000000" w:rsidRDefault="00000000" w:rsidRPr="00000000" w14:paraId="000002AD">
            <w:pPr>
              <w:rPr/>
            </w:pPr>
            <w:r w:rsidDel="00000000" w:rsidR="00000000" w:rsidRPr="00000000">
              <w:rPr>
                <w:rtl w:val="0"/>
              </w:rPr>
              <w:t xml:space="preserve">Operational synergy</w:t>
            </w:r>
          </w:p>
        </w:tc>
        <w:tc>
          <w:tcPr/>
          <w:p w:rsidR="00000000" w:rsidDel="00000000" w:rsidP="00000000" w:rsidRDefault="00000000" w:rsidRPr="00000000" w14:paraId="000002AE">
            <w:pPr>
              <w:rPr/>
            </w:pPr>
            <w:r w:rsidDel="00000000" w:rsidR="00000000" w:rsidRPr="00000000">
              <w:rPr>
                <w:rtl w:val="0"/>
              </w:rPr>
              <w:t xml:space="preserve">Low</w:t>
            </w:r>
          </w:p>
        </w:tc>
        <w:tc>
          <w:tcPr/>
          <w:p w:rsidR="00000000" w:rsidDel="00000000" w:rsidP="00000000" w:rsidRDefault="00000000" w:rsidRPr="00000000" w14:paraId="000002AF">
            <w:pPr>
              <w:rPr/>
            </w:pPr>
            <w:r w:rsidDel="00000000" w:rsidR="00000000" w:rsidRPr="00000000">
              <w:rPr>
                <w:rtl w:val="0"/>
              </w:rPr>
              <w:t xml:space="preserve">Medium</w:t>
            </w:r>
          </w:p>
        </w:tc>
        <w:tc>
          <w:tcPr/>
          <w:p w:rsidR="00000000" w:rsidDel="00000000" w:rsidP="00000000" w:rsidRDefault="00000000" w:rsidRPr="00000000" w14:paraId="000002B0">
            <w:pPr>
              <w:rPr/>
            </w:pPr>
            <w:r w:rsidDel="00000000" w:rsidR="00000000" w:rsidRPr="00000000">
              <w:rPr>
                <w:rtl w:val="0"/>
              </w:rPr>
              <w:t xml:space="preserve">High</w:t>
            </w:r>
          </w:p>
        </w:tc>
      </w:tr>
    </w:tbl>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5: Impact of Restructuring Options on Shareholder Value</w:t>
      </w:r>
    </w:p>
    <w:tbl>
      <w:tblPr>
        <w:tblStyle w:val="Table18"/>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0"/>
        <w:gridCol w:w="1390"/>
        <w:gridCol w:w="1326"/>
        <w:gridCol w:w="1326"/>
        <w:gridCol w:w="1326"/>
        <w:gridCol w:w="1326"/>
        <w:gridCol w:w="1326"/>
        <w:tblGridChange w:id="0">
          <w:tblGrid>
            <w:gridCol w:w="1330"/>
            <w:gridCol w:w="1390"/>
            <w:gridCol w:w="1326"/>
            <w:gridCol w:w="1326"/>
            <w:gridCol w:w="1326"/>
            <w:gridCol w:w="1326"/>
            <w:gridCol w:w="1326"/>
          </w:tblGrid>
        </w:tblGridChange>
      </w:tblGrid>
      <w:tr>
        <w:trPr>
          <w:cantSplit w:val="0"/>
          <w:tblHeader w:val="0"/>
        </w:trPr>
        <w:tc>
          <w:tcPr/>
          <w:p w:rsidR="00000000" w:rsidDel="00000000" w:rsidP="00000000" w:rsidRDefault="00000000" w:rsidRPr="00000000" w14:paraId="000002B2">
            <w:pPr>
              <w:rPr/>
            </w:pPr>
            <w:r w:rsidDel="00000000" w:rsidR="00000000" w:rsidRPr="00000000">
              <w:rPr>
                <w:rtl w:val="0"/>
              </w:rPr>
              <w:t xml:space="preserve">Project</w:t>
            </w:r>
          </w:p>
        </w:tc>
        <w:tc>
          <w:tcPr/>
          <w:p w:rsidR="00000000" w:rsidDel="00000000" w:rsidP="00000000" w:rsidRDefault="00000000" w:rsidRPr="00000000" w14:paraId="000002B3">
            <w:pPr>
              <w:rPr/>
            </w:pPr>
            <w:r w:rsidDel="00000000" w:rsidR="00000000" w:rsidRPr="00000000">
              <w:rPr>
                <w:rtl w:val="0"/>
              </w:rPr>
              <w:t xml:space="preserve">Initial Investment (£m)</w:t>
            </w:r>
          </w:p>
        </w:tc>
        <w:tc>
          <w:tcPr/>
          <w:p w:rsidR="00000000" w:rsidDel="00000000" w:rsidP="00000000" w:rsidRDefault="00000000" w:rsidRPr="00000000" w14:paraId="000002B4">
            <w:pPr>
              <w:rPr/>
            </w:pPr>
            <w:r w:rsidDel="00000000" w:rsidR="00000000" w:rsidRPr="00000000">
              <w:rPr>
                <w:rtl w:val="0"/>
              </w:rPr>
              <w:t xml:space="preserve">Year 1</w:t>
            </w:r>
          </w:p>
        </w:tc>
        <w:tc>
          <w:tcPr/>
          <w:p w:rsidR="00000000" w:rsidDel="00000000" w:rsidP="00000000" w:rsidRDefault="00000000" w:rsidRPr="00000000" w14:paraId="000002B5">
            <w:pPr>
              <w:rPr/>
            </w:pPr>
            <w:r w:rsidDel="00000000" w:rsidR="00000000" w:rsidRPr="00000000">
              <w:rPr>
                <w:rtl w:val="0"/>
              </w:rPr>
              <w:t xml:space="preserve">Year 2</w:t>
            </w:r>
          </w:p>
        </w:tc>
        <w:tc>
          <w:tcPr/>
          <w:p w:rsidR="00000000" w:rsidDel="00000000" w:rsidP="00000000" w:rsidRDefault="00000000" w:rsidRPr="00000000" w14:paraId="000002B6">
            <w:pPr>
              <w:rPr/>
            </w:pPr>
            <w:r w:rsidDel="00000000" w:rsidR="00000000" w:rsidRPr="00000000">
              <w:rPr>
                <w:rtl w:val="0"/>
              </w:rPr>
              <w:t xml:space="preserve">Year 3</w:t>
            </w:r>
          </w:p>
        </w:tc>
        <w:tc>
          <w:tcPr/>
          <w:p w:rsidR="00000000" w:rsidDel="00000000" w:rsidP="00000000" w:rsidRDefault="00000000" w:rsidRPr="00000000" w14:paraId="000002B7">
            <w:pPr>
              <w:rPr/>
            </w:pPr>
            <w:r w:rsidDel="00000000" w:rsidR="00000000" w:rsidRPr="00000000">
              <w:rPr>
                <w:rtl w:val="0"/>
              </w:rPr>
              <w:t xml:space="preserve">Year 4</w:t>
            </w:r>
          </w:p>
        </w:tc>
        <w:tc>
          <w:tcPr/>
          <w:p w:rsidR="00000000" w:rsidDel="00000000" w:rsidP="00000000" w:rsidRDefault="00000000" w:rsidRPr="00000000" w14:paraId="000002B8">
            <w:pPr>
              <w:rPr/>
            </w:pPr>
            <w:r w:rsidDel="00000000" w:rsidR="00000000" w:rsidRPr="00000000">
              <w:rPr>
                <w:rtl w:val="0"/>
              </w:rPr>
              <w:t xml:space="preserve">Year 5</w:t>
            </w:r>
          </w:p>
        </w:tc>
      </w:tr>
      <w:tr>
        <w:trPr>
          <w:cantSplit w:val="0"/>
          <w:tblHeader w:val="0"/>
        </w:trPr>
        <w:tc>
          <w:tcPr/>
          <w:p w:rsidR="00000000" w:rsidDel="00000000" w:rsidP="00000000" w:rsidRDefault="00000000" w:rsidRPr="00000000" w14:paraId="000002B9">
            <w:pPr>
              <w:rPr/>
            </w:pPr>
            <w:r w:rsidDel="00000000" w:rsidR="00000000" w:rsidRPr="00000000">
              <w:rPr>
                <w:rtl w:val="0"/>
              </w:rPr>
              <w:t xml:space="preserve">A</w:t>
            </w:r>
          </w:p>
        </w:tc>
        <w:tc>
          <w:tcPr/>
          <w:p w:rsidR="00000000" w:rsidDel="00000000" w:rsidP="00000000" w:rsidRDefault="00000000" w:rsidRPr="00000000" w14:paraId="000002BA">
            <w:pPr>
              <w:rPr/>
            </w:pPr>
            <w:r w:rsidDel="00000000" w:rsidR="00000000" w:rsidRPr="00000000">
              <w:rPr>
                <w:rtl w:val="0"/>
              </w:rPr>
              <w:t xml:space="preserve">40</w:t>
            </w:r>
          </w:p>
        </w:tc>
        <w:tc>
          <w:tcPr/>
          <w:p w:rsidR="00000000" w:rsidDel="00000000" w:rsidP="00000000" w:rsidRDefault="00000000" w:rsidRPr="00000000" w14:paraId="000002BB">
            <w:pPr>
              <w:rPr/>
            </w:pPr>
            <w:r w:rsidDel="00000000" w:rsidR="00000000" w:rsidRPr="00000000">
              <w:rPr>
                <w:rtl w:val="0"/>
              </w:rPr>
              <w:t xml:space="preserve">10</w:t>
            </w:r>
          </w:p>
        </w:tc>
        <w:tc>
          <w:tcPr/>
          <w:p w:rsidR="00000000" w:rsidDel="00000000" w:rsidP="00000000" w:rsidRDefault="00000000" w:rsidRPr="00000000" w14:paraId="000002BC">
            <w:pPr>
              <w:rPr/>
            </w:pPr>
            <w:r w:rsidDel="00000000" w:rsidR="00000000" w:rsidRPr="00000000">
              <w:rPr>
                <w:rtl w:val="0"/>
              </w:rPr>
              <w:t xml:space="preserve">12</w:t>
            </w:r>
          </w:p>
        </w:tc>
        <w:tc>
          <w:tcPr/>
          <w:p w:rsidR="00000000" w:rsidDel="00000000" w:rsidP="00000000" w:rsidRDefault="00000000" w:rsidRPr="00000000" w14:paraId="000002BD">
            <w:pPr>
              <w:rPr/>
            </w:pPr>
            <w:r w:rsidDel="00000000" w:rsidR="00000000" w:rsidRPr="00000000">
              <w:rPr>
                <w:rtl w:val="0"/>
              </w:rPr>
              <w:t xml:space="preserve">14</w:t>
            </w:r>
          </w:p>
        </w:tc>
        <w:tc>
          <w:tcPr/>
          <w:p w:rsidR="00000000" w:rsidDel="00000000" w:rsidP="00000000" w:rsidRDefault="00000000" w:rsidRPr="00000000" w14:paraId="000002BE">
            <w:pPr>
              <w:rPr/>
            </w:pPr>
            <w:r w:rsidDel="00000000" w:rsidR="00000000" w:rsidRPr="00000000">
              <w:rPr>
                <w:rtl w:val="0"/>
              </w:rPr>
              <w:t xml:space="preserve">10</w:t>
            </w:r>
          </w:p>
        </w:tc>
        <w:tc>
          <w:tcPr/>
          <w:p w:rsidR="00000000" w:rsidDel="00000000" w:rsidP="00000000" w:rsidRDefault="00000000" w:rsidRPr="00000000" w14:paraId="000002BF">
            <w:pP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2C0">
            <w:pPr>
              <w:rPr/>
            </w:pPr>
            <w:r w:rsidDel="00000000" w:rsidR="00000000" w:rsidRPr="00000000">
              <w:rPr>
                <w:rtl w:val="0"/>
              </w:rPr>
              <w:t xml:space="preserve">B</w:t>
            </w:r>
          </w:p>
        </w:tc>
        <w:tc>
          <w:tcPr/>
          <w:p w:rsidR="00000000" w:rsidDel="00000000" w:rsidP="00000000" w:rsidRDefault="00000000" w:rsidRPr="00000000" w14:paraId="000002C1">
            <w:pPr>
              <w:rPr/>
            </w:pPr>
            <w:r w:rsidDel="00000000" w:rsidR="00000000" w:rsidRPr="00000000">
              <w:rPr>
                <w:rtl w:val="0"/>
              </w:rPr>
              <w:t xml:space="preserve">30</w:t>
            </w:r>
          </w:p>
        </w:tc>
        <w:tc>
          <w:tcPr/>
          <w:p w:rsidR="00000000" w:rsidDel="00000000" w:rsidP="00000000" w:rsidRDefault="00000000" w:rsidRPr="00000000" w14:paraId="000002C2">
            <w:pPr>
              <w:rPr/>
            </w:pPr>
            <w:r w:rsidDel="00000000" w:rsidR="00000000" w:rsidRPr="00000000">
              <w:rPr>
                <w:rtl w:val="0"/>
              </w:rPr>
              <w:t xml:space="preserve">6</w:t>
            </w:r>
          </w:p>
        </w:tc>
        <w:tc>
          <w:tcPr/>
          <w:p w:rsidR="00000000" w:rsidDel="00000000" w:rsidP="00000000" w:rsidRDefault="00000000" w:rsidRPr="00000000" w14:paraId="000002C3">
            <w:pPr>
              <w:rPr/>
            </w:pPr>
            <w:r w:rsidDel="00000000" w:rsidR="00000000" w:rsidRPr="00000000">
              <w:rPr>
                <w:rtl w:val="0"/>
              </w:rPr>
              <w:t xml:space="preserve">6</w:t>
            </w:r>
          </w:p>
        </w:tc>
        <w:tc>
          <w:tcPr/>
          <w:p w:rsidR="00000000" w:rsidDel="00000000" w:rsidP="00000000" w:rsidRDefault="00000000" w:rsidRPr="00000000" w14:paraId="000002C4">
            <w:pPr>
              <w:rPr/>
            </w:pPr>
            <w:r w:rsidDel="00000000" w:rsidR="00000000" w:rsidRPr="00000000">
              <w:rPr>
                <w:rtl w:val="0"/>
              </w:rPr>
              <w:t xml:space="preserve">6</w:t>
            </w:r>
          </w:p>
        </w:tc>
        <w:tc>
          <w:tcPr/>
          <w:p w:rsidR="00000000" w:rsidDel="00000000" w:rsidP="00000000" w:rsidRDefault="00000000" w:rsidRPr="00000000" w14:paraId="000002C5">
            <w:pPr>
              <w:rPr/>
            </w:pPr>
            <w:r w:rsidDel="00000000" w:rsidR="00000000" w:rsidRPr="00000000">
              <w:rPr>
                <w:rtl w:val="0"/>
              </w:rPr>
              <w:t xml:space="preserve">6</w:t>
            </w:r>
          </w:p>
        </w:tc>
        <w:tc>
          <w:tcPr/>
          <w:p w:rsidR="00000000" w:rsidDel="00000000" w:rsidP="00000000" w:rsidRDefault="00000000" w:rsidRPr="00000000" w14:paraId="000002C6">
            <w:pP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2C7">
            <w:pPr>
              <w:rPr/>
            </w:pPr>
            <w:r w:rsidDel="00000000" w:rsidR="00000000" w:rsidRPr="00000000">
              <w:rPr>
                <w:rtl w:val="0"/>
              </w:rPr>
              <w:t xml:space="preserve">C</w:t>
            </w:r>
          </w:p>
        </w:tc>
        <w:tc>
          <w:tcPr/>
          <w:p w:rsidR="00000000" w:rsidDel="00000000" w:rsidP="00000000" w:rsidRDefault="00000000" w:rsidRPr="00000000" w14:paraId="000002C8">
            <w:pPr>
              <w:rPr/>
            </w:pPr>
            <w:r w:rsidDel="00000000" w:rsidR="00000000" w:rsidRPr="00000000">
              <w:rPr>
                <w:rtl w:val="0"/>
              </w:rPr>
              <w:t xml:space="preserve">50</w:t>
            </w:r>
          </w:p>
        </w:tc>
        <w:tc>
          <w:tcPr/>
          <w:p w:rsidR="00000000" w:rsidDel="00000000" w:rsidP="00000000" w:rsidRDefault="00000000" w:rsidRPr="00000000" w14:paraId="000002C9">
            <w:pPr>
              <w:rPr/>
            </w:pPr>
            <w:r w:rsidDel="00000000" w:rsidR="00000000" w:rsidRPr="00000000">
              <w:rPr>
                <w:rtl w:val="0"/>
              </w:rPr>
              <w:t xml:space="preserve">5</w:t>
            </w:r>
          </w:p>
        </w:tc>
        <w:tc>
          <w:tcPr/>
          <w:p w:rsidR="00000000" w:rsidDel="00000000" w:rsidP="00000000" w:rsidRDefault="00000000" w:rsidRPr="00000000" w14:paraId="000002CA">
            <w:pPr>
              <w:rPr/>
            </w:pPr>
            <w:r w:rsidDel="00000000" w:rsidR="00000000" w:rsidRPr="00000000">
              <w:rPr>
                <w:rtl w:val="0"/>
              </w:rPr>
              <w:t xml:space="preserve">10</w:t>
            </w:r>
          </w:p>
        </w:tc>
        <w:tc>
          <w:tcPr/>
          <w:p w:rsidR="00000000" w:rsidDel="00000000" w:rsidP="00000000" w:rsidRDefault="00000000" w:rsidRPr="00000000" w14:paraId="000002CB">
            <w:pPr>
              <w:rPr/>
            </w:pPr>
            <w:r w:rsidDel="00000000" w:rsidR="00000000" w:rsidRPr="00000000">
              <w:rPr>
                <w:rtl w:val="0"/>
              </w:rPr>
              <w:t xml:space="preserve">20</w:t>
            </w:r>
          </w:p>
        </w:tc>
        <w:tc>
          <w:tcPr/>
          <w:p w:rsidR="00000000" w:rsidDel="00000000" w:rsidP="00000000" w:rsidRDefault="00000000" w:rsidRPr="00000000" w14:paraId="000002CC">
            <w:pPr>
              <w:rPr/>
            </w:pPr>
            <w:r w:rsidDel="00000000" w:rsidR="00000000" w:rsidRPr="00000000">
              <w:rPr>
                <w:rtl w:val="0"/>
              </w:rPr>
              <w:t xml:space="preserve">25</w:t>
            </w:r>
          </w:p>
        </w:tc>
        <w:tc>
          <w:tcPr/>
          <w:p w:rsidR="00000000" w:rsidDel="00000000" w:rsidP="00000000" w:rsidRDefault="00000000" w:rsidRPr="00000000" w14:paraId="000002CD">
            <w:pPr>
              <w:rPr/>
            </w:pPr>
            <w:r w:rsidDel="00000000" w:rsidR="00000000" w:rsidRPr="00000000">
              <w:rPr>
                <w:rtl w:val="0"/>
              </w:rPr>
              <w:t xml:space="preserve">15</w:t>
            </w:r>
          </w:p>
        </w:tc>
      </w:tr>
    </w:tbl>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6: Project Cash Flow Details</w:t>
      </w:r>
    </w:p>
    <w:tbl>
      <w:tblPr>
        <w:tblStyle w:val="Table19"/>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rPr>
          <w:cantSplit w:val="0"/>
          <w:tblHeader w:val="0"/>
        </w:trPr>
        <w:tc>
          <w:tcPr/>
          <w:p w:rsidR="00000000" w:rsidDel="00000000" w:rsidP="00000000" w:rsidRDefault="00000000" w:rsidRPr="00000000" w14:paraId="000002CF">
            <w:pPr>
              <w:rPr/>
            </w:pPr>
            <w:r w:rsidDel="00000000" w:rsidR="00000000" w:rsidRPr="00000000">
              <w:rPr>
                <w:rtl w:val="0"/>
              </w:rPr>
              <w:t xml:space="preserve">Year</w:t>
            </w:r>
          </w:p>
        </w:tc>
        <w:tc>
          <w:tcPr/>
          <w:p w:rsidR="00000000" w:rsidDel="00000000" w:rsidP="00000000" w:rsidRDefault="00000000" w:rsidRPr="00000000" w14:paraId="000002D0">
            <w:pPr>
              <w:rPr/>
            </w:pPr>
            <w:r w:rsidDel="00000000" w:rsidR="00000000" w:rsidRPr="00000000">
              <w:rPr>
                <w:rtl w:val="0"/>
              </w:rPr>
              <w:t xml:space="preserve">Discount Factor</w:t>
            </w:r>
          </w:p>
        </w:tc>
      </w:tr>
      <w:tr>
        <w:trPr>
          <w:cantSplit w:val="0"/>
          <w:tblHeader w:val="0"/>
        </w:trPr>
        <w:tc>
          <w:tcPr/>
          <w:p w:rsidR="00000000" w:rsidDel="00000000" w:rsidP="00000000" w:rsidRDefault="00000000" w:rsidRPr="00000000" w14:paraId="000002D1">
            <w:pPr>
              <w:rPr/>
            </w:pPr>
            <w:r w:rsidDel="00000000" w:rsidR="00000000" w:rsidRPr="00000000">
              <w:rPr>
                <w:rtl w:val="0"/>
              </w:rPr>
              <w:t xml:space="preserve">1</w:t>
            </w:r>
          </w:p>
        </w:tc>
        <w:tc>
          <w:tcPr/>
          <w:p w:rsidR="00000000" w:rsidDel="00000000" w:rsidP="00000000" w:rsidRDefault="00000000" w:rsidRPr="00000000" w14:paraId="000002D2">
            <w:pPr>
              <w:rPr/>
            </w:pPr>
            <w:r w:rsidDel="00000000" w:rsidR="00000000" w:rsidRPr="00000000">
              <w:rPr>
                <w:rtl w:val="0"/>
              </w:rPr>
              <w:t xml:space="preserve">0.909</w:t>
            </w:r>
          </w:p>
        </w:tc>
      </w:tr>
      <w:tr>
        <w:trPr>
          <w:cantSplit w:val="0"/>
          <w:tblHeader w:val="0"/>
        </w:trPr>
        <w:tc>
          <w:tcPr/>
          <w:p w:rsidR="00000000" w:rsidDel="00000000" w:rsidP="00000000" w:rsidRDefault="00000000" w:rsidRPr="00000000" w14:paraId="000002D3">
            <w:pPr>
              <w:rPr/>
            </w:pPr>
            <w:r w:rsidDel="00000000" w:rsidR="00000000" w:rsidRPr="00000000">
              <w:rPr>
                <w:rtl w:val="0"/>
              </w:rPr>
              <w:t xml:space="preserve">2</w:t>
            </w:r>
          </w:p>
        </w:tc>
        <w:tc>
          <w:tcPr/>
          <w:p w:rsidR="00000000" w:rsidDel="00000000" w:rsidP="00000000" w:rsidRDefault="00000000" w:rsidRPr="00000000" w14:paraId="000002D4">
            <w:pPr>
              <w:rPr/>
            </w:pPr>
            <w:r w:rsidDel="00000000" w:rsidR="00000000" w:rsidRPr="00000000">
              <w:rPr>
                <w:rtl w:val="0"/>
              </w:rPr>
              <w:t xml:space="preserve">0.826</w:t>
            </w:r>
          </w:p>
        </w:tc>
      </w:tr>
      <w:tr>
        <w:trPr>
          <w:cantSplit w:val="0"/>
          <w:tblHeader w:val="0"/>
        </w:trPr>
        <w:tc>
          <w:tcPr/>
          <w:p w:rsidR="00000000" w:rsidDel="00000000" w:rsidP="00000000" w:rsidRDefault="00000000" w:rsidRPr="00000000" w14:paraId="000002D5">
            <w:pPr>
              <w:rPr/>
            </w:pPr>
            <w:r w:rsidDel="00000000" w:rsidR="00000000" w:rsidRPr="00000000">
              <w:rPr>
                <w:rtl w:val="0"/>
              </w:rPr>
              <w:t xml:space="preserve">3</w:t>
            </w:r>
          </w:p>
        </w:tc>
        <w:tc>
          <w:tcPr/>
          <w:p w:rsidR="00000000" w:rsidDel="00000000" w:rsidP="00000000" w:rsidRDefault="00000000" w:rsidRPr="00000000" w14:paraId="000002D6">
            <w:pPr>
              <w:rPr/>
            </w:pPr>
            <w:r w:rsidDel="00000000" w:rsidR="00000000" w:rsidRPr="00000000">
              <w:rPr>
                <w:rtl w:val="0"/>
              </w:rPr>
              <w:t xml:space="preserve">0.751</w:t>
            </w:r>
          </w:p>
        </w:tc>
      </w:tr>
      <w:tr>
        <w:trPr>
          <w:cantSplit w:val="0"/>
          <w:tblHeader w:val="0"/>
        </w:trPr>
        <w:tc>
          <w:tcPr/>
          <w:p w:rsidR="00000000" w:rsidDel="00000000" w:rsidP="00000000" w:rsidRDefault="00000000" w:rsidRPr="00000000" w14:paraId="000002D7">
            <w:pPr>
              <w:rPr/>
            </w:pPr>
            <w:r w:rsidDel="00000000" w:rsidR="00000000" w:rsidRPr="00000000">
              <w:rPr>
                <w:rtl w:val="0"/>
              </w:rPr>
              <w:t xml:space="preserve">4</w:t>
            </w:r>
          </w:p>
        </w:tc>
        <w:tc>
          <w:tcPr/>
          <w:p w:rsidR="00000000" w:rsidDel="00000000" w:rsidP="00000000" w:rsidRDefault="00000000" w:rsidRPr="00000000" w14:paraId="000002D8">
            <w:pPr>
              <w:rPr/>
            </w:pPr>
            <w:r w:rsidDel="00000000" w:rsidR="00000000" w:rsidRPr="00000000">
              <w:rPr>
                <w:rtl w:val="0"/>
              </w:rPr>
              <w:t xml:space="preserve">0.683</w:t>
            </w:r>
          </w:p>
        </w:tc>
      </w:tr>
      <w:tr>
        <w:trPr>
          <w:cantSplit w:val="0"/>
          <w:tblHeader w:val="0"/>
        </w:trPr>
        <w:tc>
          <w:tcPr/>
          <w:p w:rsidR="00000000" w:rsidDel="00000000" w:rsidP="00000000" w:rsidRDefault="00000000" w:rsidRPr="00000000" w14:paraId="000002D9">
            <w:pPr>
              <w:rPr/>
            </w:pPr>
            <w:r w:rsidDel="00000000" w:rsidR="00000000" w:rsidRPr="00000000">
              <w:rPr>
                <w:rtl w:val="0"/>
              </w:rPr>
              <w:t xml:space="preserve">5</w:t>
            </w:r>
          </w:p>
        </w:tc>
        <w:tc>
          <w:tcPr/>
          <w:p w:rsidR="00000000" w:rsidDel="00000000" w:rsidP="00000000" w:rsidRDefault="00000000" w:rsidRPr="00000000" w14:paraId="000002DA">
            <w:pPr>
              <w:rPr/>
            </w:pPr>
            <w:r w:rsidDel="00000000" w:rsidR="00000000" w:rsidRPr="00000000">
              <w:rPr>
                <w:rtl w:val="0"/>
              </w:rPr>
              <w:t xml:space="preserve">0.621</w:t>
            </w:r>
          </w:p>
        </w:tc>
      </w:tr>
    </w:tbl>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7: Discount Factors at 10%</w:t>
      </w:r>
    </w:p>
    <w:tbl>
      <w:tblPr>
        <w:tblStyle w:val="Table2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2DC">
            <w:pPr>
              <w:rPr/>
            </w:pPr>
            <w:r w:rsidDel="00000000" w:rsidR="00000000" w:rsidRPr="00000000">
              <w:rPr>
                <w:rtl w:val="0"/>
              </w:rPr>
              <w:t xml:space="preserve">Project</w:t>
            </w:r>
          </w:p>
        </w:tc>
        <w:tc>
          <w:tcPr/>
          <w:p w:rsidR="00000000" w:rsidDel="00000000" w:rsidP="00000000" w:rsidRDefault="00000000" w:rsidRPr="00000000" w14:paraId="000002DD">
            <w:pPr>
              <w:rPr/>
            </w:pPr>
            <w:r w:rsidDel="00000000" w:rsidR="00000000" w:rsidRPr="00000000">
              <w:rPr>
                <w:rtl w:val="0"/>
              </w:rPr>
              <w:t xml:space="preserve">Investment (£m)</w:t>
            </w:r>
          </w:p>
        </w:tc>
        <w:tc>
          <w:tcPr/>
          <w:p w:rsidR="00000000" w:rsidDel="00000000" w:rsidP="00000000" w:rsidRDefault="00000000" w:rsidRPr="00000000" w14:paraId="000002DE">
            <w:pPr>
              <w:rPr/>
            </w:pPr>
            <w:r w:rsidDel="00000000" w:rsidR="00000000" w:rsidRPr="00000000">
              <w:rPr>
                <w:rtl w:val="0"/>
              </w:rPr>
              <w:t xml:space="preserve">NPV (£m)</w:t>
            </w:r>
          </w:p>
        </w:tc>
        <w:tc>
          <w:tcPr/>
          <w:p w:rsidR="00000000" w:rsidDel="00000000" w:rsidP="00000000" w:rsidRDefault="00000000" w:rsidRPr="00000000" w14:paraId="000002DF">
            <w:pPr>
              <w:rPr/>
            </w:pPr>
            <w:r w:rsidDel="00000000" w:rsidR="00000000" w:rsidRPr="00000000">
              <w:rPr>
                <w:rtl w:val="0"/>
              </w:rPr>
              <w:t xml:space="preserve">PI</w:t>
            </w:r>
          </w:p>
        </w:tc>
      </w:tr>
      <w:tr>
        <w:trPr>
          <w:cantSplit w:val="0"/>
          <w:tblHeader w:val="0"/>
        </w:trPr>
        <w:tc>
          <w:tcPr/>
          <w:p w:rsidR="00000000" w:rsidDel="00000000" w:rsidP="00000000" w:rsidRDefault="00000000" w:rsidRPr="00000000" w14:paraId="000002E0">
            <w:pPr>
              <w:rPr/>
            </w:pPr>
            <w:r w:rsidDel="00000000" w:rsidR="00000000" w:rsidRPr="00000000">
              <w:rPr>
                <w:rtl w:val="0"/>
              </w:rPr>
              <w:t xml:space="preserve">A</w:t>
            </w:r>
          </w:p>
        </w:tc>
        <w:tc>
          <w:tcPr/>
          <w:p w:rsidR="00000000" w:rsidDel="00000000" w:rsidP="00000000" w:rsidRDefault="00000000" w:rsidRPr="00000000" w14:paraId="000002E1">
            <w:pPr>
              <w:rPr/>
            </w:pPr>
            <w:r w:rsidDel="00000000" w:rsidR="00000000" w:rsidRPr="00000000">
              <w:rPr>
                <w:rtl w:val="0"/>
              </w:rPr>
              <w:t xml:space="preserve">40</w:t>
            </w:r>
          </w:p>
        </w:tc>
        <w:tc>
          <w:tcPr/>
          <w:p w:rsidR="00000000" w:rsidDel="00000000" w:rsidP="00000000" w:rsidRDefault="00000000" w:rsidRPr="00000000" w14:paraId="000002E2">
            <w:pPr>
              <w:rPr/>
            </w:pPr>
            <w:r w:rsidDel="00000000" w:rsidR="00000000" w:rsidRPr="00000000">
              <w:rPr>
                <w:rtl w:val="0"/>
              </w:rPr>
              <w:t xml:space="preserve">1.31</w:t>
            </w:r>
          </w:p>
        </w:tc>
        <w:tc>
          <w:tcPr/>
          <w:p w:rsidR="00000000" w:rsidDel="00000000" w:rsidP="00000000" w:rsidRDefault="00000000" w:rsidRPr="00000000" w14:paraId="000002E3">
            <w:pPr>
              <w:rPr/>
            </w:pPr>
            <w:r w:rsidDel="00000000" w:rsidR="00000000" w:rsidRPr="00000000">
              <w:rPr>
                <w:rtl w:val="0"/>
              </w:rPr>
              <w:t xml:space="preserve">1.03</w:t>
            </w:r>
          </w:p>
        </w:tc>
      </w:tr>
      <w:tr>
        <w:trPr>
          <w:cantSplit w:val="0"/>
          <w:tblHeader w:val="0"/>
        </w:trPr>
        <w:tc>
          <w:tcPr/>
          <w:p w:rsidR="00000000" w:rsidDel="00000000" w:rsidP="00000000" w:rsidRDefault="00000000" w:rsidRPr="00000000" w14:paraId="000002E4">
            <w:pPr>
              <w:rPr/>
            </w:pPr>
            <w:r w:rsidDel="00000000" w:rsidR="00000000" w:rsidRPr="00000000">
              <w:rPr>
                <w:rtl w:val="0"/>
              </w:rPr>
              <w:t xml:space="preserve">C</w:t>
            </w:r>
          </w:p>
        </w:tc>
        <w:tc>
          <w:tcPr/>
          <w:p w:rsidR="00000000" w:rsidDel="00000000" w:rsidP="00000000" w:rsidRDefault="00000000" w:rsidRPr="00000000" w14:paraId="000002E5">
            <w:pPr>
              <w:rPr/>
            </w:pPr>
            <w:r w:rsidDel="00000000" w:rsidR="00000000" w:rsidRPr="00000000">
              <w:rPr>
                <w:rtl w:val="0"/>
              </w:rPr>
              <w:t xml:space="preserve">50</w:t>
            </w:r>
          </w:p>
        </w:tc>
        <w:tc>
          <w:tcPr/>
          <w:p w:rsidR="00000000" w:rsidDel="00000000" w:rsidP="00000000" w:rsidRDefault="00000000" w:rsidRPr="00000000" w14:paraId="000002E6">
            <w:pPr>
              <w:rPr/>
            </w:pPr>
            <w:r w:rsidDel="00000000" w:rsidR="00000000" w:rsidRPr="00000000">
              <w:rPr>
                <w:rtl w:val="0"/>
              </w:rPr>
              <w:t xml:space="preserve">3.57</w:t>
            </w:r>
          </w:p>
        </w:tc>
        <w:tc>
          <w:tcPr/>
          <w:p w:rsidR="00000000" w:rsidDel="00000000" w:rsidP="00000000" w:rsidRDefault="00000000" w:rsidRPr="00000000" w14:paraId="000002E7">
            <w:pPr>
              <w:rPr/>
            </w:pPr>
            <w:r w:rsidDel="00000000" w:rsidR="00000000" w:rsidRPr="00000000">
              <w:rPr>
                <w:rtl w:val="0"/>
              </w:rPr>
              <w:t xml:space="preserve">1.07</w:t>
            </w:r>
          </w:p>
        </w:tc>
      </w:tr>
    </w:tbl>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Table 8: Capital Rationing Comparison</w:t>
      </w:r>
    </w:p>
    <w:p w:rsidR="00000000" w:rsidDel="00000000" w:rsidP="00000000" w:rsidRDefault="00000000" w:rsidRPr="00000000" w14:paraId="000002E9">
      <w:pPr>
        <w:rPr/>
      </w:pPr>
      <w:r w:rsidDel="00000000" w:rsidR="00000000" w:rsidRPr="00000000">
        <w:rPr>
          <w:rtl w:val="0"/>
        </w:rPr>
      </w:r>
    </w:p>
    <w:sectPr>
      <w:footerReference r:id="rId5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Unicode MS"/>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16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lineRule="auto"/>
    </w:pPr>
    <w:rPr>
      <w:b w:val="1"/>
      <w:bCs w:val="1"/>
      <w:color w:val="2f5496"/>
      <w:sz w:val="32"/>
      <w:szCs w:val="32"/>
    </w:rPr>
  </w:style>
  <w:style w:type="paragraph" w:styleId="Heading2">
    <w:name w:val="heading 2"/>
    <w:basedOn w:val="Normal"/>
    <w:next w:val="Normal"/>
    <w:pPr>
      <w:keepNext w:val="1"/>
      <w:keepLines w:val="1"/>
      <w:spacing w:after="240" w:before="40" w:lineRule="auto"/>
    </w:pPr>
    <w:rPr>
      <w:b w:val="1"/>
      <w:b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279FF"/>
    <w:rPr>
      <w:rFonts w:ascii="Arial" w:cs="Arial" w:hAnsi="Arial" w:eastAsiaTheme="majorEastAsia"/>
      <w:b w:val="1"/>
      <w:bCs w:val="1"/>
      <w:color w:val="2f5496" w:themeColor="accent1" w:themeShade="0000BF"/>
      <w:sz w:val="32"/>
      <w:szCs w:val="32"/>
    </w:rPr>
  </w:style>
  <w:style w:type="character" w:styleId="Heading2Char" w:customStyle="1">
    <w:name w:val="Heading 2 Char"/>
    <w:basedOn w:val="DefaultParagraphFont"/>
    <w:link w:val="Heading2"/>
    <w:uiPriority w:val="9"/>
    <w:rsid w:val="005279FF"/>
    <w:rPr>
      <w:rFonts w:ascii="Arial" w:cs="Arial" w:hAnsi="Arial" w:eastAsiaTheme="majorEastAsia"/>
      <w:b w:val="1"/>
      <w:bCs w:val="1"/>
      <w:sz w:val="28"/>
      <w:szCs w:val="28"/>
    </w:rPr>
  </w:style>
  <w:style w:type="table" w:styleId="TableGrid">
    <w:name w:val="Table Grid"/>
    <w:basedOn w:val="TableNormal"/>
    <w:uiPriority w:val="39"/>
    <w:rsid w:val="003F3FF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ption">
    <w:name w:val="caption"/>
    <w:basedOn w:val="Normal"/>
    <w:next w:val="Normal"/>
    <w:uiPriority w:val="35"/>
    <w:unhideWhenUsed w:val="1"/>
    <w:qFormat w:val="1"/>
    <w:rsid w:val="003665E6"/>
    <w:pPr>
      <w:spacing w:after="200" w:before="0" w:line="240" w:lineRule="auto"/>
    </w:pPr>
    <w:rPr>
      <w:i w:val="1"/>
      <w:iCs w:val="1"/>
      <w:color w:val="44546a" w:themeColor="text2"/>
      <w:sz w:val="18"/>
      <w:szCs w:val="18"/>
    </w:rPr>
  </w:style>
  <w:style w:type="paragraph" w:styleId="ListParagraph">
    <w:name w:val="List Paragraph"/>
    <w:basedOn w:val="Normal"/>
    <w:uiPriority w:val="34"/>
    <w:qFormat w:val="1"/>
    <w:rsid w:val="007C7AAA"/>
    <w:pPr>
      <w:ind w:left="720"/>
      <w:contextualSpacing w:val="1"/>
    </w:pPr>
  </w:style>
  <w:style w:type="paragraph" w:styleId="NormalWeb">
    <w:name w:val="Normal (Web)"/>
    <w:basedOn w:val="Normal"/>
    <w:uiPriority w:val="99"/>
    <w:semiHidden w:val="1"/>
    <w:unhideWhenUsed w:val="1"/>
    <w:rsid w:val="00FB462F"/>
    <w:pPr>
      <w:spacing w:after="100" w:afterAutospacing="1" w:before="100" w:beforeAutospacing="1" w:line="240" w:lineRule="auto"/>
      <w:jc w:val="left"/>
    </w:pPr>
    <w:rPr>
      <w:rFonts w:eastAsia="Times New Roman"/>
    </w:rPr>
  </w:style>
  <w:style w:type="character" w:styleId="Strong">
    <w:name w:val="Strong"/>
    <w:basedOn w:val="DefaultParagraphFont"/>
    <w:uiPriority w:val="22"/>
    <w:qFormat w:val="1"/>
    <w:rsid w:val="00FB462F"/>
    <w:rPr>
      <w:b w:val="1"/>
      <w:bCs w:val="1"/>
    </w:rPr>
  </w:style>
  <w:style w:type="paragraph" w:styleId="Header">
    <w:name w:val="header"/>
    <w:basedOn w:val="Normal"/>
    <w:link w:val="HeaderChar"/>
    <w:uiPriority w:val="99"/>
    <w:unhideWhenUsed w:val="1"/>
    <w:rsid w:val="00A300AA"/>
    <w:pPr>
      <w:tabs>
        <w:tab w:val="center" w:pos="4680"/>
        <w:tab w:val="right" w:pos="9360"/>
      </w:tabs>
      <w:spacing w:after="0" w:before="0" w:line="240" w:lineRule="auto"/>
    </w:pPr>
  </w:style>
  <w:style w:type="character" w:styleId="HeaderChar" w:customStyle="1">
    <w:name w:val="Header Char"/>
    <w:basedOn w:val="DefaultParagraphFont"/>
    <w:link w:val="Header"/>
    <w:uiPriority w:val="99"/>
    <w:rsid w:val="00A300AA"/>
    <w:rPr>
      <w:rFonts w:ascii="Times New Roman" w:cs="Times New Roman" w:hAnsi="Times New Roman"/>
      <w:sz w:val="24"/>
      <w:szCs w:val="24"/>
    </w:rPr>
  </w:style>
  <w:style w:type="paragraph" w:styleId="Footer">
    <w:name w:val="footer"/>
    <w:basedOn w:val="Normal"/>
    <w:link w:val="FooterChar"/>
    <w:uiPriority w:val="99"/>
    <w:unhideWhenUsed w:val="1"/>
    <w:rsid w:val="00A300AA"/>
    <w:pPr>
      <w:tabs>
        <w:tab w:val="center" w:pos="4680"/>
        <w:tab w:val="right" w:pos="9360"/>
      </w:tabs>
      <w:spacing w:after="0" w:before="0" w:line="240" w:lineRule="auto"/>
    </w:pPr>
  </w:style>
  <w:style w:type="character" w:styleId="FooterChar" w:customStyle="1">
    <w:name w:val="Footer Char"/>
    <w:basedOn w:val="DefaultParagraphFont"/>
    <w:link w:val="Footer"/>
    <w:uiPriority w:val="99"/>
    <w:rsid w:val="00A300AA"/>
    <w:rPr>
      <w:rFonts w:ascii="Times New Roman" w:cs="Times New Roman" w:hAnsi="Times New Roman"/>
      <w:sz w:val="24"/>
      <w:szCs w:val="24"/>
    </w:rPr>
  </w:style>
  <w:style w:type="paragraph" w:styleId="TOCHeading">
    <w:name w:val="TOC Heading"/>
    <w:basedOn w:val="Heading1"/>
    <w:next w:val="Normal"/>
    <w:uiPriority w:val="39"/>
    <w:unhideWhenUsed w:val="1"/>
    <w:qFormat w:val="1"/>
    <w:rsid w:val="00A300AA"/>
    <w:pPr>
      <w:spacing w:after="0" w:line="259" w:lineRule="auto"/>
      <w:jc w:val="left"/>
      <w:outlineLvl w:val="9"/>
    </w:pPr>
    <w:rPr>
      <w:rFonts w:asciiTheme="majorHAnsi" w:cstheme="majorBidi" w:hAnsiTheme="majorHAnsi"/>
      <w:b w:val="0"/>
      <w:bCs w:val="0"/>
    </w:rPr>
  </w:style>
  <w:style w:type="paragraph" w:styleId="TOC1">
    <w:name w:val="toc 1"/>
    <w:basedOn w:val="Normal"/>
    <w:next w:val="Normal"/>
    <w:autoRedefine w:val="1"/>
    <w:uiPriority w:val="39"/>
    <w:unhideWhenUsed w:val="1"/>
    <w:rsid w:val="00A300AA"/>
    <w:pPr>
      <w:spacing w:after="100"/>
    </w:pPr>
  </w:style>
  <w:style w:type="paragraph" w:styleId="TOC2">
    <w:name w:val="toc 2"/>
    <w:basedOn w:val="Normal"/>
    <w:next w:val="Normal"/>
    <w:autoRedefine w:val="1"/>
    <w:uiPriority w:val="39"/>
    <w:unhideWhenUsed w:val="1"/>
    <w:rsid w:val="00A300AA"/>
    <w:pPr>
      <w:spacing w:after="100"/>
      <w:ind w:left="240"/>
    </w:pPr>
  </w:style>
  <w:style w:type="character" w:styleId="Hyperlink">
    <w:name w:val="Hyperlink"/>
    <w:basedOn w:val="DefaultParagraphFont"/>
    <w:uiPriority w:val="99"/>
    <w:unhideWhenUsed w:val="1"/>
    <w:rsid w:val="00A300AA"/>
    <w:rPr>
      <w:color w:val="0563c1" w:themeColor="hyperlink"/>
      <w:u w:val="single"/>
    </w:rPr>
  </w:style>
  <w:style w:type="paragraph" w:styleId="TableofFigures">
    <w:name w:val="table of figures"/>
    <w:basedOn w:val="Normal"/>
    <w:next w:val="Normal"/>
    <w:uiPriority w:val="99"/>
    <w:unhideWhenUsed w:val="1"/>
    <w:rsid w:val="00A300AA"/>
    <w:pPr>
      <w:spacing w:after="0"/>
    </w:pPr>
  </w:style>
  <w:style w:type="character" w:styleId="UnresolvedMention">
    <w:name w:val="Unresolved Mention"/>
    <w:basedOn w:val="DefaultParagraphFont"/>
    <w:uiPriority w:val="99"/>
    <w:semiHidden w:val="1"/>
    <w:unhideWhenUsed w:val="1"/>
    <w:rsid w:val="000630C9"/>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no"?>
<Relationships xmlns="http://schemas.openxmlformats.org/package/2006/relationships">
<Relationship Id="rId1" Target="theme/theme1.xml" Type="http://schemas.openxmlformats.org/officeDocument/2006/relationships/theme"/>
<Relationship Id="rId10" Target="charts/chart3.xml" Type="http://schemas.openxmlformats.org/officeDocument/2006/relationships/chart"/>
<Relationship Id="rId11" Target="charts/chart2.xml" Type="http://schemas.openxmlformats.org/officeDocument/2006/relationships/chart"/>
<Relationship Id="rId12" Target="charts/chart5.xml" Type="http://schemas.openxmlformats.org/officeDocument/2006/relationships/chart"/>
<Relationship Id="rId13" Target="charts/chart4.xml" Type="http://schemas.openxmlformats.org/officeDocument/2006/relationships/chart"/>
<Relationship Id="rId14" Target="charts/chart7.xml" Type="http://schemas.openxmlformats.org/officeDocument/2006/relationships/chart"/>
<Relationship Id="rId15" Target="charts/chart6.xml" Type="http://schemas.openxmlformats.org/officeDocument/2006/relationships/chart"/>
<Relationship Id="rId16" Target="charts/chart10.xml" Type="http://schemas.openxmlformats.org/officeDocument/2006/relationships/chart"/>
<Relationship Id="rId17" Target="charts/chart8.xml" Type="http://schemas.openxmlformats.org/officeDocument/2006/relationships/chart"/>
<Relationship Id="rId18" Target="charts/chart9.xml" Type="http://schemas.openxmlformats.org/officeDocument/2006/relationships/chart"/>
<Relationship Id="rId19" Target="charts/chart11.xml" Type="http://schemas.openxmlformats.org/officeDocument/2006/relationships/chart"/>
<Relationship Id="rId2" Target="settings.xml" Type="http://schemas.openxmlformats.org/officeDocument/2006/relationships/settings"/>
<Relationship Id="rId20" Target="charts/chart12.xml" Type="http://schemas.openxmlformats.org/officeDocument/2006/relationships/chart"/>
<Relationship Id="rId21" Target="charts/chart13.xml" Type="http://schemas.openxmlformats.org/officeDocument/2006/relationships/chart"/>
<Relationship Id="rId22" Target="https://dialnet.unirioja.es/servlet/articulo?codigo=8955753" TargetMode="External" Type="http://schemas.openxmlformats.org/officeDocument/2006/relationships/hyperlink"/>
<Relationship Id="rId23" Target="https://books.google.com/books?hl=en&amp;lr=&amp;id=V1-HDwAAQBAJ&amp;oi=fnd&amp;pg=PR11&amp;dq=Corporate+financial+distress,+restructuring,+and+bankruptcy&amp;ots=Lqnq5YriWB&amp;sig=4naBIZF2_cr66unrmiEnkKmg7vY&amp;redir_esc=y#v=onepage&amp;q=Corporate%20financial%20distress%2C%20restructuring%2C%20and%20bankruptcy&amp;f=false" TargetMode="External" Type="http://schemas.openxmlformats.org/officeDocument/2006/relationships/hyperlink"/>
<Relationship Id="rId24" Target="https://onlinelibrary.wiley.com/doi/abs/10.1111/jifm.12053" TargetMode="External" Type="http://schemas.openxmlformats.org/officeDocument/2006/relationships/hyperlink"/>
<Relationship Id="rId25" Target="https://psocialsciences.com/poss/index.php/poss/article/view/37" TargetMode="External" Type="http://schemas.openxmlformats.org/officeDocument/2006/relationships/hyperlink"/>
<Relationship Id="rId26" Target="https://www.econstor.eu/handle/10419/195300" TargetMode="External" Type="http://schemas.openxmlformats.org/officeDocument/2006/relationships/hyperlink"/>
<Relationship Id="rId27" Target="https://books.google.com/books?hl=en&amp;lr=&amp;id=4Iy1EAAAQBAJ&amp;oi=fnd&amp;pg=PR3&amp;dq=Financial+accounting+for+decision+makers&amp;ots=B81cxVkXNR&amp;sig=0_dK4zUSVa5Mk9Os3239868hWPQ&amp;redir_esc=y#v=onepage&amp;q=Financial%20accounting%20for%20decision%20makers&amp;f=false" TargetMode="External" Type="http://schemas.openxmlformats.org/officeDocument/2006/relationships/hyperlink"/>
<Relationship Id="rId28" Target="https://books.google.com.bd/books?hl=en&amp;lr=&amp;id=wLix9OceP3MC&amp;oi=fnd&amp;pg=PA1&amp;dq=Brigham,+E.+F.+(2016).+Financial+management:+Theory+and+practice.+Cengage+Learning+Canada+Inc.&amp;ots=v3TUhtocgJ&amp;sig=QyEzNuZWwLufqI1QwP6HRMAhLC0&amp;redir_esc=y#v=onepage&amp;q&amp;f=false" TargetMode="External" Type="http://schemas.openxmlformats.org/officeDocument/2006/relationships/hyperlink"/>
<Relationship Id="rId29" Target="https://www.researchgate.net/publication/260008652_Inflation_operating_cycle_and_cash_holdings" TargetMode="External" Type="http://schemas.openxmlformats.org/officeDocument/2006/relationships/hyperlink"/>
<Relationship Id="rId3" Target="fontTable.xml" Type="http://schemas.openxmlformats.org/officeDocument/2006/relationships/fontTable"/>
<Relationship Id="rId30" Target="https://www.fau.edu/graduate/documents/graduate/faculty-and-staff/graduate-council/docs/03212019/ncp-acg5176.pdf" TargetMode="External" Type="http://schemas.openxmlformats.org/officeDocument/2006/relationships/hyperlink"/>
<Relationship Id="rId31" Target="https://books.google.com/books?hl=en&amp;lr=&amp;id=VX0_EAAAQBAJ&amp;oi=fnd&amp;pg=PA153&amp;dq=Asset+Divestiture+Strategy&amp;ots=TFm0gF4GeN&amp;sig=87Z48YsxRoegmzBj0a2j81Zj94A&amp;redir_esc=y#v=onepage&amp;q=Asset%20Divestiture%20Strategy&amp;f=false" TargetMode="External" Type="http://schemas.openxmlformats.org/officeDocument/2006/relationships/hyperlink"/>
<Relationship Id="rId32" Target="https://www.researchgate.net/publication/361155471_Financial_Statement_Analysis_A_Practitioner's_Guide_Fifth_Edition" TargetMode="External" Type="http://schemas.openxmlformats.org/officeDocument/2006/relationships/hyperlink"/>
<Relationship Id="rId33" Target="https://j.ideasspread.org/index.php/hssr/article/view/305" TargetMode="External" Type="http://schemas.openxmlformats.org/officeDocument/2006/relationships/hyperlink"/>
<Relationship Id="rId34" Target="https://books.google.com/books?hl=en&amp;lr=&amp;id=oPdPEAAAQBAJ&amp;oi=fnd&amp;pg=PA1&amp;dq=Financial+accounting+for+decision+makers.&amp;ots=246yjtpqUn&amp;sig=WypOabd1ruOGvgGK6gr5902xYXc&amp;redir_esc=y#v=onepage&amp;q=Financial%20accounting%20for%20decision%20makers.&amp;f=false" TargetMode="External" Type="http://schemas.openxmlformats.org/officeDocument/2006/relationships/hyperlink"/>
<Relationship Id="rId35" Target="https://www.sciencedirect.com/science/article/abs/pii/S0929119915000498" TargetMode="External" Type="http://schemas.openxmlformats.org/officeDocument/2006/relationships/hyperlink"/>
<Relationship Id="rId36" Target="https://geplat.com/rtep/index.php/tourism/article/view/790" TargetMode="External" Type="http://schemas.openxmlformats.org/officeDocument/2006/relationships/hyperlink"/>
<Relationship Id="rId37" Target="https://www.sciencedirect.com/science/article/abs/pii/S0155998214000453" TargetMode="External" Type="http://schemas.openxmlformats.org/officeDocument/2006/relationships/hyperlink"/>
<Relationship Id="rId38" Target="https://books.google.com/books?hl=en&amp;lr=&amp;id=IDT6DwAAQBAJ&amp;oi=fnd&amp;pg=PR13&amp;dq=Business+analysis+and+valuation:+Using+financial+statements.&amp;ots=uKgnb_va8U&amp;sig=7N-EEIMTYKp6PfJQHCgy2hyn60A&amp;redir_esc=y#v=onepage&amp;q=Business%20analysis%20and%20valuation%3A%20Using%20financial%20statements.&amp;f=false" TargetMode="External" Type="http://schemas.openxmlformats.org/officeDocument/2006/relationships/hyperlink"/>
<Relationship Id="rId39" Target="https://pdfs.semanticscholar.org/0c86/f39ad9fe29715c518eef4378269303361fef.pdf" TargetMode="External" Type="http://schemas.openxmlformats.org/officeDocument/2006/relationships/hyperlink"/>
<Relationship Id="rId4" Target="numbering.xml" Type="http://schemas.openxmlformats.org/officeDocument/2006/relationships/numbering"/>
<Relationship Id="rId40" Target="https://books.google.com/books?hl=en&amp;lr=&amp;id=WyviBAAAQBAJ&amp;oi=fnd&amp;pg=PP1&amp;dq=Financial+management:+Principles+and+applications.&amp;ots=qsVg5OzwPy&amp;sig=F-EEmNiASW0wBod48rRvHPe6riw&amp;redir_esc=y#v=onepage&amp;q=Financial%20management%3A%20Principles%20and%20applications.&amp;f=false" TargetMode="External" Type="http://schemas.openxmlformats.org/officeDocument/2006/relationships/hyperlink"/>
<Relationship Id="rId41" Target="https://vtechworks.lib.vt.edu/server/api/core/bitstreams/38060405-eb5a-4ac5-a6c6-18448619730b/content" TargetMode="External" Type="http://schemas.openxmlformats.org/officeDocument/2006/relationships/hyperlink"/>
<Relationship Id="rId42" Target="https://www.mheducation.com/highered/product/analysis-for-financial-management-higgins.html?viewOption=student" TargetMode="External" Type="http://schemas.openxmlformats.org/officeDocument/2006/relationships/hyperlink"/>
<Relationship Id="rId43" Target="https://books.google.com/books?hl=en&amp;lr=&amp;id=AxUsEAAAQBAJ&amp;oi=fnd&amp;pg=PR1&amp;dq=Applied+corporate+finance.&amp;ots=OHwzF1APgX&amp;sig=bJaDO8dCy44svp0aRlWoz2VMUys&amp;redir_esc=y#v=onepage&amp;q=Applied%20corporate%20finance.&amp;f=false" TargetMode="External" Type="http://schemas.openxmlformats.org/officeDocument/2006/relationships/hyperlink"/>
<Relationship Id="rId44" Target="https://books.google.com/books?hl=en&amp;lr=&amp;id=8F6LEAAAQBAJ&amp;oi=fnd&amp;pg=PR5&amp;dq=Financial+accounting+for+decision+makers.&amp;ots=DxSIGB8QDS&amp;sig=yCP6SCSogJbL3vJHcyARFmxvIaU&amp;redir_esc=y#v=onepage&amp;q=Financial%20accounting%20for%20decision%20makers.&amp;f=false" TargetMode="External" Type="http://schemas.openxmlformats.org/officeDocument/2006/relationships/hyperlink"/>
<Relationship Id="rId45" Target="http://196.188.236.12:8080/jspui/bitstream/123456789/4579/1/Financial%20Accounting%20Theory%20%287th%20Edition%29%20%28%20PDFDrive%20%29.pdf" TargetMode="External" Type="http://schemas.openxmlformats.org/officeDocument/2006/relationships/hyperlink"/>
<Relationship Id="rId46" Target="https://www.researchgate.net/profile/James-Turner-3/publication/292077776_Net_Operating_Working_Capital_Capital_Budgeting_And_Cash_Budgets_A_Teaching_Example/links/56f3726f08ae7c1fda2852f4/Net-Operating-Working-Capital-Capital-Budgeting-And-Cash-Budgets-A-Teaching-Example.pdf" TargetMode="External" Type="http://schemas.openxmlformats.org/officeDocument/2006/relationships/hyperlink"/>
<Relationship Id="rId47" Target="https://books.google.com/books?hl=en&amp;lr=&amp;id=45VWEAAAQBAJ&amp;oi=fnd&amp;pg=PR12&amp;dq=corporate+finance+theory&amp;ots=pv7T9FM-0j&amp;sig=iKLtiNyu7_b2bA94TNBJNRStBQ4&amp;redir_esc=y#v=onepage&amp;q=corporate%20finance%20theory&amp;f=false" TargetMode="External" Type="http://schemas.openxmlformats.org/officeDocument/2006/relationships/hyperlink"/>
<Relationship Id="rId48" Target="https://sga.unemi.edu.ec/media/evidenciasiv/2022/03/08/articulo_202238142032.pdf" TargetMode="External" Type="http://schemas.openxmlformats.org/officeDocument/2006/relationships/hyperlink"/>
<Relationship Id="rId49" Target="https://books.google.com.bd/books?hl=en&amp;lr=&amp;id=aCDHDwAAQBAJ&amp;oi=fnd&amp;pg=PR13&amp;dq=Financial+accounting+for+decision+makers&amp;ots=EuJGq7k-tX&amp;sig=NXj9islRLGQdc3lJZMVGU7Q5PC8&amp;redir_esc=y#v=onepage&amp;q=Financial%20accounting%20for%20decision%20makers&amp;f=false" TargetMode="External" Type="http://schemas.openxmlformats.org/officeDocument/2006/relationships/hyperlink"/>
<Relationship Id="rId5" Target="styles.xml" Type="http://schemas.openxmlformats.org/officeDocument/2006/relationships/styles"/>
<Relationship Id="rId50" Target="https://www.stern.nyu.edu/sites/default/files/assets/documents/con_046793.pdf" TargetMode="External" Type="http://schemas.openxmlformats.org/officeDocument/2006/relationships/hyperlink"/>
<Relationship Id="rId51" Target="https://unitesi.unive.it/bitstream/20.500.14247/4284/1/872666-1280209.pdf" TargetMode="External" Type="http://schemas.openxmlformats.org/officeDocument/2006/relationships/hyperlink"/>
<Relationship Id="rId52" Target="footer1.xml" Type="http://schemas.openxmlformats.org/officeDocument/2006/relationships/footer"/>
<Relationship Id="rId6" Target="../customXML/item1.xml" Type="http://schemas.openxmlformats.org/officeDocument/2006/relationships/customXml"/>
<Relationship Id="rId7" Target="media/image1.png" Type="http://schemas.openxmlformats.org/officeDocument/2006/relationships/image"/>
<Relationship Id="rId8" Target="media/image2.png" Type="http://schemas.openxmlformats.org/officeDocument/2006/relationships/image"/>
<Relationship Id="rId9" Target="charts/chart1.xml" Type="http://schemas.openxmlformats.org/officeDocument/2006/relationships/chart"/>
</Relationships>

</file>

<file path=word/_rels/fontTable.xml.rels><?xml version="1.0" encoding="UTF-8" standalone="no"?>
<Relationships xmlns="http://schemas.openxmlformats.org/package/2006/relationships">
<Relationship Id="rId1" Target="fonts/NotoSansSymbols-regular.ttf" Type="http://schemas.openxmlformats.org/officeDocument/2006/relationships/font"/>
<Relationship Id="rId2" Target="fonts/NotoSansSymbols-bold.ttf" Type="http://schemas.openxmlformats.org/officeDocument/2006/relationships/font"/>
<Relationship Id="rId3" Target="fonts/CambriaMath-regular.ttf" Type="http://schemas.openxmlformats.org/officeDocument/2006/relationships/font"/>
</Relationships>

</file>

<file path=word/charts/_rels/chart1.xml.rels><?xml version="1.0" encoding="UTF-8" standalone="no"?>
<Relationships xmlns="http://schemas.openxmlformats.org/package/2006/relationships">
<Relationship Id="rId1" Target="style1.xml" Type="http://schemas.microsoft.com/office/2011/relationships/chartStyle"/>
<Relationship Id="rId2" Target="colors1.xml" Type="http://schemas.microsoft.com/office/2011/relationships/chartColorStyle"/>
<Relationship Id="rId3" Target="file:///C:/Users/SARMIN/Downloads/Full_Financial_Ratio_Analysis.xlsx" TargetMode="External" Type="http://schemas.openxmlformats.org/officeDocument/2006/relationships/oleObject"/>
</Relationships>

</file>

<file path=word/charts/_rels/chart2.xml.rels><?xml version="1.0" encoding="UTF-8" standalone="no"?>
<Relationships xmlns="http://schemas.openxmlformats.org/package/2006/relationships">
<Relationship Id="rId1" Target="style2.xml" Type="http://schemas.microsoft.com/office/2011/relationships/chartStyle"/>
<Relationship Id="rId2" Target="colors2.xml" Type="http://schemas.microsoft.com/office/2011/relationships/chartColorStyle"/>
<Relationship Id="rId3" Target="file:///C:/Users/SARMIN/Downloads/Full_Financial_Ratio_Analysis.xlsx" TargetMode="External" Type="http://schemas.openxmlformats.org/officeDocument/2006/relationships/oleObject"/>
</Relationships>

</file>

<file path=word/charts/_rels/chart3.xml.rels><?xml version="1.0" encoding="UTF-8" standalone="no"?>
<Relationships xmlns="http://schemas.openxmlformats.org/package/2006/relationships">
<Relationship Id="rId1" Target="style3.xml" Type="http://schemas.microsoft.com/office/2011/relationships/chartStyle"/>
<Relationship Id="rId2" Target="colors3.xml" Type="http://schemas.microsoft.com/office/2011/relationships/chartColorStyle"/>
<Relationship Id="rId3" Target="file:///C:/Users/SARMIN/Downloads/Full_Financial_Ratio_Analysis.xlsx" TargetMode="External" Type="http://schemas.openxmlformats.org/officeDocument/2006/relationships/oleObject"/>
</Relationships>

</file>

<file path=word/charts/_rels/chart4.xml.rels><?xml version="1.0" encoding="UTF-8" standalone="no"?>
<Relationships xmlns="http://schemas.openxmlformats.org/package/2006/relationships">
<Relationship Id="rId1" Target="style4.xml" Type="http://schemas.microsoft.com/office/2011/relationships/chartStyle"/>
<Relationship Id="rId2" Target="colors4.xml" Type="http://schemas.microsoft.com/office/2011/relationships/chartColorStyle"/>
<Relationship Id="rId3" Target="file:///C:/Users/SARMIN/Downloads/Full_Financial_Ratio_Analysis.xlsx" TargetMode="External" Type="http://schemas.openxmlformats.org/officeDocument/2006/relationships/oleObject"/>
</Relationships>

</file>

<file path=word/charts/_rels/chart5.xml.rels><?xml version="1.0" encoding="UTF-8" standalone="no"?>
<Relationships xmlns="http://schemas.openxmlformats.org/package/2006/relationships">
<Relationship Id="rId1" Target="style5.xml" Type="http://schemas.microsoft.com/office/2011/relationships/chartStyle"/>
<Relationship Id="rId2" Target="colors5.xml" Type="http://schemas.microsoft.com/office/2011/relationships/chartColorStyle"/>
<Relationship Id="rId3" Target="file:///C:/Users/SARMIN/Downloads/Full_Financial_Ratio_Analysis.xlsx" TargetMode="External" Type="http://schemas.openxmlformats.org/officeDocument/2006/relationships/oleObject"/>
</Relationships>

</file>

<file path=word/charts/_rels/chart6.xml.rels><?xml version="1.0" encoding="UTF-8" standalone="no"?>
<Relationships xmlns="http://schemas.openxmlformats.org/package/2006/relationships">
<Relationship Id="rId1" Target="style6.xml" Type="http://schemas.microsoft.com/office/2011/relationships/chartStyle"/>
<Relationship Id="rId2" Target="colors6.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7.xml.rels><?xml version="1.0" encoding="UTF-8" standalone="no"?>
<Relationships xmlns="http://schemas.openxmlformats.org/package/2006/relationships">
<Relationship Id="rId1" Target="style7.xml" Type="http://schemas.microsoft.com/office/2011/relationships/chartStyle"/>
<Relationship Id="rId2" Target="colors7.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8.xml.rels><?xml version="1.0" encoding="UTF-8" standalone="no"?>
<Relationships xmlns="http://schemas.openxmlformats.org/package/2006/relationships">
<Relationship Id="rId1" Target="style8.xml" Type="http://schemas.microsoft.com/office/2011/relationships/chartStyle"/>
<Relationship Id="rId2" Target="colors8.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9.xml.rels><?xml version="1.0" encoding="UTF-8" standalone="no"?>
<Relationships xmlns="http://schemas.openxmlformats.org/package/2006/relationships">
<Relationship Id="rId1" Target="style9.xml" Type="http://schemas.microsoft.com/office/2011/relationships/chartStyle"/>
<Relationship Id="rId2" Target="colors9.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10.xml.rels><?xml version="1.0" encoding="UTF-8" standalone="no"?>
<Relationships xmlns="http://schemas.openxmlformats.org/package/2006/relationships">
<Relationship Id="rId1" Target="style10.xml" Type="http://schemas.microsoft.com/office/2011/relationships/chartStyle"/>
<Relationship Id="rId2" Target="colors10.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11.xml.rels><?xml version="1.0" encoding="UTF-8" standalone="no"?>
<Relationships xmlns="http://schemas.openxmlformats.org/package/2006/relationships">
<Relationship Id="rId1" Target="style11.xml" Type="http://schemas.microsoft.com/office/2011/relationships/chartStyle"/>
<Relationship Id="rId2" Target="colors11.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12.xml.rels><?xml version="1.0" encoding="UTF-8" standalone="no"?>
<Relationships xmlns="http://schemas.openxmlformats.org/package/2006/relationships">
<Relationship Id="rId1" Target="style12.xml" Type="http://schemas.microsoft.com/office/2011/relationships/chartStyle"/>
<Relationship Id="rId2" Target="colors12.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_rels/chart13.xml.rels><?xml version="1.0" encoding="UTF-8" standalone="no"?>
<Relationships xmlns="http://schemas.openxmlformats.org/package/2006/relationships">
<Relationship Id="rId1" Target="style13.xml" Type="http://schemas.microsoft.com/office/2011/relationships/chartStyle"/>
<Relationship Id="rId2" Target="colors13.xml" Type="http://schemas.microsoft.com/office/2011/relationships/chartColorStyle"/>
<Relationship Id="rId3" Target="file:///C:/Users/SARMIN/Downloads/Working_Capital_Tables_and_Graphs.xlsx" TargetMode="External" Type="http://schemas.openxmlformats.org/officeDocument/2006/relationships/oleObject"/>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Profitability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Profitability_Analysis!$B$1</c:f>
              <c:strCache>
                <c:ptCount val="1"/>
                <c:pt idx="0">
                  <c:v>Gross Profit Margin (%)</c:v>
                </c:pt>
              </c:strCache>
            </c:strRef>
          </c:tx>
          <c:spPr>
            <a:ln w="28575" cap="rnd">
              <a:solidFill>
                <a:schemeClr val="accent1"/>
              </a:solidFill>
              <a:round/>
            </a:ln>
            <a:effectLst/>
          </c:spPr>
          <c:marker>
            <c:symbol val="none"/>
          </c:marker>
          <c:cat>
            <c:numRef>
              <c:f>Profitability_Analysis!$A$2:$A$6</c:f>
              <c:numCache>
                <c:formatCode>General</c:formatCode>
                <c:ptCount val="5"/>
                <c:pt idx="0">
                  <c:v>2020</c:v>
                </c:pt>
                <c:pt idx="1">
                  <c:v>2021</c:v>
                </c:pt>
                <c:pt idx="2">
                  <c:v>2022</c:v>
                </c:pt>
                <c:pt idx="3">
                  <c:v>2023</c:v>
                </c:pt>
                <c:pt idx="4">
                  <c:v>2024</c:v>
                </c:pt>
              </c:numCache>
            </c:numRef>
          </c:cat>
          <c:val>
            <c:numRef>
              <c:f>Profitability_Analysis!$B$2:$B$6</c:f>
              <c:numCache>
                <c:formatCode>General</c:formatCode>
                <c:ptCount val="5"/>
                <c:pt idx="0">
                  <c:v>28.7</c:v>
                </c:pt>
                <c:pt idx="1">
                  <c:v>28.8</c:v>
                </c:pt>
                <c:pt idx="2">
                  <c:v>28.1</c:v>
                </c:pt>
                <c:pt idx="3">
                  <c:v>23.2</c:v>
                </c:pt>
                <c:pt idx="4">
                  <c:v>28.9</c:v>
                </c:pt>
              </c:numCache>
            </c:numRef>
          </c:val>
          <c:smooth val="0"/>
          <c:extLst>
            <c:ext xmlns:c16="http://schemas.microsoft.com/office/drawing/2014/chart" uri="{C3380CC4-5D6E-409C-BE32-E72D297353CC}">
              <c16:uniqueId val="{00000000-CC4F-4F33-BF58-68D70467711B}"/>
            </c:ext>
          </c:extLst>
        </c:ser>
        <c:ser>
          <c:idx val="1"/>
          <c:order val="1"/>
          <c:tx>
            <c:strRef>
              <c:f>Profitability_Analysis!$C$1</c:f>
              <c:strCache>
                <c:ptCount val="1"/>
                <c:pt idx="0">
                  <c:v>Operating Margin (%)</c:v>
                </c:pt>
              </c:strCache>
            </c:strRef>
          </c:tx>
          <c:spPr>
            <a:ln w="28575" cap="rnd">
              <a:solidFill>
                <a:schemeClr val="accent2"/>
              </a:solidFill>
              <a:round/>
            </a:ln>
            <a:effectLst/>
          </c:spPr>
          <c:marker>
            <c:symbol val="none"/>
          </c:marker>
          <c:cat>
            <c:numRef>
              <c:f>Profitability_Analysis!$A$2:$A$6</c:f>
              <c:numCache>
                <c:formatCode>General</c:formatCode>
                <c:ptCount val="5"/>
                <c:pt idx="0">
                  <c:v>2020</c:v>
                </c:pt>
                <c:pt idx="1">
                  <c:v>2021</c:v>
                </c:pt>
                <c:pt idx="2">
                  <c:v>2022</c:v>
                </c:pt>
                <c:pt idx="3">
                  <c:v>2023</c:v>
                </c:pt>
                <c:pt idx="4">
                  <c:v>2024</c:v>
                </c:pt>
              </c:numCache>
            </c:numRef>
          </c:cat>
          <c:val>
            <c:numRef>
              <c:f>Profitability_Analysis!$C$2:$C$6</c:f>
              <c:numCache>
                <c:formatCode>General</c:formatCode>
                <c:ptCount val="5"/>
                <c:pt idx="0">
                  <c:v>24.3</c:v>
                </c:pt>
                <c:pt idx="1">
                  <c:v>23</c:v>
                </c:pt>
                <c:pt idx="2">
                  <c:v>21.1</c:v>
                </c:pt>
                <c:pt idx="3">
                  <c:v>-4.7</c:v>
                </c:pt>
                <c:pt idx="4">
                  <c:v>-2.6</c:v>
                </c:pt>
              </c:numCache>
            </c:numRef>
          </c:val>
          <c:smooth val="0"/>
          <c:extLst>
            <c:ext xmlns:c16="http://schemas.microsoft.com/office/drawing/2014/chart" uri="{C3380CC4-5D6E-409C-BE32-E72D297353CC}">
              <c16:uniqueId val="{00000001-CC4F-4F33-BF58-68D70467711B}"/>
            </c:ext>
          </c:extLst>
        </c:ser>
        <c:ser>
          <c:idx val="2"/>
          <c:order val="2"/>
          <c:tx>
            <c:strRef>
              <c:f>Profitability_Analysis!$D$1</c:f>
              <c:strCache>
                <c:ptCount val="1"/>
                <c:pt idx="0">
                  <c:v>Net Profit Margin (%)</c:v>
                </c:pt>
              </c:strCache>
            </c:strRef>
          </c:tx>
          <c:spPr>
            <a:ln w="28575" cap="rnd">
              <a:solidFill>
                <a:schemeClr val="accent3"/>
              </a:solidFill>
              <a:round/>
            </a:ln>
            <a:effectLst/>
          </c:spPr>
          <c:marker>
            <c:symbol val="none"/>
          </c:marker>
          <c:cat>
            <c:numRef>
              <c:f>Profitability_Analysis!$A$2:$A$6</c:f>
              <c:numCache>
                <c:formatCode>General</c:formatCode>
                <c:ptCount val="5"/>
                <c:pt idx="0">
                  <c:v>2020</c:v>
                </c:pt>
                <c:pt idx="1">
                  <c:v>2021</c:v>
                </c:pt>
                <c:pt idx="2">
                  <c:v>2022</c:v>
                </c:pt>
                <c:pt idx="3">
                  <c:v>2023</c:v>
                </c:pt>
                <c:pt idx="4">
                  <c:v>2024</c:v>
                </c:pt>
              </c:numCache>
            </c:numRef>
          </c:cat>
          <c:val>
            <c:numRef>
              <c:f>Profitability_Analysis!$D$2:$D$6</c:f>
              <c:numCache>
                <c:formatCode>General</c:formatCode>
                <c:ptCount val="5"/>
                <c:pt idx="0">
                  <c:v>6.3</c:v>
                </c:pt>
                <c:pt idx="1">
                  <c:v>5.9</c:v>
                </c:pt>
                <c:pt idx="2">
                  <c:v>4.8</c:v>
                </c:pt>
                <c:pt idx="3">
                  <c:v>-12</c:v>
                </c:pt>
                <c:pt idx="4">
                  <c:v>-10.1</c:v>
                </c:pt>
              </c:numCache>
            </c:numRef>
          </c:val>
          <c:smooth val="0"/>
          <c:extLst>
            <c:ext xmlns:c16="http://schemas.microsoft.com/office/drawing/2014/chart" uri="{C3380CC4-5D6E-409C-BE32-E72D297353CC}">
              <c16:uniqueId val="{00000002-CC4F-4F33-BF58-68D70467711B}"/>
            </c:ext>
          </c:extLst>
        </c:ser>
        <c:dLbls>
          <c:showLegendKey val="0"/>
          <c:showVal val="0"/>
          <c:showCatName val="0"/>
          <c:showSerName val="0"/>
          <c:showPercent val="0"/>
          <c:showBubbleSize val="0"/>
        </c:dLbls>
        <c:smooth val="0"/>
        <c:axId val="813142848"/>
        <c:axId val="813144096"/>
        <c:extLst>
          <c:ext xmlns:c15="http://schemas.microsoft.com/office/drawing/2012/chart" uri="{02D57815-91ED-43cb-92C2-25804820EDAC}">
            <c15:filteredLineSeries>
              <c15:ser>
                <c:idx val="3"/>
                <c:order val="3"/>
                <c:tx>
                  <c:strRef>
                    <c:extLst>
                      <c:ext uri="{02D57815-91ED-43cb-92C2-25804820EDAC}">
                        <c15:formulaRef>
                          <c15:sqref>Profitability_Analysis!$E$1</c15:sqref>
                        </c15:formulaRef>
                      </c:ext>
                    </c:extLst>
                    <c:strCache>
                      <c:ptCount val="1"/>
                    </c:strCache>
                  </c:strRef>
                </c:tx>
                <c:spPr>
                  <a:ln w="28575" cap="rnd">
                    <a:solidFill>
                      <a:schemeClr val="accent4"/>
                    </a:solidFill>
                    <a:round/>
                  </a:ln>
                  <a:effectLst/>
                </c:spPr>
                <c:marker>
                  <c:symbol val="none"/>
                </c:marker>
                <c:cat>
                  <c:numRef>
                    <c:extLst>
                      <c:ext uri="{02D57815-91ED-43cb-92C2-25804820EDAC}">
                        <c15:formulaRef>
                          <c15:sqref>Profitability_Analysis!$A$2:$A$6</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Profitability_Analysis!$E$2:$E$6</c15:sqref>
                        </c15:formulaRef>
                      </c:ext>
                    </c:extLst>
                    <c:numCache>
                      <c:formatCode>General</c:formatCode>
                      <c:ptCount val="5"/>
                    </c:numCache>
                  </c:numRef>
                </c:val>
                <c:smooth val="0"/>
                <c:extLst>
                  <c:ext xmlns:c16="http://schemas.microsoft.com/office/drawing/2014/chart" uri="{C3380CC4-5D6E-409C-BE32-E72D297353CC}">
                    <c16:uniqueId val="{00000003-CC4F-4F33-BF58-68D70467711B}"/>
                  </c:ext>
                </c:extLst>
              </c15:ser>
            </c15:filteredLineSeries>
          </c:ext>
        </c:extLst>
      </c:lineChart>
      <c:catAx>
        <c:axId val="813142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3144096"/>
        <c:crosses val="autoZero"/>
        <c:auto val="1"/>
        <c:lblAlgn val="ctr"/>
        <c:lblOffset val="100"/>
        <c:noMultiLvlLbl val="0"/>
      </c:catAx>
      <c:valAx>
        <c:axId val="813144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3142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Efficiency / Working Capital Ratios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Efficiency_Analysis!$B$1</c:f>
              <c:strCache>
                <c:ptCount val="1"/>
                <c:pt idx="0">
                  <c:v>Inventory Days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Efficiency_Analysis!$A$2:$A$6</c:f>
              <c:numCache>
                <c:formatCode>General</c:formatCode>
                <c:ptCount val="5"/>
                <c:pt idx="0">
                  <c:v>2020</c:v>
                </c:pt>
                <c:pt idx="1">
                  <c:v>2021</c:v>
                </c:pt>
                <c:pt idx="2">
                  <c:v>2022</c:v>
                </c:pt>
                <c:pt idx="3">
                  <c:v>2023</c:v>
                </c:pt>
                <c:pt idx="4">
                  <c:v>2024</c:v>
                </c:pt>
              </c:numCache>
            </c:numRef>
          </c:xVal>
          <c:yVal>
            <c:numRef>
              <c:f>Efficiency_Analysis!$B$2:$B$6</c:f>
              <c:numCache>
                <c:formatCode>General</c:formatCode>
                <c:ptCount val="5"/>
                <c:pt idx="0">
                  <c:v>100.3</c:v>
                </c:pt>
                <c:pt idx="1">
                  <c:v>114.6</c:v>
                </c:pt>
                <c:pt idx="2">
                  <c:v>131.1</c:v>
                </c:pt>
                <c:pt idx="3">
                  <c:v>99.7</c:v>
                </c:pt>
                <c:pt idx="4">
                  <c:v>103.1</c:v>
                </c:pt>
              </c:numCache>
            </c:numRef>
          </c:yVal>
          <c:smooth val="0"/>
          <c:extLst>
            <c:ext xmlns:c16="http://schemas.microsoft.com/office/drawing/2014/chart" uri="{C3380CC4-5D6E-409C-BE32-E72D297353CC}">
              <c16:uniqueId val="{00000000-758F-4479-8D98-A48E272948CA}"/>
            </c:ext>
          </c:extLst>
        </c:ser>
        <c:ser>
          <c:idx val="1"/>
          <c:order val="1"/>
          <c:tx>
            <c:strRef>
              <c:f>Efficiency_Analysis!$C$1</c:f>
              <c:strCache>
                <c:ptCount val="1"/>
                <c:pt idx="0">
                  <c:v>Receivables Days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Efficiency_Analysis!$A$2:$A$6</c:f>
              <c:numCache>
                <c:formatCode>General</c:formatCode>
                <c:ptCount val="5"/>
                <c:pt idx="0">
                  <c:v>2020</c:v>
                </c:pt>
                <c:pt idx="1">
                  <c:v>2021</c:v>
                </c:pt>
                <c:pt idx="2">
                  <c:v>2022</c:v>
                </c:pt>
                <c:pt idx="3">
                  <c:v>2023</c:v>
                </c:pt>
                <c:pt idx="4">
                  <c:v>2024</c:v>
                </c:pt>
              </c:numCache>
            </c:numRef>
          </c:xVal>
          <c:yVal>
            <c:numRef>
              <c:f>Efficiency_Analysis!$C$2:$C$6</c:f>
              <c:numCache>
                <c:formatCode>General</c:formatCode>
                <c:ptCount val="5"/>
                <c:pt idx="0">
                  <c:v>76.8</c:v>
                </c:pt>
                <c:pt idx="1">
                  <c:v>78.400000000000006</c:v>
                </c:pt>
                <c:pt idx="2">
                  <c:v>75.599999999999994</c:v>
                </c:pt>
                <c:pt idx="3">
                  <c:v>97.7</c:v>
                </c:pt>
                <c:pt idx="4">
                  <c:v>105.4</c:v>
                </c:pt>
              </c:numCache>
            </c:numRef>
          </c:yVal>
          <c:smooth val="0"/>
          <c:extLst>
            <c:ext xmlns:c16="http://schemas.microsoft.com/office/drawing/2014/chart" uri="{C3380CC4-5D6E-409C-BE32-E72D297353CC}">
              <c16:uniqueId val="{00000001-758F-4479-8D98-A48E272948CA}"/>
            </c:ext>
          </c:extLst>
        </c:ser>
        <c:ser>
          <c:idx val="2"/>
          <c:order val="2"/>
          <c:tx>
            <c:strRef>
              <c:f>Efficiency_Analysis!$D$1</c:f>
              <c:strCache>
                <c:ptCount val="1"/>
                <c:pt idx="0">
                  <c:v>Payables Days</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Efficiency_Analysis!$A$2:$A$6</c:f>
              <c:numCache>
                <c:formatCode>General</c:formatCode>
                <c:ptCount val="5"/>
                <c:pt idx="0">
                  <c:v>2020</c:v>
                </c:pt>
                <c:pt idx="1">
                  <c:v>2021</c:v>
                </c:pt>
                <c:pt idx="2">
                  <c:v>2022</c:v>
                </c:pt>
                <c:pt idx="3">
                  <c:v>2023</c:v>
                </c:pt>
                <c:pt idx="4">
                  <c:v>2024</c:v>
                </c:pt>
              </c:numCache>
            </c:numRef>
          </c:xVal>
          <c:yVal>
            <c:numRef>
              <c:f>Efficiency_Analysis!$D$2:$D$6</c:f>
              <c:numCache>
                <c:formatCode>General</c:formatCode>
                <c:ptCount val="5"/>
                <c:pt idx="0">
                  <c:v>69.3</c:v>
                </c:pt>
                <c:pt idx="1">
                  <c:v>79.099999999999994</c:v>
                </c:pt>
                <c:pt idx="2">
                  <c:v>66.7</c:v>
                </c:pt>
                <c:pt idx="3">
                  <c:v>64.3</c:v>
                </c:pt>
                <c:pt idx="4">
                  <c:v>93.6</c:v>
                </c:pt>
              </c:numCache>
            </c:numRef>
          </c:yVal>
          <c:smooth val="0"/>
          <c:extLst>
            <c:ext xmlns:c16="http://schemas.microsoft.com/office/drawing/2014/chart" uri="{C3380CC4-5D6E-409C-BE32-E72D297353CC}">
              <c16:uniqueId val="{00000002-758F-4479-8D98-A48E272948CA}"/>
            </c:ext>
          </c:extLst>
        </c:ser>
        <c:ser>
          <c:idx val="3"/>
          <c:order val="3"/>
          <c:tx>
            <c:strRef>
              <c:f>Efficiency_Analysis!$E$1</c:f>
              <c:strCache>
                <c:ptCount val="1"/>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Efficiency_Analysis!$A$2:$A$6</c:f>
              <c:numCache>
                <c:formatCode>General</c:formatCode>
                <c:ptCount val="5"/>
                <c:pt idx="0">
                  <c:v>2020</c:v>
                </c:pt>
                <c:pt idx="1">
                  <c:v>2021</c:v>
                </c:pt>
                <c:pt idx="2">
                  <c:v>2022</c:v>
                </c:pt>
                <c:pt idx="3">
                  <c:v>2023</c:v>
                </c:pt>
                <c:pt idx="4">
                  <c:v>2024</c:v>
                </c:pt>
              </c:numCache>
            </c:numRef>
          </c:xVal>
          <c:yVal>
            <c:numRef>
              <c:f>Efficiency_Analysis!$E$2:$E$6</c:f>
              <c:numCache>
                <c:formatCode>General</c:formatCode>
                <c:ptCount val="5"/>
              </c:numCache>
            </c:numRef>
          </c:yVal>
          <c:smooth val="0"/>
          <c:extLst>
            <c:ext xmlns:c16="http://schemas.microsoft.com/office/drawing/2014/chart" uri="{C3380CC4-5D6E-409C-BE32-E72D297353CC}">
              <c16:uniqueId val="{00000003-758F-4479-8D98-A48E272948CA}"/>
            </c:ext>
          </c:extLst>
        </c:ser>
        <c:dLbls>
          <c:showLegendKey val="0"/>
          <c:showVal val="0"/>
          <c:showCatName val="0"/>
          <c:showSerName val="0"/>
          <c:showPercent val="0"/>
          <c:showBubbleSize val="0"/>
        </c:dLbls>
        <c:axId val="882688352"/>
        <c:axId val="971971280"/>
      </c:scatterChart>
      <c:valAx>
        <c:axId val="882688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971280"/>
        <c:crosses val="autoZero"/>
        <c:crossBetween val="midCat"/>
      </c:valAx>
      <c:valAx>
        <c:axId val="971971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26883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Liquidity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Liquidity_Analysis!$B$1</c:f>
              <c:strCache>
                <c:ptCount val="1"/>
                <c:pt idx="0">
                  <c:v>Current Ratio</c:v>
                </c:pt>
              </c:strCache>
            </c:strRef>
          </c:tx>
          <c:spPr>
            <a:solidFill>
              <a:schemeClr val="accent5">
                <a:shade val="65000"/>
              </a:schemeClr>
            </a:solidFill>
            <a:ln>
              <a:noFill/>
            </a:ln>
            <a:effectLst/>
          </c:spPr>
          <c:invertIfNegative val="0"/>
          <c:cat>
            <c:numRef>
              <c:f>Liquidity_Analysis!$A$2:$A$7</c:f>
              <c:numCache>
                <c:formatCode>General</c:formatCode>
                <c:ptCount val="6"/>
                <c:pt idx="0">
                  <c:v>2020</c:v>
                </c:pt>
                <c:pt idx="1">
                  <c:v>2021</c:v>
                </c:pt>
                <c:pt idx="2">
                  <c:v>2022</c:v>
                </c:pt>
                <c:pt idx="3">
                  <c:v>2023</c:v>
                </c:pt>
                <c:pt idx="4">
                  <c:v>2024</c:v>
                </c:pt>
              </c:numCache>
            </c:numRef>
          </c:cat>
          <c:val>
            <c:numRef>
              <c:f>Liquidity_Analysis!$B$2:$B$7</c:f>
              <c:numCache>
                <c:formatCode>General</c:formatCode>
                <c:ptCount val="6"/>
                <c:pt idx="0">
                  <c:v>1.25</c:v>
                </c:pt>
                <c:pt idx="1">
                  <c:v>1.22</c:v>
                </c:pt>
                <c:pt idx="2">
                  <c:v>1.18</c:v>
                </c:pt>
                <c:pt idx="3">
                  <c:v>1.05</c:v>
                </c:pt>
                <c:pt idx="4">
                  <c:v>1.02</c:v>
                </c:pt>
              </c:numCache>
            </c:numRef>
          </c:val>
          <c:extLst>
            <c:ext xmlns:c16="http://schemas.microsoft.com/office/drawing/2014/chart" uri="{C3380CC4-5D6E-409C-BE32-E72D297353CC}">
              <c16:uniqueId val="{00000000-C028-471E-8F41-AFC3B1C9BFB1}"/>
            </c:ext>
          </c:extLst>
        </c:ser>
        <c:ser>
          <c:idx val="1"/>
          <c:order val="1"/>
          <c:tx>
            <c:strRef>
              <c:f>Liquidity_Analysis!$C$1</c:f>
              <c:strCache>
                <c:ptCount val="1"/>
                <c:pt idx="0">
                  <c:v>Quick Ratio</c:v>
                </c:pt>
              </c:strCache>
            </c:strRef>
          </c:tx>
          <c:spPr>
            <a:solidFill>
              <a:schemeClr val="accent5"/>
            </a:solidFill>
            <a:ln>
              <a:noFill/>
            </a:ln>
            <a:effectLst/>
          </c:spPr>
          <c:invertIfNegative val="0"/>
          <c:cat>
            <c:numRef>
              <c:f>Liquidity_Analysis!$A$2:$A$7</c:f>
              <c:numCache>
                <c:formatCode>General</c:formatCode>
                <c:ptCount val="6"/>
                <c:pt idx="0">
                  <c:v>2020</c:v>
                </c:pt>
                <c:pt idx="1">
                  <c:v>2021</c:v>
                </c:pt>
                <c:pt idx="2">
                  <c:v>2022</c:v>
                </c:pt>
                <c:pt idx="3">
                  <c:v>2023</c:v>
                </c:pt>
                <c:pt idx="4">
                  <c:v>2024</c:v>
                </c:pt>
              </c:numCache>
            </c:numRef>
          </c:cat>
          <c:val>
            <c:numRef>
              <c:f>Liquidity_Analysis!$C$2:$C$7</c:f>
              <c:numCache>
                <c:formatCode>General</c:formatCode>
                <c:ptCount val="6"/>
                <c:pt idx="0">
                  <c:v>0.95</c:v>
                </c:pt>
                <c:pt idx="1">
                  <c:v>0.92</c:v>
                </c:pt>
                <c:pt idx="2">
                  <c:v>0.88</c:v>
                </c:pt>
                <c:pt idx="3">
                  <c:v>0.75</c:v>
                </c:pt>
                <c:pt idx="4">
                  <c:v>0.72</c:v>
                </c:pt>
              </c:numCache>
            </c:numRef>
          </c:val>
          <c:extLst>
            <c:ext xmlns:c16="http://schemas.microsoft.com/office/drawing/2014/chart" uri="{C3380CC4-5D6E-409C-BE32-E72D297353CC}">
              <c16:uniqueId val="{00000001-C028-471E-8F41-AFC3B1C9BFB1}"/>
            </c:ext>
          </c:extLst>
        </c:ser>
        <c:dLbls>
          <c:showLegendKey val="0"/>
          <c:showVal val="0"/>
          <c:showCatName val="0"/>
          <c:showSerName val="0"/>
          <c:showPercent val="0"/>
          <c:showBubbleSize val="0"/>
        </c:dLbls>
        <c:gapWidth val="219"/>
        <c:overlap val="-27"/>
        <c:axId val="810700176"/>
        <c:axId val="810701424"/>
        <c:extLst>
          <c:ext xmlns:c15="http://schemas.microsoft.com/office/drawing/2012/chart" uri="{02D57815-91ED-43cb-92C2-25804820EDAC}">
            <c15:filteredBarSeries>
              <c15:ser>
                <c:idx val="2"/>
                <c:order val="2"/>
                <c:tx>
                  <c:strRef>
                    <c:extLst>
                      <c:ext uri="{02D57815-91ED-43cb-92C2-25804820EDAC}">
                        <c15:formulaRef>
                          <c15:sqref>Liquidity_Analysis!$D$1</c15:sqref>
                        </c15:formulaRef>
                      </c:ext>
                    </c:extLst>
                    <c:strCache>
                      <c:ptCount val="1"/>
                    </c:strCache>
                  </c:strRef>
                </c:tx>
                <c:spPr>
                  <a:solidFill>
                    <a:schemeClr val="accent5">
                      <a:tint val="65000"/>
                    </a:schemeClr>
                  </a:solidFill>
                  <a:ln>
                    <a:noFill/>
                  </a:ln>
                  <a:effectLst/>
                </c:spPr>
                <c:invertIfNegative val="0"/>
                <c:cat>
                  <c:numRef>
                    <c:extLst>
                      <c:ext uri="{02D57815-91ED-43cb-92C2-25804820EDAC}">
                        <c15:formulaRef>
                          <c15:sqref>Liquidity_Analysis!$A$2:$A$7</c15:sqref>
                        </c15:formulaRef>
                      </c:ext>
                    </c:extLst>
                    <c:numCache>
                      <c:formatCode>General</c:formatCode>
                      <c:ptCount val="6"/>
                      <c:pt idx="0">
                        <c:v>2020</c:v>
                      </c:pt>
                      <c:pt idx="1">
                        <c:v>2021</c:v>
                      </c:pt>
                      <c:pt idx="2">
                        <c:v>2022</c:v>
                      </c:pt>
                      <c:pt idx="3">
                        <c:v>2023</c:v>
                      </c:pt>
                      <c:pt idx="4">
                        <c:v>2024</c:v>
                      </c:pt>
                    </c:numCache>
                  </c:numRef>
                </c:cat>
                <c:val>
                  <c:numRef>
                    <c:extLst>
                      <c:ext uri="{02D57815-91ED-43cb-92C2-25804820EDAC}">
                        <c15:formulaRef>
                          <c15:sqref>Liquidity_Analysis!$D$2:$D$7</c15:sqref>
                        </c15:formulaRef>
                      </c:ext>
                    </c:extLst>
                    <c:numCache>
                      <c:formatCode>General</c:formatCode>
                      <c:ptCount val="6"/>
                    </c:numCache>
                  </c:numRef>
                </c:val>
                <c:extLst>
                  <c:ext xmlns:c16="http://schemas.microsoft.com/office/drawing/2014/chart" uri="{C3380CC4-5D6E-409C-BE32-E72D297353CC}">
                    <c16:uniqueId val="{00000002-C028-471E-8F41-AFC3B1C9BFB1}"/>
                  </c:ext>
                </c:extLst>
              </c15:ser>
            </c15:filteredBarSeries>
          </c:ext>
        </c:extLst>
      </c:barChart>
      <c:catAx>
        <c:axId val="81070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701424"/>
        <c:crosses val="autoZero"/>
        <c:auto val="1"/>
        <c:lblAlgn val="ctr"/>
        <c:lblOffset val="100"/>
        <c:noMultiLvlLbl val="0"/>
      </c:catAx>
      <c:valAx>
        <c:axId val="810701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70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Cash Flow</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Cash_Flow_Analysis!$B$1</c:f>
              <c:strCache>
                <c:ptCount val="1"/>
                <c:pt idx="0">
                  <c:v>Operating Cash Flow (£m)</c:v>
                </c:pt>
              </c:strCache>
            </c:strRef>
          </c:tx>
          <c:spPr>
            <a:solidFill>
              <a:schemeClr val="accent6"/>
            </a:solidFill>
            <a:ln>
              <a:noFill/>
            </a:ln>
            <a:effectLst/>
          </c:spPr>
          <c:invertIfNegative val="0"/>
          <c:cat>
            <c:numRef>
              <c:f>Cash_Flow_Analysis!$A$2:$A$6</c:f>
              <c:numCache>
                <c:formatCode>General</c:formatCode>
                <c:ptCount val="5"/>
                <c:pt idx="0">
                  <c:v>2020</c:v>
                </c:pt>
                <c:pt idx="1">
                  <c:v>2021</c:v>
                </c:pt>
                <c:pt idx="2">
                  <c:v>2022</c:v>
                </c:pt>
                <c:pt idx="3">
                  <c:v>2023</c:v>
                </c:pt>
                <c:pt idx="4">
                  <c:v>2024</c:v>
                </c:pt>
              </c:numCache>
            </c:numRef>
          </c:cat>
          <c:val>
            <c:numRef>
              <c:f>Cash_Flow_Analysis!$B$2:$B$6</c:f>
              <c:numCache>
                <c:formatCode>General</c:formatCode>
                <c:ptCount val="5"/>
                <c:pt idx="0">
                  <c:v>73392</c:v>
                </c:pt>
                <c:pt idx="1">
                  <c:v>68110</c:v>
                </c:pt>
                <c:pt idx="2">
                  <c:v>55340</c:v>
                </c:pt>
                <c:pt idx="3">
                  <c:v>21040</c:v>
                </c:pt>
                <c:pt idx="4">
                  <c:v>14822</c:v>
                </c:pt>
              </c:numCache>
            </c:numRef>
          </c:val>
          <c:extLst>
            <c:ext xmlns:c16="http://schemas.microsoft.com/office/drawing/2014/chart" uri="{C3380CC4-5D6E-409C-BE32-E72D297353CC}">
              <c16:uniqueId val="{00000000-E052-4562-BE1E-A5D1271BA488}"/>
            </c:ext>
          </c:extLst>
        </c:ser>
        <c:ser>
          <c:idx val="1"/>
          <c:order val="1"/>
          <c:tx>
            <c:strRef>
              <c:f>Cash_Flow_Analysis!$C$1</c:f>
              <c:strCache>
                <c:ptCount val="1"/>
                <c:pt idx="0">
                  <c:v>Free Cash Flow (£m)</c:v>
                </c:pt>
              </c:strCache>
            </c:strRef>
          </c:tx>
          <c:spPr>
            <a:solidFill>
              <a:schemeClr val="accent5"/>
            </a:solidFill>
            <a:ln>
              <a:noFill/>
            </a:ln>
            <a:effectLst/>
          </c:spPr>
          <c:invertIfNegative val="0"/>
          <c:cat>
            <c:numRef>
              <c:f>Cash_Flow_Analysis!$A$2:$A$6</c:f>
              <c:numCache>
                <c:formatCode>General</c:formatCode>
                <c:ptCount val="5"/>
                <c:pt idx="0">
                  <c:v>2020</c:v>
                </c:pt>
                <c:pt idx="1">
                  <c:v>2021</c:v>
                </c:pt>
                <c:pt idx="2">
                  <c:v>2022</c:v>
                </c:pt>
                <c:pt idx="3">
                  <c:v>2023</c:v>
                </c:pt>
                <c:pt idx="4">
                  <c:v>2024</c:v>
                </c:pt>
              </c:numCache>
            </c:numRef>
          </c:cat>
          <c:val>
            <c:numRef>
              <c:f>Cash_Flow_Analysis!$C$2:$C$6</c:f>
              <c:numCache>
                <c:formatCode>General</c:formatCode>
                <c:ptCount val="5"/>
                <c:pt idx="0">
                  <c:v>52000</c:v>
                </c:pt>
                <c:pt idx="1">
                  <c:v>48000</c:v>
                </c:pt>
                <c:pt idx="2">
                  <c:v>36000</c:v>
                </c:pt>
                <c:pt idx="3">
                  <c:v>12000</c:v>
                </c:pt>
                <c:pt idx="4">
                  <c:v>8000</c:v>
                </c:pt>
              </c:numCache>
            </c:numRef>
          </c:val>
          <c:extLst>
            <c:ext xmlns:c16="http://schemas.microsoft.com/office/drawing/2014/chart" uri="{C3380CC4-5D6E-409C-BE32-E72D297353CC}">
              <c16:uniqueId val="{00000001-E052-4562-BE1E-A5D1271BA488}"/>
            </c:ext>
          </c:extLst>
        </c:ser>
        <c:dLbls>
          <c:showLegendKey val="0"/>
          <c:showVal val="0"/>
          <c:showCatName val="0"/>
          <c:showSerName val="0"/>
          <c:showPercent val="0"/>
          <c:showBubbleSize val="0"/>
        </c:dLbls>
        <c:gapWidth val="219"/>
        <c:overlap val="-27"/>
        <c:axId val="982576656"/>
        <c:axId val="982574576"/>
        <c:extLst>
          <c:ext xmlns:c15="http://schemas.microsoft.com/office/drawing/2012/chart" uri="{02D57815-91ED-43cb-92C2-25804820EDAC}">
            <c15:filteredBarSeries>
              <c15:ser>
                <c:idx val="2"/>
                <c:order val="2"/>
                <c:tx>
                  <c:strRef>
                    <c:extLst>
                      <c:ext uri="{02D57815-91ED-43cb-92C2-25804820EDAC}">
                        <c15:formulaRef>
                          <c15:sqref>Cash_Flow_Analysis!$D$1</c15:sqref>
                        </c15:formulaRef>
                      </c:ext>
                    </c:extLst>
                    <c:strCache>
                      <c:ptCount val="1"/>
                    </c:strCache>
                  </c:strRef>
                </c:tx>
                <c:spPr>
                  <a:solidFill>
                    <a:schemeClr val="accent4"/>
                  </a:solidFill>
                  <a:ln>
                    <a:noFill/>
                  </a:ln>
                  <a:effectLst/>
                </c:spPr>
                <c:invertIfNegative val="0"/>
                <c:cat>
                  <c:numRef>
                    <c:extLst>
                      <c:ext uri="{02D57815-91ED-43cb-92C2-25804820EDAC}">
                        <c15:formulaRef>
                          <c15:sqref>Cash_Flow_Analysis!$A$2:$A$6</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Cash_Flow_Analysis!$D$2:$D$6</c15:sqref>
                        </c15:formulaRef>
                      </c:ext>
                    </c:extLst>
                    <c:numCache>
                      <c:formatCode>General</c:formatCode>
                      <c:ptCount val="5"/>
                    </c:numCache>
                  </c:numRef>
                </c:val>
                <c:extLst>
                  <c:ext xmlns:c16="http://schemas.microsoft.com/office/drawing/2014/chart" uri="{C3380CC4-5D6E-409C-BE32-E72D297353CC}">
                    <c16:uniqueId val="{00000002-E052-4562-BE1E-A5D1271BA488}"/>
                  </c:ext>
                </c:extLst>
              </c15:ser>
            </c15:filteredBarSeries>
          </c:ext>
        </c:extLst>
      </c:barChart>
      <c:catAx>
        <c:axId val="98257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2574576"/>
        <c:crosses val="autoZero"/>
        <c:auto val="1"/>
        <c:lblAlgn val="ctr"/>
        <c:lblOffset val="100"/>
        <c:noMultiLvlLbl val="0"/>
      </c:catAx>
      <c:valAx>
        <c:axId val="982574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257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Gearing / Financial Risk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Gearing_Leverage_Analysis!$B$1</c:f>
              <c:strCache>
                <c:ptCount val="1"/>
                <c:pt idx="0">
                  <c:v>Debt to Equity Ratio</c:v>
                </c:pt>
              </c:strCache>
            </c:strRef>
          </c:tx>
          <c:spPr>
            <a:ln w="28575" cap="rnd">
              <a:solidFill>
                <a:schemeClr val="accent1"/>
              </a:solidFill>
              <a:round/>
            </a:ln>
            <a:effectLst/>
          </c:spPr>
          <c:marker>
            <c:symbol val="none"/>
          </c:marker>
          <c:cat>
            <c:numRef>
              <c:f>Gearing_Leverage_Analysis!$A$2:$A$7</c:f>
              <c:numCache>
                <c:formatCode>General</c:formatCode>
                <c:ptCount val="6"/>
                <c:pt idx="0">
                  <c:v>2020</c:v>
                </c:pt>
                <c:pt idx="1">
                  <c:v>2021</c:v>
                </c:pt>
                <c:pt idx="2">
                  <c:v>2022</c:v>
                </c:pt>
                <c:pt idx="3">
                  <c:v>2023</c:v>
                </c:pt>
                <c:pt idx="4">
                  <c:v>2024</c:v>
                </c:pt>
              </c:numCache>
            </c:numRef>
          </c:cat>
          <c:val>
            <c:numRef>
              <c:f>Gearing_Leverage_Analysis!$B$2:$B$7</c:f>
              <c:numCache>
                <c:formatCode>General</c:formatCode>
                <c:ptCount val="6"/>
                <c:pt idx="0">
                  <c:v>1.1000000000000001</c:v>
                </c:pt>
                <c:pt idx="1">
                  <c:v>1.2</c:v>
                </c:pt>
                <c:pt idx="2">
                  <c:v>1.3</c:v>
                </c:pt>
                <c:pt idx="3">
                  <c:v>1.6</c:v>
                </c:pt>
                <c:pt idx="4">
                  <c:v>1.7</c:v>
                </c:pt>
              </c:numCache>
            </c:numRef>
          </c:val>
          <c:smooth val="0"/>
          <c:extLst>
            <c:ext xmlns:c16="http://schemas.microsoft.com/office/drawing/2014/chart" uri="{C3380CC4-5D6E-409C-BE32-E72D297353CC}">
              <c16:uniqueId val="{00000000-B417-42A8-A94E-84DFD6574EDD}"/>
            </c:ext>
          </c:extLst>
        </c:ser>
        <c:ser>
          <c:idx val="1"/>
          <c:order val="1"/>
          <c:tx>
            <c:strRef>
              <c:f>Gearing_Leverage_Analysis!$C$1</c:f>
              <c:strCache>
                <c:ptCount val="1"/>
                <c:pt idx="0">
                  <c:v>Interest Coverage Ratio</c:v>
                </c:pt>
              </c:strCache>
            </c:strRef>
          </c:tx>
          <c:spPr>
            <a:ln w="28575" cap="rnd">
              <a:solidFill>
                <a:schemeClr val="accent3"/>
              </a:solidFill>
              <a:round/>
            </a:ln>
            <a:effectLst/>
          </c:spPr>
          <c:marker>
            <c:symbol val="none"/>
          </c:marker>
          <c:cat>
            <c:numRef>
              <c:f>Gearing_Leverage_Analysis!$A$2:$A$7</c:f>
              <c:numCache>
                <c:formatCode>General</c:formatCode>
                <c:ptCount val="6"/>
                <c:pt idx="0">
                  <c:v>2020</c:v>
                </c:pt>
                <c:pt idx="1">
                  <c:v>2021</c:v>
                </c:pt>
                <c:pt idx="2">
                  <c:v>2022</c:v>
                </c:pt>
                <c:pt idx="3">
                  <c:v>2023</c:v>
                </c:pt>
                <c:pt idx="4">
                  <c:v>2024</c:v>
                </c:pt>
              </c:numCache>
            </c:numRef>
          </c:cat>
          <c:val>
            <c:numRef>
              <c:f>Gearing_Leverage_Analysis!$C$2:$C$7</c:f>
              <c:numCache>
                <c:formatCode>General</c:formatCode>
                <c:ptCount val="6"/>
                <c:pt idx="0">
                  <c:v>6.5</c:v>
                </c:pt>
                <c:pt idx="1">
                  <c:v>6</c:v>
                </c:pt>
                <c:pt idx="2">
                  <c:v>5.2</c:v>
                </c:pt>
                <c:pt idx="3">
                  <c:v>-1.8</c:v>
                </c:pt>
                <c:pt idx="4">
                  <c:v>-1.5</c:v>
                </c:pt>
              </c:numCache>
            </c:numRef>
          </c:val>
          <c:smooth val="0"/>
          <c:extLst>
            <c:ext xmlns:c16="http://schemas.microsoft.com/office/drawing/2014/chart" uri="{C3380CC4-5D6E-409C-BE32-E72D297353CC}">
              <c16:uniqueId val="{00000001-B417-42A8-A94E-84DFD6574EDD}"/>
            </c:ext>
          </c:extLst>
        </c:ser>
        <c:dLbls>
          <c:showLegendKey val="0"/>
          <c:showVal val="0"/>
          <c:showCatName val="0"/>
          <c:showSerName val="0"/>
          <c:showPercent val="0"/>
          <c:showBubbleSize val="0"/>
        </c:dLbls>
        <c:smooth val="0"/>
        <c:axId val="884439488"/>
        <c:axId val="884438656"/>
        <c:extLst>
          <c:ext xmlns:c15="http://schemas.microsoft.com/office/drawing/2012/chart" uri="{02D57815-91ED-43cb-92C2-25804820EDAC}">
            <c15:filteredLineSeries>
              <c15:ser>
                <c:idx val="2"/>
                <c:order val="2"/>
                <c:tx>
                  <c:strRef>
                    <c:extLst>
                      <c:ext uri="{02D57815-91ED-43cb-92C2-25804820EDAC}">
                        <c15:formulaRef>
                          <c15:sqref>Gearing_Leverage_Analysis!$D$1</c15:sqref>
                        </c15:formulaRef>
                      </c:ext>
                    </c:extLst>
                    <c:strCache>
                      <c:ptCount val="1"/>
                    </c:strCache>
                  </c:strRef>
                </c:tx>
                <c:spPr>
                  <a:ln w="28575" cap="rnd">
                    <a:solidFill>
                      <a:schemeClr val="accent5"/>
                    </a:solidFill>
                    <a:round/>
                  </a:ln>
                  <a:effectLst/>
                </c:spPr>
                <c:marker>
                  <c:symbol val="none"/>
                </c:marker>
                <c:cat>
                  <c:numRef>
                    <c:extLst>
                      <c:ext uri="{02D57815-91ED-43cb-92C2-25804820EDAC}">
                        <c15:formulaRef>
                          <c15:sqref>Gearing_Leverage_Analysis!$A$2:$A$7</c15:sqref>
                        </c15:formulaRef>
                      </c:ext>
                    </c:extLst>
                    <c:numCache>
                      <c:formatCode>General</c:formatCode>
                      <c:ptCount val="6"/>
                      <c:pt idx="0">
                        <c:v>2020</c:v>
                      </c:pt>
                      <c:pt idx="1">
                        <c:v>2021</c:v>
                      </c:pt>
                      <c:pt idx="2">
                        <c:v>2022</c:v>
                      </c:pt>
                      <c:pt idx="3">
                        <c:v>2023</c:v>
                      </c:pt>
                      <c:pt idx="4">
                        <c:v>2024</c:v>
                      </c:pt>
                    </c:numCache>
                  </c:numRef>
                </c:cat>
                <c:val>
                  <c:numRef>
                    <c:extLst>
                      <c:ext uri="{02D57815-91ED-43cb-92C2-25804820EDAC}">
                        <c15:formulaRef>
                          <c15:sqref>Gearing_Leverage_Analysis!$D$2:$D$7</c15:sqref>
                        </c15:formulaRef>
                      </c:ext>
                    </c:extLst>
                    <c:numCache>
                      <c:formatCode>General</c:formatCode>
                      <c:ptCount val="6"/>
                    </c:numCache>
                  </c:numRef>
                </c:val>
                <c:smooth val="0"/>
                <c:extLst>
                  <c:ext xmlns:c16="http://schemas.microsoft.com/office/drawing/2014/chart" uri="{C3380CC4-5D6E-409C-BE32-E72D297353CC}">
                    <c16:uniqueId val="{00000002-B417-42A8-A94E-84DFD6574EDD}"/>
                  </c:ext>
                </c:extLst>
              </c15:ser>
            </c15:filteredLineSeries>
          </c:ext>
        </c:extLst>
      </c:lineChart>
      <c:catAx>
        <c:axId val="88443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438656"/>
        <c:crosses val="autoZero"/>
        <c:auto val="1"/>
        <c:lblAlgn val="ctr"/>
        <c:lblOffset val="100"/>
        <c:noMultiLvlLbl val="0"/>
      </c:catAx>
      <c:valAx>
        <c:axId val="884438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43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Working Capital Components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Working_Capital!$A$2:$A$6</c:f>
              <c:numCache>
                <c:formatCode>General</c:formatCode>
                <c:ptCount val="5"/>
                <c:pt idx="0">
                  <c:v>2020</c:v>
                </c:pt>
                <c:pt idx="1">
                  <c:v>2021</c:v>
                </c:pt>
                <c:pt idx="2">
                  <c:v>2022</c:v>
                </c:pt>
                <c:pt idx="3">
                  <c:v>2023</c:v>
                </c:pt>
                <c:pt idx="4">
                  <c:v>2024</c:v>
                </c:pt>
              </c:numCache>
            </c:numRef>
          </c:cat>
          <c:val>
            <c:numRef>
              <c:f>Working_Capital!$B$2:$B$6</c:f>
              <c:numCache>
                <c:formatCode>General</c:formatCode>
                <c:ptCount val="5"/>
                <c:pt idx="0">
                  <c:v>120430</c:v>
                </c:pt>
                <c:pt idx="1">
                  <c:v>134469</c:v>
                </c:pt>
                <c:pt idx="2">
                  <c:v>140181</c:v>
                </c:pt>
                <c:pt idx="3">
                  <c:v>88273</c:v>
                </c:pt>
                <c:pt idx="4">
                  <c:v>79355</c:v>
                </c:pt>
              </c:numCache>
            </c:numRef>
          </c:val>
          <c:smooth val="0"/>
          <c:extLst>
            <c:ext xmlns:c16="http://schemas.microsoft.com/office/drawing/2014/chart" uri="{C3380CC4-5D6E-409C-BE32-E72D297353CC}">
              <c16:uniqueId val="{00000000-6841-4BA7-89E7-7AF650CE3A73}"/>
            </c:ext>
          </c:extLst>
        </c:ser>
        <c:ser>
          <c:idx val="1"/>
          <c:order val="1"/>
          <c:spPr>
            <a:ln w="28575" cap="rnd">
              <a:solidFill>
                <a:schemeClr val="accent2"/>
              </a:solidFill>
              <a:round/>
            </a:ln>
            <a:effectLst/>
          </c:spPr>
          <c:marker>
            <c:symbol val="none"/>
          </c:marker>
          <c:cat>
            <c:numRef>
              <c:f>Working_Capital!$A$2:$A$6</c:f>
              <c:numCache>
                <c:formatCode>General</c:formatCode>
                <c:ptCount val="5"/>
                <c:pt idx="0">
                  <c:v>2020</c:v>
                </c:pt>
                <c:pt idx="1">
                  <c:v>2021</c:v>
                </c:pt>
                <c:pt idx="2">
                  <c:v>2022</c:v>
                </c:pt>
                <c:pt idx="3">
                  <c:v>2023</c:v>
                </c:pt>
                <c:pt idx="4">
                  <c:v>2024</c:v>
                </c:pt>
              </c:numCache>
            </c:numRef>
          </c:cat>
          <c:val>
            <c:numRef>
              <c:f>Working_Capital!$C$2:$C$6</c:f>
              <c:numCache>
                <c:formatCode>General</c:formatCode>
                <c:ptCount val="5"/>
                <c:pt idx="0">
                  <c:v>129433</c:v>
                </c:pt>
                <c:pt idx="1">
                  <c:v>129215</c:v>
                </c:pt>
                <c:pt idx="2">
                  <c:v>112346</c:v>
                </c:pt>
                <c:pt idx="3">
                  <c:v>112596</c:v>
                </c:pt>
                <c:pt idx="4">
                  <c:v>114182</c:v>
                </c:pt>
              </c:numCache>
            </c:numRef>
          </c:val>
          <c:smooth val="0"/>
          <c:extLst>
            <c:ext xmlns:c16="http://schemas.microsoft.com/office/drawing/2014/chart" uri="{C3380CC4-5D6E-409C-BE32-E72D297353CC}">
              <c16:uniqueId val="{00000001-6841-4BA7-89E7-7AF650CE3A73}"/>
            </c:ext>
          </c:extLst>
        </c:ser>
        <c:ser>
          <c:idx val="2"/>
          <c:order val="2"/>
          <c:spPr>
            <a:ln w="28575" cap="rnd">
              <a:solidFill>
                <a:schemeClr val="accent3"/>
              </a:solidFill>
              <a:round/>
            </a:ln>
            <a:effectLst/>
          </c:spPr>
          <c:marker>
            <c:symbol val="none"/>
          </c:marker>
          <c:cat>
            <c:numRef>
              <c:f>Working_Capital!$A$2:$A$6</c:f>
              <c:numCache>
                <c:formatCode>General</c:formatCode>
                <c:ptCount val="5"/>
                <c:pt idx="0">
                  <c:v>2020</c:v>
                </c:pt>
                <c:pt idx="1">
                  <c:v>2021</c:v>
                </c:pt>
                <c:pt idx="2">
                  <c:v>2022</c:v>
                </c:pt>
                <c:pt idx="3">
                  <c:v>2023</c:v>
                </c:pt>
                <c:pt idx="4">
                  <c:v>2024</c:v>
                </c:pt>
              </c:numCache>
            </c:numRef>
          </c:cat>
          <c:val>
            <c:numRef>
              <c:f>Working_Capital!$D$2:$D$6</c:f>
              <c:numCache>
                <c:formatCode>General</c:formatCode>
                <c:ptCount val="5"/>
                <c:pt idx="0">
                  <c:v>83229</c:v>
                </c:pt>
                <c:pt idx="1">
                  <c:v>92707</c:v>
                </c:pt>
                <c:pt idx="2">
                  <c:v>71373</c:v>
                </c:pt>
                <c:pt idx="3">
                  <c:v>57033</c:v>
                </c:pt>
                <c:pt idx="4">
                  <c:v>72031</c:v>
                </c:pt>
              </c:numCache>
            </c:numRef>
          </c:val>
          <c:smooth val="0"/>
          <c:extLst>
            <c:ext xmlns:c16="http://schemas.microsoft.com/office/drawing/2014/chart" uri="{C3380CC4-5D6E-409C-BE32-E72D297353CC}">
              <c16:uniqueId val="{00000002-6841-4BA7-89E7-7AF650CE3A73}"/>
            </c:ext>
          </c:extLst>
        </c:ser>
        <c:ser>
          <c:idx val="3"/>
          <c:order val="3"/>
          <c:spPr>
            <a:ln w="28575" cap="rnd">
              <a:solidFill>
                <a:schemeClr val="accent4"/>
              </a:solidFill>
              <a:round/>
            </a:ln>
            <a:effectLst/>
          </c:spPr>
          <c:marker>
            <c:symbol val="none"/>
          </c:marker>
          <c:cat>
            <c:numRef>
              <c:f>Working_Capital!$A$2:$A$6</c:f>
              <c:numCache>
                <c:formatCode>General</c:formatCode>
                <c:ptCount val="5"/>
                <c:pt idx="0">
                  <c:v>2020</c:v>
                </c:pt>
                <c:pt idx="1">
                  <c:v>2021</c:v>
                </c:pt>
                <c:pt idx="2">
                  <c:v>2022</c:v>
                </c:pt>
                <c:pt idx="3">
                  <c:v>2023</c:v>
                </c:pt>
                <c:pt idx="4">
                  <c:v>2024</c:v>
                </c:pt>
              </c:numCache>
            </c:numRef>
          </c:cat>
          <c:val>
            <c:numRef>
              <c:f>Working_Capital!$E$2:$E$6</c:f>
              <c:numCache>
                <c:formatCode>General</c:formatCode>
                <c:ptCount val="5"/>
                <c:pt idx="0">
                  <c:v>166863</c:v>
                </c:pt>
                <c:pt idx="1">
                  <c:v>170977</c:v>
                </c:pt>
                <c:pt idx="2">
                  <c:v>181154</c:v>
                </c:pt>
                <c:pt idx="3">
                  <c:v>143836</c:v>
                </c:pt>
                <c:pt idx="4">
                  <c:v>121506</c:v>
                </c:pt>
              </c:numCache>
            </c:numRef>
          </c:val>
          <c:smooth val="0"/>
          <c:extLst>
            <c:ext xmlns:c16="http://schemas.microsoft.com/office/drawing/2014/chart" uri="{C3380CC4-5D6E-409C-BE32-E72D297353CC}">
              <c16:uniqueId val="{00000003-6841-4BA7-89E7-7AF650CE3A73}"/>
            </c:ext>
          </c:extLst>
        </c:ser>
        <c:dLbls>
          <c:showLegendKey val="0"/>
          <c:showVal val="0"/>
          <c:showCatName val="0"/>
          <c:showSerName val="0"/>
          <c:showPercent val="0"/>
          <c:showBubbleSize val="0"/>
        </c:dLbls>
        <c:smooth val="0"/>
        <c:axId val="258508944"/>
        <c:axId val="258508528"/>
        <c:extLst>
          <c:ext xmlns:c15="http://schemas.microsoft.com/office/drawing/2012/chart" uri="{02D57815-91ED-43cb-92C2-25804820EDAC}">
            <c15:filteredLineSeries>
              <c15:ser>
                <c:idx val="4"/>
                <c:order val="4"/>
                <c:spPr>
                  <a:ln w="28575" cap="rnd">
                    <a:solidFill>
                      <a:schemeClr val="accent5"/>
                    </a:solidFill>
                    <a:round/>
                  </a:ln>
                  <a:effectLst/>
                </c:spPr>
                <c:marker>
                  <c:symbol val="none"/>
                </c:marker>
                <c:cat>
                  <c:numRef>
                    <c:extLst>
                      <c:ext uri="{02D57815-91ED-43cb-92C2-25804820EDAC}">
                        <c15:formulaRef>
                          <c15:sqref>Working_Capital!$A$2:$A$6</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Working_Capital!$F$2:$F$6</c15:sqref>
                        </c15:formulaRef>
                      </c:ext>
                    </c:extLst>
                    <c:numCache>
                      <c:formatCode>General</c:formatCode>
                      <c:ptCount val="5"/>
                    </c:numCache>
                  </c:numRef>
                </c:val>
                <c:smooth val="0"/>
                <c:extLst>
                  <c:ext xmlns:c16="http://schemas.microsoft.com/office/drawing/2014/chart" uri="{C3380CC4-5D6E-409C-BE32-E72D297353CC}">
                    <c16:uniqueId val="{00000004-6841-4BA7-89E7-7AF650CE3A73}"/>
                  </c:ext>
                </c:extLst>
              </c15:ser>
            </c15:filteredLineSeries>
          </c:ext>
        </c:extLst>
      </c:lineChart>
      <c:catAx>
        <c:axId val="25850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08528"/>
        <c:crosses val="autoZero"/>
        <c:auto val="1"/>
        <c:lblAlgn val="ctr"/>
        <c:lblOffset val="100"/>
        <c:noMultiLvlLbl val="0"/>
      </c:catAx>
      <c:valAx>
        <c:axId val="25850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508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Cash Operating (Conversion) Cycle of General Electronics (2020–2024)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Cash_Conversion_Cycle!$A$2:$A$7</c:f>
              <c:numCache>
                <c:formatCode>General</c:formatCode>
                <c:ptCount val="6"/>
                <c:pt idx="0">
                  <c:v>2020</c:v>
                </c:pt>
                <c:pt idx="1">
                  <c:v>2021</c:v>
                </c:pt>
                <c:pt idx="2">
                  <c:v>2022</c:v>
                </c:pt>
                <c:pt idx="3">
                  <c:v>2023</c:v>
                </c:pt>
                <c:pt idx="4">
                  <c:v>2024</c:v>
                </c:pt>
              </c:numCache>
            </c:numRef>
          </c:cat>
          <c:val>
            <c:numRef>
              <c:f>Cash_Conversion_Cycle!$B$2:$B$7</c:f>
              <c:numCache>
                <c:formatCode>General</c:formatCode>
                <c:ptCount val="6"/>
                <c:pt idx="0">
                  <c:v>100.3</c:v>
                </c:pt>
                <c:pt idx="1">
                  <c:v>114.6</c:v>
                </c:pt>
                <c:pt idx="2">
                  <c:v>131.1</c:v>
                </c:pt>
                <c:pt idx="3">
                  <c:v>99.7</c:v>
                </c:pt>
                <c:pt idx="4">
                  <c:v>103.1</c:v>
                </c:pt>
              </c:numCache>
            </c:numRef>
          </c:val>
          <c:smooth val="0"/>
          <c:extLst>
            <c:ext xmlns:c16="http://schemas.microsoft.com/office/drawing/2014/chart" uri="{C3380CC4-5D6E-409C-BE32-E72D297353CC}">
              <c16:uniqueId val="{00000000-5DFF-4442-840F-3946CA4F1EBC}"/>
            </c:ext>
          </c:extLst>
        </c:ser>
        <c:ser>
          <c:idx val="1"/>
          <c:order val="1"/>
          <c:spPr>
            <a:ln w="28575" cap="rnd">
              <a:solidFill>
                <a:schemeClr val="accent2"/>
              </a:solidFill>
              <a:round/>
            </a:ln>
            <a:effectLst/>
          </c:spPr>
          <c:marker>
            <c:symbol val="none"/>
          </c:marker>
          <c:cat>
            <c:numRef>
              <c:f>Cash_Conversion_Cycle!$A$2:$A$7</c:f>
              <c:numCache>
                <c:formatCode>General</c:formatCode>
                <c:ptCount val="6"/>
                <c:pt idx="0">
                  <c:v>2020</c:v>
                </c:pt>
                <c:pt idx="1">
                  <c:v>2021</c:v>
                </c:pt>
                <c:pt idx="2">
                  <c:v>2022</c:v>
                </c:pt>
                <c:pt idx="3">
                  <c:v>2023</c:v>
                </c:pt>
                <c:pt idx="4">
                  <c:v>2024</c:v>
                </c:pt>
              </c:numCache>
            </c:numRef>
          </c:cat>
          <c:val>
            <c:numRef>
              <c:f>Cash_Conversion_Cycle!$C$2:$C$7</c:f>
              <c:numCache>
                <c:formatCode>General</c:formatCode>
                <c:ptCount val="6"/>
                <c:pt idx="0">
                  <c:v>76.8</c:v>
                </c:pt>
                <c:pt idx="1">
                  <c:v>78.400000000000006</c:v>
                </c:pt>
                <c:pt idx="2">
                  <c:v>75.599999999999994</c:v>
                </c:pt>
                <c:pt idx="3">
                  <c:v>97.7</c:v>
                </c:pt>
                <c:pt idx="4">
                  <c:v>105.4</c:v>
                </c:pt>
              </c:numCache>
            </c:numRef>
          </c:val>
          <c:smooth val="0"/>
          <c:extLst>
            <c:ext xmlns:c16="http://schemas.microsoft.com/office/drawing/2014/chart" uri="{C3380CC4-5D6E-409C-BE32-E72D297353CC}">
              <c16:uniqueId val="{00000001-5DFF-4442-840F-3946CA4F1EBC}"/>
            </c:ext>
          </c:extLst>
        </c:ser>
        <c:ser>
          <c:idx val="2"/>
          <c:order val="2"/>
          <c:spPr>
            <a:ln w="28575" cap="rnd">
              <a:solidFill>
                <a:schemeClr val="accent3"/>
              </a:solidFill>
              <a:round/>
            </a:ln>
            <a:effectLst/>
          </c:spPr>
          <c:marker>
            <c:symbol val="none"/>
          </c:marker>
          <c:cat>
            <c:numRef>
              <c:f>Cash_Conversion_Cycle!$A$2:$A$7</c:f>
              <c:numCache>
                <c:formatCode>General</c:formatCode>
                <c:ptCount val="6"/>
                <c:pt idx="0">
                  <c:v>2020</c:v>
                </c:pt>
                <c:pt idx="1">
                  <c:v>2021</c:v>
                </c:pt>
                <c:pt idx="2">
                  <c:v>2022</c:v>
                </c:pt>
                <c:pt idx="3">
                  <c:v>2023</c:v>
                </c:pt>
                <c:pt idx="4">
                  <c:v>2024</c:v>
                </c:pt>
              </c:numCache>
            </c:numRef>
          </c:cat>
          <c:val>
            <c:numRef>
              <c:f>Cash_Conversion_Cycle!$D$2:$D$7</c:f>
              <c:numCache>
                <c:formatCode>General</c:formatCode>
                <c:ptCount val="6"/>
                <c:pt idx="0">
                  <c:v>69.3</c:v>
                </c:pt>
                <c:pt idx="1">
                  <c:v>79.099999999999994</c:v>
                </c:pt>
                <c:pt idx="2">
                  <c:v>66.7</c:v>
                </c:pt>
                <c:pt idx="3">
                  <c:v>64.3</c:v>
                </c:pt>
                <c:pt idx="4">
                  <c:v>93.6</c:v>
                </c:pt>
              </c:numCache>
            </c:numRef>
          </c:val>
          <c:smooth val="0"/>
          <c:extLst>
            <c:ext xmlns:c16="http://schemas.microsoft.com/office/drawing/2014/chart" uri="{C3380CC4-5D6E-409C-BE32-E72D297353CC}">
              <c16:uniqueId val="{00000002-5DFF-4442-840F-3946CA4F1EBC}"/>
            </c:ext>
          </c:extLst>
        </c:ser>
        <c:ser>
          <c:idx val="3"/>
          <c:order val="3"/>
          <c:spPr>
            <a:ln w="28575" cap="rnd">
              <a:solidFill>
                <a:schemeClr val="accent4"/>
              </a:solidFill>
              <a:round/>
            </a:ln>
            <a:effectLst/>
          </c:spPr>
          <c:marker>
            <c:symbol val="none"/>
          </c:marker>
          <c:cat>
            <c:numRef>
              <c:f>Cash_Conversion_Cycle!$A$2:$A$7</c:f>
              <c:numCache>
                <c:formatCode>General</c:formatCode>
                <c:ptCount val="6"/>
                <c:pt idx="0">
                  <c:v>2020</c:v>
                </c:pt>
                <c:pt idx="1">
                  <c:v>2021</c:v>
                </c:pt>
                <c:pt idx="2">
                  <c:v>2022</c:v>
                </c:pt>
                <c:pt idx="3">
                  <c:v>2023</c:v>
                </c:pt>
                <c:pt idx="4">
                  <c:v>2024</c:v>
                </c:pt>
              </c:numCache>
            </c:numRef>
          </c:cat>
          <c:val>
            <c:numRef>
              <c:f>Cash_Conversion_Cycle!$E$2:$E$7</c:f>
              <c:numCache>
                <c:formatCode>General</c:formatCode>
                <c:ptCount val="6"/>
                <c:pt idx="0">
                  <c:v>107.8</c:v>
                </c:pt>
                <c:pt idx="1">
                  <c:v>113.9</c:v>
                </c:pt>
                <c:pt idx="2">
                  <c:v>140</c:v>
                </c:pt>
                <c:pt idx="3">
                  <c:v>133.1</c:v>
                </c:pt>
                <c:pt idx="4">
                  <c:v>114.9</c:v>
                </c:pt>
              </c:numCache>
            </c:numRef>
          </c:val>
          <c:smooth val="0"/>
          <c:extLst>
            <c:ext xmlns:c16="http://schemas.microsoft.com/office/drawing/2014/chart" uri="{C3380CC4-5D6E-409C-BE32-E72D297353CC}">
              <c16:uniqueId val="{00000003-5DFF-4442-840F-3946CA4F1EBC}"/>
            </c:ext>
          </c:extLst>
        </c:ser>
        <c:dLbls>
          <c:showLegendKey val="0"/>
          <c:showVal val="0"/>
          <c:showCatName val="0"/>
          <c:showSerName val="0"/>
          <c:showPercent val="0"/>
          <c:showBubbleSize val="0"/>
        </c:dLbls>
        <c:smooth val="0"/>
        <c:axId val="325610272"/>
        <c:axId val="325607360"/>
        <c:extLst>
          <c:ext xmlns:c15="http://schemas.microsoft.com/office/drawing/2012/chart" uri="{02D57815-91ED-43cb-92C2-25804820EDAC}">
            <c15:filteredLineSeries>
              <c15:ser>
                <c:idx val="4"/>
                <c:order val="4"/>
                <c:spPr>
                  <a:ln w="28575" cap="rnd">
                    <a:solidFill>
                      <a:schemeClr val="accent5"/>
                    </a:solidFill>
                    <a:round/>
                  </a:ln>
                  <a:effectLst/>
                </c:spPr>
                <c:marker>
                  <c:symbol val="none"/>
                </c:marker>
                <c:cat>
                  <c:numRef>
                    <c:extLst>
                      <c:ext uri="{02D57815-91ED-43cb-92C2-25804820EDAC}">
                        <c15:formulaRef>
                          <c15:sqref>Cash_Conversion_Cycle!$A$2:$A$7</c15:sqref>
                        </c15:formulaRef>
                      </c:ext>
                    </c:extLst>
                    <c:numCache>
                      <c:formatCode>General</c:formatCode>
                      <c:ptCount val="6"/>
                      <c:pt idx="0">
                        <c:v>2020</c:v>
                      </c:pt>
                      <c:pt idx="1">
                        <c:v>2021</c:v>
                      </c:pt>
                      <c:pt idx="2">
                        <c:v>2022</c:v>
                      </c:pt>
                      <c:pt idx="3">
                        <c:v>2023</c:v>
                      </c:pt>
                      <c:pt idx="4">
                        <c:v>2024</c:v>
                      </c:pt>
                    </c:numCache>
                  </c:numRef>
                </c:cat>
                <c:val>
                  <c:numRef>
                    <c:extLst>
                      <c:ext uri="{02D57815-91ED-43cb-92C2-25804820EDAC}">
                        <c15:formulaRef>
                          <c15:sqref>Cash_Conversion_Cycle!$F$2:$F$7</c15:sqref>
                        </c15:formulaRef>
                      </c:ext>
                    </c:extLst>
                    <c:numCache>
                      <c:formatCode>General</c:formatCode>
                      <c:ptCount val="6"/>
                    </c:numCache>
                  </c:numRef>
                </c:val>
                <c:smooth val="0"/>
                <c:extLst>
                  <c:ext xmlns:c16="http://schemas.microsoft.com/office/drawing/2014/chart" uri="{C3380CC4-5D6E-409C-BE32-E72D297353CC}">
                    <c16:uniqueId val="{00000004-5DFF-4442-840F-3946CA4F1EBC}"/>
                  </c:ext>
                </c:extLst>
              </c15:ser>
            </c15:filteredLineSeries>
          </c:ext>
        </c:extLst>
      </c:lineChart>
      <c:catAx>
        <c:axId val="325610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607360"/>
        <c:crosses val="autoZero"/>
        <c:auto val="1"/>
        <c:lblAlgn val="ctr"/>
        <c:lblOffset val="100"/>
        <c:noMultiLvlLbl val="0"/>
      </c:catAx>
      <c:valAx>
        <c:axId val="32560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610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Capital Structure Before and After Equity Injection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Capital_Structure!$A$2</c:f>
              <c:strCache>
                <c:ptCount val="1"/>
                <c:pt idx="0">
                  <c:v>Debt</c:v>
                </c:pt>
              </c:strCache>
            </c:strRef>
          </c:tx>
          <c:spPr>
            <a:solidFill>
              <a:schemeClr val="accent1"/>
            </a:solidFill>
            <a:ln>
              <a:noFill/>
            </a:ln>
            <a:effectLst/>
          </c:spPr>
          <c:invertIfNegative val="0"/>
          <c:cat>
            <c:strRef>
              <c:f>Capital_Structure!$B$1:$D$1</c:f>
              <c:strCache>
                <c:ptCount val="2"/>
                <c:pt idx="0">
                  <c:v>Before Equity Injection (£m)</c:v>
                </c:pt>
                <c:pt idx="1">
                  <c:v>After Equity Injection (£m)</c:v>
                </c:pt>
              </c:strCache>
            </c:strRef>
          </c:cat>
          <c:val>
            <c:numRef>
              <c:f>Capital_Structure!$B$2:$D$2</c:f>
              <c:numCache>
                <c:formatCode>General</c:formatCode>
                <c:ptCount val="3"/>
                <c:pt idx="0">
                  <c:v>170249</c:v>
                </c:pt>
                <c:pt idx="1">
                  <c:v>150249</c:v>
                </c:pt>
              </c:numCache>
            </c:numRef>
          </c:val>
          <c:extLst>
            <c:ext xmlns:c16="http://schemas.microsoft.com/office/drawing/2014/chart" uri="{C3380CC4-5D6E-409C-BE32-E72D297353CC}">
              <c16:uniqueId val="{00000000-23AB-4960-9E9D-D139973F9D2A}"/>
            </c:ext>
          </c:extLst>
        </c:ser>
        <c:ser>
          <c:idx val="1"/>
          <c:order val="1"/>
          <c:tx>
            <c:strRef>
              <c:f>Capital_Structure!$A$3</c:f>
              <c:strCache>
                <c:ptCount val="1"/>
                <c:pt idx="0">
                  <c:v>Equity</c:v>
                </c:pt>
              </c:strCache>
            </c:strRef>
          </c:tx>
          <c:spPr>
            <a:solidFill>
              <a:schemeClr val="accent2"/>
            </a:solidFill>
            <a:ln>
              <a:noFill/>
            </a:ln>
            <a:effectLst/>
          </c:spPr>
          <c:invertIfNegative val="0"/>
          <c:cat>
            <c:strRef>
              <c:f>Capital_Structure!$B$1:$D$1</c:f>
              <c:strCache>
                <c:ptCount val="2"/>
                <c:pt idx="0">
                  <c:v>Before Equity Injection (£m)</c:v>
                </c:pt>
                <c:pt idx="1">
                  <c:v>After Equity Injection (£m)</c:v>
                </c:pt>
              </c:strCache>
            </c:strRef>
          </c:cat>
          <c:val>
            <c:numRef>
              <c:f>Capital_Structure!$B$3:$D$3</c:f>
              <c:numCache>
                <c:formatCode>General</c:formatCode>
                <c:ptCount val="3"/>
                <c:pt idx="0">
                  <c:v>153105</c:v>
                </c:pt>
                <c:pt idx="1">
                  <c:v>173105</c:v>
                </c:pt>
              </c:numCache>
            </c:numRef>
          </c:val>
          <c:extLst>
            <c:ext xmlns:c16="http://schemas.microsoft.com/office/drawing/2014/chart" uri="{C3380CC4-5D6E-409C-BE32-E72D297353CC}">
              <c16:uniqueId val="{00000001-23AB-4960-9E9D-D139973F9D2A}"/>
            </c:ext>
          </c:extLst>
        </c:ser>
        <c:dLbls>
          <c:showLegendKey val="0"/>
          <c:showVal val="0"/>
          <c:showCatName val="0"/>
          <c:showSerName val="0"/>
          <c:showPercent val="0"/>
          <c:showBubbleSize val="0"/>
        </c:dLbls>
        <c:gapWidth val="182"/>
        <c:axId val="1470923232"/>
        <c:axId val="1470921152"/>
        <c:extLst>
          <c:ext xmlns:c15="http://schemas.microsoft.com/office/drawing/2012/chart" uri="{02D57815-91ED-43cb-92C2-25804820EDAC}">
            <c15:filteredBarSeries>
              <c15:ser>
                <c:idx val="2"/>
                <c:order val="2"/>
                <c:tx>
                  <c:strRef>
                    <c:extLst>
                      <c:ext uri="{02D57815-91ED-43cb-92C2-25804820EDAC}">
                        <c15:formulaRef>
                          <c15:sqref>Capital_Structure!$A$4</c15:sqref>
                        </c15:formulaRef>
                      </c:ext>
                    </c:extLst>
                    <c:strCache>
                      <c:ptCount val="1"/>
                    </c:strCache>
                  </c:strRef>
                </c:tx>
                <c:spPr>
                  <a:solidFill>
                    <a:schemeClr val="accent3"/>
                  </a:solidFill>
                  <a:ln>
                    <a:noFill/>
                  </a:ln>
                  <a:effectLst/>
                </c:spPr>
                <c:invertIfNegative val="0"/>
                <c:cat>
                  <c:strRef>
                    <c:extLst>
                      <c:ext uri="{02D57815-91ED-43cb-92C2-25804820EDAC}">
                        <c15:formulaRef>
                          <c15:sqref>Capital_Structure!$B$1:$D$1</c15:sqref>
                        </c15:formulaRef>
                      </c:ext>
                    </c:extLst>
                    <c:strCache>
                      <c:ptCount val="2"/>
                      <c:pt idx="0">
                        <c:v>Before Equity Injection (£m)</c:v>
                      </c:pt>
                      <c:pt idx="1">
                        <c:v>After Equity Injection (£m)</c:v>
                      </c:pt>
                    </c:strCache>
                  </c:strRef>
                </c:cat>
                <c:val>
                  <c:numRef>
                    <c:extLst>
                      <c:ext uri="{02D57815-91ED-43cb-92C2-25804820EDAC}">
                        <c15:formulaRef>
                          <c15:sqref>Capital_Structure!$B$4:$D$4</c15:sqref>
                        </c15:formulaRef>
                      </c:ext>
                    </c:extLst>
                    <c:numCache>
                      <c:formatCode>General</c:formatCode>
                      <c:ptCount val="3"/>
                    </c:numCache>
                  </c:numRef>
                </c:val>
                <c:extLst>
                  <c:ext xmlns:c16="http://schemas.microsoft.com/office/drawing/2014/chart" uri="{C3380CC4-5D6E-409C-BE32-E72D297353CC}">
                    <c16:uniqueId val="{00000002-23AB-4960-9E9D-D139973F9D2A}"/>
                  </c:ext>
                </c:extLst>
              </c15:ser>
            </c15:filteredBarSeries>
          </c:ext>
        </c:extLst>
      </c:barChart>
      <c:catAx>
        <c:axId val="1470923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921152"/>
        <c:crosses val="autoZero"/>
        <c:auto val="1"/>
        <c:lblAlgn val="ctr"/>
        <c:lblOffset val="100"/>
        <c:noMultiLvlLbl val="0"/>
      </c:catAx>
      <c:valAx>
        <c:axId val="1470921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092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Project Cash Flow Information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'C:\Users\SARMIN\Downloads\[Investment_Appraisal_All_Calculations.xlsx]Cash_Flows'!$B$1</c:f>
              <c:strCache>
                <c:ptCount val="1"/>
                <c:pt idx="0">
                  <c:v>Project A (£m)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[2]Cash_Flows!$A$2:$A$8</c:f>
              <c:numCache>
                <c:formatCode>General</c:formatCode>
                <c:ptCount val="7"/>
                <c:pt idx="0">
                  <c:v>0</c:v>
                </c:pt>
                <c:pt idx="1">
                  <c:v>1</c:v>
                </c:pt>
                <c:pt idx="2">
                  <c:v>2</c:v>
                </c:pt>
                <c:pt idx="3">
                  <c:v>3</c:v>
                </c:pt>
                <c:pt idx="4">
                  <c:v>4</c:v>
                </c:pt>
                <c:pt idx="5">
                  <c:v>5</c:v>
                </c:pt>
              </c:numCache>
            </c:numRef>
          </c:cat>
          <c:val>
            <c:numRef>
              <c:f>[2]Cash_Flows!$B$2:$B$8</c:f>
              <c:numCache>
                <c:formatCode>General</c:formatCode>
                <c:ptCount val="7"/>
                <c:pt idx="0">
                  <c:v>-40</c:v>
                </c:pt>
                <c:pt idx="1">
                  <c:v>10</c:v>
                </c:pt>
                <c:pt idx="2">
                  <c:v>12</c:v>
                </c:pt>
                <c:pt idx="3">
                  <c:v>14</c:v>
                </c:pt>
                <c:pt idx="4">
                  <c:v>10</c:v>
                </c:pt>
                <c:pt idx="5">
                  <c:v>8</c:v>
                </c:pt>
              </c:numCache>
            </c:numRef>
          </c:val>
          <c:extLst>
            <c:ext xmlns:c16="http://schemas.microsoft.com/office/drawing/2014/chart" uri="{C3380CC4-5D6E-409C-BE32-E72D297353CC}">
              <c16:uniqueId val="{00000000-FA32-4EB4-BB55-B0E5EF03EA54}"/>
            </c:ext>
          </c:extLst>
        </c:ser>
        <c:ser>
          <c:idx val="1"/>
          <c:order val="1"/>
          <c:tx>
            <c:strRef>
              <c:f>'C:\Users\SARMIN\Downloads\[Investment_Appraisal_All_Calculations.xlsx]Cash_Flows'!$C$1</c:f>
              <c:strCache>
                <c:ptCount val="1"/>
                <c:pt idx="0">
                  <c:v>Project B (£m)</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[2]Cash_Flows!$A$2:$A$8</c:f>
              <c:numCache>
                <c:formatCode>General</c:formatCode>
                <c:ptCount val="7"/>
                <c:pt idx="0">
                  <c:v>0</c:v>
                </c:pt>
                <c:pt idx="1">
                  <c:v>1</c:v>
                </c:pt>
                <c:pt idx="2">
                  <c:v>2</c:v>
                </c:pt>
                <c:pt idx="3">
                  <c:v>3</c:v>
                </c:pt>
                <c:pt idx="4">
                  <c:v>4</c:v>
                </c:pt>
                <c:pt idx="5">
                  <c:v>5</c:v>
                </c:pt>
              </c:numCache>
            </c:numRef>
          </c:cat>
          <c:val>
            <c:numRef>
              <c:f>[2]Cash_Flows!$C$2:$C$8</c:f>
              <c:numCache>
                <c:formatCode>General</c:formatCode>
                <c:ptCount val="7"/>
                <c:pt idx="0">
                  <c:v>-30</c:v>
                </c:pt>
                <c:pt idx="1">
                  <c:v>6</c:v>
                </c:pt>
                <c:pt idx="2">
                  <c:v>6</c:v>
                </c:pt>
                <c:pt idx="3">
                  <c:v>6</c:v>
                </c:pt>
                <c:pt idx="4">
                  <c:v>6</c:v>
                </c:pt>
                <c:pt idx="5">
                  <c:v>6</c:v>
                </c:pt>
              </c:numCache>
            </c:numRef>
          </c:val>
          <c:extLst>
            <c:ext xmlns:c16="http://schemas.microsoft.com/office/drawing/2014/chart" uri="{C3380CC4-5D6E-409C-BE32-E72D297353CC}">
              <c16:uniqueId val="{00000001-FA32-4EB4-BB55-B0E5EF03EA54}"/>
            </c:ext>
          </c:extLst>
        </c:ser>
        <c:ser>
          <c:idx val="2"/>
          <c:order val="2"/>
          <c:tx>
            <c:strRef>
              <c:f>'C:\Users\SARMIN\Downloads\[Investment_Appraisal_All_Calculations.xlsx]Cash_Flows'!$D$1</c:f>
              <c:strCache>
                <c:ptCount val="1"/>
                <c:pt idx="0">
                  <c:v>Project C (£m)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[2]Cash_Flows!$A$2:$A$8</c:f>
              <c:numCache>
                <c:formatCode>General</c:formatCode>
                <c:ptCount val="7"/>
                <c:pt idx="0">
                  <c:v>0</c:v>
                </c:pt>
                <c:pt idx="1">
                  <c:v>1</c:v>
                </c:pt>
                <c:pt idx="2">
                  <c:v>2</c:v>
                </c:pt>
                <c:pt idx="3">
                  <c:v>3</c:v>
                </c:pt>
                <c:pt idx="4">
                  <c:v>4</c:v>
                </c:pt>
                <c:pt idx="5">
                  <c:v>5</c:v>
                </c:pt>
              </c:numCache>
            </c:numRef>
          </c:cat>
          <c:val>
            <c:numRef>
              <c:f>[2]Cash_Flows!$D$2:$D$8</c:f>
              <c:numCache>
                <c:formatCode>General</c:formatCode>
                <c:ptCount val="7"/>
                <c:pt idx="0">
                  <c:v>-50</c:v>
                </c:pt>
                <c:pt idx="1">
                  <c:v>5</c:v>
                </c:pt>
                <c:pt idx="2">
                  <c:v>10</c:v>
                </c:pt>
                <c:pt idx="3">
                  <c:v>20</c:v>
                </c:pt>
                <c:pt idx="4">
                  <c:v>25</c:v>
                </c:pt>
                <c:pt idx="5">
                  <c:v>15</c:v>
                </c:pt>
              </c:numCache>
            </c:numRef>
          </c:val>
          <c:extLst>
            <c:ext xmlns:c16="http://schemas.microsoft.com/office/drawing/2014/chart" uri="{C3380CC4-5D6E-409C-BE32-E72D297353CC}">
              <c16:uniqueId val="{00000002-FA32-4EB4-BB55-B0E5EF03EA54}"/>
            </c:ext>
          </c:extLst>
        </c:ser>
        <c:dLbls>
          <c:dLblPos val="inEnd"/>
          <c:showLegendKey val="0"/>
          <c:showVal val="1"/>
          <c:showCatName val="0"/>
          <c:showSerName val="0"/>
          <c:showPercent val="0"/>
          <c:showBubbleSize val="0"/>
        </c:dLbls>
        <c:gapWidth val="219"/>
        <c:overlap val="-27"/>
        <c:axId val="1567672208"/>
        <c:axId val="1567670128"/>
      </c:barChart>
      <c:catAx>
        <c:axId val="156767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670128"/>
        <c:crosses val="autoZero"/>
        <c:auto val="1"/>
        <c:lblAlgn val="ctr"/>
        <c:lblOffset val="100"/>
        <c:noMultiLvlLbl val="0"/>
      </c:catAx>
      <c:valAx>
        <c:axId val="156767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672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Potential Asset Divestiture and Expected Impact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Asset_Divestiture!$A$2:$A$5</c:f>
              <c:strCache>
                <c:ptCount val="4"/>
                <c:pt idx="0">
                  <c:v>Non-core Property</c:v>
                </c:pt>
                <c:pt idx="1">
                  <c:v>Underperforming Subsidiary</c:v>
                </c:pt>
                <c:pt idx="2">
                  <c:v>Non-core Intangible Assets</c:v>
                </c:pt>
                <c:pt idx="3">
                  <c:v>Total</c:v>
                </c:pt>
              </c:strCache>
            </c:strRef>
          </c:cat>
          <c:val>
            <c:numRef>
              <c:f>Asset_Divestiture!$B$2:$B$5</c:f>
              <c:numCache>
                <c:formatCode>General</c:formatCode>
                <c:ptCount val="4"/>
                <c:pt idx="0">
                  <c:v>8000</c:v>
                </c:pt>
                <c:pt idx="1">
                  <c:v>12000</c:v>
                </c:pt>
                <c:pt idx="2">
                  <c:v>5000</c:v>
                </c:pt>
                <c:pt idx="3">
                  <c:v>25000</c:v>
                </c:pt>
              </c:numCache>
            </c:numRef>
          </c:val>
          <c:extLst>
            <c:ext xmlns:c16="http://schemas.microsoft.com/office/drawing/2014/chart" uri="{C3380CC4-5D6E-409C-BE32-E72D297353CC}">
              <c16:uniqueId val="{00000000-A10A-4896-9729-86E144D85B50}"/>
            </c:ext>
          </c:extLst>
        </c:ser>
        <c:ser>
          <c:idx val="1"/>
          <c:order val="1"/>
          <c:spPr>
            <a:solidFill>
              <a:schemeClr val="accent2"/>
            </a:solidFill>
            <a:ln>
              <a:noFill/>
            </a:ln>
            <a:effectLst/>
          </c:spPr>
          <c:invertIfNegative val="0"/>
          <c:cat>
            <c:strRef>
              <c:f>Asset_Divestiture!$A$2:$A$5</c:f>
              <c:strCache>
                <c:ptCount val="4"/>
                <c:pt idx="0">
                  <c:v>Non-core Property</c:v>
                </c:pt>
                <c:pt idx="1">
                  <c:v>Underperforming Subsidiary</c:v>
                </c:pt>
                <c:pt idx="2">
                  <c:v>Non-core Intangible Assets</c:v>
                </c:pt>
                <c:pt idx="3">
                  <c:v>Total</c:v>
                </c:pt>
              </c:strCache>
            </c:strRef>
          </c:cat>
          <c:val>
            <c:numRef>
              <c:f>Asset_Divestiture!$C$2:$C$5</c:f>
              <c:numCache>
                <c:formatCode>General</c:formatCode>
                <c:ptCount val="4"/>
                <c:pt idx="0">
                  <c:v>5000</c:v>
                </c:pt>
                <c:pt idx="1">
                  <c:v>8000</c:v>
                </c:pt>
                <c:pt idx="2">
                  <c:v>3000</c:v>
                </c:pt>
                <c:pt idx="3">
                  <c:v>16000</c:v>
                </c:pt>
              </c:numCache>
            </c:numRef>
          </c:val>
          <c:extLst>
            <c:ext xmlns:c16="http://schemas.microsoft.com/office/drawing/2014/chart" uri="{C3380CC4-5D6E-409C-BE32-E72D297353CC}">
              <c16:uniqueId val="{00000001-A10A-4896-9729-86E144D85B50}"/>
            </c:ext>
          </c:extLst>
        </c:ser>
        <c:ser>
          <c:idx val="2"/>
          <c:order val="2"/>
          <c:spPr>
            <a:solidFill>
              <a:schemeClr val="accent3"/>
            </a:solidFill>
            <a:ln>
              <a:noFill/>
            </a:ln>
            <a:effectLst/>
          </c:spPr>
          <c:invertIfNegative val="0"/>
          <c:cat>
            <c:strRef>
              <c:f>Asset_Divestiture!$A$2:$A$5</c:f>
              <c:strCache>
                <c:ptCount val="4"/>
                <c:pt idx="0">
                  <c:v>Non-core Property</c:v>
                </c:pt>
                <c:pt idx="1">
                  <c:v>Underperforming Subsidiary</c:v>
                </c:pt>
                <c:pt idx="2">
                  <c:v>Non-core Intangible Assets</c:v>
                </c:pt>
                <c:pt idx="3">
                  <c:v>Total</c:v>
                </c:pt>
              </c:strCache>
            </c:strRef>
          </c:cat>
          <c:val>
            <c:numRef>
              <c:f>Asset_Divestiture!$D$2:$D$5</c:f>
              <c:numCache>
                <c:formatCode>General</c:formatCode>
                <c:ptCount val="4"/>
                <c:pt idx="0">
                  <c:v>3000</c:v>
                </c:pt>
                <c:pt idx="1">
                  <c:v>4000</c:v>
                </c:pt>
                <c:pt idx="2">
                  <c:v>2000</c:v>
                </c:pt>
                <c:pt idx="3">
                  <c:v>9000</c:v>
                </c:pt>
              </c:numCache>
            </c:numRef>
          </c:val>
          <c:extLst>
            <c:ext xmlns:c16="http://schemas.microsoft.com/office/drawing/2014/chart" uri="{C3380CC4-5D6E-409C-BE32-E72D297353CC}">
              <c16:uniqueId val="{00000002-A10A-4896-9729-86E144D85B50}"/>
            </c:ext>
          </c:extLst>
        </c:ser>
        <c:dLbls>
          <c:showLegendKey val="0"/>
          <c:showVal val="0"/>
          <c:showCatName val="0"/>
          <c:showSerName val="0"/>
          <c:showPercent val="0"/>
          <c:showBubbleSize val="0"/>
        </c:dLbls>
        <c:gapWidth val="219"/>
        <c:overlap val="-27"/>
        <c:axId val="1458057216"/>
        <c:axId val="1458058048"/>
        <c:extLst>
          <c:ext xmlns:c15="http://schemas.microsoft.com/office/drawing/2012/chart" uri="{02D57815-91ED-43cb-92C2-25804820EDAC}">
            <c15:filteredBarSeries>
              <c15:ser>
                <c:idx val="3"/>
                <c:order val="3"/>
                <c:spPr>
                  <a:solidFill>
                    <a:schemeClr val="accent4"/>
                  </a:solidFill>
                  <a:ln>
                    <a:noFill/>
                  </a:ln>
                  <a:effectLst/>
                </c:spPr>
                <c:invertIfNegative val="0"/>
                <c:cat>
                  <c:strRef>
                    <c:extLst>
                      <c:ext uri="{02D57815-91ED-43cb-92C2-25804820EDAC}">
                        <c15:formulaRef>
                          <c15:sqref>Asset_Divestiture!$A$2:$A$5</c15:sqref>
                        </c15:formulaRef>
                      </c:ext>
                    </c:extLst>
                    <c:strCache>
                      <c:ptCount val="4"/>
                      <c:pt idx="0">
                        <c:v>Non-core Property</c:v>
                      </c:pt>
                      <c:pt idx="1">
                        <c:v>Underperforming Subsidiary</c:v>
                      </c:pt>
                      <c:pt idx="2">
                        <c:v>Non-core Intangible Assets</c:v>
                      </c:pt>
                      <c:pt idx="3">
                        <c:v>Total</c:v>
                      </c:pt>
                    </c:strCache>
                  </c:strRef>
                </c:cat>
                <c:val>
                  <c:numRef>
                    <c:extLst>
                      <c:ext uri="{02D57815-91ED-43cb-92C2-25804820EDAC}">
                        <c15:formulaRef>
                          <c15:sqref>Asset_Divestiture!$E$2:$E$5</c15:sqref>
                        </c15:formulaRef>
                      </c:ext>
                    </c:extLst>
                    <c:numCache>
                      <c:formatCode>General</c:formatCode>
                      <c:ptCount val="4"/>
                    </c:numCache>
                  </c:numRef>
                </c:val>
                <c:extLst>
                  <c:ext xmlns:c16="http://schemas.microsoft.com/office/drawing/2014/chart" uri="{C3380CC4-5D6E-409C-BE32-E72D297353CC}">
                    <c16:uniqueId val="{00000003-A10A-4896-9729-86E144D85B50}"/>
                  </c:ext>
                </c:extLst>
              </c15:ser>
            </c15:filteredBarSeries>
          </c:ext>
        </c:extLst>
      </c:barChart>
      <c:catAx>
        <c:axId val="14580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058048"/>
        <c:crosses val="autoZero"/>
        <c:auto val="1"/>
        <c:lblAlgn val="ctr"/>
        <c:lblOffset val="100"/>
        <c:noMultiLvlLbl val="0"/>
      </c:catAx>
      <c:valAx>
        <c:axId val="1458058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05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Payback Period (PBP)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'C:\Users\SARMIN\Downloads\[Investment_Appraisal_All_Calculations.xlsx]Payback'!$B$1</c:f>
              <c:strCache>
                <c:ptCount val="1"/>
                <c:pt idx="0">
                  <c:v>Project A Cumulative (£m)</c:v>
                </c:pt>
              </c:strCache>
            </c:strRef>
          </c:tx>
          <c:spPr>
            <a:solidFill>
              <a:schemeClr val="accent1"/>
            </a:solidFill>
            <a:ln>
              <a:noFill/>
            </a:ln>
            <a:effectLst/>
          </c:spPr>
          <c:invertIfNegative val="0"/>
          <c:cat>
            <c:numRef>
              <c:f>[2]Payback!$A$2:$A$7</c:f>
              <c:numCache>
                <c:formatCode>General</c:formatCode>
                <c:ptCount val="6"/>
                <c:pt idx="0">
                  <c:v>1</c:v>
                </c:pt>
                <c:pt idx="1">
                  <c:v>2</c:v>
                </c:pt>
                <c:pt idx="2">
                  <c:v>3</c:v>
                </c:pt>
                <c:pt idx="3">
                  <c:v>4</c:v>
                </c:pt>
                <c:pt idx="4">
                  <c:v>5</c:v>
                </c:pt>
              </c:numCache>
            </c:numRef>
          </c:cat>
          <c:val>
            <c:numRef>
              <c:f>[2]Payback!$B$2:$B$7</c:f>
              <c:numCache>
                <c:formatCode>General</c:formatCode>
                <c:ptCount val="6"/>
                <c:pt idx="0">
                  <c:v>-30</c:v>
                </c:pt>
                <c:pt idx="1">
                  <c:v>-18</c:v>
                </c:pt>
                <c:pt idx="2">
                  <c:v>-4</c:v>
                </c:pt>
                <c:pt idx="3">
                  <c:v>6</c:v>
                </c:pt>
                <c:pt idx="4">
                  <c:v>14</c:v>
                </c:pt>
              </c:numCache>
            </c:numRef>
          </c:val>
          <c:extLst>
            <c:ext xmlns:c16="http://schemas.microsoft.com/office/drawing/2014/chart" uri="{C3380CC4-5D6E-409C-BE32-E72D297353CC}">
              <c16:uniqueId val="{00000000-E3AF-4EBA-B32C-E9B0DCF9A8EB}"/>
            </c:ext>
          </c:extLst>
        </c:ser>
        <c:ser>
          <c:idx val="1"/>
          <c:order val="1"/>
          <c:tx>
            <c:strRef>
              <c:f>'C:\Users\SARMIN\Downloads\[Investment_Appraisal_All_Calculations.xlsx]Payback'!$C$1</c:f>
              <c:strCache>
                <c:ptCount val="1"/>
                <c:pt idx="0">
                  <c:v>Project B Cumulative (£m)</c:v>
                </c:pt>
              </c:strCache>
            </c:strRef>
          </c:tx>
          <c:spPr>
            <a:solidFill>
              <a:schemeClr val="accent3"/>
            </a:solidFill>
            <a:ln>
              <a:noFill/>
            </a:ln>
            <a:effectLst/>
          </c:spPr>
          <c:invertIfNegative val="0"/>
          <c:cat>
            <c:numRef>
              <c:f>[2]Payback!$A$2:$A$7</c:f>
              <c:numCache>
                <c:formatCode>General</c:formatCode>
                <c:ptCount val="6"/>
                <c:pt idx="0">
                  <c:v>1</c:v>
                </c:pt>
                <c:pt idx="1">
                  <c:v>2</c:v>
                </c:pt>
                <c:pt idx="2">
                  <c:v>3</c:v>
                </c:pt>
                <c:pt idx="3">
                  <c:v>4</c:v>
                </c:pt>
                <c:pt idx="4">
                  <c:v>5</c:v>
                </c:pt>
              </c:numCache>
            </c:numRef>
          </c:cat>
          <c:val>
            <c:numRef>
              <c:f>[2]Payback!$C$2:$C$7</c:f>
              <c:numCache>
                <c:formatCode>General</c:formatCode>
                <c:ptCount val="6"/>
                <c:pt idx="0">
                  <c:v>-24</c:v>
                </c:pt>
                <c:pt idx="1">
                  <c:v>-18</c:v>
                </c:pt>
                <c:pt idx="2">
                  <c:v>-12</c:v>
                </c:pt>
                <c:pt idx="3">
                  <c:v>-6</c:v>
                </c:pt>
                <c:pt idx="4">
                  <c:v>0</c:v>
                </c:pt>
              </c:numCache>
            </c:numRef>
          </c:val>
          <c:extLst>
            <c:ext xmlns:c16="http://schemas.microsoft.com/office/drawing/2014/chart" uri="{C3380CC4-5D6E-409C-BE32-E72D297353CC}">
              <c16:uniqueId val="{00000001-E3AF-4EBA-B32C-E9B0DCF9A8EB}"/>
            </c:ext>
          </c:extLst>
        </c:ser>
        <c:ser>
          <c:idx val="2"/>
          <c:order val="2"/>
          <c:tx>
            <c:strRef>
              <c:f>'C:\Users\SARMIN\Downloads\[Investment_Appraisal_All_Calculations.xlsx]Payback'!$D$1</c:f>
              <c:strCache>
                <c:ptCount val="1"/>
                <c:pt idx="0">
                  <c:v>Project C Cumulative (£m)</c:v>
                </c:pt>
              </c:strCache>
            </c:strRef>
          </c:tx>
          <c:spPr>
            <a:solidFill>
              <a:schemeClr val="accent5"/>
            </a:solidFill>
            <a:ln>
              <a:noFill/>
            </a:ln>
            <a:effectLst/>
          </c:spPr>
          <c:invertIfNegative val="0"/>
          <c:cat>
            <c:numRef>
              <c:f>[2]Payback!$A$2:$A$7</c:f>
              <c:numCache>
                <c:formatCode>General</c:formatCode>
                <c:ptCount val="6"/>
                <c:pt idx="0">
                  <c:v>1</c:v>
                </c:pt>
                <c:pt idx="1">
                  <c:v>2</c:v>
                </c:pt>
                <c:pt idx="2">
                  <c:v>3</c:v>
                </c:pt>
                <c:pt idx="3">
                  <c:v>4</c:v>
                </c:pt>
                <c:pt idx="4">
                  <c:v>5</c:v>
                </c:pt>
              </c:numCache>
            </c:numRef>
          </c:cat>
          <c:val>
            <c:numRef>
              <c:f>[2]Payback!$D$2:$D$7</c:f>
              <c:numCache>
                <c:formatCode>General</c:formatCode>
                <c:ptCount val="6"/>
                <c:pt idx="0">
                  <c:v>-45</c:v>
                </c:pt>
                <c:pt idx="1">
                  <c:v>-35</c:v>
                </c:pt>
                <c:pt idx="2">
                  <c:v>-15</c:v>
                </c:pt>
                <c:pt idx="3">
                  <c:v>10</c:v>
                </c:pt>
                <c:pt idx="4">
                  <c:v>25</c:v>
                </c:pt>
              </c:numCache>
            </c:numRef>
          </c:val>
          <c:extLst>
            <c:ext xmlns:c16="http://schemas.microsoft.com/office/drawing/2014/chart" uri="{C3380CC4-5D6E-409C-BE32-E72D297353CC}">
              <c16:uniqueId val="{00000002-E3AF-4EBA-B32C-E9B0DCF9A8EB}"/>
            </c:ext>
          </c:extLst>
        </c:ser>
        <c:dLbls>
          <c:showLegendKey val="0"/>
          <c:showVal val="0"/>
          <c:showCatName val="0"/>
          <c:showSerName val="0"/>
          <c:showPercent val="0"/>
          <c:showBubbleSize val="0"/>
        </c:dLbls>
        <c:gapWidth val="219"/>
        <c:overlap val="-27"/>
        <c:axId val="1574354640"/>
        <c:axId val="1574345904"/>
        <c:extLst>
          <c:ext xmlns:c15="http://schemas.microsoft.com/office/drawing/2012/chart" uri="{02D57815-91ED-43cb-92C2-25804820EDAC}">
            <c15:filteredBarSeries>
              <c15:ser>
                <c:idx val="3"/>
                <c:order val="3"/>
                <c:tx>
                  <c:strRef>
                    <c:extLst>
                      <c:ext uri="{02D57815-91ED-43cb-92C2-25804820EDAC}">
                        <c15:formulaRef>
                          <c15:sqref>'C:\Users\SARMIN\Downloads\[Investment_Appraisal_All_Calculations.xlsx]Payback'!$E$1</c15:sqref>
                        </c15:formulaRef>
                      </c:ext>
                    </c:extLst>
                    <c:strCache>
                      <c:ptCount val="1"/>
                    </c:strCache>
                  </c:strRef>
                </c:tx>
                <c:spPr>
                  <a:solidFill>
                    <a:schemeClr val="accent1">
                      <a:lumMod val="60000"/>
                    </a:schemeClr>
                  </a:solidFill>
                  <a:ln>
                    <a:noFill/>
                  </a:ln>
                  <a:effectLst/>
                </c:spPr>
                <c:invertIfNegative val="0"/>
                <c:cat>
                  <c:numRef>
                    <c:extLst>
                      <c:ext uri="{02D57815-91ED-43cb-92C2-25804820EDAC}">
                        <c15:formulaRef>
                          <c15:sqref>[2]Payback!$A$2:$A$7</c15:sqref>
                        </c15:formulaRef>
                      </c:ext>
                    </c:extLst>
                    <c:numCache>
                      <c:formatCode>General</c:formatCode>
                      <c:ptCount val="6"/>
                      <c:pt idx="0">
                        <c:v>1</c:v>
                      </c:pt>
                      <c:pt idx="1">
                        <c:v>2</c:v>
                      </c:pt>
                      <c:pt idx="2">
                        <c:v>3</c:v>
                      </c:pt>
                      <c:pt idx="3">
                        <c:v>4</c:v>
                      </c:pt>
                      <c:pt idx="4">
                        <c:v>5</c:v>
                      </c:pt>
                    </c:numCache>
                  </c:numRef>
                </c:cat>
                <c:val>
                  <c:numRef>
                    <c:extLst>
                      <c:ext uri="{02D57815-91ED-43cb-92C2-25804820EDAC}">
                        <c15:formulaRef>
                          <c15:sqref>[2]Payback!$E$2:$E$7</c15:sqref>
                        </c15:formulaRef>
                      </c:ext>
                    </c:extLst>
                    <c:numCache>
                      <c:formatCode>General</c:formatCode>
                      <c:ptCount val="6"/>
                    </c:numCache>
                  </c:numRef>
                </c:val>
                <c:extLst>
                  <c:ext xmlns:c16="http://schemas.microsoft.com/office/drawing/2014/chart" uri="{C3380CC4-5D6E-409C-BE32-E72D297353CC}">
                    <c16:uniqueId val="{00000003-E3AF-4EBA-B32C-E9B0DCF9A8EB}"/>
                  </c:ext>
                </c:extLst>
              </c15:ser>
            </c15:filteredBarSeries>
          </c:ext>
        </c:extLst>
      </c:barChart>
      <c:catAx>
        <c:axId val="1574354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4345904"/>
        <c:crosses val="autoZero"/>
        <c:auto val="1"/>
        <c:lblAlgn val="ctr"/>
        <c:lblOffset val="100"/>
        <c:noMultiLvlLbl val="0"/>
      </c:catAx>
      <c:valAx>
        <c:axId val="1574345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4354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ARR!$B$1:$G$1</c:f>
              <c:strCache>
                <c:ptCount val="5"/>
                <c:pt idx="0">
                  <c:v>Average Cash Inflow</c:v>
                </c:pt>
                <c:pt idx="1">
                  <c:v>Annual Depreciation</c:v>
                </c:pt>
                <c:pt idx="2">
                  <c:v>Average Profit</c:v>
                </c:pt>
                <c:pt idx="3">
                  <c:v>Average Investment</c:v>
                </c:pt>
                <c:pt idx="4">
                  <c:v>ARR (%)</c:v>
                </c:pt>
              </c:strCache>
            </c:strRef>
          </c:cat>
          <c:val>
            <c:numRef>
              <c:f>ARR!$B$2:$G$2</c:f>
              <c:numCache>
                <c:formatCode>General</c:formatCode>
                <c:ptCount val="6"/>
                <c:pt idx="0">
                  <c:v>10.8</c:v>
                </c:pt>
                <c:pt idx="1">
                  <c:v>8</c:v>
                </c:pt>
                <c:pt idx="2">
                  <c:v>2.8000000000000007</c:v>
                </c:pt>
                <c:pt idx="3">
                  <c:v>20</c:v>
                </c:pt>
                <c:pt idx="4">
                  <c:v>14.000000000000004</c:v>
                </c:pt>
              </c:numCache>
            </c:numRef>
          </c:val>
          <c:extLst>
            <c:ext xmlns:c16="http://schemas.microsoft.com/office/drawing/2014/chart" uri="{C3380CC4-5D6E-409C-BE32-E72D297353CC}">
              <c16:uniqueId val="{00000000-E928-4126-AFEC-58DE628B5A47}"/>
            </c:ext>
          </c:extLst>
        </c:ser>
        <c:ser>
          <c:idx val="1"/>
          <c:order val="1"/>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ARR!$B$1:$G$1</c:f>
              <c:strCache>
                <c:ptCount val="5"/>
                <c:pt idx="0">
                  <c:v>Average Cash Inflow</c:v>
                </c:pt>
                <c:pt idx="1">
                  <c:v>Annual Depreciation</c:v>
                </c:pt>
                <c:pt idx="2">
                  <c:v>Average Profit</c:v>
                </c:pt>
                <c:pt idx="3">
                  <c:v>Average Investment</c:v>
                </c:pt>
                <c:pt idx="4">
                  <c:v>ARR (%)</c:v>
                </c:pt>
              </c:strCache>
            </c:strRef>
          </c:cat>
          <c:val>
            <c:numRef>
              <c:f>ARR!$B$3:$G$3</c:f>
              <c:numCache>
                <c:formatCode>General</c:formatCode>
                <c:ptCount val="6"/>
                <c:pt idx="0">
                  <c:v>6</c:v>
                </c:pt>
                <c:pt idx="1">
                  <c:v>6</c:v>
                </c:pt>
                <c:pt idx="2">
                  <c:v>0</c:v>
                </c:pt>
                <c:pt idx="3">
                  <c:v>15</c:v>
                </c:pt>
                <c:pt idx="4">
                  <c:v>0</c:v>
                </c:pt>
              </c:numCache>
            </c:numRef>
          </c:val>
          <c:extLst>
            <c:ext xmlns:c16="http://schemas.microsoft.com/office/drawing/2014/chart" uri="{C3380CC4-5D6E-409C-BE32-E72D297353CC}">
              <c16:uniqueId val="{00000001-E928-4126-AFEC-58DE628B5A47}"/>
            </c:ext>
          </c:extLst>
        </c:ser>
        <c:ser>
          <c:idx val="2"/>
          <c:order val="2"/>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ARR!$B$1:$G$1</c:f>
              <c:strCache>
                <c:ptCount val="5"/>
                <c:pt idx="0">
                  <c:v>Average Cash Inflow</c:v>
                </c:pt>
                <c:pt idx="1">
                  <c:v>Annual Depreciation</c:v>
                </c:pt>
                <c:pt idx="2">
                  <c:v>Average Profit</c:v>
                </c:pt>
                <c:pt idx="3">
                  <c:v>Average Investment</c:v>
                </c:pt>
                <c:pt idx="4">
                  <c:v>ARR (%)</c:v>
                </c:pt>
              </c:strCache>
            </c:strRef>
          </c:cat>
          <c:val>
            <c:numRef>
              <c:f>ARR!$B$4:$G$4</c:f>
              <c:numCache>
                <c:formatCode>General</c:formatCode>
                <c:ptCount val="6"/>
                <c:pt idx="0">
                  <c:v>15</c:v>
                </c:pt>
                <c:pt idx="1">
                  <c:v>10</c:v>
                </c:pt>
                <c:pt idx="2">
                  <c:v>5</c:v>
                </c:pt>
                <c:pt idx="3">
                  <c:v>25</c:v>
                </c:pt>
                <c:pt idx="4">
                  <c:v>20</c:v>
                </c:pt>
              </c:numCache>
            </c:numRef>
          </c:val>
          <c:extLst>
            <c:ext xmlns:c16="http://schemas.microsoft.com/office/drawing/2014/chart" uri="{C3380CC4-5D6E-409C-BE32-E72D297353CC}">
              <c16:uniqueId val="{00000002-E928-4126-AFEC-58DE628B5A47}"/>
            </c:ext>
          </c:extLst>
        </c:ser>
        <c:dLbls>
          <c:dLblPos val="inEnd"/>
          <c:showLegendKey val="0"/>
          <c:showVal val="1"/>
          <c:showCatName val="0"/>
          <c:showSerName val="0"/>
          <c:showPercent val="0"/>
          <c:showBubbleSize val="0"/>
        </c:dLbls>
        <c:gapWidth val="65"/>
        <c:axId val="1622982224"/>
        <c:axId val="1622980144"/>
        <c:extLst>
          <c:ext xmlns:c15="http://schemas.microsoft.com/office/drawing/2012/chart" uri="{02D57815-91ED-43cb-92C2-25804820EDAC}">
            <c15:filteredBarSeries>
              <c15:ser>
                <c:idx val="3"/>
                <c:order val="3"/>
                <c:spPr>
                  <a:solidFill>
                    <a:schemeClr val="accent2">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ARR!$B$1:$G$1</c15:sqref>
                        </c15:formulaRef>
                      </c:ext>
                    </c:extLst>
                    <c:strCache>
                      <c:ptCount val="5"/>
                      <c:pt idx="0">
                        <c:v>Average Cash Inflow</c:v>
                      </c:pt>
                      <c:pt idx="1">
                        <c:v>Annual Depreciation</c:v>
                      </c:pt>
                      <c:pt idx="2">
                        <c:v>Average Profit</c:v>
                      </c:pt>
                      <c:pt idx="3">
                        <c:v>Average Investment</c:v>
                      </c:pt>
                      <c:pt idx="4">
                        <c:v>ARR (%)</c:v>
                      </c:pt>
                    </c:strCache>
                  </c:strRef>
                </c:cat>
                <c:val>
                  <c:numRef>
                    <c:extLst>
                      <c:ext uri="{02D57815-91ED-43cb-92C2-25804820EDAC}">
                        <c15:formulaRef>
                          <c15:sqref>ARR!$B$5:$G$5</c15:sqref>
                        </c15:formulaRef>
                      </c:ext>
                    </c:extLst>
                    <c:numCache>
                      <c:formatCode>General</c:formatCode>
                      <c:ptCount val="6"/>
                    </c:numCache>
                  </c:numRef>
                </c:val>
                <c:extLst>
                  <c:ext xmlns:c16="http://schemas.microsoft.com/office/drawing/2014/chart" uri="{C3380CC4-5D6E-409C-BE32-E72D297353CC}">
                    <c16:uniqueId val="{00000003-E928-4126-AFEC-58DE628B5A47}"/>
                  </c:ext>
                </c:extLst>
              </c15:ser>
            </c15:filteredBarSeries>
          </c:ext>
        </c:extLst>
      </c:barChart>
      <c:catAx>
        <c:axId val="16229822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22980144"/>
        <c:crosses val="autoZero"/>
        <c:auto val="1"/>
        <c:lblAlgn val="ctr"/>
        <c:lblOffset val="100"/>
        <c:noMultiLvlLbl val="0"/>
      </c:catAx>
      <c:valAx>
        <c:axId val="16229801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229822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NPV</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NPV!$A$1:$F$1</c:f>
              <c:strCache>
                <c:ptCount val="5"/>
                <c:pt idx="0">
                  <c:v>Year</c:v>
                </c:pt>
                <c:pt idx="1">
                  <c:v>Discount Factor (10%)</c:v>
                </c:pt>
                <c:pt idx="2">
                  <c:v>PV A</c:v>
                </c:pt>
                <c:pt idx="3">
                  <c:v>PV B</c:v>
                </c:pt>
                <c:pt idx="4">
                  <c:v>PV C</c:v>
                </c:pt>
              </c:strCache>
            </c:strRef>
          </c:cat>
          <c:val>
            <c:numRef>
              <c:f>NPV!$A$2:$F$2</c:f>
              <c:numCache>
                <c:formatCode>General</c:formatCode>
                <c:ptCount val="6"/>
                <c:pt idx="0">
                  <c:v>1</c:v>
                </c:pt>
                <c:pt idx="1">
                  <c:v>0.90900000000000003</c:v>
                </c:pt>
                <c:pt idx="2">
                  <c:v>9.09</c:v>
                </c:pt>
                <c:pt idx="3">
                  <c:v>5.4540000000000006</c:v>
                </c:pt>
                <c:pt idx="4">
                  <c:v>4.5449999999999999</c:v>
                </c:pt>
              </c:numCache>
            </c:numRef>
          </c:val>
          <c:extLst>
            <c:ext xmlns:c16="http://schemas.microsoft.com/office/drawing/2014/chart" uri="{C3380CC4-5D6E-409C-BE32-E72D297353CC}">
              <c16:uniqueId val="{00000000-5C93-40C6-8463-BE7AD3474AAB}"/>
            </c:ext>
          </c:extLst>
        </c:ser>
        <c:ser>
          <c:idx val="1"/>
          <c:order val="1"/>
          <c:spPr>
            <a:solidFill>
              <a:schemeClr val="accent2"/>
            </a:solidFill>
            <a:ln>
              <a:noFill/>
            </a:ln>
            <a:effectLst/>
          </c:spPr>
          <c:invertIfNegative val="0"/>
          <c:cat>
            <c:strRef>
              <c:f>NPV!$A$1:$F$1</c:f>
              <c:strCache>
                <c:ptCount val="5"/>
                <c:pt idx="0">
                  <c:v>Year</c:v>
                </c:pt>
                <c:pt idx="1">
                  <c:v>Discount Factor (10%)</c:v>
                </c:pt>
                <c:pt idx="2">
                  <c:v>PV A</c:v>
                </c:pt>
                <c:pt idx="3">
                  <c:v>PV B</c:v>
                </c:pt>
                <c:pt idx="4">
                  <c:v>PV C</c:v>
                </c:pt>
              </c:strCache>
            </c:strRef>
          </c:cat>
          <c:val>
            <c:numRef>
              <c:f>NPV!$A$3:$F$3</c:f>
              <c:numCache>
                <c:formatCode>General</c:formatCode>
                <c:ptCount val="6"/>
                <c:pt idx="0">
                  <c:v>2</c:v>
                </c:pt>
                <c:pt idx="1">
                  <c:v>0.82599999999999996</c:v>
                </c:pt>
                <c:pt idx="2">
                  <c:v>9.911999999999999</c:v>
                </c:pt>
                <c:pt idx="3">
                  <c:v>4.9560000000000004</c:v>
                </c:pt>
                <c:pt idx="4">
                  <c:v>8.26</c:v>
                </c:pt>
              </c:numCache>
            </c:numRef>
          </c:val>
          <c:extLst>
            <c:ext xmlns:c16="http://schemas.microsoft.com/office/drawing/2014/chart" uri="{C3380CC4-5D6E-409C-BE32-E72D297353CC}">
              <c16:uniqueId val="{00000001-5C93-40C6-8463-BE7AD3474AAB}"/>
            </c:ext>
          </c:extLst>
        </c:ser>
        <c:ser>
          <c:idx val="2"/>
          <c:order val="2"/>
          <c:spPr>
            <a:solidFill>
              <a:schemeClr val="accent3"/>
            </a:solidFill>
            <a:ln>
              <a:noFill/>
            </a:ln>
            <a:effectLst/>
          </c:spPr>
          <c:invertIfNegative val="0"/>
          <c:cat>
            <c:strRef>
              <c:f>NPV!$A$1:$F$1</c:f>
              <c:strCache>
                <c:ptCount val="5"/>
                <c:pt idx="0">
                  <c:v>Year</c:v>
                </c:pt>
                <c:pt idx="1">
                  <c:v>Discount Factor (10%)</c:v>
                </c:pt>
                <c:pt idx="2">
                  <c:v>PV A</c:v>
                </c:pt>
                <c:pt idx="3">
                  <c:v>PV B</c:v>
                </c:pt>
                <c:pt idx="4">
                  <c:v>PV C</c:v>
                </c:pt>
              </c:strCache>
            </c:strRef>
          </c:cat>
          <c:val>
            <c:numRef>
              <c:f>NPV!$A$4:$F$4</c:f>
              <c:numCache>
                <c:formatCode>General</c:formatCode>
                <c:ptCount val="6"/>
                <c:pt idx="0">
                  <c:v>3</c:v>
                </c:pt>
                <c:pt idx="1">
                  <c:v>0.751</c:v>
                </c:pt>
                <c:pt idx="2">
                  <c:v>10.513999999999999</c:v>
                </c:pt>
                <c:pt idx="3">
                  <c:v>4.5060000000000002</c:v>
                </c:pt>
                <c:pt idx="4">
                  <c:v>15.02</c:v>
                </c:pt>
              </c:numCache>
            </c:numRef>
          </c:val>
          <c:extLst>
            <c:ext xmlns:c16="http://schemas.microsoft.com/office/drawing/2014/chart" uri="{C3380CC4-5D6E-409C-BE32-E72D297353CC}">
              <c16:uniqueId val="{00000002-5C93-40C6-8463-BE7AD3474AAB}"/>
            </c:ext>
          </c:extLst>
        </c:ser>
        <c:ser>
          <c:idx val="3"/>
          <c:order val="3"/>
          <c:spPr>
            <a:solidFill>
              <a:schemeClr val="accent4"/>
            </a:solidFill>
            <a:ln>
              <a:noFill/>
            </a:ln>
            <a:effectLst/>
          </c:spPr>
          <c:invertIfNegative val="0"/>
          <c:cat>
            <c:strRef>
              <c:f>NPV!$A$1:$F$1</c:f>
              <c:strCache>
                <c:ptCount val="5"/>
                <c:pt idx="0">
                  <c:v>Year</c:v>
                </c:pt>
                <c:pt idx="1">
                  <c:v>Discount Factor (10%)</c:v>
                </c:pt>
                <c:pt idx="2">
                  <c:v>PV A</c:v>
                </c:pt>
                <c:pt idx="3">
                  <c:v>PV B</c:v>
                </c:pt>
                <c:pt idx="4">
                  <c:v>PV C</c:v>
                </c:pt>
              </c:strCache>
            </c:strRef>
          </c:cat>
          <c:val>
            <c:numRef>
              <c:f>NPV!$A$5:$F$5</c:f>
              <c:numCache>
                <c:formatCode>General</c:formatCode>
                <c:ptCount val="6"/>
                <c:pt idx="0">
                  <c:v>4</c:v>
                </c:pt>
                <c:pt idx="1">
                  <c:v>0.68300000000000005</c:v>
                </c:pt>
                <c:pt idx="2">
                  <c:v>6.83</c:v>
                </c:pt>
                <c:pt idx="3">
                  <c:v>4.0980000000000008</c:v>
                </c:pt>
                <c:pt idx="4">
                  <c:v>17.074999999999999</c:v>
                </c:pt>
              </c:numCache>
            </c:numRef>
          </c:val>
          <c:extLst>
            <c:ext xmlns:c16="http://schemas.microsoft.com/office/drawing/2014/chart" uri="{C3380CC4-5D6E-409C-BE32-E72D297353CC}">
              <c16:uniqueId val="{00000003-5C93-40C6-8463-BE7AD3474AAB}"/>
            </c:ext>
          </c:extLst>
        </c:ser>
        <c:ser>
          <c:idx val="4"/>
          <c:order val="4"/>
          <c:spPr>
            <a:solidFill>
              <a:schemeClr val="accent5"/>
            </a:solidFill>
            <a:ln>
              <a:noFill/>
            </a:ln>
            <a:effectLst/>
          </c:spPr>
          <c:invertIfNegative val="0"/>
          <c:cat>
            <c:strRef>
              <c:f>NPV!$A$1:$F$1</c:f>
              <c:strCache>
                <c:ptCount val="5"/>
                <c:pt idx="0">
                  <c:v>Year</c:v>
                </c:pt>
                <c:pt idx="1">
                  <c:v>Discount Factor (10%)</c:v>
                </c:pt>
                <c:pt idx="2">
                  <c:v>PV A</c:v>
                </c:pt>
                <c:pt idx="3">
                  <c:v>PV B</c:v>
                </c:pt>
                <c:pt idx="4">
                  <c:v>PV C</c:v>
                </c:pt>
              </c:strCache>
            </c:strRef>
          </c:cat>
          <c:val>
            <c:numRef>
              <c:f>NPV!$A$6:$F$6</c:f>
              <c:numCache>
                <c:formatCode>General</c:formatCode>
                <c:ptCount val="6"/>
                <c:pt idx="0">
                  <c:v>5</c:v>
                </c:pt>
                <c:pt idx="1">
                  <c:v>0.621</c:v>
                </c:pt>
                <c:pt idx="2">
                  <c:v>4.968</c:v>
                </c:pt>
                <c:pt idx="3">
                  <c:v>3.726</c:v>
                </c:pt>
                <c:pt idx="4">
                  <c:v>9.3149999999999995</c:v>
                </c:pt>
              </c:numCache>
            </c:numRef>
          </c:val>
          <c:extLst>
            <c:ext xmlns:c16="http://schemas.microsoft.com/office/drawing/2014/chart" uri="{C3380CC4-5D6E-409C-BE32-E72D297353CC}">
              <c16:uniqueId val="{00000004-5C93-40C6-8463-BE7AD3474AAB}"/>
            </c:ext>
          </c:extLst>
        </c:ser>
        <c:dLbls>
          <c:showLegendKey val="0"/>
          <c:showVal val="0"/>
          <c:showCatName val="0"/>
          <c:showSerName val="0"/>
          <c:showPercent val="0"/>
          <c:showBubbleSize val="0"/>
        </c:dLbls>
        <c:gapWidth val="182"/>
        <c:axId val="1577385696"/>
        <c:axId val="1577384032"/>
      </c:barChart>
      <c:catAx>
        <c:axId val="1577385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384032"/>
        <c:crosses val="autoZero"/>
        <c:auto val="1"/>
        <c:lblAlgn val="ctr"/>
        <c:lblOffset val="100"/>
        <c:noMultiLvlLbl val="0"/>
      </c:catAx>
      <c:valAx>
        <c:axId val="1577384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38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nFka0togu+u43B6oPJ+YoXg59w==">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Company/>
  <Template/>
  <Manager/>
  <TotalTime>0</TotalTime>
  <Application/>
</Properties>
</file>

<file path=docProps/core.xml><?xml version="1.0" encoding="utf-8"?>
<cp:coreProperties xmlns:cp="http://schemas.openxmlformats.org/package/2006/metadata/core-properties" xmlns:dc="http://purl.org/dc/elements/1.1/" xmlns:dcterms="http://purl.org/dc/terms/" xmlns:xsi="http://www.w3.org/2001/XMLSchema-instance">
  <cp:revision>0</cp:revision>
</cp:coreProperties>
</file>

<file path=docProps/custom.xml><?xml version="1.0" encoding="utf-8"?>
<Properties xmlns="http://schemas.openxmlformats.org/officeDocument/2006/custom-properties" xmlns:vt="http://schemas.openxmlformats.org/officeDocument/2006/docPropsVTypes"/>
</file>